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rFonts w:eastAsiaTheme="majorEastAsia" w:cstheme="majorBidi"/>
          <w:b/>
          <w:noProof/>
          <w:sz w:val="72"/>
          <w:szCs w:val="72"/>
          <w:lang w:eastAsia="en-AU"/>
        </w:rPr>
      </w:sdtEndPr>
      <w:sdtContent>
        <w:p w:rsidR="00DB723B" w:rsidRPr="00DB723B" w:rsidRDefault="00C10D08" w:rsidP="00951978">
          <w:r w:rsidRPr="00DB723B">
            <w:rPr>
              <w:noProof/>
              <w:lang w:eastAsia="en-AU"/>
            </w:rPr>
            <w:drawing>
              <wp:anchor distT="0" distB="0" distL="114300" distR="114300" simplePos="0" relativeHeight="251659264" behindDoc="1" locked="0" layoutInCell="1" allowOverlap="1" wp14:anchorId="3AEAA4FF" wp14:editId="56C8A0BA">
                <wp:simplePos x="0" y="0"/>
                <wp:positionH relativeFrom="column">
                  <wp:posOffset>-1121665</wp:posOffset>
                </wp:positionH>
                <wp:positionV relativeFrom="paragraph">
                  <wp:posOffset>-926275</wp:posOffset>
                </wp:positionV>
                <wp:extent cx="7598386" cy="10723418"/>
                <wp:effectExtent l="0" t="0" r="317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606069" cy="10734261"/>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970CF9"/>
        <w:p w:rsidR="00DB723B" w:rsidRPr="00DB723B" w:rsidRDefault="00DB723B" w:rsidP="00970CF9"/>
        <w:p w:rsidR="00DB723B" w:rsidRPr="00DB723B" w:rsidRDefault="00DB723B" w:rsidP="00970CF9"/>
        <w:p w:rsidR="00DB723B" w:rsidRPr="00DB723B" w:rsidRDefault="00DB723B" w:rsidP="00970CF9"/>
        <w:p w:rsidR="00DB723B" w:rsidRPr="00DB723B" w:rsidRDefault="00FC1E0C" w:rsidP="00327A1E">
          <w:pPr>
            <w:pStyle w:val="ReportTitle"/>
          </w:pPr>
          <w:r w:rsidRPr="00FC1E0C">
            <w:t>Electricity Network Service Provider</w:t>
          </w:r>
          <w:r>
            <w:t xml:space="preserve"> -</w:t>
          </w:r>
          <w:r w:rsidRPr="00FC1E0C">
            <w:t xml:space="preserve"> </w:t>
          </w:r>
          <w:r>
            <w:t xml:space="preserve">Registration </w:t>
          </w:r>
          <w:r w:rsidR="000273B7">
            <w:t xml:space="preserve">Exemption </w:t>
          </w:r>
          <w:r>
            <w:t>Guideline</w:t>
          </w:r>
        </w:p>
        <w:p w:rsidR="00DB723B" w:rsidRDefault="00DB723B" w:rsidP="00327A1E">
          <w:pPr>
            <w:pStyle w:val="ReportSubtitle"/>
          </w:pPr>
        </w:p>
        <w:p w:rsidR="00E75334" w:rsidRPr="00DB723B" w:rsidRDefault="00E75334" w:rsidP="00327A1E">
          <w:pPr>
            <w:pStyle w:val="ReportSubtitle"/>
          </w:pPr>
        </w:p>
        <w:p w:rsidR="006A1735" w:rsidRDefault="006A1735" w:rsidP="00327A1E">
          <w:pPr>
            <w:pStyle w:val="ReportDate"/>
          </w:pPr>
          <w:r>
            <w:t>Version 5</w:t>
          </w:r>
        </w:p>
        <w:p w:rsidR="00DB723B" w:rsidRPr="00DB723B" w:rsidRDefault="009A5E4C" w:rsidP="00327A1E">
          <w:pPr>
            <w:pStyle w:val="ReportDate"/>
          </w:pPr>
          <w:r>
            <w:t>1</w:t>
          </w:r>
          <w:r w:rsidR="004A539E">
            <w:t xml:space="preserve"> </w:t>
          </w:r>
          <w:r w:rsidR="00463B9B">
            <w:t>December</w:t>
          </w:r>
          <w:r w:rsidR="00FF545C">
            <w:t xml:space="preserve"> </w:t>
          </w:r>
          <w:r w:rsidR="00DB723B" w:rsidRPr="00DB723B">
            <w:t>201</w:t>
          </w:r>
          <w:r w:rsidR="000232BF">
            <w:t>6</w:t>
          </w:r>
        </w:p>
        <w:p w:rsidR="002511EF" w:rsidRPr="002511EF" w:rsidRDefault="00DB723B" w:rsidP="002511EF">
          <w:r w:rsidRPr="00DB723B">
            <w:br w:type="page"/>
          </w:r>
        </w:p>
      </w:sdtContent>
    </w:sdt>
    <w:p w:rsidR="000A6C7B" w:rsidRPr="002511EF" w:rsidRDefault="000A6C7B" w:rsidP="002511EF">
      <w:pPr>
        <w:pStyle w:val="Copyright"/>
        <w:rPr>
          <w:rFonts w:eastAsiaTheme="majorEastAsia" w:cstheme="majorBidi"/>
          <w:b/>
          <w:noProof/>
          <w:sz w:val="72"/>
          <w:szCs w:val="72"/>
          <w:lang w:eastAsia="en-AU"/>
        </w:rPr>
      </w:pPr>
      <w:r>
        <w:lastRenderedPageBreak/>
        <w:t>© Commonwealth of Australia 20</w:t>
      </w:r>
      <w:r w:rsidR="000232BF">
        <w:t>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7A0AE0">
      <w:pPr>
        <w:pStyle w:val="StyleCopyrightBefore0pt"/>
        <w:numPr>
          <w:ilvl w:val="0"/>
          <w:numId w:val="20"/>
        </w:numPr>
      </w:pPr>
      <w:r>
        <w:t>the Commonwealth Coat of Arms</w:t>
      </w:r>
    </w:p>
    <w:p w:rsidR="000A6C7B" w:rsidRDefault="000A6C7B" w:rsidP="007A0AE0">
      <w:pPr>
        <w:pStyle w:val="StyleCopyrightBefore0pt"/>
        <w:numPr>
          <w:ilvl w:val="0"/>
          <w:numId w:val="20"/>
        </w:numPr>
      </w:pPr>
      <w:r>
        <w:t>the ACCC and AER logos</w:t>
      </w:r>
    </w:p>
    <w:p w:rsidR="000A6C7B" w:rsidRPr="00B927D8" w:rsidRDefault="000A6C7B" w:rsidP="007A0AE0">
      <w:pPr>
        <w:pStyle w:val="ListBullet"/>
        <w:numPr>
          <w:ilvl w:val="0"/>
          <w:numId w:val="20"/>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w:t>
      </w:r>
      <w:r w:rsidR="001D28C3">
        <w:t xml:space="preserve"> </w:t>
      </w:r>
      <w:r>
        <w:t>Vic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2511EF" w:rsidRPr="002511EF">
        <w:t>60281</w:t>
      </w:r>
    </w:p>
    <w:p w:rsidR="000A6C7B" w:rsidRDefault="000A6C7B" w:rsidP="000A6C7B"/>
    <w:p w:rsidR="000A6C7B" w:rsidRPr="00C569B4" w:rsidRDefault="000A6C7B" w:rsidP="000A6C7B">
      <w:r w:rsidRPr="00C569B4">
        <w:t>Amendment Record</w:t>
      </w:r>
    </w:p>
    <w:tbl>
      <w:tblPr>
        <w:tblStyle w:val="AERTable-Text"/>
        <w:tblW w:w="0" w:type="auto"/>
        <w:tblLook w:val="04A0" w:firstRow="1" w:lastRow="0" w:firstColumn="1" w:lastColumn="0" w:noHBand="0" w:noVBand="1"/>
      </w:tblPr>
      <w:tblGrid>
        <w:gridCol w:w="2912"/>
        <w:gridCol w:w="2883"/>
        <w:gridCol w:w="2898"/>
      </w:tblGrid>
      <w:tr w:rsidR="000A6C7B" w:rsidTr="001D7C97">
        <w:trPr>
          <w:cnfStyle w:val="100000000000" w:firstRow="1" w:lastRow="0" w:firstColumn="0" w:lastColumn="0" w:oddVBand="0" w:evenVBand="0" w:oddHBand="0" w:evenHBand="0" w:firstRowFirstColumn="0" w:firstRowLastColumn="0" w:lastRowFirstColumn="0" w:lastRowLastColumn="0"/>
        </w:trPr>
        <w:tc>
          <w:tcPr>
            <w:tcW w:w="2912" w:type="dxa"/>
          </w:tcPr>
          <w:p w:rsidR="000A6C7B" w:rsidRDefault="000A6C7B" w:rsidP="00FE3C32">
            <w:r>
              <w:t>Version</w:t>
            </w:r>
          </w:p>
        </w:tc>
        <w:tc>
          <w:tcPr>
            <w:tcW w:w="2883" w:type="dxa"/>
          </w:tcPr>
          <w:p w:rsidR="000A6C7B" w:rsidRDefault="000A6C7B" w:rsidP="00FE3C32">
            <w:r>
              <w:t>Date</w:t>
            </w:r>
          </w:p>
        </w:tc>
        <w:tc>
          <w:tcPr>
            <w:tcW w:w="2898" w:type="dxa"/>
          </w:tcPr>
          <w:p w:rsidR="000A6C7B" w:rsidRDefault="000A6C7B" w:rsidP="00FE3C32">
            <w:r>
              <w:t>Pages</w:t>
            </w:r>
          </w:p>
        </w:tc>
      </w:tr>
      <w:tr w:rsidR="001D7C97" w:rsidRPr="00AC35B7" w:rsidTr="001D7C97">
        <w:tc>
          <w:tcPr>
            <w:tcW w:w="2912" w:type="dxa"/>
          </w:tcPr>
          <w:p w:rsidR="001D7C97" w:rsidRPr="001D7C97" w:rsidRDefault="001D7C97" w:rsidP="001D2C50">
            <w:pPr>
              <w:pStyle w:val="Tabletext"/>
            </w:pPr>
            <w:r w:rsidRPr="001D7C97">
              <w:t>01</w:t>
            </w:r>
          </w:p>
        </w:tc>
        <w:tc>
          <w:tcPr>
            <w:tcW w:w="2883" w:type="dxa"/>
          </w:tcPr>
          <w:p w:rsidR="001D7C97" w:rsidRPr="001D7C97" w:rsidRDefault="001D7C97" w:rsidP="001D2C50">
            <w:pPr>
              <w:pStyle w:val="Tabletext"/>
            </w:pPr>
            <w:r w:rsidRPr="001D7C97">
              <w:t>14 October 2011</w:t>
            </w:r>
          </w:p>
        </w:tc>
        <w:tc>
          <w:tcPr>
            <w:tcW w:w="2898" w:type="dxa"/>
          </w:tcPr>
          <w:p w:rsidR="001D7C97" w:rsidRPr="001D7C97" w:rsidRDefault="001D7C97" w:rsidP="001D2C50">
            <w:pPr>
              <w:pStyle w:val="Tabletext"/>
            </w:pPr>
            <w:r w:rsidRPr="001D7C97">
              <w:t>27</w:t>
            </w:r>
          </w:p>
        </w:tc>
      </w:tr>
      <w:tr w:rsidR="001D7C97" w:rsidRPr="00AC35B7" w:rsidTr="001D7C97">
        <w:trPr>
          <w:cnfStyle w:val="000000010000" w:firstRow="0" w:lastRow="0" w:firstColumn="0" w:lastColumn="0" w:oddVBand="0" w:evenVBand="0" w:oddHBand="0" w:evenHBand="1" w:firstRowFirstColumn="0" w:firstRowLastColumn="0" w:lastRowFirstColumn="0" w:lastRowLastColumn="0"/>
        </w:trPr>
        <w:tc>
          <w:tcPr>
            <w:tcW w:w="2912" w:type="dxa"/>
          </w:tcPr>
          <w:p w:rsidR="001D7C97" w:rsidRPr="001D7C97" w:rsidRDefault="001D7C97" w:rsidP="001D2C50">
            <w:pPr>
              <w:pStyle w:val="Tabletext"/>
            </w:pPr>
            <w:r w:rsidRPr="001D7C97">
              <w:t>02</w:t>
            </w:r>
          </w:p>
        </w:tc>
        <w:tc>
          <w:tcPr>
            <w:tcW w:w="2883" w:type="dxa"/>
          </w:tcPr>
          <w:p w:rsidR="001D7C97" w:rsidRPr="001D7C97" w:rsidRDefault="001D7C97" w:rsidP="001D2C50">
            <w:pPr>
              <w:pStyle w:val="Tabletext"/>
            </w:pPr>
            <w:r w:rsidRPr="001D7C97">
              <w:t>16 December 2011</w:t>
            </w:r>
          </w:p>
        </w:tc>
        <w:tc>
          <w:tcPr>
            <w:tcW w:w="2898" w:type="dxa"/>
          </w:tcPr>
          <w:p w:rsidR="001D7C97" w:rsidRPr="001D7C97" w:rsidRDefault="001D7C97" w:rsidP="001D2C50">
            <w:pPr>
              <w:pStyle w:val="Tabletext"/>
            </w:pPr>
            <w:r w:rsidRPr="001D7C97">
              <w:t>28</w:t>
            </w:r>
          </w:p>
        </w:tc>
      </w:tr>
      <w:tr w:rsidR="001D7C97" w:rsidRPr="00AC35B7" w:rsidTr="001D7C97">
        <w:tc>
          <w:tcPr>
            <w:tcW w:w="2912" w:type="dxa"/>
          </w:tcPr>
          <w:p w:rsidR="001D7C97" w:rsidRPr="001D7C97" w:rsidRDefault="001D7C97" w:rsidP="001D2C50">
            <w:pPr>
              <w:pStyle w:val="Tabletext"/>
            </w:pPr>
            <w:r w:rsidRPr="001D7C97">
              <w:t>03</w:t>
            </w:r>
          </w:p>
        </w:tc>
        <w:tc>
          <w:tcPr>
            <w:tcW w:w="2883" w:type="dxa"/>
          </w:tcPr>
          <w:p w:rsidR="001D7C97" w:rsidRPr="001D7C97" w:rsidRDefault="001D7C97" w:rsidP="001D2C50">
            <w:pPr>
              <w:pStyle w:val="Tabletext"/>
            </w:pPr>
            <w:r w:rsidRPr="001D7C97">
              <w:t>27 August 2013</w:t>
            </w:r>
          </w:p>
        </w:tc>
        <w:tc>
          <w:tcPr>
            <w:tcW w:w="2898" w:type="dxa"/>
          </w:tcPr>
          <w:p w:rsidR="001D7C97" w:rsidRPr="001D7C97" w:rsidRDefault="001D7C97" w:rsidP="001D2C50">
            <w:pPr>
              <w:pStyle w:val="Tabletext"/>
            </w:pPr>
            <w:r w:rsidRPr="001D7C97">
              <w:t>44</w:t>
            </w:r>
          </w:p>
        </w:tc>
      </w:tr>
      <w:tr w:rsidR="00C42C9F" w:rsidTr="00BF1280">
        <w:trPr>
          <w:cnfStyle w:val="000000010000" w:firstRow="0" w:lastRow="0" w:firstColumn="0" w:lastColumn="0" w:oddVBand="0" w:evenVBand="0" w:oddHBand="0" w:evenHBand="1" w:firstRowFirstColumn="0" w:firstRowLastColumn="0" w:lastRowFirstColumn="0" w:lastRowLastColumn="0"/>
        </w:trPr>
        <w:tc>
          <w:tcPr>
            <w:tcW w:w="2912" w:type="dxa"/>
          </w:tcPr>
          <w:p w:rsidR="00C42C9F" w:rsidRPr="00C42C9F" w:rsidRDefault="00C42C9F" w:rsidP="001D2C50">
            <w:pPr>
              <w:pStyle w:val="Tabletext"/>
            </w:pPr>
            <w:r>
              <w:t>04</w:t>
            </w:r>
          </w:p>
        </w:tc>
        <w:tc>
          <w:tcPr>
            <w:tcW w:w="2883" w:type="dxa"/>
          </w:tcPr>
          <w:p w:rsidR="00C42C9F" w:rsidRPr="00C42C9F" w:rsidRDefault="009A5E4C" w:rsidP="001D2C50">
            <w:pPr>
              <w:pStyle w:val="Tabletext"/>
            </w:pPr>
            <w:r>
              <w:t xml:space="preserve">18 </w:t>
            </w:r>
            <w:r w:rsidR="00C42C9F">
              <w:t>August 2016</w:t>
            </w:r>
          </w:p>
        </w:tc>
        <w:tc>
          <w:tcPr>
            <w:tcW w:w="2898" w:type="dxa"/>
          </w:tcPr>
          <w:p w:rsidR="00C42C9F" w:rsidRPr="00C42C9F" w:rsidRDefault="00C42C9F" w:rsidP="001D2C50">
            <w:pPr>
              <w:pStyle w:val="Tabletext"/>
            </w:pPr>
            <w:r>
              <w:t>6</w:t>
            </w:r>
            <w:r w:rsidR="008A34CB">
              <w:t>7</w:t>
            </w:r>
          </w:p>
        </w:tc>
      </w:tr>
      <w:tr w:rsidR="00C42C9F" w:rsidTr="001D7C97">
        <w:tc>
          <w:tcPr>
            <w:tcW w:w="2912" w:type="dxa"/>
          </w:tcPr>
          <w:p w:rsidR="00C42C9F" w:rsidRDefault="00463B9B" w:rsidP="001D2C50">
            <w:pPr>
              <w:pStyle w:val="Tabletext"/>
            </w:pPr>
            <w:r>
              <w:t>05</w:t>
            </w:r>
          </w:p>
        </w:tc>
        <w:tc>
          <w:tcPr>
            <w:tcW w:w="2883" w:type="dxa"/>
          </w:tcPr>
          <w:p w:rsidR="00C42C9F" w:rsidRDefault="00463B9B" w:rsidP="001D2C50">
            <w:pPr>
              <w:pStyle w:val="Tabletext"/>
            </w:pPr>
            <w:r>
              <w:t>1 December 2016</w:t>
            </w:r>
          </w:p>
        </w:tc>
        <w:tc>
          <w:tcPr>
            <w:tcW w:w="2898" w:type="dxa"/>
          </w:tcPr>
          <w:p w:rsidR="00C42C9F" w:rsidRDefault="00057850" w:rsidP="001D2C50">
            <w:pPr>
              <w:pStyle w:val="Tabletext"/>
            </w:pPr>
            <w:r>
              <w:t>7</w:t>
            </w:r>
            <w:r w:rsidR="000A1D59">
              <w:t>5</w:t>
            </w:r>
          </w:p>
        </w:tc>
      </w:tr>
    </w:tbl>
    <w:p w:rsidR="002010BC" w:rsidRDefault="002010BC">
      <w:pPr>
        <w:spacing w:line="240" w:lineRule="auto"/>
      </w:pPr>
    </w:p>
    <w:p w:rsidR="002010BC" w:rsidRDefault="00A75077" w:rsidP="00A75077">
      <w:pPr>
        <w:pStyle w:val="TOCHeading"/>
      </w:pPr>
      <w:r>
        <w:lastRenderedPageBreak/>
        <w:t>Contents</w:t>
      </w:r>
    </w:p>
    <w:p w:rsidR="00214572"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68276053" w:history="1">
        <w:r w:rsidR="00214572" w:rsidRPr="008459BF">
          <w:rPr>
            <w:rStyle w:val="Hyperlink"/>
          </w:rPr>
          <w:t>1</w:t>
        </w:r>
        <w:r w:rsidR="00214572">
          <w:rPr>
            <w:rFonts w:asciiTheme="minorHAnsi" w:eastAsiaTheme="minorEastAsia" w:hAnsiTheme="minorHAnsi"/>
            <w:b w:val="0"/>
            <w:color w:val="auto"/>
            <w:sz w:val="22"/>
            <w:lang w:val="en-AU" w:eastAsia="en-AU"/>
          </w:rPr>
          <w:tab/>
        </w:r>
        <w:r w:rsidR="00214572" w:rsidRPr="008459BF">
          <w:rPr>
            <w:rStyle w:val="Hyperlink"/>
          </w:rPr>
          <w:t>Nature and authority</w:t>
        </w:r>
        <w:r w:rsidR="00214572">
          <w:rPr>
            <w:webHidden/>
          </w:rPr>
          <w:tab/>
        </w:r>
        <w:r w:rsidR="00214572">
          <w:rPr>
            <w:webHidden/>
          </w:rPr>
          <w:fldChar w:fldCharType="begin"/>
        </w:r>
        <w:r w:rsidR="00214572">
          <w:rPr>
            <w:webHidden/>
          </w:rPr>
          <w:instrText xml:space="preserve"> PAGEREF _Toc468276053 \h </w:instrText>
        </w:r>
        <w:r w:rsidR="00214572">
          <w:rPr>
            <w:webHidden/>
          </w:rPr>
        </w:r>
        <w:r w:rsidR="00214572">
          <w:rPr>
            <w:webHidden/>
          </w:rPr>
          <w:fldChar w:fldCharType="separate"/>
        </w:r>
        <w:r w:rsidR="00214572">
          <w:rPr>
            <w:webHidden/>
          </w:rPr>
          <w:t>9</w:t>
        </w:r>
        <w:r w:rsidR="00214572">
          <w:rPr>
            <w:webHidden/>
          </w:rPr>
          <w:fldChar w:fldCharType="end"/>
        </w:r>
      </w:hyperlink>
    </w:p>
    <w:p w:rsidR="00214572" w:rsidRDefault="003E3FD8">
      <w:pPr>
        <w:pStyle w:val="TOC2"/>
        <w:rPr>
          <w:rFonts w:asciiTheme="minorHAnsi" w:eastAsiaTheme="minorEastAsia" w:hAnsiTheme="minorHAnsi"/>
          <w:b w:val="0"/>
          <w:color w:val="auto"/>
          <w:sz w:val="22"/>
          <w:lang w:eastAsia="en-AU"/>
        </w:rPr>
      </w:pPr>
      <w:hyperlink w:anchor="_Toc468276054" w:history="1">
        <w:r w:rsidR="00214572" w:rsidRPr="008459BF">
          <w:rPr>
            <w:rStyle w:val="Hyperlink"/>
          </w:rPr>
          <w:t>1.1</w:t>
        </w:r>
        <w:r w:rsidR="00214572">
          <w:rPr>
            <w:rFonts w:asciiTheme="minorHAnsi" w:eastAsiaTheme="minorEastAsia" w:hAnsiTheme="minorHAnsi"/>
            <w:b w:val="0"/>
            <w:color w:val="auto"/>
            <w:sz w:val="22"/>
            <w:lang w:eastAsia="en-AU"/>
          </w:rPr>
          <w:tab/>
        </w:r>
        <w:r w:rsidR="00214572" w:rsidRPr="008459BF">
          <w:rPr>
            <w:rStyle w:val="Hyperlink"/>
          </w:rPr>
          <w:t>The regulatory framework</w:t>
        </w:r>
        <w:r w:rsidR="00214572">
          <w:rPr>
            <w:webHidden/>
          </w:rPr>
          <w:tab/>
        </w:r>
        <w:r w:rsidR="00214572">
          <w:rPr>
            <w:webHidden/>
          </w:rPr>
          <w:fldChar w:fldCharType="begin"/>
        </w:r>
        <w:r w:rsidR="00214572">
          <w:rPr>
            <w:webHidden/>
          </w:rPr>
          <w:instrText xml:space="preserve"> PAGEREF _Toc468276054 \h </w:instrText>
        </w:r>
        <w:r w:rsidR="00214572">
          <w:rPr>
            <w:webHidden/>
          </w:rPr>
        </w:r>
        <w:r w:rsidR="00214572">
          <w:rPr>
            <w:webHidden/>
          </w:rPr>
          <w:fldChar w:fldCharType="separate"/>
        </w:r>
        <w:r w:rsidR="00214572">
          <w:rPr>
            <w:webHidden/>
          </w:rPr>
          <w:t>9</w:t>
        </w:r>
        <w:r w:rsidR="00214572">
          <w:rPr>
            <w:webHidden/>
          </w:rPr>
          <w:fldChar w:fldCharType="end"/>
        </w:r>
      </w:hyperlink>
    </w:p>
    <w:p w:rsidR="00214572" w:rsidRDefault="003E3FD8">
      <w:pPr>
        <w:pStyle w:val="TOC2"/>
        <w:rPr>
          <w:rFonts w:asciiTheme="minorHAnsi" w:eastAsiaTheme="minorEastAsia" w:hAnsiTheme="minorHAnsi"/>
          <w:b w:val="0"/>
          <w:color w:val="auto"/>
          <w:sz w:val="22"/>
          <w:lang w:eastAsia="en-AU"/>
        </w:rPr>
      </w:pPr>
      <w:hyperlink w:anchor="_Toc468276055" w:history="1">
        <w:r w:rsidR="00214572" w:rsidRPr="008459BF">
          <w:rPr>
            <w:rStyle w:val="Hyperlink"/>
          </w:rPr>
          <w:t>1.2</w:t>
        </w:r>
        <w:r w:rsidR="00214572">
          <w:rPr>
            <w:rFonts w:asciiTheme="minorHAnsi" w:eastAsiaTheme="minorEastAsia" w:hAnsiTheme="minorHAnsi"/>
            <w:b w:val="0"/>
            <w:color w:val="auto"/>
            <w:sz w:val="22"/>
            <w:lang w:eastAsia="en-AU"/>
          </w:rPr>
          <w:tab/>
        </w:r>
        <w:r w:rsidR="00214572" w:rsidRPr="008459BF">
          <w:rPr>
            <w:rStyle w:val="Hyperlink"/>
          </w:rPr>
          <w:t>Who should read this guideline?</w:t>
        </w:r>
        <w:r w:rsidR="00214572">
          <w:rPr>
            <w:webHidden/>
          </w:rPr>
          <w:tab/>
        </w:r>
        <w:r w:rsidR="00214572">
          <w:rPr>
            <w:webHidden/>
          </w:rPr>
          <w:fldChar w:fldCharType="begin"/>
        </w:r>
        <w:r w:rsidR="00214572">
          <w:rPr>
            <w:webHidden/>
          </w:rPr>
          <w:instrText xml:space="preserve"> PAGEREF _Toc468276055 \h </w:instrText>
        </w:r>
        <w:r w:rsidR="00214572">
          <w:rPr>
            <w:webHidden/>
          </w:rPr>
        </w:r>
        <w:r w:rsidR="00214572">
          <w:rPr>
            <w:webHidden/>
          </w:rPr>
          <w:fldChar w:fldCharType="separate"/>
        </w:r>
        <w:r w:rsidR="00214572">
          <w:rPr>
            <w:webHidden/>
          </w:rPr>
          <w:t>9</w:t>
        </w:r>
        <w:r w:rsidR="00214572">
          <w:rPr>
            <w:webHidden/>
          </w:rPr>
          <w:fldChar w:fldCharType="end"/>
        </w:r>
      </w:hyperlink>
    </w:p>
    <w:p w:rsidR="00214572" w:rsidRDefault="003E3FD8">
      <w:pPr>
        <w:pStyle w:val="TOC2"/>
        <w:rPr>
          <w:rFonts w:asciiTheme="minorHAnsi" w:eastAsiaTheme="minorEastAsia" w:hAnsiTheme="minorHAnsi"/>
          <w:b w:val="0"/>
          <w:color w:val="auto"/>
          <w:sz w:val="22"/>
          <w:lang w:eastAsia="en-AU"/>
        </w:rPr>
      </w:pPr>
      <w:hyperlink w:anchor="_Toc468276056" w:history="1">
        <w:r w:rsidR="00214572" w:rsidRPr="008459BF">
          <w:rPr>
            <w:rStyle w:val="Hyperlink"/>
          </w:rPr>
          <w:t>1.3</w:t>
        </w:r>
        <w:r w:rsidR="00214572">
          <w:rPr>
            <w:rFonts w:asciiTheme="minorHAnsi" w:eastAsiaTheme="minorEastAsia" w:hAnsiTheme="minorHAnsi"/>
            <w:b w:val="0"/>
            <w:color w:val="auto"/>
            <w:sz w:val="22"/>
            <w:lang w:eastAsia="en-AU"/>
          </w:rPr>
          <w:tab/>
        </w:r>
        <w:r w:rsidR="00214572" w:rsidRPr="008459BF">
          <w:rPr>
            <w:rStyle w:val="Hyperlink"/>
          </w:rPr>
          <w:t>About the AER</w:t>
        </w:r>
        <w:r w:rsidR="00214572">
          <w:rPr>
            <w:webHidden/>
          </w:rPr>
          <w:tab/>
        </w:r>
        <w:r w:rsidR="00214572">
          <w:rPr>
            <w:webHidden/>
          </w:rPr>
          <w:fldChar w:fldCharType="begin"/>
        </w:r>
        <w:r w:rsidR="00214572">
          <w:rPr>
            <w:webHidden/>
          </w:rPr>
          <w:instrText xml:space="preserve"> PAGEREF _Toc468276056 \h </w:instrText>
        </w:r>
        <w:r w:rsidR="00214572">
          <w:rPr>
            <w:webHidden/>
          </w:rPr>
        </w:r>
        <w:r w:rsidR="00214572">
          <w:rPr>
            <w:webHidden/>
          </w:rPr>
          <w:fldChar w:fldCharType="separate"/>
        </w:r>
        <w:r w:rsidR="00214572">
          <w:rPr>
            <w:webHidden/>
          </w:rPr>
          <w:t>11</w:t>
        </w:r>
        <w:r w:rsidR="00214572">
          <w:rPr>
            <w:webHidden/>
          </w:rPr>
          <w:fldChar w:fldCharType="end"/>
        </w:r>
      </w:hyperlink>
    </w:p>
    <w:p w:rsidR="00214572" w:rsidRDefault="003E3FD8">
      <w:pPr>
        <w:pStyle w:val="TOC1"/>
        <w:rPr>
          <w:rFonts w:asciiTheme="minorHAnsi" w:eastAsiaTheme="minorEastAsia" w:hAnsiTheme="minorHAnsi"/>
          <w:b w:val="0"/>
          <w:color w:val="auto"/>
          <w:sz w:val="22"/>
          <w:lang w:val="en-AU" w:eastAsia="en-AU"/>
        </w:rPr>
      </w:pPr>
      <w:hyperlink w:anchor="_Toc468276057" w:history="1">
        <w:r w:rsidR="00214572" w:rsidRPr="008459BF">
          <w:rPr>
            <w:rStyle w:val="Hyperlink"/>
          </w:rPr>
          <w:t>2</w:t>
        </w:r>
        <w:r w:rsidR="00214572">
          <w:rPr>
            <w:rFonts w:asciiTheme="minorHAnsi" w:eastAsiaTheme="minorEastAsia" w:hAnsiTheme="minorHAnsi"/>
            <w:b w:val="0"/>
            <w:color w:val="auto"/>
            <w:sz w:val="22"/>
            <w:lang w:val="en-AU" w:eastAsia="en-AU"/>
          </w:rPr>
          <w:tab/>
        </w:r>
        <w:r w:rsidR="00214572" w:rsidRPr="008459BF">
          <w:rPr>
            <w:rStyle w:val="Hyperlink"/>
          </w:rPr>
          <w:t>Part A – About this guideline</w:t>
        </w:r>
        <w:r w:rsidR="00214572">
          <w:rPr>
            <w:webHidden/>
          </w:rPr>
          <w:tab/>
        </w:r>
        <w:r w:rsidR="00214572">
          <w:rPr>
            <w:webHidden/>
          </w:rPr>
          <w:fldChar w:fldCharType="begin"/>
        </w:r>
        <w:r w:rsidR="00214572">
          <w:rPr>
            <w:webHidden/>
          </w:rPr>
          <w:instrText xml:space="preserve"> PAGEREF _Toc468276057 \h </w:instrText>
        </w:r>
        <w:r w:rsidR="00214572">
          <w:rPr>
            <w:webHidden/>
          </w:rPr>
        </w:r>
        <w:r w:rsidR="00214572">
          <w:rPr>
            <w:webHidden/>
          </w:rPr>
          <w:fldChar w:fldCharType="separate"/>
        </w:r>
        <w:r w:rsidR="00214572">
          <w:rPr>
            <w:webHidden/>
          </w:rPr>
          <w:t>12</w:t>
        </w:r>
        <w:r w:rsidR="00214572">
          <w:rPr>
            <w:webHidden/>
          </w:rPr>
          <w:fldChar w:fldCharType="end"/>
        </w:r>
      </w:hyperlink>
    </w:p>
    <w:p w:rsidR="00214572" w:rsidRDefault="003E3FD8">
      <w:pPr>
        <w:pStyle w:val="TOC2"/>
        <w:rPr>
          <w:rFonts w:asciiTheme="minorHAnsi" w:eastAsiaTheme="minorEastAsia" w:hAnsiTheme="minorHAnsi"/>
          <w:b w:val="0"/>
          <w:color w:val="auto"/>
          <w:sz w:val="22"/>
          <w:lang w:eastAsia="en-AU"/>
        </w:rPr>
      </w:pPr>
      <w:hyperlink w:anchor="_Toc468276058" w:history="1">
        <w:r w:rsidR="00214572" w:rsidRPr="008459BF">
          <w:rPr>
            <w:rStyle w:val="Hyperlink"/>
          </w:rPr>
          <w:t>2.1</w:t>
        </w:r>
        <w:r w:rsidR="00214572">
          <w:rPr>
            <w:rFonts w:asciiTheme="minorHAnsi" w:eastAsiaTheme="minorEastAsia" w:hAnsiTheme="minorHAnsi"/>
            <w:b w:val="0"/>
            <w:color w:val="auto"/>
            <w:sz w:val="22"/>
            <w:lang w:eastAsia="en-AU"/>
          </w:rPr>
          <w:tab/>
        </w:r>
        <w:r w:rsidR="00214572" w:rsidRPr="008459BF">
          <w:rPr>
            <w:rStyle w:val="Hyperlink"/>
          </w:rPr>
          <w:t>Introduction</w:t>
        </w:r>
        <w:r w:rsidR="00214572">
          <w:rPr>
            <w:webHidden/>
          </w:rPr>
          <w:tab/>
        </w:r>
        <w:r w:rsidR="00214572">
          <w:rPr>
            <w:webHidden/>
          </w:rPr>
          <w:fldChar w:fldCharType="begin"/>
        </w:r>
        <w:r w:rsidR="00214572">
          <w:rPr>
            <w:webHidden/>
          </w:rPr>
          <w:instrText xml:space="preserve"> PAGEREF _Toc468276058 \h </w:instrText>
        </w:r>
        <w:r w:rsidR="00214572">
          <w:rPr>
            <w:webHidden/>
          </w:rPr>
        </w:r>
        <w:r w:rsidR="00214572">
          <w:rPr>
            <w:webHidden/>
          </w:rPr>
          <w:fldChar w:fldCharType="separate"/>
        </w:r>
        <w:r w:rsidR="00214572">
          <w:rPr>
            <w:webHidden/>
          </w:rPr>
          <w:t>12</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059" w:history="1">
        <w:r w:rsidR="00214572" w:rsidRPr="008459BF">
          <w:rPr>
            <w:rStyle w:val="Hyperlink"/>
          </w:rPr>
          <w:t>2.1.1</w:t>
        </w:r>
        <w:r w:rsidR="00214572">
          <w:rPr>
            <w:rFonts w:asciiTheme="minorHAnsi" w:eastAsiaTheme="minorEastAsia" w:hAnsiTheme="minorHAnsi"/>
            <w:lang w:eastAsia="en-AU"/>
          </w:rPr>
          <w:tab/>
        </w:r>
        <w:r w:rsidR="00214572" w:rsidRPr="008459BF">
          <w:rPr>
            <w:rStyle w:val="Hyperlink"/>
          </w:rPr>
          <w:t>Basic exemption conditions</w:t>
        </w:r>
        <w:r w:rsidR="00214572">
          <w:rPr>
            <w:webHidden/>
          </w:rPr>
          <w:tab/>
        </w:r>
        <w:r w:rsidR="00214572">
          <w:rPr>
            <w:webHidden/>
          </w:rPr>
          <w:fldChar w:fldCharType="begin"/>
        </w:r>
        <w:r w:rsidR="00214572">
          <w:rPr>
            <w:webHidden/>
          </w:rPr>
          <w:instrText xml:space="preserve"> PAGEREF _Toc468276059 \h </w:instrText>
        </w:r>
        <w:r w:rsidR="00214572">
          <w:rPr>
            <w:webHidden/>
          </w:rPr>
        </w:r>
        <w:r w:rsidR="00214572">
          <w:rPr>
            <w:webHidden/>
          </w:rPr>
          <w:fldChar w:fldCharType="separate"/>
        </w:r>
        <w:r w:rsidR="00214572">
          <w:rPr>
            <w:webHidden/>
          </w:rPr>
          <w:t>15</w:t>
        </w:r>
        <w:r w:rsidR="00214572">
          <w:rPr>
            <w:webHidden/>
          </w:rPr>
          <w:fldChar w:fldCharType="end"/>
        </w:r>
      </w:hyperlink>
    </w:p>
    <w:p w:rsidR="00214572" w:rsidRDefault="003E3FD8">
      <w:pPr>
        <w:pStyle w:val="TOC2"/>
        <w:rPr>
          <w:rFonts w:asciiTheme="minorHAnsi" w:eastAsiaTheme="minorEastAsia" w:hAnsiTheme="minorHAnsi"/>
          <w:b w:val="0"/>
          <w:color w:val="auto"/>
          <w:sz w:val="22"/>
          <w:lang w:eastAsia="en-AU"/>
        </w:rPr>
      </w:pPr>
      <w:hyperlink w:anchor="_Toc468276060" w:history="1">
        <w:r w:rsidR="00214572" w:rsidRPr="008459BF">
          <w:rPr>
            <w:rStyle w:val="Hyperlink"/>
          </w:rPr>
          <w:t>2.2</w:t>
        </w:r>
        <w:r w:rsidR="00214572">
          <w:rPr>
            <w:rFonts w:asciiTheme="minorHAnsi" w:eastAsiaTheme="minorEastAsia" w:hAnsiTheme="minorHAnsi"/>
            <w:b w:val="0"/>
            <w:color w:val="auto"/>
            <w:sz w:val="22"/>
            <w:lang w:eastAsia="en-AU"/>
          </w:rPr>
          <w:tab/>
        </w:r>
        <w:r w:rsidR="00214572" w:rsidRPr="008459BF">
          <w:rPr>
            <w:rStyle w:val="Hyperlink"/>
          </w:rPr>
          <w:t>Who must register or obtain exemption?</w:t>
        </w:r>
        <w:r w:rsidR="00214572">
          <w:rPr>
            <w:webHidden/>
          </w:rPr>
          <w:tab/>
        </w:r>
        <w:r w:rsidR="00214572">
          <w:rPr>
            <w:webHidden/>
          </w:rPr>
          <w:fldChar w:fldCharType="begin"/>
        </w:r>
        <w:r w:rsidR="00214572">
          <w:rPr>
            <w:webHidden/>
          </w:rPr>
          <w:instrText xml:space="preserve"> PAGEREF _Toc468276060 \h </w:instrText>
        </w:r>
        <w:r w:rsidR="00214572">
          <w:rPr>
            <w:webHidden/>
          </w:rPr>
        </w:r>
        <w:r w:rsidR="00214572">
          <w:rPr>
            <w:webHidden/>
          </w:rPr>
          <w:fldChar w:fldCharType="separate"/>
        </w:r>
        <w:r w:rsidR="00214572">
          <w:rPr>
            <w:webHidden/>
          </w:rPr>
          <w:t>20</w:t>
        </w:r>
        <w:r w:rsidR="00214572">
          <w:rPr>
            <w:webHidden/>
          </w:rPr>
          <w:fldChar w:fldCharType="end"/>
        </w:r>
      </w:hyperlink>
    </w:p>
    <w:p w:rsidR="00214572" w:rsidRDefault="003E3FD8">
      <w:pPr>
        <w:pStyle w:val="TOC2"/>
        <w:rPr>
          <w:rFonts w:asciiTheme="minorHAnsi" w:eastAsiaTheme="minorEastAsia" w:hAnsiTheme="minorHAnsi"/>
          <w:b w:val="0"/>
          <w:color w:val="auto"/>
          <w:sz w:val="22"/>
          <w:lang w:eastAsia="en-AU"/>
        </w:rPr>
      </w:pPr>
      <w:hyperlink w:anchor="_Toc468276061" w:history="1">
        <w:r w:rsidR="00214572" w:rsidRPr="008459BF">
          <w:rPr>
            <w:rStyle w:val="Hyperlink"/>
          </w:rPr>
          <w:t>2.3</w:t>
        </w:r>
        <w:r w:rsidR="00214572">
          <w:rPr>
            <w:rFonts w:asciiTheme="minorHAnsi" w:eastAsiaTheme="minorEastAsia" w:hAnsiTheme="minorHAnsi"/>
            <w:b w:val="0"/>
            <w:color w:val="auto"/>
            <w:sz w:val="22"/>
            <w:lang w:eastAsia="en-AU"/>
          </w:rPr>
          <w:tab/>
        </w:r>
        <w:r w:rsidR="00214572" w:rsidRPr="008459BF">
          <w:rPr>
            <w:rStyle w:val="Hyperlink"/>
          </w:rPr>
          <w:t>What type of exemption applies to me?</w:t>
        </w:r>
        <w:r w:rsidR="00214572">
          <w:rPr>
            <w:webHidden/>
          </w:rPr>
          <w:tab/>
        </w:r>
        <w:r w:rsidR="00214572">
          <w:rPr>
            <w:webHidden/>
          </w:rPr>
          <w:fldChar w:fldCharType="begin"/>
        </w:r>
        <w:r w:rsidR="00214572">
          <w:rPr>
            <w:webHidden/>
          </w:rPr>
          <w:instrText xml:space="preserve"> PAGEREF _Toc468276061 \h </w:instrText>
        </w:r>
        <w:r w:rsidR="00214572">
          <w:rPr>
            <w:webHidden/>
          </w:rPr>
        </w:r>
        <w:r w:rsidR="00214572">
          <w:rPr>
            <w:webHidden/>
          </w:rPr>
          <w:fldChar w:fldCharType="separate"/>
        </w:r>
        <w:r w:rsidR="00214572">
          <w:rPr>
            <w:webHidden/>
          </w:rPr>
          <w:t>21</w:t>
        </w:r>
        <w:r w:rsidR="00214572">
          <w:rPr>
            <w:webHidden/>
          </w:rPr>
          <w:fldChar w:fldCharType="end"/>
        </w:r>
      </w:hyperlink>
    </w:p>
    <w:p w:rsidR="00214572" w:rsidRDefault="003E3FD8">
      <w:pPr>
        <w:pStyle w:val="TOC2"/>
        <w:rPr>
          <w:rFonts w:asciiTheme="minorHAnsi" w:eastAsiaTheme="minorEastAsia" w:hAnsiTheme="minorHAnsi"/>
          <w:b w:val="0"/>
          <w:color w:val="auto"/>
          <w:sz w:val="22"/>
          <w:lang w:eastAsia="en-AU"/>
        </w:rPr>
      </w:pPr>
      <w:hyperlink w:anchor="_Toc468276062" w:history="1">
        <w:r w:rsidR="00214572" w:rsidRPr="008459BF">
          <w:rPr>
            <w:rStyle w:val="Hyperlink"/>
          </w:rPr>
          <w:t>2.4</w:t>
        </w:r>
        <w:r w:rsidR="00214572">
          <w:rPr>
            <w:rFonts w:asciiTheme="minorHAnsi" w:eastAsiaTheme="minorEastAsia" w:hAnsiTheme="minorHAnsi"/>
            <w:b w:val="0"/>
            <w:color w:val="auto"/>
            <w:sz w:val="22"/>
            <w:lang w:eastAsia="en-AU"/>
          </w:rPr>
          <w:tab/>
        </w:r>
        <w:r w:rsidR="00214572" w:rsidRPr="008459BF">
          <w:rPr>
            <w:rStyle w:val="Hyperlink"/>
          </w:rPr>
          <w:t>How do I obtain an exemption?</w:t>
        </w:r>
        <w:r w:rsidR="00214572">
          <w:rPr>
            <w:webHidden/>
          </w:rPr>
          <w:tab/>
        </w:r>
        <w:r w:rsidR="00214572">
          <w:rPr>
            <w:webHidden/>
          </w:rPr>
          <w:fldChar w:fldCharType="begin"/>
        </w:r>
        <w:r w:rsidR="00214572">
          <w:rPr>
            <w:webHidden/>
          </w:rPr>
          <w:instrText xml:space="preserve"> PAGEREF _Toc468276062 \h </w:instrText>
        </w:r>
        <w:r w:rsidR="00214572">
          <w:rPr>
            <w:webHidden/>
          </w:rPr>
        </w:r>
        <w:r w:rsidR="00214572">
          <w:rPr>
            <w:webHidden/>
          </w:rPr>
          <w:fldChar w:fldCharType="separate"/>
        </w:r>
        <w:r w:rsidR="00214572">
          <w:rPr>
            <w:webHidden/>
          </w:rPr>
          <w:t>23</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063" w:history="1">
        <w:r w:rsidR="00214572" w:rsidRPr="008459BF">
          <w:rPr>
            <w:rStyle w:val="Hyperlink"/>
          </w:rPr>
          <w:t>2.4.1</w:t>
        </w:r>
        <w:r w:rsidR="00214572">
          <w:rPr>
            <w:rFonts w:asciiTheme="minorHAnsi" w:eastAsiaTheme="minorEastAsia" w:hAnsiTheme="minorHAnsi"/>
            <w:lang w:eastAsia="en-AU"/>
          </w:rPr>
          <w:tab/>
        </w:r>
        <w:r w:rsidR="00214572" w:rsidRPr="008459BF">
          <w:rPr>
            <w:rStyle w:val="Hyperlink"/>
          </w:rPr>
          <w:t>Pre–registration</w:t>
        </w:r>
        <w:r w:rsidR="00214572">
          <w:rPr>
            <w:webHidden/>
          </w:rPr>
          <w:tab/>
        </w:r>
        <w:r w:rsidR="00214572">
          <w:rPr>
            <w:webHidden/>
          </w:rPr>
          <w:fldChar w:fldCharType="begin"/>
        </w:r>
        <w:r w:rsidR="00214572">
          <w:rPr>
            <w:webHidden/>
          </w:rPr>
          <w:instrText xml:space="preserve"> PAGEREF _Toc468276063 \h </w:instrText>
        </w:r>
        <w:r w:rsidR="00214572">
          <w:rPr>
            <w:webHidden/>
          </w:rPr>
        </w:r>
        <w:r w:rsidR="00214572">
          <w:rPr>
            <w:webHidden/>
          </w:rPr>
          <w:fldChar w:fldCharType="separate"/>
        </w:r>
        <w:r w:rsidR="00214572">
          <w:rPr>
            <w:webHidden/>
          </w:rPr>
          <w:t>23</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064" w:history="1">
        <w:r w:rsidR="00214572" w:rsidRPr="008459BF">
          <w:rPr>
            <w:rStyle w:val="Hyperlink"/>
          </w:rPr>
          <w:t>2.4.2</w:t>
        </w:r>
        <w:r w:rsidR="00214572">
          <w:rPr>
            <w:rFonts w:asciiTheme="minorHAnsi" w:eastAsiaTheme="minorEastAsia" w:hAnsiTheme="minorHAnsi"/>
            <w:lang w:eastAsia="en-AU"/>
          </w:rPr>
          <w:tab/>
        </w:r>
        <w:r w:rsidR="00214572" w:rsidRPr="008459BF">
          <w:rPr>
            <w:rStyle w:val="Hyperlink"/>
          </w:rPr>
          <w:t>Deemed exemptions</w:t>
        </w:r>
        <w:r w:rsidR="00214572">
          <w:rPr>
            <w:webHidden/>
          </w:rPr>
          <w:tab/>
        </w:r>
        <w:r w:rsidR="00214572">
          <w:rPr>
            <w:webHidden/>
          </w:rPr>
          <w:fldChar w:fldCharType="begin"/>
        </w:r>
        <w:r w:rsidR="00214572">
          <w:rPr>
            <w:webHidden/>
          </w:rPr>
          <w:instrText xml:space="preserve"> PAGEREF _Toc468276064 \h </w:instrText>
        </w:r>
        <w:r w:rsidR="00214572">
          <w:rPr>
            <w:webHidden/>
          </w:rPr>
        </w:r>
        <w:r w:rsidR="00214572">
          <w:rPr>
            <w:webHidden/>
          </w:rPr>
          <w:fldChar w:fldCharType="separate"/>
        </w:r>
        <w:r w:rsidR="00214572">
          <w:rPr>
            <w:webHidden/>
          </w:rPr>
          <w:t>23</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065" w:history="1">
        <w:r w:rsidR="00214572" w:rsidRPr="008459BF">
          <w:rPr>
            <w:rStyle w:val="Hyperlink"/>
          </w:rPr>
          <w:t>2.4.3</w:t>
        </w:r>
        <w:r w:rsidR="00214572">
          <w:rPr>
            <w:rFonts w:asciiTheme="minorHAnsi" w:eastAsiaTheme="minorEastAsia" w:hAnsiTheme="minorHAnsi"/>
            <w:lang w:eastAsia="en-AU"/>
          </w:rPr>
          <w:tab/>
        </w:r>
        <w:r w:rsidR="00214572" w:rsidRPr="008459BF">
          <w:rPr>
            <w:rStyle w:val="Hyperlink"/>
          </w:rPr>
          <w:t>Registrable exemptions</w:t>
        </w:r>
        <w:r w:rsidR="00214572">
          <w:rPr>
            <w:webHidden/>
          </w:rPr>
          <w:tab/>
        </w:r>
        <w:r w:rsidR="00214572">
          <w:rPr>
            <w:webHidden/>
          </w:rPr>
          <w:fldChar w:fldCharType="begin"/>
        </w:r>
        <w:r w:rsidR="00214572">
          <w:rPr>
            <w:webHidden/>
          </w:rPr>
          <w:instrText xml:space="preserve"> PAGEREF _Toc468276065 \h </w:instrText>
        </w:r>
        <w:r w:rsidR="00214572">
          <w:rPr>
            <w:webHidden/>
          </w:rPr>
        </w:r>
        <w:r w:rsidR="00214572">
          <w:rPr>
            <w:webHidden/>
          </w:rPr>
          <w:fldChar w:fldCharType="separate"/>
        </w:r>
        <w:r w:rsidR="00214572">
          <w:rPr>
            <w:webHidden/>
          </w:rPr>
          <w:t>23</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066" w:history="1">
        <w:r w:rsidR="00214572" w:rsidRPr="008459BF">
          <w:rPr>
            <w:rStyle w:val="Hyperlink"/>
          </w:rPr>
          <w:t>2.4.4</w:t>
        </w:r>
        <w:r w:rsidR="00214572">
          <w:rPr>
            <w:rFonts w:asciiTheme="minorHAnsi" w:eastAsiaTheme="minorEastAsia" w:hAnsiTheme="minorHAnsi"/>
            <w:lang w:eastAsia="en-AU"/>
          </w:rPr>
          <w:tab/>
        </w:r>
        <w:r w:rsidR="00214572" w:rsidRPr="008459BF">
          <w:rPr>
            <w:rStyle w:val="Hyperlink"/>
          </w:rPr>
          <w:t>Individual exemptions</w:t>
        </w:r>
        <w:r w:rsidR="00214572">
          <w:rPr>
            <w:webHidden/>
          </w:rPr>
          <w:tab/>
        </w:r>
        <w:r w:rsidR="00214572">
          <w:rPr>
            <w:webHidden/>
          </w:rPr>
          <w:fldChar w:fldCharType="begin"/>
        </w:r>
        <w:r w:rsidR="00214572">
          <w:rPr>
            <w:webHidden/>
          </w:rPr>
          <w:instrText xml:space="preserve"> PAGEREF _Toc468276066 \h </w:instrText>
        </w:r>
        <w:r w:rsidR="00214572">
          <w:rPr>
            <w:webHidden/>
          </w:rPr>
        </w:r>
        <w:r w:rsidR="00214572">
          <w:rPr>
            <w:webHidden/>
          </w:rPr>
          <w:fldChar w:fldCharType="separate"/>
        </w:r>
        <w:r w:rsidR="00214572">
          <w:rPr>
            <w:webHidden/>
          </w:rPr>
          <w:t>24</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067" w:history="1">
        <w:r w:rsidR="00214572" w:rsidRPr="008459BF">
          <w:rPr>
            <w:rStyle w:val="Hyperlink"/>
          </w:rPr>
          <w:t>2.4.5</w:t>
        </w:r>
        <w:r w:rsidR="00214572">
          <w:rPr>
            <w:rFonts w:asciiTheme="minorHAnsi" w:eastAsiaTheme="minorEastAsia" w:hAnsiTheme="minorHAnsi"/>
            <w:lang w:eastAsia="en-AU"/>
          </w:rPr>
          <w:tab/>
        </w:r>
        <w:r w:rsidR="00214572" w:rsidRPr="008459BF">
          <w:rPr>
            <w:rStyle w:val="Hyperlink"/>
          </w:rPr>
          <w:t>Public consultation process</w:t>
        </w:r>
        <w:r w:rsidR="00214572">
          <w:rPr>
            <w:webHidden/>
          </w:rPr>
          <w:tab/>
        </w:r>
        <w:r w:rsidR="00214572">
          <w:rPr>
            <w:webHidden/>
          </w:rPr>
          <w:fldChar w:fldCharType="begin"/>
        </w:r>
        <w:r w:rsidR="00214572">
          <w:rPr>
            <w:webHidden/>
          </w:rPr>
          <w:instrText xml:space="preserve"> PAGEREF _Toc468276067 \h </w:instrText>
        </w:r>
        <w:r w:rsidR="00214572">
          <w:rPr>
            <w:webHidden/>
          </w:rPr>
        </w:r>
        <w:r w:rsidR="00214572">
          <w:rPr>
            <w:webHidden/>
          </w:rPr>
          <w:fldChar w:fldCharType="separate"/>
        </w:r>
        <w:r w:rsidR="00214572">
          <w:rPr>
            <w:webHidden/>
          </w:rPr>
          <w:t>24</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068" w:history="1">
        <w:r w:rsidR="00214572" w:rsidRPr="008459BF">
          <w:rPr>
            <w:rStyle w:val="Hyperlink"/>
          </w:rPr>
          <w:t>2.4.6</w:t>
        </w:r>
        <w:r w:rsidR="00214572">
          <w:rPr>
            <w:rFonts w:asciiTheme="minorHAnsi" w:eastAsiaTheme="minorEastAsia" w:hAnsiTheme="minorHAnsi"/>
            <w:lang w:eastAsia="en-AU"/>
          </w:rPr>
          <w:tab/>
        </w:r>
        <w:r w:rsidR="00214572" w:rsidRPr="008459BF">
          <w:rPr>
            <w:rStyle w:val="Hyperlink"/>
          </w:rPr>
          <w:t>Confidentiality</w:t>
        </w:r>
        <w:r w:rsidR="00214572">
          <w:rPr>
            <w:webHidden/>
          </w:rPr>
          <w:tab/>
        </w:r>
        <w:r w:rsidR="00214572">
          <w:rPr>
            <w:webHidden/>
          </w:rPr>
          <w:fldChar w:fldCharType="begin"/>
        </w:r>
        <w:r w:rsidR="00214572">
          <w:rPr>
            <w:webHidden/>
          </w:rPr>
          <w:instrText xml:space="preserve"> PAGEREF _Toc468276068 \h </w:instrText>
        </w:r>
        <w:r w:rsidR="00214572">
          <w:rPr>
            <w:webHidden/>
          </w:rPr>
        </w:r>
        <w:r w:rsidR="00214572">
          <w:rPr>
            <w:webHidden/>
          </w:rPr>
          <w:fldChar w:fldCharType="separate"/>
        </w:r>
        <w:r w:rsidR="00214572">
          <w:rPr>
            <w:webHidden/>
          </w:rPr>
          <w:t>25</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069" w:history="1">
        <w:r w:rsidR="00214572" w:rsidRPr="008459BF">
          <w:rPr>
            <w:rStyle w:val="Hyperlink"/>
          </w:rPr>
          <w:t>2.4.7</w:t>
        </w:r>
        <w:r w:rsidR="00214572">
          <w:rPr>
            <w:rFonts w:asciiTheme="minorHAnsi" w:eastAsiaTheme="minorEastAsia" w:hAnsiTheme="minorHAnsi"/>
            <w:lang w:eastAsia="en-AU"/>
          </w:rPr>
          <w:tab/>
        </w:r>
        <w:r w:rsidR="00214572" w:rsidRPr="008459BF">
          <w:rPr>
            <w:rStyle w:val="Hyperlink"/>
          </w:rPr>
          <w:t>Decision making process</w:t>
        </w:r>
        <w:r w:rsidR="00214572">
          <w:rPr>
            <w:webHidden/>
          </w:rPr>
          <w:tab/>
        </w:r>
        <w:r w:rsidR="00214572">
          <w:rPr>
            <w:webHidden/>
          </w:rPr>
          <w:fldChar w:fldCharType="begin"/>
        </w:r>
        <w:r w:rsidR="00214572">
          <w:rPr>
            <w:webHidden/>
          </w:rPr>
          <w:instrText xml:space="preserve"> PAGEREF _Toc468276069 \h </w:instrText>
        </w:r>
        <w:r w:rsidR="00214572">
          <w:rPr>
            <w:webHidden/>
          </w:rPr>
        </w:r>
        <w:r w:rsidR="00214572">
          <w:rPr>
            <w:webHidden/>
          </w:rPr>
          <w:fldChar w:fldCharType="separate"/>
        </w:r>
        <w:r w:rsidR="00214572">
          <w:rPr>
            <w:webHidden/>
          </w:rPr>
          <w:t>25</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070" w:history="1">
        <w:r w:rsidR="00214572" w:rsidRPr="008459BF">
          <w:rPr>
            <w:rStyle w:val="Hyperlink"/>
          </w:rPr>
          <w:t>2.4.8</w:t>
        </w:r>
        <w:r w:rsidR="00214572">
          <w:rPr>
            <w:rFonts w:asciiTheme="minorHAnsi" w:eastAsiaTheme="minorEastAsia" w:hAnsiTheme="minorHAnsi"/>
            <w:lang w:eastAsia="en-AU"/>
          </w:rPr>
          <w:tab/>
        </w:r>
        <w:r w:rsidR="00214572" w:rsidRPr="008459BF">
          <w:rPr>
            <w:rStyle w:val="Hyperlink"/>
          </w:rPr>
          <w:t>Grounds for refusal</w:t>
        </w:r>
        <w:r w:rsidR="00214572">
          <w:rPr>
            <w:webHidden/>
          </w:rPr>
          <w:tab/>
        </w:r>
        <w:r w:rsidR="00214572">
          <w:rPr>
            <w:webHidden/>
          </w:rPr>
          <w:fldChar w:fldCharType="begin"/>
        </w:r>
        <w:r w:rsidR="00214572">
          <w:rPr>
            <w:webHidden/>
          </w:rPr>
          <w:instrText xml:space="preserve"> PAGEREF _Toc468276070 \h </w:instrText>
        </w:r>
        <w:r w:rsidR="00214572">
          <w:rPr>
            <w:webHidden/>
          </w:rPr>
        </w:r>
        <w:r w:rsidR="00214572">
          <w:rPr>
            <w:webHidden/>
          </w:rPr>
          <w:fldChar w:fldCharType="separate"/>
        </w:r>
        <w:r w:rsidR="00214572">
          <w:rPr>
            <w:webHidden/>
          </w:rPr>
          <w:t>25</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071" w:history="1">
        <w:r w:rsidR="00214572" w:rsidRPr="008459BF">
          <w:rPr>
            <w:rStyle w:val="Hyperlink"/>
          </w:rPr>
          <w:t>2.4.9</w:t>
        </w:r>
        <w:r w:rsidR="00214572">
          <w:rPr>
            <w:rFonts w:asciiTheme="minorHAnsi" w:eastAsiaTheme="minorEastAsia" w:hAnsiTheme="minorHAnsi"/>
            <w:lang w:eastAsia="en-AU"/>
          </w:rPr>
          <w:tab/>
        </w:r>
        <w:r w:rsidR="00214572" w:rsidRPr="008459BF">
          <w:rPr>
            <w:rStyle w:val="Hyperlink"/>
          </w:rPr>
          <w:t>Location and length of exemption</w:t>
        </w:r>
        <w:r w:rsidR="00214572">
          <w:rPr>
            <w:webHidden/>
          </w:rPr>
          <w:tab/>
        </w:r>
        <w:r w:rsidR="00214572">
          <w:rPr>
            <w:webHidden/>
          </w:rPr>
          <w:fldChar w:fldCharType="begin"/>
        </w:r>
        <w:r w:rsidR="00214572">
          <w:rPr>
            <w:webHidden/>
          </w:rPr>
          <w:instrText xml:space="preserve"> PAGEREF _Toc468276071 \h </w:instrText>
        </w:r>
        <w:r w:rsidR="00214572">
          <w:rPr>
            <w:webHidden/>
          </w:rPr>
        </w:r>
        <w:r w:rsidR="00214572">
          <w:rPr>
            <w:webHidden/>
          </w:rPr>
          <w:fldChar w:fldCharType="separate"/>
        </w:r>
        <w:r w:rsidR="00214572">
          <w:rPr>
            <w:webHidden/>
          </w:rPr>
          <w:t>25</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072" w:history="1">
        <w:r w:rsidR="00214572" w:rsidRPr="008459BF">
          <w:rPr>
            <w:rStyle w:val="Hyperlink"/>
          </w:rPr>
          <w:t>2.4.10</w:t>
        </w:r>
        <w:r w:rsidR="00214572">
          <w:rPr>
            <w:rFonts w:asciiTheme="minorHAnsi" w:eastAsiaTheme="minorEastAsia" w:hAnsiTheme="minorHAnsi"/>
            <w:lang w:eastAsia="en-AU"/>
          </w:rPr>
          <w:tab/>
        </w:r>
        <w:r w:rsidR="00214572" w:rsidRPr="008459BF">
          <w:rPr>
            <w:rStyle w:val="Hyperlink"/>
          </w:rPr>
          <w:t>Change of circumstances</w:t>
        </w:r>
        <w:r w:rsidR="00214572">
          <w:rPr>
            <w:webHidden/>
          </w:rPr>
          <w:tab/>
        </w:r>
        <w:r w:rsidR="00214572">
          <w:rPr>
            <w:webHidden/>
          </w:rPr>
          <w:fldChar w:fldCharType="begin"/>
        </w:r>
        <w:r w:rsidR="00214572">
          <w:rPr>
            <w:webHidden/>
          </w:rPr>
          <w:instrText xml:space="preserve"> PAGEREF _Toc468276072 \h </w:instrText>
        </w:r>
        <w:r w:rsidR="00214572">
          <w:rPr>
            <w:webHidden/>
          </w:rPr>
        </w:r>
        <w:r w:rsidR="00214572">
          <w:rPr>
            <w:webHidden/>
          </w:rPr>
          <w:fldChar w:fldCharType="separate"/>
        </w:r>
        <w:r w:rsidR="00214572">
          <w:rPr>
            <w:webHidden/>
          </w:rPr>
          <w:t>26</w:t>
        </w:r>
        <w:r w:rsidR="00214572">
          <w:rPr>
            <w:webHidden/>
          </w:rPr>
          <w:fldChar w:fldCharType="end"/>
        </w:r>
      </w:hyperlink>
    </w:p>
    <w:p w:rsidR="00214572" w:rsidRDefault="003E3FD8">
      <w:pPr>
        <w:pStyle w:val="TOC1"/>
        <w:rPr>
          <w:rFonts w:asciiTheme="minorHAnsi" w:eastAsiaTheme="minorEastAsia" w:hAnsiTheme="minorHAnsi"/>
          <w:b w:val="0"/>
          <w:color w:val="auto"/>
          <w:sz w:val="22"/>
          <w:lang w:val="en-AU" w:eastAsia="en-AU"/>
        </w:rPr>
      </w:pPr>
      <w:hyperlink w:anchor="_Toc468276073" w:history="1">
        <w:r w:rsidR="00214572" w:rsidRPr="008459BF">
          <w:rPr>
            <w:rStyle w:val="Hyperlink"/>
          </w:rPr>
          <w:t>3</w:t>
        </w:r>
        <w:r w:rsidR="00214572">
          <w:rPr>
            <w:rFonts w:asciiTheme="minorHAnsi" w:eastAsiaTheme="minorEastAsia" w:hAnsiTheme="minorHAnsi"/>
            <w:b w:val="0"/>
            <w:color w:val="auto"/>
            <w:sz w:val="22"/>
            <w:lang w:val="en-AU" w:eastAsia="en-AU"/>
          </w:rPr>
          <w:tab/>
        </w:r>
        <w:r w:rsidR="00214572" w:rsidRPr="008459BF">
          <w:rPr>
            <w:rStyle w:val="Hyperlink"/>
          </w:rPr>
          <w:t>Introduction and exemption classes</w:t>
        </w:r>
        <w:r w:rsidR="00214572">
          <w:rPr>
            <w:webHidden/>
          </w:rPr>
          <w:tab/>
        </w:r>
        <w:r w:rsidR="00214572">
          <w:rPr>
            <w:webHidden/>
          </w:rPr>
          <w:fldChar w:fldCharType="begin"/>
        </w:r>
        <w:r w:rsidR="00214572">
          <w:rPr>
            <w:webHidden/>
          </w:rPr>
          <w:instrText xml:space="preserve"> PAGEREF _Toc468276073 \h </w:instrText>
        </w:r>
        <w:r w:rsidR="00214572">
          <w:rPr>
            <w:webHidden/>
          </w:rPr>
        </w:r>
        <w:r w:rsidR="00214572">
          <w:rPr>
            <w:webHidden/>
          </w:rPr>
          <w:fldChar w:fldCharType="separate"/>
        </w:r>
        <w:r w:rsidR="00214572">
          <w:rPr>
            <w:webHidden/>
          </w:rPr>
          <w:t>27</w:t>
        </w:r>
        <w:r w:rsidR="00214572">
          <w:rPr>
            <w:webHidden/>
          </w:rPr>
          <w:fldChar w:fldCharType="end"/>
        </w:r>
      </w:hyperlink>
    </w:p>
    <w:p w:rsidR="00214572" w:rsidRDefault="003E3FD8">
      <w:pPr>
        <w:pStyle w:val="TOC2"/>
        <w:rPr>
          <w:rFonts w:asciiTheme="minorHAnsi" w:eastAsiaTheme="minorEastAsia" w:hAnsiTheme="minorHAnsi"/>
          <w:b w:val="0"/>
          <w:color w:val="auto"/>
          <w:sz w:val="22"/>
          <w:lang w:eastAsia="en-AU"/>
        </w:rPr>
      </w:pPr>
      <w:hyperlink w:anchor="_Toc468276074" w:history="1">
        <w:r w:rsidR="00214572" w:rsidRPr="008459BF">
          <w:rPr>
            <w:rStyle w:val="Hyperlink"/>
          </w:rPr>
          <w:t>3.1</w:t>
        </w:r>
        <w:r w:rsidR="00214572">
          <w:rPr>
            <w:rFonts w:asciiTheme="minorHAnsi" w:eastAsiaTheme="minorEastAsia" w:hAnsiTheme="minorHAnsi"/>
            <w:b w:val="0"/>
            <w:color w:val="auto"/>
            <w:sz w:val="22"/>
            <w:lang w:eastAsia="en-AU"/>
          </w:rPr>
          <w:tab/>
        </w:r>
        <w:r w:rsidR="00214572" w:rsidRPr="008459BF">
          <w:rPr>
            <w:rStyle w:val="Hyperlink"/>
          </w:rPr>
          <w:t>Deemed exemption classes</w:t>
        </w:r>
        <w:r w:rsidR="00214572">
          <w:rPr>
            <w:webHidden/>
          </w:rPr>
          <w:tab/>
        </w:r>
        <w:r w:rsidR="00214572">
          <w:rPr>
            <w:webHidden/>
          </w:rPr>
          <w:fldChar w:fldCharType="begin"/>
        </w:r>
        <w:r w:rsidR="00214572">
          <w:rPr>
            <w:webHidden/>
          </w:rPr>
          <w:instrText xml:space="preserve"> PAGEREF _Toc468276074 \h </w:instrText>
        </w:r>
        <w:r w:rsidR="00214572">
          <w:rPr>
            <w:webHidden/>
          </w:rPr>
        </w:r>
        <w:r w:rsidR="00214572">
          <w:rPr>
            <w:webHidden/>
          </w:rPr>
          <w:fldChar w:fldCharType="separate"/>
        </w:r>
        <w:r w:rsidR="00214572">
          <w:rPr>
            <w:webHidden/>
          </w:rPr>
          <w:t>27</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075" w:history="1">
        <w:r w:rsidR="00214572" w:rsidRPr="008459BF">
          <w:rPr>
            <w:rStyle w:val="Hyperlink"/>
          </w:rPr>
          <w:t>3.1.1</w:t>
        </w:r>
        <w:r w:rsidR="00214572">
          <w:rPr>
            <w:rFonts w:asciiTheme="minorHAnsi" w:eastAsiaTheme="minorEastAsia" w:hAnsiTheme="minorHAnsi"/>
            <w:lang w:eastAsia="en-AU"/>
          </w:rPr>
          <w:tab/>
        </w:r>
        <w:r w:rsidR="00214572" w:rsidRPr="008459BF">
          <w:rPr>
            <w:rStyle w:val="Hyperlink"/>
          </w:rPr>
          <w:t>Energy supply</w:t>
        </w:r>
        <w:r w:rsidR="00214572">
          <w:rPr>
            <w:webHidden/>
          </w:rPr>
          <w:tab/>
        </w:r>
        <w:r w:rsidR="00214572">
          <w:rPr>
            <w:webHidden/>
          </w:rPr>
          <w:fldChar w:fldCharType="begin"/>
        </w:r>
        <w:r w:rsidR="00214572">
          <w:rPr>
            <w:webHidden/>
          </w:rPr>
          <w:instrText xml:space="preserve"> PAGEREF _Toc468276075 \h </w:instrText>
        </w:r>
        <w:r w:rsidR="00214572">
          <w:rPr>
            <w:webHidden/>
          </w:rPr>
        </w:r>
        <w:r w:rsidR="00214572">
          <w:rPr>
            <w:webHidden/>
          </w:rPr>
          <w:fldChar w:fldCharType="separate"/>
        </w:r>
        <w:r w:rsidR="00214572">
          <w:rPr>
            <w:webHidden/>
          </w:rPr>
          <w:t>27</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076" w:history="1">
        <w:r w:rsidR="00214572" w:rsidRPr="008459BF">
          <w:rPr>
            <w:rStyle w:val="Hyperlink"/>
          </w:rPr>
          <w:t>3.1.2</w:t>
        </w:r>
        <w:r w:rsidR="00214572">
          <w:rPr>
            <w:rFonts w:asciiTheme="minorHAnsi" w:eastAsiaTheme="minorEastAsia" w:hAnsiTheme="minorHAnsi"/>
            <w:lang w:eastAsia="en-AU"/>
          </w:rPr>
          <w:tab/>
        </w:r>
        <w:r w:rsidR="00214572" w:rsidRPr="008459BF">
          <w:rPr>
            <w:rStyle w:val="Hyperlink"/>
          </w:rPr>
          <w:t>Deemed network specific situations</w:t>
        </w:r>
        <w:r w:rsidR="00214572">
          <w:rPr>
            <w:webHidden/>
          </w:rPr>
          <w:tab/>
        </w:r>
        <w:r w:rsidR="00214572">
          <w:rPr>
            <w:webHidden/>
          </w:rPr>
          <w:fldChar w:fldCharType="begin"/>
        </w:r>
        <w:r w:rsidR="00214572">
          <w:rPr>
            <w:webHidden/>
          </w:rPr>
          <w:instrText xml:space="preserve"> PAGEREF _Toc468276076 \h </w:instrText>
        </w:r>
        <w:r w:rsidR="00214572">
          <w:rPr>
            <w:webHidden/>
          </w:rPr>
        </w:r>
        <w:r w:rsidR="00214572">
          <w:rPr>
            <w:webHidden/>
          </w:rPr>
          <w:fldChar w:fldCharType="separate"/>
        </w:r>
        <w:r w:rsidR="00214572">
          <w:rPr>
            <w:webHidden/>
          </w:rPr>
          <w:t>28</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077" w:history="1">
        <w:r w:rsidR="00214572" w:rsidRPr="008459BF">
          <w:rPr>
            <w:rStyle w:val="Hyperlink"/>
          </w:rPr>
          <w:t>3.1.3</w:t>
        </w:r>
        <w:r w:rsidR="00214572">
          <w:rPr>
            <w:rFonts w:asciiTheme="minorHAnsi" w:eastAsiaTheme="minorEastAsia" w:hAnsiTheme="minorHAnsi"/>
            <w:lang w:eastAsia="en-AU"/>
          </w:rPr>
          <w:tab/>
        </w:r>
        <w:r w:rsidR="00214572" w:rsidRPr="008459BF">
          <w:rPr>
            <w:rStyle w:val="Hyperlink"/>
          </w:rPr>
          <w:t>Using deemed exemptions</w:t>
        </w:r>
        <w:r w:rsidR="00214572">
          <w:rPr>
            <w:webHidden/>
          </w:rPr>
          <w:tab/>
        </w:r>
        <w:r w:rsidR="00214572">
          <w:rPr>
            <w:webHidden/>
          </w:rPr>
          <w:fldChar w:fldCharType="begin"/>
        </w:r>
        <w:r w:rsidR="00214572">
          <w:rPr>
            <w:webHidden/>
          </w:rPr>
          <w:instrText xml:space="preserve"> PAGEREF _Toc468276077 \h </w:instrText>
        </w:r>
        <w:r w:rsidR="00214572">
          <w:rPr>
            <w:webHidden/>
          </w:rPr>
        </w:r>
        <w:r w:rsidR="00214572">
          <w:rPr>
            <w:webHidden/>
          </w:rPr>
          <w:fldChar w:fldCharType="separate"/>
        </w:r>
        <w:r w:rsidR="00214572">
          <w:rPr>
            <w:webHidden/>
          </w:rPr>
          <w:t>29</w:t>
        </w:r>
        <w:r w:rsidR="00214572">
          <w:rPr>
            <w:webHidden/>
          </w:rPr>
          <w:fldChar w:fldCharType="end"/>
        </w:r>
      </w:hyperlink>
    </w:p>
    <w:p w:rsidR="00214572" w:rsidRDefault="003E3FD8">
      <w:pPr>
        <w:pStyle w:val="TOC2"/>
        <w:rPr>
          <w:rFonts w:asciiTheme="minorHAnsi" w:eastAsiaTheme="minorEastAsia" w:hAnsiTheme="minorHAnsi"/>
          <w:b w:val="0"/>
          <w:color w:val="auto"/>
          <w:sz w:val="22"/>
          <w:lang w:eastAsia="en-AU"/>
        </w:rPr>
      </w:pPr>
      <w:hyperlink w:anchor="_Toc468276078" w:history="1">
        <w:r w:rsidR="00214572" w:rsidRPr="008459BF">
          <w:rPr>
            <w:rStyle w:val="Hyperlink"/>
          </w:rPr>
          <w:t>3.2</w:t>
        </w:r>
        <w:r w:rsidR="00214572">
          <w:rPr>
            <w:rFonts w:asciiTheme="minorHAnsi" w:eastAsiaTheme="minorEastAsia" w:hAnsiTheme="minorHAnsi"/>
            <w:b w:val="0"/>
            <w:color w:val="auto"/>
            <w:sz w:val="22"/>
            <w:lang w:eastAsia="en-AU"/>
          </w:rPr>
          <w:tab/>
        </w:r>
        <w:r w:rsidR="00214572" w:rsidRPr="008459BF">
          <w:rPr>
            <w:rStyle w:val="Hyperlink"/>
          </w:rPr>
          <w:t>Registrable exemption classes</w:t>
        </w:r>
        <w:r w:rsidR="00214572">
          <w:rPr>
            <w:webHidden/>
          </w:rPr>
          <w:tab/>
        </w:r>
        <w:r w:rsidR="00214572">
          <w:rPr>
            <w:webHidden/>
          </w:rPr>
          <w:fldChar w:fldCharType="begin"/>
        </w:r>
        <w:r w:rsidR="00214572">
          <w:rPr>
            <w:webHidden/>
          </w:rPr>
          <w:instrText xml:space="preserve"> PAGEREF _Toc468276078 \h </w:instrText>
        </w:r>
        <w:r w:rsidR="00214572">
          <w:rPr>
            <w:webHidden/>
          </w:rPr>
        </w:r>
        <w:r w:rsidR="00214572">
          <w:rPr>
            <w:webHidden/>
          </w:rPr>
          <w:fldChar w:fldCharType="separate"/>
        </w:r>
        <w:r w:rsidR="00214572">
          <w:rPr>
            <w:webHidden/>
          </w:rPr>
          <w:t>30</w:t>
        </w:r>
        <w:r w:rsidR="00214572">
          <w:rPr>
            <w:webHidden/>
          </w:rPr>
          <w:fldChar w:fldCharType="end"/>
        </w:r>
      </w:hyperlink>
    </w:p>
    <w:p w:rsidR="00214572" w:rsidRDefault="003E3FD8">
      <w:pPr>
        <w:pStyle w:val="TOC2"/>
        <w:rPr>
          <w:rFonts w:asciiTheme="minorHAnsi" w:eastAsiaTheme="minorEastAsia" w:hAnsiTheme="minorHAnsi"/>
          <w:b w:val="0"/>
          <w:color w:val="auto"/>
          <w:sz w:val="22"/>
          <w:lang w:eastAsia="en-AU"/>
        </w:rPr>
      </w:pPr>
      <w:hyperlink w:anchor="_Toc468276079" w:history="1">
        <w:r w:rsidR="00214572" w:rsidRPr="008459BF">
          <w:rPr>
            <w:rStyle w:val="Hyperlink"/>
          </w:rPr>
          <w:t>3.3</w:t>
        </w:r>
        <w:r w:rsidR="00214572">
          <w:rPr>
            <w:rFonts w:asciiTheme="minorHAnsi" w:eastAsiaTheme="minorEastAsia" w:hAnsiTheme="minorHAnsi"/>
            <w:b w:val="0"/>
            <w:color w:val="auto"/>
            <w:sz w:val="22"/>
            <w:lang w:eastAsia="en-AU"/>
          </w:rPr>
          <w:tab/>
        </w:r>
        <w:r w:rsidR="00214572" w:rsidRPr="008459BF">
          <w:rPr>
            <w:rStyle w:val="Hyperlink"/>
          </w:rPr>
          <w:t>Individual exemption</w:t>
        </w:r>
        <w:r w:rsidR="00214572">
          <w:rPr>
            <w:webHidden/>
          </w:rPr>
          <w:tab/>
        </w:r>
        <w:r w:rsidR="00214572">
          <w:rPr>
            <w:webHidden/>
          </w:rPr>
          <w:fldChar w:fldCharType="begin"/>
        </w:r>
        <w:r w:rsidR="00214572">
          <w:rPr>
            <w:webHidden/>
          </w:rPr>
          <w:instrText xml:space="preserve"> PAGEREF _Toc468276079 \h </w:instrText>
        </w:r>
        <w:r w:rsidR="00214572">
          <w:rPr>
            <w:webHidden/>
          </w:rPr>
        </w:r>
        <w:r w:rsidR="00214572">
          <w:rPr>
            <w:webHidden/>
          </w:rPr>
          <w:fldChar w:fldCharType="separate"/>
        </w:r>
        <w:r w:rsidR="00214572">
          <w:rPr>
            <w:webHidden/>
          </w:rPr>
          <w:t>32</w:t>
        </w:r>
        <w:r w:rsidR="00214572">
          <w:rPr>
            <w:webHidden/>
          </w:rPr>
          <w:fldChar w:fldCharType="end"/>
        </w:r>
      </w:hyperlink>
    </w:p>
    <w:p w:rsidR="00214572" w:rsidRDefault="003E3FD8">
      <w:pPr>
        <w:pStyle w:val="TOC1"/>
        <w:rPr>
          <w:rFonts w:asciiTheme="minorHAnsi" w:eastAsiaTheme="minorEastAsia" w:hAnsiTheme="minorHAnsi"/>
          <w:b w:val="0"/>
          <w:color w:val="auto"/>
          <w:sz w:val="22"/>
          <w:lang w:val="en-AU" w:eastAsia="en-AU"/>
        </w:rPr>
      </w:pPr>
      <w:hyperlink w:anchor="_Toc468276080" w:history="1">
        <w:r w:rsidR="00214572" w:rsidRPr="008459BF">
          <w:rPr>
            <w:rStyle w:val="Hyperlink"/>
          </w:rPr>
          <w:t>4</w:t>
        </w:r>
        <w:r w:rsidR="00214572">
          <w:rPr>
            <w:rFonts w:asciiTheme="minorHAnsi" w:eastAsiaTheme="minorEastAsia" w:hAnsiTheme="minorHAnsi"/>
            <w:b w:val="0"/>
            <w:color w:val="auto"/>
            <w:sz w:val="22"/>
            <w:lang w:val="en-AU" w:eastAsia="en-AU"/>
          </w:rPr>
          <w:tab/>
        </w:r>
        <w:r w:rsidR="00214572" w:rsidRPr="008459BF">
          <w:rPr>
            <w:rStyle w:val="Hyperlink"/>
          </w:rPr>
          <w:t>Part B – Conditions</w:t>
        </w:r>
        <w:r w:rsidR="00214572">
          <w:rPr>
            <w:webHidden/>
          </w:rPr>
          <w:tab/>
        </w:r>
        <w:r w:rsidR="00214572">
          <w:rPr>
            <w:webHidden/>
          </w:rPr>
          <w:fldChar w:fldCharType="begin"/>
        </w:r>
        <w:r w:rsidR="00214572">
          <w:rPr>
            <w:webHidden/>
          </w:rPr>
          <w:instrText xml:space="preserve"> PAGEREF _Toc468276080 \h </w:instrText>
        </w:r>
        <w:r w:rsidR="00214572">
          <w:rPr>
            <w:webHidden/>
          </w:rPr>
        </w:r>
        <w:r w:rsidR="00214572">
          <w:rPr>
            <w:webHidden/>
          </w:rPr>
          <w:fldChar w:fldCharType="separate"/>
        </w:r>
        <w:r w:rsidR="00214572">
          <w:rPr>
            <w:webHidden/>
          </w:rPr>
          <w:t>33</w:t>
        </w:r>
        <w:r w:rsidR="00214572">
          <w:rPr>
            <w:webHidden/>
          </w:rPr>
          <w:fldChar w:fldCharType="end"/>
        </w:r>
      </w:hyperlink>
    </w:p>
    <w:p w:rsidR="00214572" w:rsidRDefault="003E3FD8">
      <w:pPr>
        <w:pStyle w:val="TOC2"/>
        <w:rPr>
          <w:rFonts w:asciiTheme="minorHAnsi" w:eastAsiaTheme="minorEastAsia" w:hAnsiTheme="minorHAnsi"/>
          <w:b w:val="0"/>
          <w:color w:val="auto"/>
          <w:sz w:val="22"/>
          <w:lang w:eastAsia="en-AU"/>
        </w:rPr>
      </w:pPr>
      <w:hyperlink w:anchor="_Toc468276081" w:history="1">
        <w:r w:rsidR="00214572" w:rsidRPr="008459BF">
          <w:rPr>
            <w:rStyle w:val="Hyperlink"/>
          </w:rPr>
          <w:t>4.1</w:t>
        </w:r>
        <w:r w:rsidR="00214572">
          <w:rPr>
            <w:rFonts w:asciiTheme="minorHAnsi" w:eastAsiaTheme="minorEastAsia" w:hAnsiTheme="minorHAnsi"/>
            <w:b w:val="0"/>
            <w:color w:val="auto"/>
            <w:sz w:val="22"/>
            <w:lang w:eastAsia="en-AU"/>
          </w:rPr>
          <w:tab/>
        </w:r>
        <w:r w:rsidR="00214572" w:rsidRPr="008459BF">
          <w:rPr>
            <w:rStyle w:val="Hyperlink"/>
          </w:rPr>
          <w:t>General requirements</w:t>
        </w:r>
        <w:r w:rsidR="00214572">
          <w:rPr>
            <w:webHidden/>
          </w:rPr>
          <w:tab/>
        </w:r>
        <w:r w:rsidR="00214572">
          <w:rPr>
            <w:webHidden/>
          </w:rPr>
          <w:fldChar w:fldCharType="begin"/>
        </w:r>
        <w:r w:rsidR="00214572">
          <w:rPr>
            <w:webHidden/>
          </w:rPr>
          <w:instrText xml:space="preserve"> PAGEREF _Toc468276081 \h </w:instrText>
        </w:r>
        <w:r w:rsidR="00214572">
          <w:rPr>
            <w:webHidden/>
          </w:rPr>
        </w:r>
        <w:r w:rsidR="00214572">
          <w:rPr>
            <w:webHidden/>
          </w:rPr>
          <w:fldChar w:fldCharType="separate"/>
        </w:r>
        <w:r w:rsidR="00214572">
          <w:rPr>
            <w:webHidden/>
          </w:rPr>
          <w:t>33</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082" w:history="1">
        <w:r w:rsidR="00214572" w:rsidRPr="008459BF">
          <w:rPr>
            <w:rStyle w:val="Hyperlink"/>
          </w:rPr>
          <w:t>4.1.1</w:t>
        </w:r>
        <w:r w:rsidR="00214572">
          <w:rPr>
            <w:rFonts w:asciiTheme="minorHAnsi" w:eastAsiaTheme="minorEastAsia" w:hAnsiTheme="minorHAnsi"/>
            <w:lang w:eastAsia="en-AU"/>
          </w:rPr>
          <w:tab/>
        </w:r>
        <w:r w:rsidR="00214572" w:rsidRPr="008459BF">
          <w:rPr>
            <w:rStyle w:val="Hyperlink"/>
          </w:rPr>
          <w:t>Exemption Class condition tables</w:t>
        </w:r>
        <w:r w:rsidR="00214572">
          <w:rPr>
            <w:webHidden/>
          </w:rPr>
          <w:tab/>
        </w:r>
        <w:r w:rsidR="00214572">
          <w:rPr>
            <w:webHidden/>
          </w:rPr>
          <w:fldChar w:fldCharType="begin"/>
        </w:r>
        <w:r w:rsidR="00214572">
          <w:rPr>
            <w:webHidden/>
          </w:rPr>
          <w:instrText xml:space="preserve"> PAGEREF _Toc468276082 \h </w:instrText>
        </w:r>
        <w:r w:rsidR="00214572">
          <w:rPr>
            <w:webHidden/>
          </w:rPr>
        </w:r>
        <w:r w:rsidR="00214572">
          <w:rPr>
            <w:webHidden/>
          </w:rPr>
          <w:fldChar w:fldCharType="separate"/>
        </w:r>
        <w:r w:rsidR="00214572">
          <w:rPr>
            <w:webHidden/>
          </w:rPr>
          <w:t>37</w:t>
        </w:r>
        <w:r w:rsidR="00214572">
          <w:rPr>
            <w:webHidden/>
          </w:rPr>
          <w:fldChar w:fldCharType="end"/>
        </w:r>
      </w:hyperlink>
    </w:p>
    <w:p w:rsidR="00214572" w:rsidRDefault="003E3FD8">
      <w:pPr>
        <w:pStyle w:val="TOC2"/>
        <w:rPr>
          <w:rFonts w:asciiTheme="minorHAnsi" w:eastAsiaTheme="minorEastAsia" w:hAnsiTheme="minorHAnsi"/>
          <w:b w:val="0"/>
          <w:color w:val="auto"/>
          <w:sz w:val="22"/>
          <w:lang w:eastAsia="en-AU"/>
        </w:rPr>
      </w:pPr>
      <w:hyperlink w:anchor="_Toc468276083" w:history="1">
        <w:r w:rsidR="00214572" w:rsidRPr="008459BF">
          <w:rPr>
            <w:rStyle w:val="Hyperlink"/>
          </w:rPr>
          <w:t>4.2</w:t>
        </w:r>
        <w:r w:rsidR="00214572">
          <w:rPr>
            <w:rFonts w:asciiTheme="minorHAnsi" w:eastAsiaTheme="minorEastAsia" w:hAnsiTheme="minorHAnsi"/>
            <w:b w:val="0"/>
            <w:color w:val="auto"/>
            <w:sz w:val="22"/>
            <w:lang w:eastAsia="en-AU"/>
          </w:rPr>
          <w:tab/>
        </w:r>
        <w:r w:rsidR="00214572" w:rsidRPr="008459BF">
          <w:rPr>
            <w:rStyle w:val="Hyperlink"/>
          </w:rPr>
          <w:t>Metering installation and NEM requirements</w:t>
        </w:r>
        <w:r w:rsidR="00214572">
          <w:rPr>
            <w:webHidden/>
          </w:rPr>
          <w:tab/>
        </w:r>
        <w:r w:rsidR="00214572">
          <w:rPr>
            <w:webHidden/>
          </w:rPr>
          <w:fldChar w:fldCharType="begin"/>
        </w:r>
        <w:r w:rsidR="00214572">
          <w:rPr>
            <w:webHidden/>
          </w:rPr>
          <w:instrText xml:space="preserve"> PAGEREF _Toc468276083 \h </w:instrText>
        </w:r>
        <w:r w:rsidR="00214572">
          <w:rPr>
            <w:webHidden/>
          </w:rPr>
        </w:r>
        <w:r w:rsidR="00214572">
          <w:rPr>
            <w:webHidden/>
          </w:rPr>
          <w:fldChar w:fldCharType="separate"/>
        </w:r>
        <w:r w:rsidR="00214572">
          <w:rPr>
            <w:webHidden/>
          </w:rPr>
          <w:t>42</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084" w:history="1">
        <w:r w:rsidR="00214572" w:rsidRPr="008459BF">
          <w:rPr>
            <w:rStyle w:val="Hyperlink"/>
          </w:rPr>
          <w:t>4.2.1</w:t>
        </w:r>
        <w:r w:rsidR="00214572">
          <w:rPr>
            <w:rFonts w:asciiTheme="minorHAnsi" w:eastAsiaTheme="minorEastAsia" w:hAnsiTheme="minorHAnsi"/>
            <w:lang w:eastAsia="en-AU"/>
          </w:rPr>
          <w:tab/>
        </w:r>
        <w:r w:rsidR="00214572" w:rsidRPr="008459BF">
          <w:rPr>
            <w:rStyle w:val="Hyperlink"/>
          </w:rPr>
          <w:t>Transmission networks</w:t>
        </w:r>
        <w:r w:rsidR="00214572">
          <w:rPr>
            <w:webHidden/>
          </w:rPr>
          <w:tab/>
        </w:r>
        <w:r w:rsidR="00214572">
          <w:rPr>
            <w:webHidden/>
          </w:rPr>
          <w:fldChar w:fldCharType="begin"/>
        </w:r>
        <w:r w:rsidR="00214572">
          <w:rPr>
            <w:webHidden/>
          </w:rPr>
          <w:instrText xml:space="preserve"> PAGEREF _Toc468276084 \h </w:instrText>
        </w:r>
        <w:r w:rsidR="00214572">
          <w:rPr>
            <w:webHidden/>
          </w:rPr>
        </w:r>
        <w:r w:rsidR="00214572">
          <w:rPr>
            <w:webHidden/>
          </w:rPr>
          <w:fldChar w:fldCharType="separate"/>
        </w:r>
        <w:r w:rsidR="00214572">
          <w:rPr>
            <w:webHidden/>
          </w:rPr>
          <w:t>42</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085" w:history="1">
        <w:r w:rsidR="00214572" w:rsidRPr="008459BF">
          <w:rPr>
            <w:rStyle w:val="Hyperlink"/>
          </w:rPr>
          <w:t>4.2.2</w:t>
        </w:r>
        <w:r w:rsidR="00214572">
          <w:rPr>
            <w:rFonts w:asciiTheme="minorHAnsi" w:eastAsiaTheme="minorEastAsia" w:hAnsiTheme="minorHAnsi"/>
            <w:lang w:eastAsia="en-AU"/>
          </w:rPr>
          <w:tab/>
        </w:r>
        <w:r w:rsidR="00214572" w:rsidRPr="008459BF">
          <w:rPr>
            <w:rStyle w:val="Hyperlink"/>
          </w:rPr>
          <w:t>Distribution networks</w:t>
        </w:r>
        <w:r w:rsidR="00214572">
          <w:rPr>
            <w:webHidden/>
          </w:rPr>
          <w:tab/>
        </w:r>
        <w:r w:rsidR="00214572">
          <w:rPr>
            <w:webHidden/>
          </w:rPr>
          <w:fldChar w:fldCharType="begin"/>
        </w:r>
        <w:r w:rsidR="00214572">
          <w:rPr>
            <w:webHidden/>
          </w:rPr>
          <w:instrText xml:space="preserve"> PAGEREF _Toc468276085 \h </w:instrText>
        </w:r>
        <w:r w:rsidR="00214572">
          <w:rPr>
            <w:webHidden/>
          </w:rPr>
        </w:r>
        <w:r w:rsidR="00214572">
          <w:rPr>
            <w:webHidden/>
          </w:rPr>
          <w:fldChar w:fldCharType="separate"/>
        </w:r>
        <w:r w:rsidR="00214572">
          <w:rPr>
            <w:webHidden/>
          </w:rPr>
          <w:t>43</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086" w:history="1">
        <w:r w:rsidR="00214572" w:rsidRPr="008459BF">
          <w:rPr>
            <w:rStyle w:val="Hyperlink"/>
          </w:rPr>
          <w:t>4.2.3</w:t>
        </w:r>
        <w:r w:rsidR="00214572">
          <w:rPr>
            <w:rFonts w:asciiTheme="minorHAnsi" w:eastAsiaTheme="minorEastAsia" w:hAnsiTheme="minorHAnsi"/>
            <w:lang w:eastAsia="en-AU"/>
          </w:rPr>
          <w:tab/>
        </w:r>
        <w:r w:rsidR="00214572" w:rsidRPr="008459BF">
          <w:rPr>
            <w:rStyle w:val="Hyperlink"/>
          </w:rPr>
          <w:t>Off–market and on–market energy generation</w:t>
        </w:r>
        <w:r w:rsidR="00214572">
          <w:rPr>
            <w:webHidden/>
          </w:rPr>
          <w:tab/>
        </w:r>
        <w:r w:rsidR="00214572">
          <w:rPr>
            <w:webHidden/>
          </w:rPr>
          <w:fldChar w:fldCharType="begin"/>
        </w:r>
        <w:r w:rsidR="00214572">
          <w:rPr>
            <w:webHidden/>
          </w:rPr>
          <w:instrText xml:space="preserve"> PAGEREF _Toc468276086 \h </w:instrText>
        </w:r>
        <w:r w:rsidR="00214572">
          <w:rPr>
            <w:webHidden/>
          </w:rPr>
        </w:r>
        <w:r w:rsidR="00214572">
          <w:rPr>
            <w:webHidden/>
          </w:rPr>
          <w:fldChar w:fldCharType="separate"/>
        </w:r>
        <w:r w:rsidR="00214572">
          <w:rPr>
            <w:webHidden/>
          </w:rPr>
          <w:t>45</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087" w:history="1">
        <w:r w:rsidR="00214572" w:rsidRPr="008459BF">
          <w:rPr>
            <w:rStyle w:val="Hyperlink"/>
          </w:rPr>
          <w:t>4.2.4</w:t>
        </w:r>
        <w:r w:rsidR="00214572">
          <w:rPr>
            <w:rFonts w:asciiTheme="minorHAnsi" w:eastAsiaTheme="minorEastAsia" w:hAnsiTheme="minorHAnsi"/>
            <w:lang w:eastAsia="en-AU"/>
          </w:rPr>
          <w:tab/>
        </w:r>
        <w:r w:rsidR="00214572" w:rsidRPr="008459BF">
          <w:rPr>
            <w:rStyle w:val="Hyperlink"/>
          </w:rPr>
          <w:t>Electric vehicle charging facilities</w:t>
        </w:r>
        <w:r w:rsidR="00214572">
          <w:rPr>
            <w:webHidden/>
          </w:rPr>
          <w:tab/>
        </w:r>
        <w:r w:rsidR="00214572">
          <w:rPr>
            <w:webHidden/>
          </w:rPr>
          <w:fldChar w:fldCharType="begin"/>
        </w:r>
        <w:r w:rsidR="00214572">
          <w:rPr>
            <w:webHidden/>
          </w:rPr>
          <w:instrText xml:space="preserve"> PAGEREF _Toc468276087 \h </w:instrText>
        </w:r>
        <w:r w:rsidR="00214572">
          <w:rPr>
            <w:webHidden/>
          </w:rPr>
        </w:r>
        <w:r w:rsidR="00214572">
          <w:rPr>
            <w:webHidden/>
          </w:rPr>
          <w:fldChar w:fldCharType="separate"/>
        </w:r>
        <w:r w:rsidR="00214572">
          <w:rPr>
            <w:webHidden/>
          </w:rPr>
          <w:t>46</w:t>
        </w:r>
        <w:r w:rsidR="00214572">
          <w:rPr>
            <w:webHidden/>
          </w:rPr>
          <w:fldChar w:fldCharType="end"/>
        </w:r>
      </w:hyperlink>
    </w:p>
    <w:p w:rsidR="00214572" w:rsidRDefault="003E3FD8">
      <w:pPr>
        <w:pStyle w:val="TOC2"/>
        <w:rPr>
          <w:rFonts w:asciiTheme="minorHAnsi" w:eastAsiaTheme="minorEastAsia" w:hAnsiTheme="minorHAnsi"/>
          <w:b w:val="0"/>
          <w:color w:val="auto"/>
          <w:sz w:val="22"/>
          <w:lang w:eastAsia="en-AU"/>
        </w:rPr>
      </w:pPr>
      <w:hyperlink w:anchor="_Toc468276088" w:history="1">
        <w:r w:rsidR="00214572" w:rsidRPr="008459BF">
          <w:rPr>
            <w:rStyle w:val="Hyperlink"/>
          </w:rPr>
          <w:t>4.3</w:t>
        </w:r>
        <w:r w:rsidR="00214572">
          <w:rPr>
            <w:rFonts w:asciiTheme="minorHAnsi" w:eastAsiaTheme="minorEastAsia" w:hAnsiTheme="minorHAnsi"/>
            <w:b w:val="0"/>
            <w:color w:val="auto"/>
            <w:sz w:val="22"/>
            <w:lang w:eastAsia="en-AU"/>
          </w:rPr>
          <w:tab/>
        </w:r>
        <w:r w:rsidR="00214572" w:rsidRPr="008459BF">
          <w:rPr>
            <w:rStyle w:val="Hyperlink"/>
          </w:rPr>
          <w:t>Metering operation and maintenance</w:t>
        </w:r>
        <w:r w:rsidR="00214572">
          <w:rPr>
            <w:webHidden/>
          </w:rPr>
          <w:tab/>
        </w:r>
        <w:r w:rsidR="00214572">
          <w:rPr>
            <w:webHidden/>
          </w:rPr>
          <w:fldChar w:fldCharType="begin"/>
        </w:r>
        <w:r w:rsidR="00214572">
          <w:rPr>
            <w:webHidden/>
          </w:rPr>
          <w:instrText xml:space="preserve"> PAGEREF _Toc468276088 \h </w:instrText>
        </w:r>
        <w:r w:rsidR="00214572">
          <w:rPr>
            <w:webHidden/>
          </w:rPr>
        </w:r>
        <w:r w:rsidR="00214572">
          <w:rPr>
            <w:webHidden/>
          </w:rPr>
          <w:fldChar w:fldCharType="separate"/>
        </w:r>
        <w:r w:rsidR="00214572">
          <w:rPr>
            <w:webHidden/>
          </w:rPr>
          <w:t>48</w:t>
        </w:r>
        <w:r w:rsidR="00214572">
          <w:rPr>
            <w:webHidden/>
          </w:rPr>
          <w:fldChar w:fldCharType="end"/>
        </w:r>
      </w:hyperlink>
    </w:p>
    <w:p w:rsidR="00214572" w:rsidRDefault="003E3FD8">
      <w:pPr>
        <w:pStyle w:val="TOC2"/>
        <w:rPr>
          <w:rFonts w:asciiTheme="minorHAnsi" w:eastAsiaTheme="minorEastAsia" w:hAnsiTheme="minorHAnsi"/>
          <w:b w:val="0"/>
          <w:color w:val="auto"/>
          <w:sz w:val="22"/>
          <w:lang w:eastAsia="en-AU"/>
        </w:rPr>
      </w:pPr>
      <w:hyperlink w:anchor="_Toc468276089" w:history="1">
        <w:r w:rsidR="00214572" w:rsidRPr="008459BF">
          <w:rPr>
            <w:rStyle w:val="Hyperlink"/>
          </w:rPr>
          <w:t>4.4</w:t>
        </w:r>
        <w:r w:rsidR="00214572">
          <w:rPr>
            <w:rFonts w:asciiTheme="minorHAnsi" w:eastAsiaTheme="minorEastAsia" w:hAnsiTheme="minorHAnsi"/>
            <w:b w:val="0"/>
            <w:color w:val="auto"/>
            <w:sz w:val="22"/>
            <w:lang w:eastAsia="en-AU"/>
          </w:rPr>
          <w:tab/>
        </w:r>
        <w:r w:rsidR="00214572" w:rsidRPr="008459BF">
          <w:rPr>
            <w:rStyle w:val="Hyperlink"/>
          </w:rPr>
          <w:t>AEMO requirements for access to retail competition</w:t>
        </w:r>
        <w:r w:rsidR="00214572">
          <w:rPr>
            <w:webHidden/>
          </w:rPr>
          <w:tab/>
        </w:r>
        <w:r w:rsidR="00214572">
          <w:rPr>
            <w:webHidden/>
          </w:rPr>
          <w:fldChar w:fldCharType="begin"/>
        </w:r>
        <w:r w:rsidR="00214572">
          <w:rPr>
            <w:webHidden/>
          </w:rPr>
          <w:instrText xml:space="preserve"> PAGEREF _Toc468276089 \h </w:instrText>
        </w:r>
        <w:r w:rsidR="00214572">
          <w:rPr>
            <w:webHidden/>
          </w:rPr>
        </w:r>
        <w:r w:rsidR="00214572">
          <w:rPr>
            <w:webHidden/>
          </w:rPr>
          <w:fldChar w:fldCharType="separate"/>
        </w:r>
        <w:r w:rsidR="00214572">
          <w:rPr>
            <w:webHidden/>
          </w:rPr>
          <w:t>49</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090" w:history="1">
        <w:r w:rsidR="00214572" w:rsidRPr="008459BF">
          <w:rPr>
            <w:rStyle w:val="Hyperlink"/>
          </w:rPr>
          <w:t>4.4.1</w:t>
        </w:r>
        <w:r w:rsidR="00214572">
          <w:rPr>
            <w:rFonts w:asciiTheme="minorHAnsi" w:eastAsiaTheme="minorEastAsia" w:hAnsiTheme="minorHAnsi"/>
            <w:lang w:eastAsia="en-AU"/>
          </w:rPr>
          <w:tab/>
        </w:r>
        <w:r w:rsidR="00214572" w:rsidRPr="008459BF">
          <w:rPr>
            <w:rStyle w:val="Hyperlink"/>
          </w:rPr>
          <w:t>Appointment of an ENM</w:t>
        </w:r>
        <w:r w:rsidR="00214572">
          <w:rPr>
            <w:webHidden/>
          </w:rPr>
          <w:tab/>
        </w:r>
        <w:r w:rsidR="00214572">
          <w:rPr>
            <w:webHidden/>
          </w:rPr>
          <w:fldChar w:fldCharType="begin"/>
        </w:r>
        <w:r w:rsidR="00214572">
          <w:rPr>
            <w:webHidden/>
          </w:rPr>
          <w:instrText xml:space="preserve"> PAGEREF _Toc468276090 \h </w:instrText>
        </w:r>
        <w:r w:rsidR="00214572">
          <w:rPr>
            <w:webHidden/>
          </w:rPr>
        </w:r>
        <w:r w:rsidR="00214572">
          <w:rPr>
            <w:webHidden/>
          </w:rPr>
          <w:fldChar w:fldCharType="separate"/>
        </w:r>
        <w:r w:rsidR="00214572">
          <w:rPr>
            <w:webHidden/>
          </w:rPr>
          <w:t>49</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091" w:history="1">
        <w:r w:rsidR="00214572" w:rsidRPr="008459BF">
          <w:rPr>
            <w:rStyle w:val="Hyperlink"/>
          </w:rPr>
          <w:t>4.4.2</w:t>
        </w:r>
        <w:r w:rsidR="00214572">
          <w:rPr>
            <w:rFonts w:asciiTheme="minorHAnsi" w:eastAsiaTheme="minorEastAsia" w:hAnsiTheme="minorHAnsi"/>
            <w:lang w:eastAsia="en-AU"/>
          </w:rPr>
          <w:tab/>
        </w:r>
        <w:r w:rsidR="00214572" w:rsidRPr="008459BF">
          <w:rPr>
            <w:rStyle w:val="Hyperlink"/>
          </w:rPr>
          <w:t>ENM appointment trigger conditions</w:t>
        </w:r>
        <w:r w:rsidR="00214572">
          <w:rPr>
            <w:webHidden/>
          </w:rPr>
          <w:tab/>
        </w:r>
        <w:r w:rsidR="00214572">
          <w:rPr>
            <w:webHidden/>
          </w:rPr>
          <w:fldChar w:fldCharType="begin"/>
        </w:r>
        <w:r w:rsidR="00214572">
          <w:rPr>
            <w:webHidden/>
          </w:rPr>
          <w:instrText xml:space="preserve"> PAGEREF _Toc468276091 \h </w:instrText>
        </w:r>
        <w:r w:rsidR="00214572">
          <w:rPr>
            <w:webHidden/>
          </w:rPr>
        </w:r>
        <w:r w:rsidR="00214572">
          <w:rPr>
            <w:webHidden/>
          </w:rPr>
          <w:fldChar w:fldCharType="separate"/>
        </w:r>
        <w:r w:rsidR="00214572">
          <w:rPr>
            <w:webHidden/>
          </w:rPr>
          <w:t>49</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092" w:history="1">
        <w:r w:rsidR="00214572" w:rsidRPr="008459BF">
          <w:rPr>
            <w:rStyle w:val="Hyperlink"/>
          </w:rPr>
          <w:t>4.4.3</w:t>
        </w:r>
        <w:r w:rsidR="00214572">
          <w:rPr>
            <w:rFonts w:asciiTheme="minorHAnsi" w:eastAsiaTheme="minorEastAsia" w:hAnsiTheme="minorHAnsi"/>
            <w:lang w:eastAsia="en-AU"/>
          </w:rPr>
          <w:tab/>
        </w:r>
        <w:r w:rsidR="00214572" w:rsidRPr="008459BF">
          <w:rPr>
            <w:rStyle w:val="Hyperlink"/>
          </w:rPr>
          <w:t>Registration required when an ENM is appointed</w:t>
        </w:r>
        <w:r w:rsidR="00214572">
          <w:rPr>
            <w:webHidden/>
          </w:rPr>
          <w:tab/>
        </w:r>
        <w:r w:rsidR="00214572">
          <w:rPr>
            <w:webHidden/>
          </w:rPr>
          <w:fldChar w:fldCharType="begin"/>
        </w:r>
        <w:r w:rsidR="00214572">
          <w:rPr>
            <w:webHidden/>
          </w:rPr>
          <w:instrText xml:space="preserve"> PAGEREF _Toc468276092 \h </w:instrText>
        </w:r>
        <w:r w:rsidR="00214572">
          <w:rPr>
            <w:webHidden/>
          </w:rPr>
        </w:r>
        <w:r w:rsidR="00214572">
          <w:rPr>
            <w:webHidden/>
          </w:rPr>
          <w:fldChar w:fldCharType="separate"/>
        </w:r>
        <w:r w:rsidR="00214572">
          <w:rPr>
            <w:webHidden/>
          </w:rPr>
          <w:t>51</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093" w:history="1">
        <w:r w:rsidR="00214572" w:rsidRPr="008459BF">
          <w:rPr>
            <w:rStyle w:val="Hyperlink"/>
          </w:rPr>
          <w:t>4.4.4</w:t>
        </w:r>
        <w:r w:rsidR="00214572">
          <w:rPr>
            <w:rFonts w:asciiTheme="minorHAnsi" w:eastAsiaTheme="minorEastAsia" w:hAnsiTheme="minorHAnsi"/>
            <w:lang w:eastAsia="en-AU"/>
          </w:rPr>
          <w:tab/>
        </w:r>
        <w:r w:rsidR="00214572" w:rsidRPr="008459BF">
          <w:rPr>
            <w:rStyle w:val="Hyperlink"/>
          </w:rPr>
          <w:t>AEMO metrology and guideline requirements</w:t>
        </w:r>
        <w:r w:rsidR="00214572">
          <w:rPr>
            <w:webHidden/>
          </w:rPr>
          <w:tab/>
        </w:r>
        <w:r w:rsidR="00214572">
          <w:rPr>
            <w:webHidden/>
          </w:rPr>
          <w:fldChar w:fldCharType="begin"/>
        </w:r>
        <w:r w:rsidR="00214572">
          <w:rPr>
            <w:webHidden/>
          </w:rPr>
          <w:instrText xml:space="preserve"> PAGEREF _Toc468276093 \h </w:instrText>
        </w:r>
        <w:r w:rsidR="00214572">
          <w:rPr>
            <w:webHidden/>
          </w:rPr>
        </w:r>
        <w:r w:rsidR="00214572">
          <w:rPr>
            <w:webHidden/>
          </w:rPr>
          <w:fldChar w:fldCharType="separate"/>
        </w:r>
        <w:r w:rsidR="00214572">
          <w:rPr>
            <w:webHidden/>
          </w:rPr>
          <w:t>51</w:t>
        </w:r>
        <w:r w:rsidR="00214572">
          <w:rPr>
            <w:webHidden/>
          </w:rPr>
          <w:fldChar w:fldCharType="end"/>
        </w:r>
      </w:hyperlink>
    </w:p>
    <w:p w:rsidR="00214572" w:rsidRDefault="003E3FD8">
      <w:pPr>
        <w:pStyle w:val="TOC2"/>
        <w:rPr>
          <w:rFonts w:asciiTheme="minorHAnsi" w:eastAsiaTheme="minorEastAsia" w:hAnsiTheme="minorHAnsi"/>
          <w:b w:val="0"/>
          <w:color w:val="auto"/>
          <w:sz w:val="22"/>
          <w:lang w:eastAsia="en-AU"/>
        </w:rPr>
      </w:pPr>
      <w:hyperlink w:anchor="_Toc468276094" w:history="1">
        <w:r w:rsidR="00214572" w:rsidRPr="008459BF">
          <w:rPr>
            <w:rStyle w:val="Hyperlink"/>
          </w:rPr>
          <w:t>4.5</w:t>
        </w:r>
        <w:r w:rsidR="00214572">
          <w:rPr>
            <w:rFonts w:asciiTheme="minorHAnsi" w:eastAsiaTheme="minorEastAsia" w:hAnsiTheme="minorHAnsi"/>
            <w:b w:val="0"/>
            <w:color w:val="auto"/>
            <w:sz w:val="22"/>
            <w:lang w:eastAsia="en-AU"/>
          </w:rPr>
          <w:tab/>
        </w:r>
        <w:r w:rsidR="00214572" w:rsidRPr="008459BF">
          <w:rPr>
            <w:rStyle w:val="Hyperlink"/>
          </w:rPr>
          <w:t>Distribution loss factors</w:t>
        </w:r>
        <w:r w:rsidR="00214572">
          <w:rPr>
            <w:webHidden/>
          </w:rPr>
          <w:tab/>
        </w:r>
        <w:r w:rsidR="00214572">
          <w:rPr>
            <w:webHidden/>
          </w:rPr>
          <w:fldChar w:fldCharType="begin"/>
        </w:r>
        <w:r w:rsidR="00214572">
          <w:rPr>
            <w:webHidden/>
          </w:rPr>
          <w:instrText xml:space="preserve"> PAGEREF _Toc468276094 \h </w:instrText>
        </w:r>
        <w:r w:rsidR="00214572">
          <w:rPr>
            <w:webHidden/>
          </w:rPr>
        </w:r>
        <w:r w:rsidR="00214572">
          <w:rPr>
            <w:webHidden/>
          </w:rPr>
          <w:fldChar w:fldCharType="separate"/>
        </w:r>
        <w:r w:rsidR="00214572">
          <w:rPr>
            <w:webHidden/>
          </w:rPr>
          <w:t>52</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095" w:history="1">
        <w:r w:rsidR="00214572" w:rsidRPr="008459BF">
          <w:rPr>
            <w:rStyle w:val="Hyperlink"/>
          </w:rPr>
          <w:t>4.5.1</w:t>
        </w:r>
        <w:r w:rsidR="00214572">
          <w:rPr>
            <w:rFonts w:asciiTheme="minorHAnsi" w:eastAsiaTheme="minorEastAsia" w:hAnsiTheme="minorHAnsi"/>
            <w:lang w:eastAsia="en-AU"/>
          </w:rPr>
          <w:tab/>
        </w:r>
        <w:r w:rsidR="00214572" w:rsidRPr="008459BF">
          <w:rPr>
            <w:rStyle w:val="Hyperlink"/>
          </w:rPr>
          <w:t>Standard loss factor approach</w:t>
        </w:r>
        <w:r w:rsidR="00214572">
          <w:rPr>
            <w:webHidden/>
          </w:rPr>
          <w:tab/>
        </w:r>
        <w:r w:rsidR="00214572">
          <w:rPr>
            <w:webHidden/>
          </w:rPr>
          <w:fldChar w:fldCharType="begin"/>
        </w:r>
        <w:r w:rsidR="00214572">
          <w:rPr>
            <w:webHidden/>
          </w:rPr>
          <w:instrText xml:space="preserve"> PAGEREF _Toc468276095 \h </w:instrText>
        </w:r>
        <w:r w:rsidR="00214572">
          <w:rPr>
            <w:webHidden/>
          </w:rPr>
        </w:r>
        <w:r w:rsidR="00214572">
          <w:rPr>
            <w:webHidden/>
          </w:rPr>
          <w:fldChar w:fldCharType="separate"/>
        </w:r>
        <w:r w:rsidR="00214572">
          <w:rPr>
            <w:webHidden/>
          </w:rPr>
          <w:t>52</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096" w:history="1">
        <w:r w:rsidR="00214572" w:rsidRPr="008459BF">
          <w:rPr>
            <w:rStyle w:val="Hyperlink"/>
          </w:rPr>
          <w:t>4.5.2</w:t>
        </w:r>
        <w:r w:rsidR="00214572">
          <w:rPr>
            <w:rFonts w:asciiTheme="minorHAnsi" w:eastAsiaTheme="minorEastAsia" w:hAnsiTheme="minorHAnsi"/>
            <w:lang w:eastAsia="en-AU"/>
          </w:rPr>
          <w:tab/>
        </w:r>
        <w:r w:rsidR="00214572" w:rsidRPr="008459BF">
          <w:rPr>
            <w:rStyle w:val="Hyperlink"/>
          </w:rPr>
          <w:t>Large loads, generators and site specific loss factors</w:t>
        </w:r>
        <w:r w:rsidR="00214572">
          <w:rPr>
            <w:webHidden/>
          </w:rPr>
          <w:tab/>
        </w:r>
        <w:r w:rsidR="00214572">
          <w:rPr>
            <w:webHidden/>
          </w:rPr>
          <w:fldChar w:fldCharType="begin"/>
        </w:r>
        <w:r w:rsidR="00214572">
          <w:rPr>
            <w:webHidden/>
          </w:rPr>
          <w:instrText xml:space="preserve"> PAGEREF _Toc468276096 \h </w:instrText>
        </w:r>
        <w:r w:rsidR="00214572">
          <w:rPr>
            <w:webHidden/>
          </w:rPr>
        </w:r>
        <w:r w:rsidR="00214572">
          <w:rPr>
            <w:webHidden/>
          </w:rPr>
          <w:fldChar w:fldCharType="separate"/>
        </w:r>
        <w:r w:rsidR="00214572">
          <w:rPr>
            <w:webHidden/>
          </w:rPr>
          <w:t>53</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097" w:history="1">
        <w:r w:rsidR="00214572" w:rsidRPr="008459BF">
          <w:rPr>
            <w:rStyle w:val="Hyperlink"/>
          </w:rPr>
          <w:t>4.5.3</w:t>
        </w:r>
        <w:r w:rsidR="00214572">
          <w:rPr>
            <w:rFonts w:asciiTheme="minorHAnsi" w:eastAsiaTheme="minorEastAsia" w:hAnsiTheme="minorHAnsi"/>
            <w:lang w:eastAsia="en-AU"/>
          </w:rPr>
          <w:tab/>
        </w:r>
        <w:r w:rsidR="00214572" w:rsidRPr="008459BF">
          <w:rPr>
            <w:rStyle w:val="Hyperlink"/>
          </w:rPr>
          <w:t>Site specific DLF using alternative methodology</w:t>
        </w:r>
        <w:r w:rsidR="00214572">
          <w:rPr>
            <w:webHidden/>
          </w:rPr>
          <w:tab/>
        </w:r>
        <w:r w:rsidR="00214572">
          <w:rPr>
            <w:webHidden/>
          </w:rPr>
          <w:fldChar w:fldCharType="begin"/>
        </w:r>
        <w:r w:rsidR="00214572">
          <w:rPr>
            <w:webHidden/>
          </w:rPr>
          <w:instrText xml:space="preserve"> PAGEREF _Toc468276097 \h </w:instrText>
        </w:r>
        <w:r w:rsidR="00214572">
          <w:rPr>
            <w:webHidden/>
          </w:rPr>
        </w:r>
        <w:r w:rsidR="00214572">
          <w:rPr>
            <w:webHidden/>
          </w:rPr>
          <w:fldChar w:fldCharType="separate"/>
        </w:r>
        <w:r w:rsidR="00214572">
          <w:rPr>
            <w:webHidden/>
          </w:rPr>
          <w:t>53</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098" w:history="1">
        <w:r w:rsidR="00214572" w:rsidRPr="008459BF">
          <w:rPr>
            <w:rStyle w:val="Hyperlink"/>
          </w:rPr>
          <w:t>4.5.4</w:t>
        </w:r>
        <w:r w:rsidR="00214572">
          <w:rPr>
            <w:rFonts w:asciiTheme="minorHAnsi" w:eastAsiaTheme="minorEastAsia" w:hAnsiTheme="minorHAnsi"/>
            <w:lang w:eastAsia="en-AU"/>
          </w:rPr>
          <w:tab/>
        </w:r>
        <w:r w:rsidR="00214572" w:rsidRPr="008459BF">
          <w:rPr>
            <w:rStyle w:val="Hyperlink"/>
          </w:rPr>
          <w:t>Annual DLF approval requirements</w:t>
        </w:r>
        <w:r w:rsidR="00214572">
          <w:rPr>
            <w:webHidden/>
          </w:rPr>
          <w:tab/>
        </w:r>
        <w:r w:rsidR="00214572">
          <w:rPr>
            <w:webHidden/>
          </w:rPr>
          <w:fldChar w:fldCharType="begin"/>
        </w:r>
        <w:r w:rsidR="00214572">
          <w:rPr>
            <w:webHidden/>
          </w:rPr>
          <w:instrText xml:space="preserve"> PAGEREF _Toc468276098 \h </w:instrText>
        </w:r>
        <w:r w:rsidR="00214572">
          <w:rPr>
            <w:webHidden/>
          </w:rPr>
        </w:r>
        <w:r w:rsidR="00214572">
          <w:rPr>
            <w:webHidden/>
          </w:rPr>
          <w:fldChar w:fldCharType="separate"/>
        </w:r>
        <w:r w:rsidR="00214572">
          <w:rPr>
            <w:webHidden/>
          </w:rPr>
          <w:t>53</w:t>
        </w:r>
        <w:r w:rsidR="00214572">
          <w:rPr>
            <w:webHidden/>
          </w:rPr>
          <w:fldChar w:fldCharType="end"/>
        </w:r>
      </w:hyperlink>
    </w:p>
    <w:p w:rsidR="00214572" w:rsidRDefault="003E3FD8">
      <w:pPr>
        <w:pStyle w:val="TOC2"/>
        <w:rPr>
          <w:rFonts w:asciiTheme="minorHAnsi" w:eastAsiaTheme="minorEastAsia" w:hAnsiTheme="minorHAnsi"/>
          <w:b w:val="0"/>
          <w:color w:val="auto"/>
          <w:sz w:val="22"/>
          <w:lang w:eastAsia="en-AU"/>
        </w:rPr>
      </w:pPr>
      <w:hyperlink w:anchor="_Toc468276099" w:history="1">
        <w:r w:rsidR="00214572" w:rsidRPr="008459BF">
          <w:rPr>
            <w:rStyle w:val="Hyperlink"/>
          </w:rPr>
          <w:t>4.6</w:t>
        </w:r>
        <w:r w:rsidR="00214572">
          <w:rPr>
            <w:rFonts w:asciiTheme="minorHAnsi" w:eastAsiaTheme="minorEastAsia" w:hAnsiTheme="minorHAnsi"/>
            <w:b w:val="0"/>
            <w:color w:val="auto"/>
            <w:sz w:val="22"/>
            <w:lang w:eastAsia="en-AU"/>
          </w:rPr>
          <w:tab/>
        </w:r>
        <w:r w:rsidR="00214572" w:rsidRPr="008459BF">
          <w:rPr>
            <w:rStyle w:val="Hyperlink"/>
          </w:rPr>
          <w:t>Pricing</w:t>
        </w:r>
        <w:r w:rsidR="00214572">
          <w:rPr>
            <w:webHidden/>
          </w:rPr>
          <w:tab/>
        </w:r>
        <w:r w:rsidR="00214572">
          <w:rPr>
            <w:webHidden/>
          </w:rPr>
          <w:fldChar w:fldCharType="begin"/>
        </w:r>
        <w:r w:rsidR="00214572">
          <w:rPr>
            <w:webHidden/>
          </w:rPr>
          <w:instrText xml:space="preserve"> PAGEREF _Toc468276099 \h </w:instrText>
        </w:r>
        <w:r w:rsidR="00214572">
          <w:rPr>
            <w:webHidden/>
          </w:rPr>
        </w:r>
        <w:r w:rsidR="00214572">
          <w:rPr>
            <w:webHidden/>
          </w:rPr>
          <w:fldChar w:fldCharType="separate"/>
        </w:r>
        <w:r w:rsidR="00214572">
          <w:rPr>
            <w:webHidden/>
          </w:rPr>
          <w:t>55</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100" w:history="1">
        <w:r w:rsidR="00214572" w:rsidRPr="008459BF">
          <w:rPr>
            <w:rStyle w:val="Hyperlink"/>
          </w:rPr>
          <w:t>4.6.1</w:t>
        </w:r>
        <w:r w:rsidR="00214572">
          <w:rPr>
            <w:rFonts w:asciiTheme="minorHAnsi" w:eastAsiaTheme="minorEastAsia" w:hAnsiTheme="minorHAnsi"/>
            <w:lang w:eastAsia="en-AU"/>
          </w:rPr>
          <w:tab/>
        </w:r>
        <w:r w:rsidR="00214572" w:rsidRPr="008459BF">
          <w:rPr>
            <w:rStyle w:val="Hyperlink"/>
          </w:rPr>
          <w:t>Charge groups</w:t>
        </w:r>
        <w:r w:rsidR="00214572">
          <w:rPr>
            <w:webHidden/>
          </w:rPr>
          <w:tab/>
        </w:r>
        <w:r w:rsidR="00214572">
          <w:rPr>
            <w:webHidden/>
          </w:rPr>
          <w:fldChar w:fldCharType="begin"/>
        </w:r>
        <w:r w:rsidR="00214572">
          <w:rPr>
            <w:webHidden/>
          </w:rPr>
          <w:instrText xml:space="preserve"> PAGEREF _Toc468276100 \h </w:instrText>
        </w:r>
        <w:r w:rsidR="00214572">
          <w:rPr>
            <w:webHidden/>
          </w:rPr>
        </w:r>
        <w:r w:rsidR="00214572">
          <w:rPr>
            <w:webHidden/>
          </w:rPr>
          <w:fldChar w:fldCharType="separate"/>
        </w:r>
        <w:r w:rsidR="00214572">
          <w:rPr>
            <w:webHidden/>
          </w:rPr>
          <w:t>55</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101" w:history="1">
        <w:r w:rsidR="00214572" w:rsidRPr="008459BF">
          <w:rPr>
            <w:rStyle w:val="Hyperlink"/>
          </w:rPr>
          <w:t>4.6.2</w:t>
        </w:r>
        <w:r w:rsidR="00214572">
          <w:rPr>
            <w:rFonts w:asciiTheme="minorHAnsi" w:eastAsiaTheme="minorEastAsia" w:hAnsiTheme="minorHAnsi"/>
            <w:lang w:eastAsia="en-AU"/>
          </w:rPr>
          <w:tab/>
        </w:r>
        <w:r w:rsidR="00214572" w:rsidRPr="008459BF">
          <w:rPr>
            <w:rStyle w:val="Hyperlink"/>
          </w:rPr>
          <w:t>External network charges</w:t>
        </w:r>
        <w:r w:rsidR="00214572">
          <w:rPr>
            <w:webHidden/>
          </w:rPr>
          <w:tab/>
        </w:r>
        <w:r w:rsidR="00214572">
          <w:rPr>
            <w:webHidden/>
          </w:rPr>
          <w:fldChar w:fldCharType="begin"/>
        </w:r>
        <w:r w:rsidR="00214572">
          <w:rPr>
            <w:webHidden/>
          </w:rPr>
          <w:instrText xml:space="preserve"> PAGEREF _Toc468276101 \h </w:instrText>
        </w:r>
        <w:r w:rsidR="00214572">
          <w:rPr>
            <w:webHidden/>
          </w:rPr>
        </w:r>
        <w:r w:rsidR="00214572">
          <w:rPr>
            <w:webHidden/>
          </w:rPr>
          <w:fldChar w:fldCharType="separate"/>
        </w:r>
        <w:r w:rsidR="00214572">
          <w:rPr>
            <w:webHidden/>
          </w:rPr>
          <w:t>58</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102" w:history="1">
        <w:r w:rsidR="00214572" w:rsidRPr="008459BF">
          <w:rPr>
            <w:rStyle w:val="Hyperlink"/>
          </w:rPr>
          <w:t>4.6.3</w:t>
        </w:r>
        <w:r w:rsidR="00214572">
          <w:rPr>
            <w:rFonts w:asciiTheme="minorHAnsi" w:eastAsiaTheme="minorEastAsia" w:hAnsiTheme="minorHAnsi"/>
            <w:lang w:eastAsia="en-AU"/>
          </w:rPr>
          <w:tab/>
        </w:r>
        <w:r w:rsidR="00214572" w:rsidRPr="008459BF">
          <w:rPr>
            <w:rStyle w:val="Hyperlink"/>
          </w:rPr>
          <w:t>Internal network charges</w:t>
        </w:r>
        <w:r w:rsidR="00214572">
          <w:rPr>
            <w:webHidden/>
          </w:rPr>
          <w:tab/>
        </w:r>
        <w:r w:rsidR="00214572">
          <w:rPr>
            <w:webHidden/>
          </w:rPr>
          <w:fldChar w:fldCharType="begin"/>
        </w:r>
        <w:r w:rsidR="00214572">
          <w:rPr>
            <w:webHidden/>
          </w:rPr>
          <w:instrText xml:space="preserve"> PAGEREF _Toc468276102 \h </w:instrText>
        </w:r>
        <w:r w:rsidR="00214572">
          <w:rPr>
            <w:webHidden/>
          </w:rPr>
        </w:r>
        <w:r w:rsidR="00214572">
          <w:rPr>
            <w:webHidden/>
          </w:rPr>
          <w:fldChar w:fldCharType="separate"/>
        </w:r>
        <w:r w:rsidR="00214572">
          <w:rPr>
            <w:webHidden/>
          </w:rPr>
          <w:t>58</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103" w:history="1">
        <w:r w:rsidR="00214572" w:rsidRPr="008459BF">
          <w:rPr>
            <w:rStyle w:val="Hyperlink"/>
          </w:rPr>
          <w:t>4.6.4</w:t>
        </w:r>
        <w:r w:rsidR="00214572">
          <w:rPr>
            <w:rFonts w:asciiTheme="minorHAnsi" w:eastAsiaTheme="minorEastAsia" w:hAnsiTheme="minorHAnsi"/>
            <w:lang w:eastAsia="en-AU"/>
          </w:rPr>
          <w:tab/>
        </w:r>
        <w:r w:rsidR="00214572" w:rsidRPr="008459BF">
          <w:rPr>
            <w:rStyle w:val="Hyperlink"/>
          </w:rPr>
          <w:t>Charging customers</w:t>
        </w:r>
        <w:r w:rsidR="00214572">
          <w:rPr>
            <w:webHidden/>
          </w:rPr>
          <w:tab/>
        </w:r>
        <w:r w:rsidR="00214572">
          <w:rPr>
            <w:webHidden/>
          </w:rPr>
          <w:fldChar w:fldCharType="begin"/>
        </w:r>
        <w:r w:rsidR="00214572">
          <w:rPr>
            <w:webHidden/>
          </w:rPr>
          <w:instrText xml:space="preserve"> PAGEREF _Toc468276103 \h </w:instrText>
        </w:r>
        <w:r w:rsidR="00214572">
          <w:rPr>
            <w:webHidden/>
          </w:rPr>
        </w:r>
        <w:r w:rsidR="00214572">
          <w:rPr>
            <w:webHidden/>
          </w:rPr>
          <w:fldChar w:fldCharType="separate"/>
        </w:r>
        <w:r w:rsidR="00214572">
          <w:rPr>
            <w:webHidden/>
          </w:rPr>
          <w:t>59</w:t>
        </w:r>
        <w:r w:rsidR="00214572">
          <w:rPr>
            <w:webHidden/>
          </w:rPr>
          <w:fldChar w:fldCharType="end"/>
        </w:r>
      </w:hyperlink>
    </w:p>
    <w:p w:rsidR="00214572" w:rsidRDefault="003E3FD8">
      <w:pPr>
        <w:pStyle w:val="TOC2"/>
        <w:rPr>
          <w:rFonts w:asciiTheme="minorHAnsi" w:eastAsiaTheme="minorEastAsia" w:hAnsiTheme="minorHAnsi"/>
          <w:b w:val="0"/>
          <w:color w:val="auto"/>
          <w:sz w:val="22"/>
          <w:lang w:eastAsia="en-AU"/>
        </w:rPr>
      </w:pPr>
      <w:hyperlink w:anchor="_Toc468276104" w:history="1">
        <w:r w:rsidR="00214572" w:rsidRPr="008459BF">
          <w:rPr>
            <w:rStyle w:val="Hyperlink"/>
          </w:rPr>
          <w:t>4.7</w:t>
        </w:r>
        <w:r w:rsidR="00214572">
          <w:rPr>
            <w:rFonts w:asciiTheme="minorHAnsi" w:eastAsiaTheme="minorEastAsia" w:hAnsiTheme="minorHAnsi"/>
            <w:b w:val="0"/>
            <w:color w:val="auto"/>
            <w:sz w:val="22"/>
            <w:lang w:eastAsia="en-AU"/>
          </w:rPr>
          <w:tab/>
        </w:r>
        <w:r w:rsidR="00214572" w:rsidRPr="008459BF">
          <w:rPr>
            <w:rStyle w:val="Hyperlink"/>
          </w:rPr>
          <w:t>Embedded Network Manager – Appointment and Reversion</w:t>
        </w:r>
        <w:r w:rsidR="00214572">
          <w:rPr>
            <w:webHidden/>
          </w:rPr>
          <w:tab/>
        </w:r>
        <w:r w:rsidR="00214572">
          <w:rPr>
            <w:webHidden/>
          </w:rPr>
          <w:fldChar w:fldCharType="begin"/>
        </w:r>
        <w:r w:rsidR="00214572">
          <w:rPr>
            <w:webHidden/>
          </w:rPr>
          <w:instrText xml:space="preserve"> PAGEREF _Toc468276104 \h </w:instrText>
        </w:r>
        <w:r w:rsidR="00214572">
          <w:rPr>
            <w:webHidden/>
          </w:rPr>
        </w:r>
        <w:r w:rsidR="00214572">
          <w:rPr>
            <w:webHidden/>
          </w:rPr>
          <w:fldChar w:fldCharType="separate"/>
        </w:r>
        <w:r w:rsidR="00214572">
          <w:rPr>
            <w:webHidden/>
          </w:rPr>
          <w:t>61</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105" w:history="1">
        <w:r w:rsidR="00214572" w:rsidRPr="008459BF">
          <w:rPr>
            <w:rStyle w:val="Hyperlink"/>
          </w:rPr>
          <w:t>4.7.1</w:t>
        </w:r>
        <w:r w:rsidR="00214572">
          <w:rPr>
            <w:rFonts w:asciiTheme="minorHAnsi" w:eastAsiaTheme="minorEastAsia" w:hAnsiTheme="minorHAnsi"/>
            <w:lang w:eastAsia="en-AU"/>
          </w:rPr>
          <w:tab/>
        </w:r>
        <w:r w:rsidR="00214572" w:rsidRPr="008459BF">
          <w:rPr>
            <w:rStyle w:val="Hyperlink"/>
          </w:rPr>
          <w:t>Appointment and cost recovery</w:t>
        </w:r>
        <w:r w:rsidR="00214572">
          <w:rPr>
            <w:webHidden/>
          </w:rPr>
          <w:tab/>
        </w:r>
        <w:r w:rsidR="00214572">
          <w:rPr>
            <w:webHidden/>
          </w:rPr>
          <w:fldChar w:fldCharType="begin"/>
        </w:r>
        <w:r w:rsidR="00214572">
          <w:rPr>
            <w:webHidden/>
          </w:rPr>
          <w:instrText xml:space="preserve"> PAGEREF _Toc468276105 \h </w:instrText>
        </w:r>
        <w:r w:rsidR="00214572">
          <w:rPr>
            <w:webHidden/>
          </w:rPr>
        </w:r>
        <w:r w:rsidR="00214572">
          <w:rPr>
            <w:webHidden/>
          </w:rPr>
          <w:fldChar w:fldCharType="separate"/>
        </w:r>
        <w:r w:rsidR="00214572">
          <w:rPr>
            <w:webHidden/>
          </w:rPr>
          <w:t>61</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106" w:history="1">
        <w:r w:rsidR="00214572" w:rsidRPr="008459BF">
          <w:rPr>
            <w:rStyle w:val="Hyperlink"/>
          </w:rPr>
          <w:t>4.7.2</w:t>
        </w:r>
        <w:r w:rsidR="00214572">
          <w:rPr>
            <w:rFonts w:asciiTheme="minorHAnsi" w:eastAsiaTheme="minorEastAsia" w:hAnsiTheme="minorHAnsi"/>
            <w:lang w:eastAsia="en-AU"/>
          </w:rPr>
          <w:tab/>
        </w:r>
        <w:r w:rsidR="00214572" w:rsidRPr="008459BF">
          <w:rPr>
            <w:rStyle w:val="Hyperlink"/>
          </w:rPr>
          <w:t>Non–appointment of an ENM and reversion</w:t>
        </w:r>
        <w:r w:rsidR="00214572">
          <w:rPr>
            <w:webHidden/>
          </w:rPr>
          <w:tab/>
        </w:r>
        <w:r w:rsidR="00214572">
          <w:rPr>
            <w:webHidden/>
          </w:rPr>
          <w:fldChar w:fldCharType="begin"/>
        </w:r>
        <w:r w:rsidR="00214572">
          <w:rPr>
            <w:webHidden/>
          </w:rPr>
          <w:instrText xml:space="preserve"> PAGEREF _Toc468276106 \h </w:instrText>
        </w:r>
        <w:r w:rsidR="00214572">
          <w:rPr>
            <w:webHidden/>
          </w:rPr>
        </w:r>
        <w:r w:rsidR="00214572">
          <w:rPr>
            <w:webHidden/>
          </w:rPr>
          <w:fldChar w:fldCharType="separate"/>
        </w:r>
        <w:r w:rsidR="00214572">
          <w:rPr>
            <w:webHidden/>
          </w:rPr>
          <w:t>63</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107" w:history="1">
        <w:r w:rsidR="00214572" w:rsidRPr="008459BF">
          <w:rPr>
            <w:rStyle w:val="Hyperlink"/>
          </w:rPr>
          <w:t>4.7.3</w:t>
        </w:r>
        <w:r w:rsidR="00214572">
          <w:rPr>
            <w:rFonts w:asciiTheme="minorHAnsi" w:eastAsiaTheme="minorEastAsia" w:hAnsiTheme="minorHAnsi"/>
            <w:lang w:eastAsia="en-AU"/>
          </w:rPr>
          <w:tab/>
        </w:r>
        <w:r w:rsidR="00214572" w:rsidRPr="008459BF">
          <w:rPr>
            <w:rStyle w:val="Hyperlink"/>
          </w:rPr>
          <w:t>Poll requirements</w:t>
        </w:r>
        <w:r w:rsidR="00214572">
          <w:rPr>
            <w:webHidden/>
          </w:rPr>
          <w:tab/>
        </w:r>
        <w:r w:rsidR="00214572">
          <w:rPr>
            <w:webHidden/>
          </w:rPr>
          <w:fldChar w:fldCharType="begin"/>
        </w:r>
        <w:r w:rsidR="00214572">
          <w:rPr>
            <w:webHidden/>
          </w:rPr>
          <w:instrText xml:space="preserve"> PAGEREF _Toc468276107 \h </w:instrText>
        </w:r>
        <w:r w:rsidR="00214572">
          <w:rPr>
            <w:webHidden/>
          </w:rPr>
        </w:r>
        <w:r w:rsidR="00214572">
          <w:rPr>
            <w:webHidden/>
          </w:rPr>
          <w:fldChar w:fldCharType="separate"/>
        </w:r>
        <w:r w:rsidR="00214572">
          <w:rPr>
            <w:webHidden/>
          </w:rPr>
          <w:t>64</w:t>
        </w:r>
        <w:r w:rsidR="00214572">
          <w:rPr>
            <w:webHidden/>
          </w:rPr>
          <w:fldChar w:fldCharType="end"/>
        </w:r>
      </w:hyperlink>
    </w:p>
    <w:p w:rsidR="00214572" w:rsidRDefault="003E3FD8">
      <w:pPr>
        <w:pStyle w:val="TOC2"/>
        <w:rPr>
          <w:rFonts w:asciiTheme="minorHAnsi" w:eastAsiaTheme="minorEastAsia" w:hAnsiTheme="minorHAnsi"/>
          <w:b w:val="0"/>
          <w:color w:val="auto"/>
          <w:sz w:val="22"/>
          <w:lang w:eastAsia="en-AU"/>
        </w:rPr>
      </w:pPr>
      <w:hyperlink w:anchor="_Toc468276108" w:history="1">
        <w:r w:rsidR="00214572" w:rsidRPr="008459BF">
          <w:rPr>
            <w:rStyle w:val="Hyperlink"/>
          </w:rPr>
          <w:t>4.8</w:t>
        </w:r>
        <w:r w:rsidR="00214572">
          <w:rPr>
            <w:rFonts w:asciiTheme="minorHAnsi" w:eastAsiaTheme="minorEastAsia" w:hAnsiTheme="minorHAnsi"/>
            <w:b w:val="0"/>
            <w:color w:val="auto"/>
            <w:sz w:val="22"/>
            <w:lang w:eastAsia="en-AU"/>
          </w:rPr>
          <w:tab/>
        </w:r>
        <w:r w:rsidR="00214572" w:rsidRPr="008459BF">
          <w:rPr>
            <w:rStyle w:val="Hyperlink"/>
          </w:rPr>
          <w:t>Information provision</w:t>
        </w:r>
        <w:r w:rsidR="00214572">
          <w:rPr>
            <w:webHidden/>
          </w:rPr>
          <w:tab/>
        </w:r>
        <w:r w:rsidR="00214572">
          <w:rPr>
            <w:webHidden/>
          </w:rPr>
          <w:fldChar w:fldCharType="begin"/>
        </w:r>
        <w:r w:rsidR="00214572">
          <w:rPr>
            <w:webHidden/>
          </w:rPr>
          <w:instrText xml:space="preserve"> PAGEREF _Toc468276108 \h </w:instrText>
        </w:r>
        <w:r w:rsidR="00214572">
          <w:rPr>
            <w:webHidden/>
          </w:rPr>
        </w:r>
        <w:r w:rsidR="00214572">
          <w:rPr>
            <w:webHidden/>
          </w:rPr>
          <w:fldChar w:fldCharType="separate"/>
        </w:r>
        <w:r w:rsidR="00214572">
          <w:rPr>
            <w:webHidden/>
          </w:rPr>
          <w:t>65</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109" w:history="1">
        <w:r w:rsidR="00214572" w:rsidRPr="008459BF">
          <w:rPr>
            <w:rStyle w:val="Hyperlink"/>
          </w:rPr>
          <w:t>4.8.1</w:t>
        </w:r>
        <w:r w:rsidR="00214572">
          <w:rPr>
            <w:rFonts w:asciiTheme="minorHAnsi" w:eastAsiaTheme="minorEastAsia" w:hAnsiTheme="minorHAnsi"/>
            <w:lang w:eastAsia="en-AU"/>
          </w:rPr>
          <w:tab/>
        </w:r>
        <w:r w:rsidR="00214572" w:rsidRPr="008459BF">
          <w:rPr>
            <w:rStyle w:val="Hyperlink"/>
          </w:rPr>
          <w:t>Provision of exempt selling information to exempt customers</w:t>
        </w:r>
        <w:r w:rsidR="00214572">
          <w:rPr>
            <w:webHidden/>
          </w:rPr>
          <w:tab/>
        </w:r>
        <w:r w:rsidR="00214572">
          <w:rPr>
            <w:webHidden/>
          </w:rPr>
          <w:fldChar w:fldCharType="begin"/>
        </w:r>
        <w:r w:rsidR="00214572">
          <w:rPr>
            <w:webHidden/>
          </w:rPr>
          <w:instrText xml:space="preserve"> PAGEREF _Toc468276109 \h </w:instrText>
        </w:r>
        <w:r w:rsidR="00214572">
          <w:rPr>
            <w:webHidden/>
          </w:rPr>
        </w:r>
        <w:r w:rsidR="00214572">
          <w:rPr>
            <w:webHidden/>
          </w:rPr>
          <w:fldChar w:fldCharType="separate"/>
        </w:r>
        <w:r w:rsidR="00214572">
          <w:rPr>
            <w:webHidden/>
          </w:rPr>
          <w:t>65</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110" w:history="1">
        <w:r w:rsidR="00214572" w:rsidRPr="008459BF">
          <w:rPr>
            <w:rStyle w:val="Hyperlink"/>
          </w:rPr>
          <w:t>4.8.2</w:t>
        </w:r>
        <w:r w:rsidR="00214572">
          <w:rPr>
            <w:rFonts w:asciiTheme="minorHAnsi" w:eastAsiaTheme="minorEastAsia" w:hAnsiTheme="minorHAnsi"/>
            <w:lang w:eastAsia="en-AU"/>
          </w:rPr>
          <w:tab/>
        </w:r>
        <w:r w:rsidR="00214572" w:rsidRPr="008459BF">
          <w:rPr>
            <w:rStyle w:val="Hyperlink"/>
          </w:rPr>
          <w:t>Contact details</w:t>
        </w:r>
        <w:r w:rsidR="00214572">
          <w:rPr>
            <w:webHidden/>
          </w:rPr>
          <w:tab/>
        </w:r>
        <w:r w:rsidR="00214572">
          <w:rPr>
            <w:webHidden/>
          </w:rPr>
          <w:fldChar w:fldCharType="begin"/>
        </w:r>
        <w:r w:rsidR="00214572">
          <w:rPr>
            <w:webHidden/>
          </w:rPr>
          <w:instrText xml:space="preserve"> PAGEREF _Toc468276110 \h </w:instrText>
        </w:r>
        <w:r w:rsidR="00214572">
          <w:rPr>
            <w:webHidden/>
          </w:rPr>
        </w:r>
        <w:r w:rsidR="00214572">
          <w:rPr>
            <w:webHidden/>
          </w:rPr>
          <w:fldChar w:fldCharType="separate"/>
        </w:r>
        <w:r w:rsidR="00214572">
          <w:rPr>
            <w:webHidden/>
          </w:rPr>
          <w:t>65</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111" w:history="1">
        <w:r w:rsidR="00214572" w:rsidRPr="008459BF">
          <w:rPr>
            <w:rStyle w:val="Hyperlink"/>
          </w:rPr>
          <w:t>4.8.3</w:t>
        </w:r>
        <w:r w:rsidR="00214572">
          <w:rPr>
            <w:rFonts w:asciiTheme="minorHAnsi" w:eastAsiaTheme="minorEastAsia" w:hAnsiTheme="minorHAnsi"/>
            <w:lang w:eastAsia="en-AU"/>
          </w:rPr>
          <w:tab/>
        </w:r>
        <w:r w:rsidR="00214572" w:rsidRPr="008459BF">
          <w:rPr>
            <w:rStyle w:val="Hyperlink"/>
          </w:rPr>
          <w:t>Maintaining records</w:t>
        </w:r>
        <w:r w:rsidR="00214572">
          <w:rPr>
            <w:webHidden/>
          </w:rPr>
          <w:tab/>
        </w:r>
        <w:r w:rsidR="00214572">
          <w:rPr>
            <w:webHidden/>
          </w:rPr>
          <w:fldChar w:fldCharType="begin"/>
        </w:r>
        <w:r w:rsidR="00214572">
          <w:rPr>
            <w:webHidden/>
          </w:rPr>
          <w:instrText xml:space="preserve"> PAGEREF _Toc468276111 \h </w:instrText>
        </w:r>
        <w:r w:rsidR="00214572">
          <w:rPr>
            <w:webHidden/>
          </w:rPr>
        </w:r>
        <w:r w:rsidR="00214572">
          <w:rPr>
            <w:webHidden/>
          </w:rPr>
          <w:fldChar w:fldCharType="separate"/>
        </w:r>
        <w:r w:rsidR="00214572">
          <w:rPr>
            <w:webHidden/>
          </w:rPr>
          <w:t>65</w:t>
        </w:r>
        <w:r w:rsidR="00214572">
          <w:rPr>
            <w:webHidden/>
          </w:rPr>
          <w:fldChar w:fldCharType="end"/>
        </w:r>
      </w:hyperlink>
    </w:p>
    <w:p w:rsidR="00214572" w:rsidRDefault="003E3FD8">
      <w:pPr>
        <w:pStyle w:val="TOC2"/>
        <w:rPr>
          <w:rFonts w:asciiTheme="minorHAnsi" w:eastAsiaTheme="minorEastAsia" w:hAnsiTheme="minorHAnsi"/>
          <w:b w:val="0"/>
          <w:color w:val="auto"/>
          <w:sz w:val="22"/>
          <w:lang w:eastAsia="en-AU"/>
        </w:rPr>
      </w:pPr>
      <w:hyperlink w:anchor="_Toc468276112" w:history="1">
        <w:r w:rsidR="00214572" w:rsidRPr="008459BF">
          <w:rPr>
            <w:rStyle w:val="Hyperlink"/>
          </w:rPr>
          <w:t>4.9</w:t>
        </w:r>
        <w:r w:rsidR="00214572">
          <w:rPr>
            <w:rFonts w:asciiTheme="minorHAnsi" w:eastAsiaTheme="minorEastAsia" w:hAnsiTheme="minorHAnsi"/>
            <w:b w:val="0"/>
            <w:color w:val="auto"/>
            <w:sz w:val="22"/>
            <w:lang w:eastAsia="en-AU"/>
          </w:rPr>
          <w:tab/>
        </w:r>
        <w:r w:rsidR="00214572" w:rsidRPr="008459BF">
          <w:rPr>
            <w:rStyle w:val="Hyperlink"/>
          </w:rPr>
          <w:t>Conversion of an existing site (Brownfield conversion)</w:t>
        </w:r>
        <w:r w:rsidR="00214572">
          <w:rPr>
            <w:webHidden/>
          </w:rPr>
          <w:tab/>
        </w:r>
        <w:r w:rsidR="00214572">
          <w:rPr>
            <w:webHidden/>
          </w:rPr>
          <w:fldChar w:fldCharType="begin"/>
        </w:r>
        <w:r w:rsidR="00214572">
          <w:rPr>
            <w:webHidden/>
          </w:rPr>
          <w:instrText xml:space="preserve"> PAGEREF _Toc468276112 \h </w:instrText>
        </w:r>
        <w:r w:rsidR="00214572">
          <w:rPr>
            <w:webHidden/>
          </w:rPr>
        </w:r>
        <w:r w:rsidR="00214572">
          <w:rPr>
            <w:webHidden/>
          </w:rPr>
          <w:fldChar w:fldCharType="separate"/>
        </w:r>
        <w:r w:rsidR="00214572">
          <w:rPr>
            <w:webHidden/>
          </w:rPr>
          <w:t>67</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113" w:history="1">
        <w:r w:rsidR="00214572" w:rsidRPr="008459BF">
          <w:rPr>
            <w:rStyle w:val="Hyperlink"/>
          </w:rPr>
          <w:t>4.9.1</w:t>
        </w:r>
        <w:r w:rsidR="00214572">
          <w:rPr>
            <w:rFonts w:asciiTheme="minorHAnsi" w:eastAsiaTheme="minorEastAsia" w:hAnsiTheme="minorHAnsi"/>
            <w:lang w:eastAsia="en-AU"/>
          </w:rPr>
          <w:tab/>
        </w:r>
        <w:r w:rsidR="00214572" w:rsidRPr="008459BF">
          <w:rPr>
            <w:rStyle w:val="Hyperlink"/>
          </w:rPr>
          <w:t>Provision of retrofit information</w:t>
        </w:r>
        <w:r w:rsidR="00214572">
          <w:rPr>
            <w:webHidden/>
          </w:rPr>
          <w:tab/>
        </w:r>
        <w:r w:rsidR="00214572">
          <w:rPr>
            <w:webHidden/>
          </w:rPr>
          <w:fldChar w:fldCharType="begin"/>
        </w:r>
        <w:r w:rsidR="00214572">
          <w:rPr>
            <w:webHidden/>
          </w:rPr>
          <w:instrText xml:space="preserve"> PAGEREF _Toc468276113 \h </w:instrText>
        </w:r>
        <w:r w:rsidR="00214572">
          <w:rPr>
            <w:webHidden/>
          </w:rPr>
        </w:r>
        <w:r w:rsidR="00214572">
          <w:rPr>
            <w:webHidden/>
          </w:rPr>
          <w:fldChar w:fldCharType="separate"/>
        </w:r>
        <w:r w:rsidR="00214572">
          <w:rPr>
            <w:webHidden/>
          </w:rPr>
          <w:t>67</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114" w:history="1">
        <w:r w:rsidR="00214572" w:rsidRPr="008459BF">
          <w:rPr>
            <w:rStyle w:val="Hyperlink"/>
          </w:rPr>
          <w:t>4.9.2</w:t>
        </w:r>
        <w:r w:rsidR="00214572">
          <w:rPr>
            <w:rFonts w:asciiTheme="minorHAnsi" w:eastAsiaTheme="minorEastAsia" w:hAnsiTheme="minorHAnsi"/>
            <w:lang w:eastAsia="en-AU"/>
          </w:rPr>
          <w:tab/>
        </w:r>
        <w:r w:rsidR="00214572" w:rsidRPr="008459BF">
          <w:rPr>
            <w:rStyle w:val="Hyperlink"/>
          </w:rPr>
          <w:t>Collecting and recording explicit informed consent</w:t>
        </w:r>
        <w:r w:rsidR="00214572">
          <w:rPr>
            <w:webHidden/>
          </w:rPr>
          <w:tab/>
        </w:r>
        <w:r w:rsidR="00214572">
          <w:rPr>
            <w:webHidden/>
          </w:rPr>
          <w:fldChar w:fldCharType="begin"/>
        </w:r>
        <w:r w:rsidR="00214572">
          <w:rPr>
            <w:webHidden/>
          </w:rPr>
          <w:instrText xml:space="preserve"> PAGEREF _Toc468276114 \h </w:instrText>
        </w:r>
        <w:r w:rsidR="00214572">
          <w:rPr>
            <w:webHidden/>
          </w:rPr>
        </w:r>
        <w:r w:rsidR="00214572">
          <w:rPr>
            <w:webHidden/>
          </w:rPr>
          <w:fldChar w:fldCharType="separate"/>
        </w:r>
        <w:r w:rsidR="00214572">
          <w:rPr>
            <w:webHidden/>
          </w:rPr>
          <w:t>67</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115" w:history="1">
        <w:r w:rsidR="00214572" w:rsidRPr="008459BF">
          <w:rPr>
            <w:rStyle w:val="Hyperlink"/>
          </w:rPr>
          <w:t>4.9.3</w:t>
        </w:r>
        <w:r w:rsidR="00214572">
          <w:rPr>
            <w:rFonts w:asciiTheme="minorHAnsi" w:eastAsiaTheme="minorEastAsia" w:hAnsiTheme="minorHAnsi"/>
            <w:lang w:eastAsia="en-AU"/>
          </w:rPr>
          <w:tab/>
        </w:r>
        <w:r w:rsidR="00214572" w:rsidRPr="008459BF">
          <w:rPr>
            <w:rStyle w:val="Hyperlink"/>
          </w:rPr>
          <w:t>Offer matching for large customers</w:t>
        </w:r>
        <w:r w:rsidR="00214572">
          <w:rPr>
            <w:webHidden/>
          </w:rPr>
          <w:tab/>
        </w:r>
        <w:r w:rsidR="00214572">
          <w:rPr>
            <w:webHidden/>
          </w:rPr>
          <w:fldChar w:fldCharType="begin"/>
        </w:r>
        <w:r w:rsidR="00214572">
          <w:rPr>
            <w:webHidden/>
          </w:rPr>
          <w:instrText xml:space="preserve"> PAGEREF _Toc468276115 \h </w:instrText>
        </w:r>
        <w:r w:rsidR="00214572">
          <w:rPr>
            <w:webHidden/>
          </w:rPr>
        </w:r>
        <w:r w:rsidR="00214572">
          <w:rPr>
            <w:webHidden/>
          </w:rPr>
          <w:fldChar w:fldCharType="separate"/>
        </w:r>
        <w:r w:rsidR="00214572">
          <w:rPr>
            <w:webHidden/>
          </w:rPr>
          <w:t>68</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116" w:history="1">
        <w:r w:rsidR="00214572" w:rsidRPr="008459BF">
          <w:rPr>
            <w:rStyle w:val="Hyperlink"/>
          </w:rPr>
          <w:t>4.9.4</w:t>
        </w:r>
        <w:r w:rsidR="00214572">
          <w:rPr>
            <w:rFonts w:asciiTheme="minorHAnsi" w:eastAsiaTheme="minorEastAsia" w:hAnsiTheme="minorHAnsi"/>
            <w:lang w:eastAsia="en-AU"/>
          </w:rPr>
          <w:tab/>
        </w:r>
        <w:r w:rsidR="00214572" w:rsidRPr="008459BF">
          <w:rPr>
            <w:rStyle w:val="Hyperlink"/>
          </w:rPr>
          <w:t>Offer matching for small customers</w:t>
        </w:r>
        <w:r w:rsidR="00214572">
          <w:rPr>
            <w:webHidden/>
          </w:rPr>
          <w:tab/>
        </w:r>
        <w:r w:rsidR="00214572">
          <w:rPr>
            <w:webHidden/>
          </w:rPr>
          <w:fldChar w:fldCharType="begin"/>
        </w:r>
        <w:r w:rsidR="00214572">
          <w:rPr>
            <w:webHidden/>
          </w:rPr>
          <w:instrText xml:space="preserve"> PAGEREF _Toc468276116 \h </w:instrText>
        </w:r>
        <w:r w:rsidR="00214572">
          <w:rPr>
            <w:webHidden/>
          </w:rPr>
        </w:r>
        <w:r w:rsidR="00214572">
          <w:rPr>
            <w:webHidden/>
          </w:rPr>
          <w:fldChar w:fldCharType="separate"/>
        </w:r>
        <w:r w:rsidR="00214572">
          <w:rPr>
            <w:webHidden/>
          </w:rPr>
          <w:t>68</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117" w:history="1">
        <w:r w:rsidR="00214572" w:rsidRPr="008459BF">
          <w:rPr>
            <w:rStyle w:val="Hyperlink"/>
          </w:rPr>
          <w:t>4.9.5</w:t>
        </w:r>
        <w:r w:rsidR="00214572">
          <w:rPr>
            <w:rFonts w:asciiTheme="minorHAnsi" w:eastAsiaTheme="minorEastAsia" w:hAnsiTheme="minorHAnsi"/>
            <w:lang w:eastAsia="en-AU"/>
          </w:rPr>
          <w:tab/>
        </w:r>
        <w:r w:rsidR="00214572" w:rsidRPr="008459BF">
          <w:rPr>
            <w:rStyle w:val="Hyperlink"/>
          </w:rPr>
          <w:t>Duplication of network charges</w:t>
        </w:r>
        <w:r w:rsidR="00214572">
          <w:rPr>
            <w:webHidden/>
          </w:rPr>
          <w:tab/>
        </w:r>
        <w:r w:rsidR="00214572">
          <w:rPr>
            <w:webHidden/>
          </w:rPr>
          <w:fldChar w:fldCharType="begin"/>
        </w:r>
        <w:r w:rsidR="00214572">
          <w:rPr>
            <w:webHidden/>
          </w:rPr>
          <w:instrText xml:space="preserve"> PAGEREF _Toc468276117 \h </w:instrText>
        </w:r>
        <w:r w:rsidR="00214572">
          <w:rPr>
            <w:webHidden/>
          </w:rPr>
        </w:r>
        <w:r w:rsidR="00214572">
          <w:rPr>
            <w:webHidden/>
          </w:rPr>
          <w:fldChar w:fldCharType="separate"/>
        </w:r>
        <w:r w:rsidR="00214572">
          <w:rPr>
            <w:webHidden/>
          </w:rPr>
          <w:t>69</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118" w:history="1">
        <w:r w:rsidR="00214572" w:rsidRPr="008459BF">
          <w:rPr>
            <w:rStyle w:val="Hyperlink"/>
          </w:rPr>
          <w:t>4.9.6</w:t>
        </w:r>
        <w:r w:rsidR="00214572">
          <w:rPr>
            <w:rFonts w:asciiTheme="minorHAnsi" w:eastAsiaTheme="minorEastAsia" w:hAnsiTheme="minorHAnsi"/>
            <w:lang w:eastAsia="en-AU"/>
          </w:rPr>
          <w:tab/>
        </w:r>
        <w:r w:rsidR="00214572" w:rsidRPr="008459BF">
          <w:rPr>
            <w:rStyle w:val="Hyperlink"/>
          </w:rPr>
          <w:t>Metering arrangements</w:t>
        </w:r>
        <w:r w:rsidR="00214572">
          <w:rPr>
            <w:webHidden/>
          </w:rPr>
          <w:tab/>
        </w:r>
        <w:r w:rsidR="00214572">
          <w:rPr>
            <w:webHidden/>
          </w:rPr>
          <w:fldChar w:fldCharType="begin"/>
        </w:r>
        <w:r w:rsidR="00214572">
          <w:rPr>
            <w:webHidden/>
          </w:rPr>
          <w:instrText xml:space="preserve"> PAGEREF _Toc468276118 \h </w:instrText>
        </w:r>
        <w:r w:rsidR="00214572">
          <w:rPr>
            <w:webHidden/>
          </w:rPr>
        </w:r>
        <w:r w:rsidR="00214572">
          <w:rPr>
            <w:webHidden/>
          </w:rPr>
          <w:fldChar w:fldCharType="separate"/>
        </w:r>
        <w:r w:rsidR="00214572">
          <w:rPr>
            <w:webHidden/>
          </w:rPr>
          <w:t>69</w:t>
        </w:r>
        <w:r w:rsidR="00214572">
          <w:rPr>
            <w:webHidden/>
          </w:rPr>
          <w:fldChar w:fldCharType="end"/>
        </w:r>
      </w:hyperlink>
    </w:p>
    <w:p w:rsidR="00214572" w:rsidRDefault="003E3FD8">
      <w:pPr>
        <w:pStyle w:val="TOC3"/>
        <w:rPr>
          <w:rFonts w:asciiTheme="minorHAnsi" w:eastAsiaTheme="minorEastAsia" w:hAnsiTheme="minorHAnsi"/>
          <w:lang w:eastAsia="en-AU"/>
        </w:rPr>
      </w:pPr>
      <w:hyperlink w:anchor="_Toc468276119" w:history="1">
        <w:r w:rsidR="00214572" w:rsidRPr="008459BF">
          <w:rPr>
            <w:rStyle w:val="Hyperlink"/>
          </w:rPr>
          <w:t>4.9.7</w:t>
        </w:r>
        <w:r w:rsidR="00214572">
          <w:rPr>
            <w:rFonts w:asciiTheme="minorHAnsi" w:eastAsiaTheme="minorEastAsia" w:hAnsiTheme="minorHAnsi"/>
            <w:lang w:eastAsia="en-AU"/>
          </w:rPr>
          <w:tab/>
        </w:r>
        <w:r w:rsidR="00214572" w:rsidRPr="008459BF">
          <w:rPr>
            <w:rStyle w:val="Hyperlink"/>
          </w:rPr>
          <w:t>Approval by the AER</w:t>
        </w:r>
        <w:r w:rsidR="00214572">
          <w:rPr>
            <w:webHidden/>
          </w:rPr>
          <w:tab/>
        </w:r>
        <w:r w:rsidR="00214572">
          <w:rPr>
            <w:webHidden/>
          </w:rPr>
          <w:fldChar w:fldCharType="begin"/>
        </w:r>
        <w:r w:rsidR="00214572">
          <w:rPr>
            <w:webHidden/>
          </w:rPr>
          <w:instrText xml:space="preserve"> PAGEREF _Toc468276119 \h </w:instrText>
        </w:r>
        <w:r w:rsidR="00214572">
          <w:rPr>
            <w:webHidden/>
          </w:rPr>
        </w:r>
        <w:r w:rsidR="00214572">
          <w:rPr>
            <w:webHidden/>
          </w:rPr>
          <w:fldChar w:fldCharType="separate"/>
        </w:r>
        <w:r w:rsidR="00214572">
          <w:rPr>
            <w:webHidden/>
          </w:rPr>
          <w:t>69</w:t>
        </w:r>
        <w:r w:rsidR="00214572">
          <w:rPr>
            <w:webHidden/>
          </w:rPr>
          <w:fldChar w:fldCharType="end"/>
        </w:r>
      </w:hyperlink>
    </w:p>
    <w:p w:rsidR="00214572" w:rsidRDefault="003E3FD8">
      <w:pPr>
        <w:pStyle w:val="TOC1"/>
        <w:rPr>
          <w:rFonts w:asciiTheme="minorHAnsi" w:eastAsiaTheme="minorEastAsia" w:hAnsiTheme="minorHAnsi"/>
          <w:b w:val="0"/>
          <w:color w:val="auto"/>
          <w:sz w:val="22"/>
          <w:lang w:val="en-AU" w:eastAsia="en-AU"/>
        </w:rPr>
      </w:pPr>
      <w:hyperlink w:anchor="_Toc468276120" w:history="1">
        <w:r w:rsidR="00214572" w:rsidRPr="008459BF">
          <w:rPr>
            <w:rStyle w:val="Hyperlink"/>
          </w:rPr>
          <w:t>5</w:t>
        </w:r>
        <w:r w:rsidR="00214572">
          <w:rPr>
            <w:rFonts w:asciiTheme="minorHAnsi" w:eastAsiaTheme="minorEastAsia" w:hAnsiTheme="minorHAnsi"/>
            <w:b w:val="0"/>
            <w:color w:val="auto"/>
            <w:sz w:val="22"/>
            <w:lang w:val="en-AU" w:eastAsia="en-AU"/>
          </w:rPr>
          <w:tab/>
        </w:r>
        <w:r w:rsidR="00214572" w:rsidRPr="008459BF">
          <w:rPr>
            <w:rStyle w:val="Hyperlink"/>
          </w:rPr>
          <w:t>Part C – Registration, Applications and Revocation</w:t>
        </w:r>
        <w:r w:rsidR="00214572">
          <w:rPr>
            <w:webHidden/>
          </w:rPr>
          <w:tab/>
        </w:r>
        <w:r w:rsidR="00214572">
          <w:rPr>
            <w:webHidden/>
          </w:rPr>
          <w:fldChar w:fldCharType="begin"/>
        </w:r>
        <w:r w:rsidR="00214572">
          <w:rPr>
            <w:webHidden/>
          </w:rPr>
          <w:instrText xml:space="preserve"> PAGEREF _Toc468276120 \h </w:instrText>
        </w:r>
        <w:r w:rsidR="00214572">
          <w:rPr>
            <w:webHidden/>
          </w:rPr>
        </w:r>
        <w:r w:rsidR="00214572">
          <w:rPr>
            <w:webHidden/>
          </w:rPr>
          <w:fldChar w:fldCharType="separate"/>
        </w:r>
        <w:r w:rsidR="00214572">
          <w:rPr>
            <w:webHidden/>
          </w:rPr>
          <w:t>71</w:t>
        </w:r>
        <w:r w:rsidR="00214572">
          <w:rPr>
            <w:webHidden/>
          </w:rPr>
          <w:fldChar w:fldCharType="end"/>
        </w:r>
      </w:hyperlink>
    </w:p>
    <w:p w:rsidR="00214572" w:rsidRDefault="003E3FD8">
      <w:pPr>
        <w:pStyle w:val="TOC2"/>
        <w:rPr>
          <w:rFonts w:asciiTheme="minorHAnsi" w:eastAsiaTheme="minorEastAsia" w:hAnsiTheme="minorHAnsi"/>
          <w:b w:val="0"/>
          <w:color w:val="auto"/>
          <w:sz w:val="22"/>
          <w:lang w:eastAsia="en-AU"/>
        </w:rPr>
      </w:pPr>
      <w:hyperlink w:anchor="_Toc468276121" w:history="1">
        <w:r w:rsidR="00214572" w:rsidRPr="008459BF">
          <w:rPr>
            <w:rStyle w:val="Hyperlink"/>
          </w:rPr>
          <w:t>5.1</w:t>
        </w:r>
        <w:r w:rsidR="00214572">
          <w:rPr>
            <w:rFonts w:asciiTheme="minorHAnsi" w:eastAsiaTheme="minorEastAsia" w:hAnsiTheme="minorHAnsi"/>
            <w:b w:val="0"/>
            <w:color w:val="auto"/>
            <w:sz w:val="22"/>
            <w:lang w:eastAsia="en-AU"/>
          </w:rPr>
          <w:tab/>
        </w:r>
        <w:r w:rsidR="00214572" w:rsidRPr="008459BF">
          <w:rPr>
            <w:rStyle w:val="Hyperlink"/>
          </w:rPr>
          <w:t>Pre–registration</w:t>
        </w:r>
        <w:r w:rsidR="00214572">
          <w:rPr>
            <w:webHidden/>
          </w:rPr>
          <w:tab/>
        </w:r>
        <w:r w:rsidR="00214572">
          <w:rPr>
            <w:webHidden/>
          </w:rPr>
          <w:fldChar w:fldCharType="begin"/>
        </w:r>
        <w:r w:rsidR="00214572">
          <w:rPr>
            <w:webHidden/>
          </w:rPr>
          <w:instrText xml:space="preserve"> PAGEREF _Toc468276121 \h </w:instrText>
        </w:r>
        <w:r w:rsidR="00214572">
          <w:rPr>
            <w:webHidden/>
          </w:rPr>
        </w:r>
        <w:r w:rsidR="00214572">
          <w:rPr>
            <w:webHidden/>
          </w:rPr>
          <w:fldChar w:fldCharType="separate"/>
        </w:r>
        <w:r w:rsidR="00214572">
          <w:rPr>
            <w:webHidden/>
          </w:rPr>
          <w:t>71</w:t>
        </w:r>
        <w:r w:rsidR="00214572">
          <w:rPr>
            <w:webHidden/>
          </w:rPr>
          <w:fldChar w:fldCharType="end"/>
        </w:r>
      </w:hyperlink>
    </w:p>
    <w:p w:rsidR="00214572" w:rsidRDefault="003E3FD8">
      <w:pPr>
        <w:pStyle w:val="TOC2"/>
        <w:rPr>
          <w:rFonts w:asciiTheme="minorHAnsi" w:eastAsiaTheme="minorEastAsia" w:hAnsiTheme="minorHAnsi"/>
          <w:b w:val="0"/>
          <w:color w:val="auto"/>
          <w:sz w:val="22"/>
          <w:lang w:eastAsia="en-AU"/>
        </w:rPr>
      </w:pPr>
      <w:hyperlink w:anchor="_Toc468276122" w:history="1">
        <w:r w:rsidR="00214572" w:rsidRPr="008459BF">
          <w:rPr>
            <w:rStyle w:val="Hyperlink"/>
          </w:rPr>
          <w:t>5.2</w:t>
        </w:r>
        <w:r w:rsidR="00214572">
          <w:rPr>
            <w:rFonts w:asciiTheme="minorHAnsi" w:eastAsiaTheme="minorEastAsia" w:hAnsiTheme="minorHAnsi"/>
            <w:b w:val="0"/>
            <w:color w:val="auto"/>
            <w:sz w:val="22"/>
            <w:lang w:eastAsia="en-AU"/>
          </w:rPr>
          <w:tab/>
        </w:r>
        <w:r w:rsidR="00214572" w:rsidRPr="008459BF">
          <w:rPr>
            <w:rStyle w:val="Hyperlink"/>
          </w:rPr>
          <w:t>Registrable exemption information requirements</w:t>
        </w:r>
        <w:r w:rsidR="00214572">
          <w:rPr>
            <w:webHidden/>
          </w:rPr>
          <w:tab/>
        </w:r>
        <w:r w:rsidR="00214572">
          <w:rPr>
            <w:webHidden/>
          </w:rPr>
          <w:fldChar w:fldCharType="begin"/>
        </w:r>
        <w:r w:rsidR="00214572">
          <w:rPr>
            <w:webHidden/>
          </w:rPr>
          <w:instrText xml:space="preserve"> PAGEREF _Toc468276122 \h </w:instrText>
        </w:r>
        <w:r w:rsidR="00214572">
          <w:rPr>
            <w:webHidden/>
          </w:rPr>
        </w:r>
        <w:r w:rsidR="00214572">
          <w:rPr>
            <w:webHidden/>
          </w:rPr>
          <w:fldChar w:fldCharType="separate"/>
        </w:r>
        <w:r w:rsidR="00214572">
          <w:rPr>
            <w:webHidden/>
          </w:rPr>
          <w:t>71</w:t>
        </w:r>
        <w:r w:rsidR="00214572">
          <w:rPr>
            <w:webHidden/>
          </w:rPr>
          <w:fldChar w:fldCharType="end"/>
        </w:r>
      </w:hyperlink>
    </w:p>
    <w:p w:rsidR="00214572" w:rsidRDefault="003E3FD8">
      <w:pPr>
        <w:pStyle w:val="TOC2"/>
        <w:rPr>
          <w:rFonts w:asciiTheme="minorHAnsi" w:eastAsiaTheme="minorEastAsia" w:hAnsiTheme="minorHAnsi"/>
          <w:b w:val="0"/>
          <w:color w:val="auto"/>
          <w:sz w:val="22"/>
          <w:lang w:eastAsia="en-AU"/>
        </w:rPr>
      </w:pPr>
      <w:hyperlink w:anchor="_Toc468276123" w:history="1">
        <w:r w:rsidR="00214572" w:rsidRPr="008459BF">
          <w:rPr>
            <w:rStyle w:val="Hyperlink"/>
          </w:rPr>
          <w:t>5.3</w:t>
        </w:r>
        <w:r w:rsidR="00214572">
          <w:rPr>
            <w:rFonts w:asciiTheme="minorHAnsi" w:eastAsiaTheme="minorEastAsia" w:hAnsiTheme="minorHAnsi"/>
            <w:b w:val="0"/>
            <w:color w:val="auto"/>
            <w:sz w:val="22"/>
            <w:lang w:eastAsia="en-AU"/>
          </w:rPr>
          <w:tab/>
        </w:r>
        <w:r w:rsidR="00214572" w:rsidRPr="008459BF">
          <w:rPr>
            <w:rStyle w:val="Hyperlink"/>
          </w:rPr>
          <w:t>Application for individual exemption or variation of conditions</w:t>
        </w:r>
        <w:r w:rsidR="00214572">
          <w:rPr>
            <w:webHidden/>
          </w:rPr>
          <w:tab/>
        </w:r>
        <w:r w:rsidR="00214572">
          <w:rPr>
            <w:webHidden/>
          </w:rPr>
          <w:fldChar w:fldCharType="begin"/>
        </w:r>
        <w:r w:rsidR="00214572">
          <w:rPr>
            <w:webHidden/>
          </w:rPr>
          <w:instrText xml:space="preserve"> PAGEREF _Toc468276123 \h </w:instrText>
        </w:r>
        <w:r w:rsidR="00214572">
          <w:rPr>
            <w:webHidden/>
          </w:rPr>
        </w:r>
        <w:r w:rsidR="00214572">
          <w:rPr>
            <w:webHidden/>
          </w:rPr>
          <w:fldChar w:fldCharType="separate"/>
        </w:r>
        <w:r w:rsidR="00214572">
          <w:rPr>
            <w:webHidden/>
          </w:rPr>
          <w:t>72</w:t>
        </w:r>
        <w:r w:rsidR="00214572">
          <w:rPr>
            <w:webHidden/>
          </w:rPr>
          <w:fldChar w:fldCharType="end"/>
        </w:r>
      </w:hyperlink>
    </w:p>
    <w:p w:rsidR="00214572" w:rsidRDefault="003E3FD8">
      <w:pPr>
        <w:pStyle w:val="TOC2"/>
        <w:rPr>
          <w:rFonts w:asciiTheme="minorHAnsi" w:eastAsiaTheme="minorEastAsia" w:hAnsiTheme="minorHAnsi"/>
          <w:b w:val="0"/>
          <w:color w:val="auto"/>
          <w:sz w:val="22"/>
          <w:lang w:eastAsia="en-AU"/>
        </w:rPr>
      </w:pPr>
      <w:hyperlink w:anchor="_Toc468276124" w:history="1">
        <w:r w:rsidR="00214572" w:rsidRPr="008459BF">
          <w:rPr>
            <w:rStyle w:val="Hyperlink"/>
          </w:rPr>
          <w:t>5.4</w:t>
        </w:r>
        <w:r w:rsidR="00214572">
          <w:rPr>
            <w:rFonts w:asciiTheme="minorHAnsi" w:eastAsiaTheme="minorEastAsia" w:hAnsiTheme="minorHAnsi"/>
            <w:b w:val="0"/>
            <w:color w:val="auto"/>
            <w:sz w:val="22"/>
            <w:lang w:eastAsia="en-AU"/>
          </w:rPr>
          <w:tab/>
        </w:r>
        <w:r w:rsidR="00214572" w:rsidRPr="008459BF">
          <w:rPr>
            <w:rStyle w:val="Hyperlink"/>
          </w:rPr>
          <w:t>Revocation of an exemption</w:t>
        </w:r>
        <w:r w:rsidR="00214572">
          <w:rPr>
            <w:webHidden/>
          </w:rPr>
          <w:tab/>
        </w:r>
        <w:r w:rsidR="00214572">
          <w:rPr>
            <w:webHidden/>
          </w:rPr>
          <w:fldChar w:fldCharType="begin"/>
        </w:r>
        <w:r w:rsidR="00214572">
          <w:rPr>
            <w:webHidden/>
          </w:rPr>
          <w:instrText xml:space="preserve"> PAGEREF _Toc468276124 \h </w:instrText>
        </w:r>
        <w:r w:rsidR="00214572">
          <w:rPr>
            <w:webHidden/>
          </w:rPr>
        </w:r>
        <w:r w:rsidR="00214572">
          <w:rPr>
            <w:webHidden/>
          </w:rPr>
          <w:fldChar w:fldCharType="separate"/>
        </w:r>
        <w:r w:rsidR="00214572">
          <w:rPr>
            <w:webHidden/>
          </w:rPr>
          <w:t>73</w:t>
        </w:r>
        <w:r w:rsidR="00214572">
          <w:rPr>
            <w:webHidden/>
          </w:rPr>
          <w:fldChar w:fldCharType="end"/>
        </w:r>
      </w:hyperlink>
    </w:p>
    <w:p w:rsidR="00214572" w:rsidRDefault="003E3FD8">
      <w:pPr>
        <w:pStyle w:val="TOC2"/>
        <w:rPr>
          <w:rFonts w:asciiTheme="minorHAnsi" w:eastAsiaTheme="minorEastAsia" w:hAnsiTheme="minorHAnsi"/>
          <w:b w:val="0"/>
          <w:color w:val="auto"/>
          <w:sz w:val="22"/>
          <w:lang w:eastAsia="en-AU"/>
        </w:rPr>
      </w:pPr>
      <w:hyperlink w:anchor="_Toc468276125" w:history="1">
        <w:r w:rsidR="00214572" w:rsidRPr="008459BF">
          <w:rPr>
            <w:rStyle w:val="Hyperlink"/>
          </w:rPr>
          <w:t>5.5</w:t>
        </w:r>
        <w:r w:rsidR="00214572">
          <w:rPr>
            <w:rFonts w:asciiTheme="minorHAnsi" w:eastAsiaTheme="minorEastAsia" w:hAnsiTheme="minorHAnsi"/>
            <w:b w:val="0"/>
            <w:color w:val="auto"/>
            <w:sz w:val="22"/>
            <w:lang w:eastAsia="en-AU"/>
          </w:rPr>
          <w:tab/>
        </w:r>
        <w:r w:rsidR="00214572" w:rsidRPr="008459BF">
          <w:rPr>
            <w:rStyle w:val="Hyperlink"/>
          </w:rPr>
          <w:t>Transfer, amendment or cessation of an exemption</w:t>
        </w:r>
        <w:r w:rsidR="00214572">
          <w:rPr>
            <w:webHidden/>
          </w:rPr>
          <w:tab/>
        </w:r>
        <w:r w:rsidR="00214572">
          <w:rPr>
            <w:webHidden/>
          </w:rPr>
          <w:fldChar w:fldCharType="begin"/>
        </w:r>
        <w:r w:rsidR="00214572">
          <w:rPr>
            <w:webHidden/>
          </w:rPr>
          <w:instrText xml:space="preserve"> PAGEREF _Toc468276125 \h </w:instrText>
        </w:r>
        <w:r w:rsidR="00214572">
          <w:rPr>
            <w:webHidden/>
          </w:rPr>
        </w:r>
        <w:r w:rsidR="00214572">
          <w:rPr>
            <w:webHidden/>
          </w:rPr>
          <w:fldChar w:fldCharType="separate"/>
        </w:r>
        <w:r w:rsidR="00214572">
          <w:rPr>
            <w:webHidden/>
          </w:rPr>
          <w:t>74</w:t>
        </w:r>
        <w:r w:rsidR="00214572">
          <w:rPr>
            <w:webHidden/>
          </w:rPr>
          <w:fldChar w:fldCharType="end"/>
        </w:r>
      </w:hyperlink>
    </w:p>
    <w:p w:rsidR="0020492C" w:rsidRDefault="00A75077" w:rsidP="009F5BA1">
      <w:r>
        <w:fldChar w:fldCharType="end"/>
      </w:r>
      <w:r w:rsidR="0020492C">
        <w:tab/>
      </w:r>
    </w:p>
    <w:p w:rsidR="0020492C" w:rsidRDefault="0020492C" w:rsidP="0020492C">
      <w:bookmarkStart w:id="0" w:name="_Toc213047617"/>
    </w:p>
    <w:p w:rsidR="0020492C" w:rsidRDefault="0020492C" w:rsidP="0020492C">
      <w:pPr>
        <w:sectPr w:rsidR="0020492C" w:rsidSect="007A4D1F">
          <w:footerReference w:type="default" r:id="rId12"/>
          <w:pgSz w:w="11906" w:h="16838" w:code="9"/>
          <w:pgMar w:top="1440" w:right="1700" w:bottom="1582" w:left="1729" w:header="720" w:footer="1009" w:gutter="0"/>
          <w:pgNumType w:fmt="lowerRoman"/>
          <w:cols w:space="720"/>
          <w:docGrid w:linePitch="326"/>
        </w:sectPr>
      </w:pPr>
    </w:p>
    <w:p w:rsidR="0031679C" w:rsidRPr="006819BE" w:rsidRDefault="0031679C" w:rsidP="0031679C">
      <w:pPr>
        <w:pStyle w:val="Caption"/>
      </w:pPr>
      <w:r w:rsidRPr="006819BE">
        <w:lastRenderedPageBreak/>
        <w:t>Glossary</w:t>
      </w:r>
    </w:p>
    <w:p w:rsidR="0031679C" w:rsidRPr="006819BE" w:rsidRDefault="0031679C" w:rsidP="0031679C">
      <w:pPr>
        <w:pStyle w:val="Tabletitle"/>
      </w:pPr>
      <w:r w:rsidRPr="006819BE">
        <w:t>This guideline uses the following definitions</w:t>
      </w:r>
    </w:p>
    <w:tbl>
      <w:tblPr>
        <w:tblStyle w:val="AERTable-Text"/>
        <w:tblW w:w="0" w:type="auto"/>
        <w:tblLook w:val="04A0" w:firstRow="1" w:lastRow="0" w:firstColumn="1" w:lastColumn="0" w:noHBand="0" w:noVBand="1"/>
      </w:tblPr>
      <w:tblGrid>
        <w:gridCol w:w="3510"/>
        <w:gridCol w:w="5732"/>
      </w:tblGrid>
      <w:tr w:rsidR="0031679C" w:rsidRPr="00AC35B7" w:rsidTr="00BF1280">
        <w:trPr>
          <w:cnfStyle w:val="100000000000" w:firstRow="1" w:lastRow="0" w:firstColumn="0" w:lastColumn="0" w:oddVBand="0" w:evenVBand="0" w:oddHBand="0" w:evenHBand="0" w:firstRowFirstColumn="0" w:firstRowLastColumn="0" w:lastRowFirstColumn="0" w:lastRowLastColumn="0"/>
        </w:trPr>
        <w:tc>
          <w:tcPr>
            <w:tcW w:w="3510" w:type="dxa"/>
          </w:tcPr>
          <w:p w:rsidR="0031679C" w:rsidRPr="0031679C" w:rsidRDefault="0031679C" w:rsidP="0031679C">
            <w:r w:rsidRPr="006819BE">
              <w:t>Term</w:t>
            </w:r>
          </w:p>
        </w:tc>
        <w:tc>
          <w:tcPr>
            <w:tcW w:w="5732" w:type="dxa"/>
          </w:tcPr>
          <w:p w:rsidR="0031679C" w:rsidRPr="0031679C" w:rsidRDefault="0031679C" w:rsidP="0031679C">
            <w:r w:rsidRPr="006819BE">
              <w:t>Definition</w:t>
            </w:r>
          </w:p>
        </w:tc>
      </w:tr>
      <w:tr w:rsidR="0031679C" w:rsidRPr="00AC35B7" w:rsidTr="00BF1280">
        <w:tc>
          <w:tcPr>
            <w:tcW w:w="3510" w:type="dxa"/>
          </w:tcPr>
          <w:p w:rsidR="0031679C" w:rsidRPr="0031679C" w:rsidRDefault="0031679C" w:rsidP="0031679C">
            <w:r w:rsidRPr="006819BE">
              <w:t>ABN</w:t>
            </w:r>
          </w:p>
        </w:tc>
        <w:tc>
          <w:tcPr>
            <w:tcW w:w="5732" w:type="dxa"/>
          </w:tcPr>
          <w:p w:rsidR="0031679C" w:rsidRPr="0031679C" w:rsidRDefault="0031679C" w:rsidP="0031679C">
            <w:r w:rsidRPr="006819BE">
              <w:t>Australian Business Number</w:t>
            </w:r>
          </w:p>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rsidRPr="006819BE">
              <w:t>ACN</w:t>
            </w:r>
          </w:p>
        </w:tc>
        <w:tc>
          <w:tcPr>
            <w:tcW w:w="5732" w:type="dxa"/>
          </w:tcPr>
          <w:p w:rsidR="0031679C" w:rsidRPr="0031679C" w:rsidRDefault="0031679C" w:rsidP="0031679C">
            <w:r w:rsidRPr="006819BE">
              <w:t>Australian Company Number</w:t>
            </w:r>
          </w:p>
        </w:tc>
      </w:tr>
      <w:tr w:rsidR="0031679C" w:rsidRPr="00AC35B7" w:rsidTr="00BF1280">
        <w:tc>
          <w:tcPr>
            <w:tcW w:w="3510" w:type="dxa"/>
          </w:tcPr>
          <w:p w:rsidR="0031679C" w:rsidRPr="0031679C" w:rsidRDefault="0031679C" w:rsidP="0031679C">
            <w:r w:rsidRPr="006819BE">
              <w:t>AEMO</w:t>
            </w:r>
          </w:p>
        </w:tc>
        <w:tc>
          <w:tcPr>
            <w:tcW w:w="5732" w:type="dxa"/>
          </w:tcPr>
          <w:p w:rsidR="0031679C" w:rsidRPr="0031679C" w:rsidRDefault="0031679C" w:rsidP="0031679C">
            <w:r w:rsidRPr="006819BE">
              <w:t>Australian Energy Market Operator</w:t>
            </w:r>
          </w:p>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rsidRPr="006819BE">
              <w:t>AER</w:t>
            </w:r>
          </w:p>
        </w:tc>
        <w:tc>
          <w:tcPr>
            <w:tcW w:w="5732" w:type="dxa"/>
          </w:tcPr>
          <w:p w:rsidR="0031679C" w:rsidRPr="0031679C" w:rsidRDefault="0031679C" w:rsidP="0031679C">
            <w:r w:rsidRPr="006819BE">
              <w:t>Australian Energy Regulator</w:t>
            </w:r>
          </w:p>
        </w:tc>
      </w:tr>
      <w:tr w:rsidR="0031679C" w:rsidRPr="00AC35B7" w:rsidTr="00BF1280">
        <w:tc>
          <w:tcPr>
            <w:tcW w:w="3510" w:type="dxa"/>
          </w:tcPr>
          <w:p w:rsidR="0031679C" w:rsidRPr="0031679C" w:rsidRDefault="0031679C" w:rsidP="0031679C">
            <w:r w:rsidRPr="006819BE">
              <w:t>ACCC</w:t>
            </w:r>
          </w:p>
        </w:tc>
        <w:tc>
          <w:tcPr>
            <w:tcW w:w="5732" w:type="dxa"/>
          </w:tcPr>
          <w:p w:rsidR="0031679C" w:rsidRPr="0031679C" w:rsidRDefault="0031679C" w:rsidP="0031679C">
            <w:r w:rsidRPr="006819BE">
              <w:t>Australian Competition and Consumer Commission</w:t>
            </w:r>
          </w:p>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rsidRPr="006819BE">
              <w:t>ASIC</w:t>
            </w:r>
          </w:p>
        </w:tc>
        <w:tc>
          <w:tcPr>
            <w:tcW w:w="5732" w:type="dxa"/>
          </w:tcPr>
          <w:p w:rsidR="0031679C" w:rsidRPr="0031679C" w:rsidRDefault="0031679C" w:rsidP="0031679C">
            <w:r w:rsidRPr="006819BE">
              <w:t>Australian Securities and Investments Commission</w:t>
            </w:r>
          </w:p>
        </w:tc>
      </w:tr>
      <w:tr w:rsidR="0031679C" w:rsidRPr="00AC35B7" w:rsidTr="00BF1280">
        <w:tc>
          <w:tcPr>
            <w:tcW w:w="3510" w:type="dxa"/>
          </w:tcPr>
          <w:p w:rsidR="0031679C" w:rsidRPr="0031679C" w:rsidRDefault="0031679C" w:rsidP="0031679C">
            <w:r w:rsidRPr="006819BE">
              <w:t>Body Corporate</w:t>
            </w:r>
          </w:p>
        </w:tc>
        <w:tc>
          <w:tcPr>
            <w:tcW w:w="5732" w:type="dxa"/>
          </w:tcPr>
          <w:p w:rsidR="0031679C" w:rsidRPr="0031679C" w:rsidRDefault="0031679C" w:rsidP="00C4588D">
            <w:r w:rsidRPr="006819BE">
              <w:t xml:space="preserve">Means a controlling body of a scheme constituted under </w:t>
            </w:r>
            <w:r w:rsidR="00C4588D">
              <w:t>State or T</w:t>
            </w:r>
            <w:r w:rsidRPr="006819BE">
              <w:t xml:space="preserve">erritory strata titles legislation, the members of which are lot owners (or their representatives), and includes an owners corporation but is not a body corporate for the purposes of the </w:t>
            </w:r>
            <w:r w:rsidRPr="0031679C">
              <w:rPr>
                <w:rStyle w:val="Emphasis"/>
              </w:rPr>
              <w:t>Corporations Act</w:t>
            </w:r>
            <w:r w:rsidR="00D94F49">
              <w:t xml:space="preserve"> 2001 (</w:t>
            </w:r>
            <w:proofErr w:type="spellStart"/>
            <w:r w:rsidR="00D94F49">
              <w:t>C</w:t>
            </w:r>
            <w:r w:rsidRPr="0031679C">
              <w:t>th</w:t>
            </w:r>
            <w:proofErr w:type="spellEnd"/>
            <w:r w:rsidRPr="0031679C">
              <w:t>).</w:t>
            </w:r>
          </w:p>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rsidRPr="006819BE">
              <w:t>Customer</w:t>
            </w:r>
          </w:p>
        </w:tc>
        <w:tc>
          <w:tcPr>
            <w:tcW w:w="5732" w:type="dxa"/>
          </w:tcPr>
          <w:p w:rsidR="0031679C" w:rsidRPr="0031679C" w:rsidRDefault="0031679C" w:rsidP="0031679C">
            <w:r w:rsidRPr="006819BE">
              <w:t>Means a consumer of electricity for primary industry, domestic, commercial or industrial use but does not include a wholesale market customer who is registered by AEMO as a Customer under Chapter 2 of the NER.</w:t>
            </w:r>
          </w:p>
        </w:tc>
      </w:tr>
      <w:tr w:rsidR="0031679C" w:rsidRPr="00AC35B7" w:rsidTr="00BF1280">
        <w:tc>
          <w:tcPr>
            <w:tcW w:w="3510" w:type="dxa"/>
          </w:tcPr>
          <w:p w:rsidR="0031679C" w:rsidRPr="0031679C" w:rsidRDefault="0031679C" w:rsidP="0031679C">
            <w:r>
              <w:t>Eligible community</w:t>
            </w:r>
          </w:p>
        </w:tc>
        <w:tc>
          <w:tcPr>
            <w:tcW w:w="5732" w:type="dxa"/>
          </w:tcPr>
          <w:p w:rsidR="0031679C" w:rsidRPr="0031679C" w:rsidRDefault="0031679C" w:rsidP="0031679C">
            <w:r w:rsidRPr="00074BDA">
              <w:t xml:space="preserve">Has the meaning </w:t>
            </w:r>
            <w:r w:rsidRPr="0031679C">
              <w:t xml:space="preserve">given in conditions </w:t>
            </w:r>
            <w:r w:rsidRPr="0031679C">
              <w:fldChar w:fldCharType="begin"/>
            </w:r>
            <w:r w:rsidRPr="0031679C">
              <w:instrText xml:space="preserve"> REF _Ref457224192 \r \h </w:instrText>
            </w:r>
            <w:r w:rsidRPr="0031679C">
              <w:fldChar w:fldCharType="separate"/>
            </w:r>
            <w:r w:rsidR="00D30DD5">
              <w:t>4.7.1.1</w:t>
            </w:r>
            <w:r w:rsidRPr="0031679C">
              <w:fldChar w:fldCharType="end"/>
            </w:r>
            <w:r w:rsidRPr="0031679C">
              <w:t xml:space="preserve"> and </w:t>
            </w:r>
            <w:r w:rsidRPr="0031679C">
              <w:fldChar w:fldCharType="begin"/>
            </w:r>
            <w:r w:rsidRPr="0031679C">
              <w:instrText xml:space="preserve"> REF _Ref456880845 \r \h </w:instrText>
            </w:r>
            <w:r w:rsidRPr="0031679C">
              <w:fldChar w:fldCharType="separate"/>
            </w:r>
            <w:r w:rsidR="00D30DD5">
              <w:t>4.7.2</w:t>
            </w:r>
            <w:r w:rsidRPr="0031679C">
              <w:fldChar w:fldCharType="end"/>
            </w:r>
            <w:proofErr w:type="gramStart"/>
            <w:r w:rsidRPr="0031679C">
              <w:t>.</w:t>
            </w:r>
            <w:proofErr w:type="gramEnd"/>
          </w:p>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rsidRPr="006819BE">
              <w:t>Embedded network</w:t>
            </w:r>
          </w:p>
        </w:tc>
        <w:tc>
          <w:tcPr>
            <w:tcW w:w="5732" w:type="dxa"/>
          </w:tcPr>
          <w:p w:rsidR="0031679C" w:rsidRPr="0031679C" w:rsidRDefault="0031679C" w:rsidP="0031679C">
            <w:r>
              <w:t xml:space="preserve">Has the meaning </w:t>
            </w:r>
            <w:r w:rsidRPr="0031679C">
              <w:t>specified in chapter 10 of the NER.</w:t>
            </w:r>
          </w:p>
        </w:tc>
      </w:tr>
      <w:tr w:rsidR="0031679C" w:rsidRPr="00AC35B7" w:rsidTr="00BF1280">
        <w:tc>
          <w:tcPr>
            <w:tcW w:w="3510" w:type="dxa"/>
          </w:tcPr>
          <w:p w:rsidR="0031679C" w:rsidRPr="0031679C" w:rsidRDefault="0031679C" w:rsidP="0031679C">
            <w:r>
              <w:t>Embedded network manager</w:t>
            </w:r>
          </w:p>
        </w:tc>
        <w:tc>
          <w:tcPr>
            <w:tcW w:w="5732" w:type="dxa"/>
          </w:tcPr>
          <w:p w:rsidR="0031679C" w:rsidRPr="0031679C" w:rsidRDefault="0031679C" w:rsidP="0031679C">
            <w:r w:rsidRPr="006A2CF4">
              <w:t xml:space="preserve">Has the meaning specified in chapter 10 of the </w:t>
            </w:r>
            <w:r w:rsidRPr="0031679C">
              <w:t>NER.</w:t>
            </w:r>
          </w:p>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rsidRPr="006819BE">
              <w:t>Energy</w:t>
            </w:r>
          </w:p>
        </w:tc>
        <w:tc>
          <w:tcPr>
            <w:tcW w:w="5732" w:type="dxa"/>
          </w:tcPr>
          <w:p w:rsidR="0031679C" w:rsidRPr="0031679C" w:rsidRDefault="0031679C" w:rsidP="0031679C">
            <w:r w:rsidRPr="006819BE">
              <w:t>Means electricity</w:t>
            </w:r>
          </w:p>
        </w:tc>
      </w:tr>
      <w:tr w:rsidR="0031679C" w:rsidRPr="00AC35B7" w:rsidTr="00BF1280">
        <w:tc>
          <w:tcPr>
            <w:tcW w:w="3510" w:type="dxa"/>
          </w:tcPr>
          <w:p w:rsidR="0031679C" w:rsidRPr="0031679C" w:rsidRDefault="0031679C" w:rsidP="0031679C">
            <w:r>
              <w:t>Exempt embedded network service provider</w:t>
            </w:r>
          </w:p>
        </w:tc>
        <w:tc>
          <w:tcPr>
            <w:tcW w:w="5732" w:type="dxa"/>
          </w:tcPr>
          <w:p w:rsidR="0031679C" w:rsidRPr="0031679C" w:rsidRDefault="0031679C" w:rsidP="0031679C">
            <w:r w:rsidRPr="00C967E6">
              <w:t xml:space="preserve">Has the meaning </w:t>
            </w:r>
            <w:r w:rsidRPr="0031679C">
              <w:t>specified in chapter 10 of the NER.</w:t>
            </w:r>
          </w:p>
          <w:p w:rsidR="0031679C" w:rsidRPr="006819BE" w:rsidRDefault="0031679C" w:rsidP="0031679C"/>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rsidRPr="006819BE">
              <w:t>Exempt network</w:t>
            </w:r>
          </w:p>
        </w:tc>
        <w:tc>
          <w:tcPr>
            <w:tcW w:w="5732" w:type="dxa"/>
          </w:tcPr>
          <w:p w:rsidR="0031679C" w:rsidRPr="0031679C" w:rsidRDefault="0031679C" w:rsidP="0031679C">
            <w:r w:rsidRPr="006819BE">
              <w:t>See private network</w:t>
            </w:r>
          </w:p>
        </w:tc>
      </w:tr>
      <w:tr w:rsidR="0031679C" w:rsidRPr="00AC35B7" w:rsidTr="00BF1280">
        <w:tc>
          <w:tcPr>
            <w:tcW w:w="3510" w:type="dxa"/>
          </w:tcPr>
          <w:p w:rsidR="0031679C" w:rsidRPr="0031679C" w:rsidRDefault="0031679C" w:rsidP="0031679C">
            <w:proofErr w:type="spellStart"/>
            <w:r>
              <w:t>GWh</w:t>
            </w:r>
            <w:proofErr w:type="spellEnd"/>
          </w:p>
        </w:tc>
        <w:tc>
          <w:tcPr>
            <w:tcW w:w="5732" w:type="dxa"/>
          </w:tcPr>
          <w:p w:rsidR="0031679C" w:rsidRPr="0031679C" w:rsidRDefault="0031679C" w:rsidP="0031679C">
            <w:proofErr w:type="spellStart"/>
            <w:r>
              <w:t>GigaWatt</w:t>
            </w:r>
            <w:proofErr w:type="spellEnd"/>
            <w:r>
              <w:t xml:space="preserve"> hour</w:t>
            </w:r>
          </w:p>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rsidRPr="006819BE">
              <w:t>Large customer</w:t>
            </w:r>
          </w:p>
        </w:tc>
        <w:tc>
          <w:tcPr>
            <w:tcW w:w="5732" w:type="dxa"/>
          </w:tcPr>
          <w:p w:rsidR="0031679C" w:rsidRPr="0031679C" w:rsidRDefault="0031679C" w:rsidP="0031679C">
            <w:r w:rsidRPr="006819BE">
              <w:t xml:space="preserve">Means a business customer who consumes energy at business </w:t>
            </w:r>
            <w:r w:rsidRPr="0031679C">
              <w:t>premises at or above the upper consumption threshold, as defined by the relevant jurisdiction. If no threshold is defined, 100 megawatt hours per annum for electricity.</w:t>
            </w:r>
          </w:p>
        </w:tc>
      </w:tr>
      <w:tr w:rsidR="0031679C" w:rsidRPr="00AC35B7" w:rsidTr="00BF1280">
        <w:tc>
          <w:tcPr>
            <w:tcW w:w="3510" w:type="dxa"/>
          </w:tcPr>
          <w:p w:rsidR="0031679C" w:rsidRPr="0031679C" w:rsidRDefault="0031679C" w:rsidP="0031679C">
            <w:r w:rsidRPr="006819BE">
              <w:t>Large corporate entity</w:t>
            </w:r>
          </w:p>
        </w:tc>
        <w:tc>
          <w:tcPr>
            <w:tcW w:w="5732" w:type="dxa"/>
          </w:tcPr>
          <w:p w:rsidR="00714384" w:rsidRPr="0031679C" w:rsidRDefault="0031679C" w:rsidP="00714384">
            <w:r w:rsidRPr="006819BE">
              <w:t xml:space="preserve">A ‘large proprietary company’ as defined under clause </w:t>
            </w:r>
            <w:proofErr w:type="gramStart"/>
            <w:r w:rsidRPr="006819BE">
              <w:t>45A(</w:t>
            </w:r>
            <w:proofErr w:type="gramEnd"/>
            <w:r w:rsidRPr="006819BE">
              <w:t xml:space="preserve">3) of the </w:t>
            </w:r>
            <w:r w:rsidRPr="0031679C">
              <w:rPr>
                <w:rStyle w:val="Emphasis"/>
              </w:rPr>
              <w:t>Corporations Act</w:t>
            </w:r>
            <w:r w:rsidRPr="0031679C">
              <w:t xml:space="preserve"> 2001 or, if not a reporting entity under that Act, </w:t>
            </w:r>
            <w:r w:rsidR="00714384">
              <w:t xml:space="preserve">includes </w:t>
            </w:r>
            <w:r w:rsidR="00714384" w:rsidRPr="00714384">
              <w:t xml:space="preserve">a public company as defined in section 9 of </w:t>
            </w:r>
            <w:r w:rsidR="00714384" w:rsidRPr="00714384">
              <w:lastRenderedPageBreak/>
              <w:t xml:space="preserve">the Act, or </w:t>
            </w:r>
            <w:r w:rsidRPr="0031679C">
              <w:t xml:space="preserve">an unlisted company, trust, or other legal entity which </w:t>
            </w:r>
            <w:r w:rsidR="00714384" w:rsidRPr="00714384">
              <w:t xml:space="preserve">otherwise </w:t>
            </w:r>
            <w:r w:rsidRPr="0031679C">
              <w:t xml:space="preserve">fulfils </w:t>
            </w:r>
            <w:r w:rsidR="00714384" w:rsidRPr="00714384">
              <w:t xml:space="preserve">any two of </w:t>
            </w:r>
            <w:r w:rsidRPr="0031679C">
              <w:t>the financial and/or staffing criteria specified in clause 45A(3) of that Act.</w:t>
            </w:r>
          </w:p>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rsidRPr="006819BE">
              <w:lastRenderedPageBreak/>
              <w:t>Meter</w:t>
            </w:r>
          </w:p>
        </w:tc>
        <w:tc>
          <w:tcPr>
            <w:tcW w:w="5732" w:type="dxa"/>
          </w:tcPr>
          <w:p w:rsidR="0031679C" w:rsidRPr="0031679C" w:rsidRDefault="0031679C" w:rsidP="0031679C">
            <w:r w:rsidRPr="006819BE">
              <w:t>Means any device (compliant with metrology requirements and Australian standards) that measures the quantity of energy passing through it or records the consumption of energy at the customer’s premises.</w:t>
            </w:r>
          </w:p>
        </w:tc>
      </w:tr>
      <w:tr w:rsidR="0031679C" w:rsidRPr="00AC35B7" w:rsidTr="00BF1280">
        <w:tc>
          <w:tcPr>
            <w:tcW w:w="3510" w:type="dxa"/>
          </w:tcPr>
          <w:p w:rsidR="0031679C" w:rsidRPr="0031679C" w:rsidRDefault="0031679C" w:rsidP="0031679C">
            <w:r w:rsidRPr="006819BE">
              <w:t>MWh</w:t>
            </w:r>
          </w:p>
        </w:tc>
        <w:tc>
          <w:tcPr>
            <w:tcW w:w="5732" w:type="dxa"/>
          </w:tcPr>
          <w:p w:rsidR="0031679C" w:rsidRPr="0031679C" w:rsidRDefault="0031679C" w:rsidP="0031679C">
            <w:proofErr w:type="spellStart"/>
            <w:r w:rsidRPr="006819BE">
              <w:t>Mega</w:t>
            </w:r>
            <w:r w:rsidRPr="0031679C">
              <w:t>Watt</w:t>
            </w:r>
            <w:proofErr w:type="spellEnd"/>
            <w:r w:rsidRPr="0031679C">
              <w:t xml:space="preserve"> hour</w:t>
            </w:r>
          </w:p>
        </w:tc>
      </w:tr>
      <w:tr w:rsidR="00174D85"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174D85" w:rsidRPr="006819BE" w:rsidRDefault="00174D85" w:rsidP="0031679C">
            <w:r>
              <w:t>NBN</w:t>
            </w:r>
          </w:p>
        </w:tc>
        <w:tc>
          <w:tcPr>
            <w:tcW w:w="5732" w:type="dxa"/>
          </w:tcPr>
          <w:p w:rsidR="00174D85" w:rsidRPr="006819BE" w:rsidRDefault="00174D85" w:rsidP="0031679C">
            <w:r>
              <w:t>National Broadband Network</w:t>
            </w:r>
          </w:p>
        </w:tc>
      </w:tr>
      <w:tr w:rsidR="0031679C" w:rsidRPr="00AC35B7" w:rsidTr="00BF1280">
        <w:tc>
          <w:tcPr>
            <w:tcW w:w="3510" w:type="dxa"/>
          </w:tcPr>
          <w:p w:rsidR="0031679C" w:rsidRPr="0031679C" w:rsidRDefault="0031679C" w:rsidP="0031679C">
            <w:r w:rsidRPr="006819BE">
              <w:t>NEL</w:t>
            </w:r>
          </w:p>
        </w:tc>
        <w:tc>
          <w:tcPr>
            <w:tcW w:w="5732" w:type="dxa"/>
          </w:tcPr>
          <w:p w:rsidR="0031679C" w:rsidRPr="0031679C" w:rsidRDefault="0031679C" w:rsidP="0031679C">
            <w:r w:rsidRPr="006819BE">
              <w:t>National Electricity Law</w:t>
            </w:r>
          </w:p>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rsidRPr="006819BE">
              <w:t>NER</w:t>
            </w:r>
          </w:p>
        </w:tc>
        <w:tc>
          <w:tcPr>
            <w:tcW w:w="5732" w:type="dxa"/>
          </w:tcPr>
          <w:p w:rsidR="0031679C" w:rsidRPr="0031679C" w:rsidRDefault="0031679C" w:rsidP="0031679C">
            <w:r w:rsidRPr="006819BE">
              <w:t>National Electricity Rules</w:t>
            </w:r>
          </w:p>
        </w:tc>
      </w:tr>
      <w:tr w:rsidR="0031679C" w:rsidRPr="00AC35B7" w:rsidTr="00BF1280">
        <w:tc>
          <w:tcPr>
            <w:tcW w:w="3510" w:type="dxa"/>
          </w:tcPr>
          <w:p w:rsidR="0031679C" w:rsidRPr="0031679C" w:rsidRDefault="0031679C" w:rsidP="0031679C">
            <w:r w:rsidRPr="006819BE">
              <w:t>Off</w:t>
            </w:r>
            <w:r w:rsidRPr="0031679C">
              <w:t>–market energy generation</w:t>
            </w:r>
          </w:p>
        </w:tc>
        <w:tc>
          <w:tcPr>
            <w:tcW w:w="5732" w:type="dxa"/>
          </w:tcPr>
          <w:p w:rsidR="0031679C" w:rsidRPr="0031679C" w:rsidRDefault="0031679C" w:rsidP="0031679C">
            <w:r w:rsidRPr="006819BE">
              <w:t xml:space="preserve">Means an energy generation option not required to be registered with AEMO under clause 2.2 of the NER and applicable AEMO guidelines. </w:t>
            </w:r>
          </w:p>
          <w:p w:rsidR="0031679C" w:rsidRPr="0031679C" w:rsidRDefault="0031679C" w:rsidP="0031679C">
            <w:r w:rsidRPr="006819BE">
              <w:t xml:space="preserve">Note: The category includes </w:t>
            </w:r>
            <w:r w:rsidRPr="0031679C">
              <w:t>– but is not limited to – small scale diesel, petrol, bio–fuel, gas (including coal–seam and other methane sources), inverter, fuel cell, an electric vehicle inverter, thermal–electric, geothermal, solar (including photovoltaic), wind or hydro generation and cogeneration and tri–generation installations.</w:t>
            </w:r>
          </w:p>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rsidRPr="006819BE">
              <w:t>On</w:t>
            </w:r>
            <w:r w:rsidRPr="0031679C">
              <w:t>–market energy generation</w:t>
            </w:r>
          </w:p>
        </w:tc>
        <w:tc>
          <w:tcPr>
            <w:tcW w:w="5732" w:type="dxa"/>
          </w:tcPr>
          <w:p w:rsidR="0031679C" w:rsidRPr="0031679C" w:rsidRDefault="0031679C" w:rsidP="0031679C">
            <w:r w:rsidRPr="006819BE">
              <w:t xml:space="preserve">Means an energy generation option required to be registered with the AEMO under clause 2.2 of the NER and applicable AEMO guidelines. This category includes the AEMO registration categories of scheduled generation, </w:t>
            </w:r>
            <w:r w:rsidR="000E60F7">
              <w:t xml:space="preserve">semi-scheduled generation, </w:t>
            </w:r>
            <w:r w:rsidRPr="006819BE">
              <w:t>non</w:t>
            </w:r>
            <w:r w:rsidRPr="0031679C">
              <w:t>–scheduled generation, market generat</w:t>
            </w:r>
            <w:r w:rsidR="000E60F7">
              <w:t>or</w:t>
            </w:r>
            <w:r w:rsidRPr="0031679C">
              <w:t xml:space="preserve"> and non–market generat</w:t>
            </w:r>
            <w:r w:rsidR="000E60F7">
              <w:t>or</w:t>
            </w:r>
            <w:r w:rsidRPr="0031679C">
              <w:t>.</w:t>
            </w:r>
          </w:p>
          <w:p w:rsidR="0031679C" w:rsidRPr="0031679C" w:rsidRDefault="0031679C" w:rsidP="0031679C">
            <w:r w:rsidRPr="006819BE">
              <w:t xml:space="preserve">Note: The category includes </w:t>
            </w:r>
            <w:r w:rsidRPr="0031679C">
              <w:t>– but is not limited to – small scale diesel, petrol, bio–fuel, gas (including coal–seam and other methane sources), inverter, fuel cell, an electric vehicle inverter,</w:t>
            </w:r>
            <w:r w:rsidR="001D28C3">
              <w:t xml:space="preserve"> </w:t>
            </w:r>
            <w:r w:rsidRPr="0031679C">
              <w:t xml:space="preserve">thermal–electric, geothermal, solar (including photovoltaic), wind or hydro generation and cogeneration and tri–generation installations. Typically, this category relates to generation systems of 30MW or greater capacity. </w:t>
            </w:r>
          </w:p>
        </w:tc>
      </w:tr>
      <w:tr w:rsidR="0031679C" w:rsidRPr="00AC35B7" w:rsidTr="00BF1280">
        <w:tc>
          <w:tcPr>
            <w:tcW w:w="3510" w:type="dxa"/>
          </w:tcPr>
          <w:p w:rsidR="0031679C" w:rsidRPr="0031679C" w:rsidRDefault="0031679C" w:rsidP="0031679C">
            <w:r w:rsidRPr="008177AB">
              <w:t>On</w:t>
            </w:r>
            <w:r w:rsidRPr="0031679C">
              <w:t>–selling, selling</w:t>
            </w:r>
          </w:p>
        </w:tc>
        <w:tc>
          <w:tcPr>
            <w:tcW w:w="5732" w:type="dxa"/>
          </w:tcPr>
          <w:p w:rsidR="0031679C" w:rsidRPr="0031679C" w:rsidRDefault="0031679C" w:rsidP="0031679C">
            <w:r w:rsidRPr="006819BE">
              <w:t>On</w:t>
            </w:r>
            <w:r w:rsidRPr="0031679C">
              <w:t xml:space="preserve">–selling or selling means an arrangement where a person acquires energy from a retailer following which the person acquiring the energy or a person acting on their behalf sells energy for use within the limits of premises </w:t>
            </w:r>
            <w:proofErr w:type="gramStart"/>
            <w:r w:rsidRPr="0031679C">
              <w:t>owned,</w:t>
            </w:r>
            <w:proofErr w:type="gramEnd"/>
            <w:r w:rsidRPr="0031679C">
              <w:t xml:space="preserve"> occupied or operated by the person.</w:t>
            </w:r>
          </w:p>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t>Parent connection point</w:t>
            </w:r>
          </w:p>
        </w:tc>
        <w:tc>
          <w:tcPr>
            <w:tcW w:w="5732" w:type="dxa"/>
          </w:tcPr>
          <w:p w:rsidR="0031679C" w:rsidRPr="0031679C" w:rsidRDefault="0031679C" w:rsidP="0031679C">
            <w:r w:rsidRPr="00717C47">
              <w:t>Has the meaning specified in chapter 10 of the NER</w:t>
            </w:r>
            <w:r w:rsidRPr="0031679C">
              <w:t>.</w:t>
            </w:r>
          </w:p>
        </w:tc>
      </w:tr>
      <w:tr w:rsidR="0031679C" w:rsidRPr="00AC35B7" w:rsidTr="00BF1280">
        <w:tc>
          <w:tcPr>
            <w:tcW w:w="3510" w:type="dxa"/>
          </w:tcPr>
          <w:p w:rsidR="0031679C" w:rsidRPr="0031679C" w:rsidRDefault="0031679C" w:rsidP="0031679C">
            <w:r w:rsidRPr="006819BE">
              <w:t>Private network</w:t>
            </w:r>
          </w:p>
        </w:tc>
        <w:tc>
          <w:tcPr>
            <w:tcW w:w="5732" w:type="dxa"/>
          </w:tcPr>
          <w:p w:rsidR="0031679C" w:rsidRPr="0031679C" w:rsidRDefault="0031679C" w:rsidP="0031679C">
            <w:r w:rsidRPr="006819BE">
              <w:t>Means any network connected to the NEM or an islanded network subject to regulation under the NER, supplying electrical energy to a third party, but not a transmission or distribution network registered with AEMO.</w:t>
            </w:r>
          </w:p>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rsidRPr="00CD2BCC">
              <w:lastRenderedPageBreak/>
              <w:t>Private network operator</w:t>
            </w:r>
          </w:p>
        </w:tc>
        <w:tc>
          <w:tcPr>
            <w:tcW w:w="5732" w:type="dxa"/>
          </w:tcPr>
          <w:p w:rsidR="0031679C" w:rsidRPr="0031679C" w:rsidRDefault="0031679C" w:rsidP="0031679C">
            <w:r>
              <w:t xml:space="preserve">See: exempt embedded network service provider </w:t>
            </w:r>
          </w:p>
        </w:tc>
      </w:tr>
      <w:tr w:rsidR="0031679C" w:rsidRPr="00AC35B7" w:rsidTr="00BF1280">
        <w:tc>
          <w:tcPr>
            <w:tcW w:w="3510" w:type="dxa"/>
          </w:tcPr>
          <w:p w:rsidR="0031679C" w:rsidRPr="0031679C" w:rsidRDefault="0031679C" w:rsidP="0031679C">
            <w:r w:rsidRPr="006819BE">
              <w:t>Public Register</w:t>
            </w:r>
          </w:p>
        </w:tc>
        <w:tc>
          <w:tcPr>
            <w:tcW w:w="5732" w:type="dxa"/>
          </w:tcPr>
          <w:p w:rsidR="0031679C" w:rsidRPr="0031679C" w:rsidRDefault="0031679C" w:rsidP="0031679C">
            <w:r w:rsidRPr="006819BE">
              <w:t>Public Register of network exemptions</w:t>
            </w:r>
          </w:p>
        </w:tc>
      </w:tr>
      <w:tr w:rsidR="001F6B06" w:rsidRPr="00AC35B7" w:rsidTr="004A539E">
        <w:trPr>
          <w:cnfStyle w:val="000000010000" w:firstRow="0" w:lastRow="0" w:firstColumn="0" w:lastColumn="0" w:oddVBand="0" w:evenVBand="0" w:oddHBand="0" w:evenHBand="1" w:firstRowFirstColumn="0" w:firstRowLastColumn="0" w:lastRowFirstColumn="0" w:lastRowLastColumn="0"/>
        </w:trPr>
        <w:tc>
          <w:tcPr>
            <w:tcW w:w="3510" w:type="dxa"/>
          </w:tcPr>
          <w:p w:rsidR="001F6B06" w:rsidRPr="001F6B06" w:rsidRDefault="001F6B06" w:rsidP="001F6B06">
            <w:r>
              <w:t>Registered distributor</w:t>
            </w:r>
          </w:p>
        </w:tc>
        <w:tc>
          <w:tcPr>
            <w:tcW w:w="5732" w:type="dxa"/>
          </w:tcPr>
          <w:p w:rsidR="001F6B06" w:rsidRPr="001F6B06" w:rsidRDefault="001F6B06" w:rsidP="001F6B06">
            <w:r>
              <w:t>A market participant</w:t>
            </w:r>
            <w:r w:rsidRPr="001F6B06">
              <w:t xml:space="preserve"> registered with AEMO as a distribution network service provider in accordance with clause 2.5.1(a) of the </w:t>
            </w:r>
            <w:r>
              <w:t>NER</w:t>
            </w:r>
            <w:r w:rsidRPr="001F6B06">
              <w:t xml:space="preserve">. </w:t>
            </w:r>
          </w:p>
        </w:tc>
      </w:tr>
      <w:tr w:rsidR="0031679C" w:rsidRPr="00AC35B7" w:rsidTr="00BF1280">
        <w:tc>
          <w:tcPr>
            <w:tcW w:w="3510" w:type="dxa"/>
          </w:tcPr>
          <w:p w:rsidR="0031679C" w:rsidRPr="0031679C" w:rsidRDefault="0031679C" w:rsidP="0031679C">
            <w:r w:rsidRPr="006819BE">
              <w:t>Residential customer</w:t>
            </w:r>
          </w:p>
        </w:tc>
        <w:tc>
          <w:tcPr>
            <w:tcW w:w="5732" w:type="dxa"/>
          </w:tcPr>
          <w:p w:rsidR="0031679C" w:rsidRPr="0031679C" w:rsidRDefault="0031679C" w:rsidP="0031679C">
            <w:r w:rsidRPr="006819BE">
              <w:t xml:space="preserve">Means a customer who purchases energy principally for </w:t>
            </w:r>
            <w:r w:rsidRPr="0031679C">
              <w:t>personal, household or domestic use at premises.</w:t>
            </w:r>
          </w:p>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rsidRPr="006819BE">
              <w:t>Responsible person</w:t>
            </w:r>
          </w:p>
        </w:tc>
        <w:tc>
          <w:tcPr>
            <w:tcW w:w="5732" w:type="dxa"/>
          </w:tcPr>
          <w:p w:rsidR="0031679C" w:rsidRPr="0031679C" w:rsidRDefault="0031679C" w:rsidP="0031679C">
            <w:r w:rsidRPr="006819BE">
              <w:t>Has the meaning specified in clause 7.2.1(a) of the NER</w:t>
            </w:r>
            <w:r w:rsidRPr="0031679C">
              <w:t xml:space="preserve">. For the purposes of condition </w:t>
            </w:r>
            <w:r w:rsidRPr="0031679C">
              <w:fldChar w:fldCharType="begin"/>
            </w:r>
            <w:r w:rsidRPr="0031679C">
              <w:instrText xml:space="preserve"> REF _Ref456716831 \r \h </w:instrText>
            </w:r>
            <w:r w:rsidRPr="0031679C">
              <w:fldChar w:fldCharType="separate"/>
            </w:r>
            <w:r w:rsidR="00D30DD5">
              <w:t>4.2.2.3</w:t>
            </w:r>
            <w:r w:rsidRPr="0031679C">
              <w:fldChar w:fldCharType="end"/>
            </w:r>
            <w:r w:rsidRPr="0031679C">
              <w:t>, a relevant exempt embedded network service provider is deemed to the responsible person.</w:t>
            </w:r>
          </w:p>
        </w:tc>
      </w:tr>
      <w:tr w:rsidR="0031679C" w:rsidRPr="00AC35B7" w:rsidTr="00BF1280">
        <w:tc>
          <w:tcPr>
            <w:tcW w:w="3510" w:type="dxa"/>
          </w:tcPr>
          <w:p w:rsidR="0031679C" w:rsidRPr="0031679C" w:rsidRDefault="0031679C" w:rsidP="0031679C">
            <w:r w:rsidRPr="006819BE">
              <w:t>Retailer</w:t>
            </w:r>
          </w:p>
        </w:tc>
        <w:tc>
          <w:tcPr>
            <w:tcW w:w="5732" w:type="dxa"/>
          </w:tcPr>
          <w:p w:rsidR="0031679C" w:rsidRPr="0031679C" w:rsidRDefault="0031679C" w:rsidP="0031679C">
            <w:r w:rsidRPr="006819BE">
              <w:t>Means a person who is the holder of a retailer authorisation for the purposes of section 88 of the Retail Law.</w:t>
            </w:r>
          </w:p>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rsidRPr="006819BE">
              <w:t>Retail Law</w:t>
            </w:r>
          </w:p>
        </w:tc>
        <w:tc>
          <w:tcPr>
            <w:tcW w:w="5732" w:type="dxa"/>
          </w:tcPr>
          <w:p w:rsidR="0031679C" w:rsidRPr="0031679C" w:rsidRDefault="0031679C" w:rsidP="0031679C">
            <w:r w:rsidRPr="006819BE">
              <w:t>National Energy Retail Law</w:t>
            </w:r>
          </w:p>
        </w:tc>
      </w:tr>
      <w:tr w:rsidR="0031679C" w:rsidRPr="00AC35B7" w:rsidTr="00BF1280">
        <w:tc>
          <w:tcPr>
            <w:tcW w:w="3510" w:type="dxa"/>
          </w:tcPr>
          <w:p w:rsidR="0031679C" w:rsidRPr="0031679C" w:rsidRDefault="0031679C" w:rsidP="0031679C">
            <w:r>
              <w:t>Sell</w:t>
            </w:r>
          </w:p>
        </w:tc>
        <w:tc>
          <w:tcPr>
            <w:tcW w:w="5732" w:type="dxa"/>
          </w:tcPr>
          <w:p w:rsidR="0031679C" w:rsidRPr="0031679C" w:rsidRDefault="0031679C" w:rsidP="0031679C">
            <w:r>
              <w:t>The provision of electricity in exchange for money</w:t>
            </w:r>
            <w:r w:rsidRPr="0031679C">
              <w:t>.</w:t>
            </w:r>
          </w:p>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rsidRPr="006819BE">
              <w:t>Small customer</w:t>
            </w:r>
          </w:p>
        </w:tc>
        <w:tc>
          <w:tcPr>
            <w:tcW w:w="5732" w:type="dxa"/>
          </w:tcPr>
          <w:p w:rsidR="0031679C" w:rsidRPr="0031679C" w:rsidRDefault="0031679C" w:rsidP="0031679C">
            <w:r w:rsidRPr="006819BE">
              <w:t>Means a customer</w:t>
            </w:r>
            <w:r w:rsidRPr="0031679C">
              <w:t>–</w:t>
            </w:r>
          </w:p>
          <w:p w:rsidR="0031679C" w:rsidRPr="0031679C" w:rsidRDefault="0031679C" w:rsidP="0031679C">
            <w:r w:rsidRPr="006819BE">
              <w:t xml:space="preserve">who is a residential customer, or </w:t>
            </w:r>
          </w:p>
          <w:p w:rsidR="0031679C" w:rsidRPr="0031679C" w:rsidRDefault="0031679C" w:rsidP="0031679C">
            <w:proofErr w:type="gramStart"/>
            <w:r w:rsidRPr="006819BE">
              <w:t>who</w:t>
            </w:r>
            <w:proofErr w:type="gramEnd"/>
            <w:r w:rsidRPr="006819BE">
              <w:t xml:space="preserve"> is a business customer who consumes energy at business premises </w:t>
            </w:r>
            <w:r w:rsidRPr="0031679C">
              <w:t>below the upper consumption threshold, as defined by the relevant jurisdiction. If no threshold is defined, 100 megawatt hours per annum for electricity.</w:t>
            </w:r>
          </w:p>
        </w:tc>
      </w:tr>
    </w:tbl>
    <w:p w:rsidR="0031679C" w:rsidRDefault="0031679C" w:rsidP="0031679C"/>
    <w:p w:rsidR="001D7C97" w:rsidRPr="001D7C97" w:rsidRDefault="001D7C97" w:rsidP="001D7C97">
      <w:pPr>
        <w:pStyle w:val="Heading1"/>
      </w:pPr>
      <w:bookmarkStart w:id="1" w:name="_Toc468276053"/>
      <w:r w:rsidRPr="001D7C97">
        <w:lastRenderedPageBreak/>
        <w:t>Nature and authority</w:t>
      </w:r>
      <w:bookmarkEnd w:id="1"/>
    </w:p>
    <w:p w:rsidR="0020492C" w:rsidRDefault="001D7C97" w:rsidP="001D7C97">
      <w:pPr>
        <w:pStyle w:val="Heading2"/>
      </w:pPr>
      <w:bookmarkStart w:id="2" w:name="_Toc213047618"/>
      <w:bookmarkStart w:id="3" w:name="_Toc468276054"/>
      <w:bookmarkEnd w:id="0"/>
      <w:r>
        <w:t>T</w:t>
      </w:r>
      <w:r w:rsidRPr="001D7C97">
        <w:t xml:space="preserve">he </w:t>
      </w:r>
      <w:r w:rsidR="001E320F">
        <w:t>regulatory framework</w:t>
      </w:r>
      <w:bookmarkEnd w:id="2"/>
      <w:bookmarkEnd w:id="3"/>
    </w:p>
    <w:p w:rsidR="00337E11" w:rsidRDefault="00337E11" w:rsidP="001139B2">
      <w:pPr>
        <w:pStyle w:val="Boxedtext"/>
      </w:pPr>
      <w:r w:rsidRPr="00337E11">
        <w:t>On 17 December 2015, the Australian Energy Markets Commission (AEMC) released the Embedded Networks Final Rule Determination, which aims to reduce the barriers customers in embedded networks face in accessing retail competition.</w:t>
      </w:r>
      <w:r w:rsidR="001D28C3">
        <w:t xml:space="preserve"> </w:t>
      </w:r>
      <w:r w:rsidRPr="00337E11">
        <w:t xml:space="preserve">This </w:t>
      </w:r>
      <w:r>
        <w:t>guideline</w:t>
      </w:r>
      <w:r w:rsidRPr="00337E11">
        <w:t xml:space="preserve"> sets out </w:t>
      </w:r>
      <w:r w:rsidR="00714384">
        <w:t xml:space="preserve">our approach to embedded networks </w:t>
      </w:r>
      <w:r w:rsidRPr="00337E11">
        <w:t xml:space="preserve">in response to the AEMC's </w:t>
      </w:r>
      <w:r w:rsidR="00EC786D">
        <w:t xml:space="preserve">final rule </w:t>
      </w:r>
      <w:r w:rsidRPr="00337E11">
        <w:t>determination</w:t>
      </w:r>
      <w:r w:rsidR="00714384">
        <w:t>.</w:t>
      </w:r>
    </w:p>
    <w:p w:rsidR="001D7C97" w:rsidRPr="001D7C97" w:rsidRDefault="001D7C97" w:rsidP="001D7C97">
      <w:r w:rsidRPr="001D7C97">
        <w:t>Under the National Electricity Law (NEL) and the National Electricity Rules (NER) anyone who engages in an electricity distribution activity must either be:</w:t>
      </w:r>
    </w:p>
    <w:p w:rsidR="001D7C97" w:rsidRPr="001D7C97" w:rsidRDefault="001D7C97" w:rsidP="001D7C97">
      <w:pPr>
        <w:pStyle w:val="Bulletpoint"/>
      </w:pPr>
      <w:r w:rsidRPr="001D7C97">
        <w:t xml:space="preserve">registered with the Australian Energy Market Operator (AEMO) as an electricity network service provider, or </w:t>
      </w:r>
    </w:p>
    <w:p w:rsidR="001D7C97" w:rsidRPr="001D7C97" w:rsidRDefault="001D7C97" w:rsidP="001D7C97">
      <w:pPr>
        <w:pStyle w:val="Bulletpoint"/>
      </w:pPr>
      <w:proofErr w:type="gramStart"/>
      <w:r w:rsidRPr="001D7C97">
        <w:t>must</w:t>
      </w:r>
      <w:proofErr w:type="gramEnd"/>
      <w:r w:rsidRPr="001D7C97">
        <w:t xml:space="preserve"> gain an exemption from the requirement to be a registered network service provider from the Australian Energy Regulator (AER).</w:t>
      </w:r>
      <w:r w:rsidR="001D28C3">
        <w:t xml:space="preserve"> </w:t>
      </w:r>
    </w:p>
    <w:p w:rsidR="001D7C97" w:rsidRPr="001D7C97" w:rsidRDefault="001D7C97" w:rsidP="001D7C97">
      <w:r w:rsidRPr="001D7C97">
        <w:t xml:space="preserve">This guideline explains which </w:t>
      </w:r>
      <w:r w:rsidR="008022B5">
        <w:t xml:space="preserve">electricity </w:t>
      </w:r>
      <w:r w:rsidRPr="001D7C97">
        <w:t>network activities are deemed exempt, which activities must be registered and how to register. It also sets the conditions for all the exemption classes pre</w:t>
      </w:r>
      <w:r w:rsidR="00BF5F61">
        <w:t>–</w:t>
      </w:r>
      <w:r w:rsidRPr="001D7C97">
        <w:t>defined by the AER.</w:t>
      </w:r>
      <w:r w:rsidR="00EC786D">
        <w:t xml:space="preserve"> Note that the AER does not regulate an exemption framework </w:t>
      </w:r>
      <w:r w:rsidR="00C91B7C">
        <w:t>for gas</w:t>
      </w:r>
      <w:r w:rsidR="00EC786D">
        <w:t xml:space="preserve"> distribution. This remains a local matter in the relevant States and Territories. </w:t>
      </w:r>
    </w:p>
    <w:p w:rsidR="001D7C97" w:rsidRPr="001D7C97" w:rsidRDefault="001D7C97" w:rsidP="001D7C97">
      <w:r w:rsidRPr="001D7C97">
        <w:t>No matter how small the network, anyone who supplies electricity to another person over a private network of any kind is providing an electricity distribution service.</w:t>
      </w:r>
      <w:r w:rsidR="001D28C3">
        <w:t xml:space="preserve"> </w:t>
      </w:r>
      <w:r w:rsidRPr="001D7C97">
        <w:t xml:space="preserve">An exemption is required for any unregistered network by which electricity is supplied to another party, be that party a legal person, corporation, government department or statutory body of any kind. </w:t>
      </w:r>
    </w:p>
    <w:p w:rsidR="001D7C97" w:rsidRPr="001D7C97" w:rsidRDefault="005021F3" w:rsidP="001D7C97">
      <w:r>
        <w:t>In co</w:t>
      </w:r>
      <w:r w:rsidR="00482D77">
        <w:t>ntrast</w:t>
      </w:r>
      <w:r>
        <w:t xml:space="preserve"> to r</w:t>
      </w:r>
      <w:r w:rsidR="001D7C97" w:rsidRPr="001D7C97">
        <w:t>egistration with the market operator</w:t>
      </w:r>
      <w:r>
        <w:t xml:space="preserve">, </w:t>
      </w:r>
      <w:r w:rsidR="00482D77">
        <w:t>which is necessarily rigorous, exemption registration</w:t>
      </w:r>
      <w:r w:rsidR="001D7C97" w:rsidRPr="001D7C97">
        <w:t xml:space="preserve"> is </w:t>
      </w:r>
      <w:r w:rsidR="00482D77">
        <w:t>simple</w:t>
      </w:r>
      <w:r w:rsidR="001D7C97" w:rsidRPr="001D7C97">
        <w:t xml:space="preserve"> and </w:t>
      </w:r>
      <w:r w:rsidR="00482D77">
        <w:t>incurs no direct cost</w:t>
      </w:r>
      <w:r w:rsidR="001D7C97" w:rsidRPr="001D7C97">
        <w:t>. Obtaining an exemption for eligible networks is relatively easy and low cost (there is no application fee). The granting of an exemption can also relieve a network owner/operator or controller of the requirements to comply:</w:t>
      </w:r>
    </w:p>
    <w:p w:rsidR="001D7C97" w:rsidRPr="001D7C97" w:rsidRDefault="001D7C97" w:rsidP="001D7C97">
      <w:pPr>
        <w:pStyle w:val="Bulletpoint"/>
      </w:pPr>
      <w:r w:rsidRPr="001D7C97">
        <w:t xml:space="preserve">with the technical requirements set out in Chapter 5 of the NER and/or </w:t>
      </w:r>
    </w:p>
    <w:p w:rsidR="001D7C97" w:rsidRPr="001D7C97" w:rsidRDefault="001D7C97" w:rsidP="001D7C97">
      <w:pPr>
        <w:pStyle w:val="Bulletpoint"/>
      </w:pPr>
      <w:r w:rsidRPr="001D7C97">
        <w:t>the obligation to provide other network suppliers and other registered participants in the NEM with access to its network and other obligations which exist under the NER</w:t>
      </w:r>
      <w:r w:rsidR="008022B5">
        <w:rPr>
          <w:rStyle w:val="FootnoteReference"/>
        </w:rPr>
        <w:footnoteReference w:id="2"/>
      </w:r>
      <w:r w:rsidRPr="001D7C97">
        <w:t xml:space="preserve"> </w:t>
      </w:r>
    </w:p>
    <w:p w:rsidR="001D7C97" w:rsidRDefault="001D7C97" w:rsidP="001D7C97">
      <w:proofErr w:type="gramStart"/>
      <w:r w:rsidRPr="001D7C97">
        <w:t>but</w:t>
      </w:r>
      <w:proofErr w:type="gramEnd"/>
      <w:r w:rsidRPr="001D7C97">
        <w:t xml:space="preserve"> not safety and related requirements.</w:t>
      </w:r>
    </w:p>
    <w:p w:rsidR="001D7C97" w:rsidRPr="001D7C97" w:rsidRDefault="001D7C97" w:rsidP="00D73E3E">
      <w:pPr>
        <w:pStyle w:val="Heading2"/>
      </w:pPr>
      <w:bookmarkStart w:id="4" w:name="_Toc468276055"/>
      <w:r w:rsidRPr="001D7C97">
        <w:t>Who should read this guideline?</w:t>
      </w:r>
      <w:bookmarkEnd w:id="4"/>
    </w:p>
    <w:p w:rsidR="001D7C97" w:rsidRPr="001D7C97" w:rsidRDefault="001D7C97" w:rsidP="001D7C97">
      <w:r w:rsidRPr="001D7C97">
        <w:t>This guideline is for people or businesses that are involved in allowing anyone else to use electricity by connecting to wiring in a:</w:t>
      </w:r>
    </w:p>
    <w:p w:rsidR="001D7C97" w:rsidRPr="001D7C97" w:rsidRDefault="001D7C97" w:rsidP="00D73E3E">
      <w:pPr>
        <w:pStyle w:val="Bulletpoint"/>
      </w:pPr>
      <w:r w:rsidRPr="001D7C97">
        <w:t>farm</w:t>
      </w:r>
    </w:p>
    <w:p w:rsidR="001D7C97" w:rsidRPr="001D7C97" w:rsidRDefault="001D7C97" w:rsidP="00D73E3E">
      <w:pPr>
        <w:pStyle w:val="Bulletpoint"/>
      </w:pPr>
      <w:r w:rsidRPr="001D7C97">
        <w:t xml:space="preserve">hotel </w:t>
      </w:r>
    </w:p>
    <w:p w:rsidR="001D7C97" w:rsidRPr="001D7C97" w:rsidRDefault="001D7C97" w:rsidP="00D73E3E">
      <w:pPr>
        <w:pStyle w:val="Bulletpoint"/>
      </w:pPr>
      <w:r w:rsidRPr="001D7C97">
        <w:lastRenderedPageBreak/>
        <w:t>factory</w:t>
      </w:r>
    </w:p>
    <w:p w:rsidR="001D7C97" w:rsidRDefault="001D7C97" w:rsidP="00D73E3E">
      <w:pPr>
        <w:pStyle w:val="Bulletpoint"/>
      </w:pPr>
      <w:r w:rsidRPr="001D7C97">
        <w:t>car</w:t>
      </w:r>
      <w:r w:rsidR="00BF5F61">
        <w:t>–</w:t>
      </w:r>
      <w:r w:rsidRPr="001D7C97">
        <w:t>park</w:t>
      </w:r>
    </w:p>
    <w:p w:rsidR="006919E8" w:rsidRPr="001D7C97" w:rsidRDefault="006919E8" w:rsidP="00D73E3E">
      <w:pPr>
        <w:pStyle w:val="Bulletpoint"/>
      </w:pPr>
      <w:r>
        <w:t>marina</w:t>
      </w:r>
    </w:p>
    <w:p w:rsidR="00285892" w:rsidRDefault="001D7C97" w:rsidP="00285892">
      <w:pPr>
        <w:pStyle w:val="Bulletpoint"/>
      </w:pPr>
      <w:r w:rsidRPr="001D7C97">
        <w:t xml:space="preserve">public land </w:t>
      </w:r>
    </w:p>
    <w:p w:rsidR="00285892" w:rsidRDefault="00285892" w:rsidP="00285892">
      <w:pPr>
        <w:pStyle w:val="Bulletpoint"/>
      </w:pPr>
      <w:r>
        <w:t>holiday park</w:t>
      </w:r>
    </w:p>
    <w:p w:rsidR="001D7C97" w:rsidRPr="001D7C97" w:rsidRDefault="00285892" w:rsidP="00285892">
      <w:pPr>
        <w:pStyle w:val="Bulletpoint"/>
      </w:pPr>
      <w:r>
        <w:t>caravan park</w:t>
      </w:r>
      <w:r w:rsidRPr="00B526CA">
        <w:t xml:space="preserve"> </w:t>
      </w:r>
    </w:p>
    <w:p w:rsidR="001D7C97" w:rsidRPr="001D7C97" w:rsidRDefault="001D7C97" w:rsidP="00D73E3E">
      <w:pPr>
        <w:pStyle w:val="Bulletpoint"/>
      </w:pPr>
      <w:r w:rsidRPr="001D7C97">
        <w:t>shopping centre</w:t>
      </w:r>
    </w:p>
    <w:p w:rsidR="001D7C97" w:rsidRPr="001D7C97" w:rsidRDefault="001D7C97" w:rsidP="00D73E3E">
      <w:pPr>
        <w:pStyle w:val="Bulletpoint"/>
      </w:pPr>
      <w:r w:rsidRPr="001D7C97">
        <w:t>industrial estate</w:t>
      </w:r>
    </w:p>
    <w:p w:rsidR="001D7C97" w:rsidRPr="001D7C97" w:rsidRDefault="001D7C97" w:rsidP="00D73E3E">
      <w:pPr>
        <w:pStyle w:val="Bulletpoint"/>
      </w:pPr>
      <w:r w:rsidRPr="001D7C97">
        <w:t>private property</w:t>
      </w:r>
    </w:p>
    <w:p w:rsidR="001D7C97" w:rsidRPr="001D7C97" w:rsidRDefault="001D7C97" w:rsidP="00D73E3E">
      <w:pPr>
        <w:pStyle w:val="Bulletpoint"/>
      </w:pPr>
      <w:r w:rsidRPr="001D7C97">
        <w:t>retirement village</w:t>
      </w:r>
    </w:p>
    <w:p w:rsidR="001D7C97" w:rsidRPr="001D7C97" w:rsidRDefault="001D7C97" w:rsidP="00D73E3E">
      <w:pPr>
        <w:pStyle w:val="Bulletpoint"/>
      </w:pPr>
      <w:r w:rsidRPr="001D7C97">
        <w:t>industrial complex</w:t>
      </w:r>
    </w:p>
    <w:p w:rsidR="001D7C97" w:rsidRPr="001D7C97" w:rsidRDefault="006919E8" w:rsidP="00D73E3E">
      <w:pPr>
        <w:pStyle w:val="Bulletpoint"/>
      </w:pPr>
      <w:r>
        <w:t>strata</w:t>
      </w:r>
      <w:r w:rsidR="00BF5F61">
        <w:t>–</w:t>
      </w:r>
      <w:r w:rsidR="001D7C97" w:rsidRPr="001D7C97">
        <w:t>title property</w:t>
      </w:r>
    </w:p>
    <w:p w:rsidR="001D7C97" w:rsidRPr="001D7C97" w:rsidRDefault="001D7C97" w:rsidP="00D73E3E">
      <w:pPr>
        <w:pStyle w:val="Bulletpoint"/>
      </w:pPr>
      <w:r w:rsidRPr="001D7C97">
        <w:t>office development</w:t>
      </w:r>
    </w:p>
    <w:p w:rsidR="001D7C97" w:rsidRPr="001D7C97" w:rsidRDefault="001D7C97" w:rsidP="00D73E3E">
      <w:pPr>
        <w:pStyle w:val="Bulletpoint"/>
      </w:pPr>
      <w:r w:rsidRPr="001D7C97">
        <w:t xml:space="preserve">mining development </w:t>
      </w:r>
    </w:p>
    <w:p w:rsidR="001D7C97" w:rsidRPr="001D7C97" w:rsidRDefault="001D7C97" w:rsidP="00D73E3E">
      <w:pPr>
        <w:pStyle w:val="Bulletpoint"/>
      </w:pPr>
      <w:r w:rsidRPr="001D7C97">
        <w:t>residential development</w:t>
      </w:r>
    </w:p>
    <w:p w:rsidR="00285892" w:rsidRDefault="001D7C97" w:rsidP="00D73E3E">
      <w:pPr>
        <w:pStyle w:val="Bulletpoint"/>
      </w:pPr>
      <w:r w:rsidRPr="001D7C97">
        <w:t xml:space="preserve">tram, train or rail network </w:t>
      </w:r>
    </w:p>
    <w:p w:rsidR="001D7C97" w:rsidRPr="001D7C97" w:rsidRDefault="00285892" w:rsidP="00D73E3E">
      <w:pPr>
        <w:pStyle w:val="Bulletpoint"/>
      </w:pPr>
      <w:proofErr w:type="gramStart"/>
      <w:r w:rsidRPr="00B526CA">
        <w:t>residential</w:t>
      </w:r>
      <w:proofErr w:type="gramEnd"/>
      <w:r w:rsidRPr="00B526CA">
        <w:t xml:space="preserve"> land lease</w:t>
      </w:r>
      <w:r>
        <w:t xml:space="preserve"> </w:t>
      </w:r>
      <w:r w:rsidRPr="00B526CA">
        <w:t>communities</w:t>
      </w:r>
      <w:r w:rsidR="00F6506D">
        <w:t>.</w:t>
      </w:r>
    </w:p>
    <w:p w:rsidR="001D7C97" w:rsidRPr="001D7C97" w:rsidRDefault="001D7C97" w:rsidP="001D7C97">
      <w:r w:rsidRPr="001D7C97">
        <w:t xml:space="preserve">You should read this guideline if you think that you are operating a private electricity network </w:t>
      </w:r>
      <w:r w:rsidR="00BF5F61">
        <w:t>–</w:t>
      </w:r>
      <w:r w:rsidRPr="001D7C97">
        <w:t xml:space="preserve"> which is illegal unless it is registered with AEMO or exempted from registration by the AER.</w:t>
      </w:r>
      <w:r w:rsidR="001D28C3">
        <w:t xml:space="preserve"> </w:t>
      </w:r>
    </w:p>
    <w:p w:rsidR="001D7C97" w:rsidRPr="001D7C97" w:rsidRDefault="001D7C97" w:rsidP="001D7C97">
      <w:r w:rsidRPr="001D7C97">
        <w:t xml:space="preserve">To avoid the risk of serious penalties you might only need to make some small adjustments. You might not </w:t>
      </w:r>
      <w:r w:rsidR="00482D77">
        <w:t xml:space="preserve">even </w:t>
      </w:r>
      <w:r w:rsidRPr="001D7C97">
        <w:t>have to do anything at all. Maybe, you need to:</w:t>
      </w:r>
    </w:p>
    <w:p w:rsidR="001D7C97" w:rsidRPr="001D7C97" w:rsidRDefault="001D7C97" w:rsidP="00D73E3E">
      <w:pPr>
        <w:pStyle w:val="Bulletpoint"/>
      </w:pPr>
      <w:r w:rsidRPr="001D7C97">
        <w:t xml:space="preserve">register your details with the AER, or </w:t>
      </w:r>
    </w:p>
    <w:p w:rsidR="001D7C97" w:rsidRPr="001D7C97" w:rsidRDefault="001D7C97" w:rsidP="00D73E3E">
      <w:pPr>
        <w:pStyle w:val="Bulletpoint"/>
      </w:pPr>
      <w:r w:rsidRPr="001D7C97">
        <w:t xml:space="preserve">register with AEMO, or </w:t>
      </w:r>
    </w:p>
    <w:p w:rsidR="001D7C97" w:rsidRPr="001D7C97" w:rsidRDefault="001D7C97" w:rsidP="00D73E3E">
      <w:pPr>
        <w:pStyle w:val="Bulletpoint"/>
      </w:pPr>
      <w:proofErr w:type="gramStart"/>
      <w:r w:rsidRPr="001D7C97">
        <w:t>apply</w:t>
      </w:r>
      <w:proofErr w:type="gramEnd"/>
      <w:r w:rsidRPr="001D7C97">
        <w:t xml:space="preserve"> to the AER for a network</w:t>
      </w:r>
      <w:r w:rsidR="001D28C3">
        <w:t xml:space="preserve"> </w:t>
      </w:r>
      <w:r w:rsidRPr="001D7C97">
        <w:t>exemption.</w:t>
      </w:r>
    </w:p>
    <w:p w:rsidR="001D7C97" w:rsidRPr="001D7C97" w:rsidRDefault="001D7C97" w:rsidP="00D41759">
      <w:r w:rsidRPr="001D7C97">
        <w:t xml:space="preserve">If you think you may need a network exemption, this guideline will help you understand: </w:t>
      </w:r>
    </w:p>
    <w:p w:rsidR="001D7C97" w:rsidRPr="001D7C97" w:rsidRDefault="001D7C97" w:rsidP="00D73E3E">
      <w:pPr>
        <w:pStyle w:val="Bulletpoint"/>
      </w:pPr>
      <w:r w:rsidRPr="001D7C97">
        <w:t>what network exemptions are and how they work</w:t>
      </w:r>
    </w:p>
    <w:p w:rsidR="001D7C97" w:rsidRPr="001D7C97" w:rsidRDefault="001D7C97" w:rsidP="00D73E3E">
      <w:pPr>
        <w:pStyle w:val="Bulletpoint"/>
      </w:pPr>
      <w:r w:rsidRPr="001D7C97">
        <w:t xml:space="preserve">whether or not you, or your business, need a network exemption </w:t>
      </w:r>
    </w:p>
    <w:p w:rsidR="001D7C97" w:rsidRPr="001D7C97" w:rsidRDefault="001D7C97" w:rsidP="00D73E3E">
      <w:pPr>
        <w:pStyle w:val="Bulletpoint"/>
      </w:pPr>
      <w:r w:rsidRPr="001D7C97">
        <w:t xml:space="preserve">how to obtain a network exemption and which exemption class applies to you </w:t>
      </w:r>
    </w:p>
    <w:p w:rsidR="001D7C97" w:rsidRPr="001D7C97" w:rsidRDefault="001D7C97" w:rsidP="00D73E3E">
      <w:pPr>
        <w:pStyle w:val="Bulletpoint"/>
      </w:pPr>
      <w:proofErr w:type="gramStart"/>
      <w:r w:rsidRPr="001D7C97">
        <w:t>the</w:t>
      </w:r>
      <w:proofErr w:type="gramEnd"/>
      <w:r w:rsidRPr="001D7C97">
        <w:t xml:space="preserve"> factors we will consider when assessing individual exemption applications.</w:t>
      </w:r>
      <w:r w:rsidR="001D28C3">
        <w:t xml:space="preserve"> </w:t>
      </w:r>
    </w:p>
    <w:p w:rsidR="001D7C97" w:rsidRPr="001D7C97" w:rsidRDefault="001D7C97" w:rsidP="001D7C97">
      <w:r w:rsidRPr="001D7C97">
        <w:t>This guideline deals with network exemptions under the NEL and NER. For retail exemptions under the National Energy Retail Law</w:t>
      </w:r>
      <w:r w:rsidR="00C91B7C">
        <w:t xml:space="preserve"> (Retail Law)</w:t>
      </w:r>
      <w:r w:rsidRPr="001D7C97">
        <w:t>, please see the AER’s Retail Exempt Selling Guideline.</w:t>
      </w:r>
    </w:p>
    <w:p w:rsidR="001D7C97" w:rsidRDefault="001D7C97" w:rsidP="001D7C97">
      <w:r w:rsidRPr="001D7C97">
        <w:lastRenderedPageBreak/>
        <w:t xml:space="preserve">If you are not sure whether you need an exemption or not, please contact us. You can email us at aerexemptions@aer.gov.au with any questions, or phone the AER/ACCC </w:t>
      </w:r>
      <w:proofErr w:type="spellStart"/>
      <w:r w:rsidRPr="001D7C97">
        <w:t>Infocentre</w:t>
      </w:r>
      <w:proofErr w:type="spellEnd"/>
      <w:r w:rsidRPr="001D7C97">
        <w:t xml:space="preserve"> on 1300 585 165 (Australian callers) or + 612 6243 1305 (overseas callers).</w:t>
      </w:r>
    </w:p>
    <w:p w:rsidR="00D73E3E" w:rsidRPr="00D73E3E" w:rsidRDefault="00D73E3E" w:rsidP="00D73E3E">
      <w:pPr>
        <w:pStyle w:val="Heading2"/>
      </w:pPr>
      <w:bookmarkStart w:id="5" w:name="_Toc468276056"/>
      <w:r w:rsidRPr="00D73E3E">
        <w:t>About the AER</w:t>
      </w:r>
      <w:bookmarkEnd w:id="5"/>
    </w:p>
    <w:p w:rsidR="00402707" w:rsidRDefault="00D73E3E" w:rsidP="00402707">
      <w:r w:rsidRPr="00D73E3E">
        <w:t>The AER is an independent statutory authority established under Part IIIAA of the Competition and Consumer Act 2010 (Commonwealth). The AER is the national regulator of electricity and gas. Our responsibilities include administering and regulating authorisations and exemptions (retail and network) in participating jurisdictions</w:t>
      </w:r>
      <w:bookmarkStart w:id="6" w:name="_Toc213047619"/>
      <w:bookmarkStart w:id="7" w:name="_Toc453773598"/>
      <w:r w:rsidR="00402707">
        <w:t>.</w:t>
      </w:r>
    </w:p>
    <w:p w:rsidR="00402707" w:rsidRPr="00402707" w:rsidRDefault="00402707" w:rsidP="00402707">
      <w:pPr>
        <w:pStyle w:val="Heading1"/>
      </w:pPr>
      <w:bookmarkStart w:id="8" w:name="_Toc365299410"/>
      <w:bookmarkStart w:id="9" w:name="_Toc468276057"/>
      <w:r w:rsidRPr="00402707">
        <w:lastRenderedPageBreak/>
        <w:t xml:space="preserve">Part A </w:t>
      </w:r>
      <w:r w:rsidR="00BF5F61">
        <w:t>–</w:t>
      </w:r>
      <w:r w:rsidRPr="00402707">
        <w:t xml:space="preserve"> About this guideline</w:t>
      </w:r>
      <w:bookmarkEnd w:id="8"/>
      <w:bookmarkEnd w:id="9"/>
      <w:r w:rsidRPr="00402707">
        <w:t xml:space="preserve"> </w:t>
      </w:r>
    </w:p>
    <w:p w:rsidR="00402707" w:rsidRPr="00402707" w:rsidRDefault="00402707" w:rsidP="00402707">
      <w:pPr>
        <w:pStyle w:val="Heading2"/>
      </w:pPr>
      <w:bookmarkStart w:id="10" w:name="_Toc365299411"/>
      <w:bookmarkStart w:id="11" w:name="_Toc468276058"/>
      <w:r w:rsidRPr="00402707">
        <w:t>Introduction</w:t>
      </w:r>
      <w:bookmarkEnd w:id="10"/>
      <w:bookmarkEnd w:id="11"/>
    </w:p>
    <w:p w:rsidR="001E632C" w:rsidRDefault="00F60993" w:rsidP="00402707">
      <w:r>
        <w:t>We recognise that different models of electricity supply benefit different customers in different situations. This</w:t>
      </w:r>
      <w:r w:rsidR="003C492E">
        <w:t xml:space="preserve"> guideline aims to </w:t>
      </w:r>
      <w:r w:rsidR="00512673">
        <w:t>provide</w:t>
      </w:r>
      <w:r w:rsidR="003C492E">
        <w:t xml:space="preserve"> customers in embedded networks </w:t>
      </w:r>
      <w:r w:rsidR="00512673">
        <w:t>with a level of consumer protection comparable to</w:t>
      </w:r>
      <w:r w:rsidR="003C492E">
        <w:t xml:space="preserve"> </w:t>
      </w:r>
      <w:r w:rsidR="00512673">
        <w:t>customers who source their energy directly from distribution and transmission businesses while allowing for a range of electricity supply solutions to operate.</w:t>
      </w:r>
    </w:p>
    <w:p w:rsidR="003C492E" w:rsidRDefault="001E632C" w:rsidP="00402707">
      <w:r>
        <w:t xml:space="preserve">The updates in this version or the Network Guideline largely relate to improving access to retail </w:t>
      </w:r>
      <w:r w:rsidR="00575AB5">
        <w:t>competition</w:t>
      </w:r>
      <w:r>
        <w:t xml:space="preserve"> for customers in embedded networks. </w:t>
      </w:r>
      <w:r w:rsidR="004876E6">
        <w:t>Customers with access to retail offers enhance their ability to:</w:t>
      </w:r>
    </w:p>
    <w:p w:rsidR="004876E6" w:rsidRDefault="00182573" w:rsidP="00182573">
      <w:pPr>
        <w:pStyle w:val="ListNumber"/>
      </w:pPr>
      <w:r>
        <w:t>c</w:t>
      </w:r>
      <w:r w:rsidR="004876E6">
        <w:t>hoose the price and structure of their electricity service that suits them best, which may result in lower bills;</w:t>
      </w:r>
    </w:p>
    <w:p w:rsidR="004876E6" w:rsidRDefault="00182573" w:rsidP="00182573">
      <w:pPr>
        <w:pStyle w:val="ListNumber"/>
      </w:pPr>
      <w:r>
        <w:t>choose</w:t>
      </w:r>
      <w:r w:rsidR="004876E6">
        <w:t xml:space="preserve"> from a wider variety of products and services; and</w:t>
      </w:r>
    </w:p>
    <w:p w:rsidR="004876E6" w:rsidRDefault="00182573" w:rsidP="00182573">
      <w:pPr>
        <w:pStyle w:val="ListNumber"/>
      </w:pPr>
      <w:proofErr w:type="gramStart"/>
      <w:r>
        <w:t>g</w:t>
      </w:r>
      <w:r w:rsidR="004876E6">
        <w:t>ain</w:t>
      </w:r>
      <w:proofErr w:type="gramEnd"/>
      <w:r w:rsidR="004876E6">
        <w:t xml:space="preserve"> easier access to government schemes and consumer protections.</w:t>
      </w:r>
    </w:p>
    <w:p w:rsidR="004A25BA" w:rsidRDefault="00402707" w:rsidP="00402707">
      <w:r w:rsidRPr="00402707">
        <w:t xml:space="preserve">This </w:t>
      </w:r>
      <w:r w:rsidR="00762B3E">
        <w:t xml:space="preserve">Network </w:t>
      </w:r>
      <w:r w:rsidRPr="00402707">
        <w:t xml:space="preserve">Guideline relates to a privately owned embedded or exempt network (‘private network’). </w:t>
      </w:r>
      <w:r w:rsidR="004A25BA">
        <w:t>It incorporates significant amendments necessary to give effect to the AEMC Embedded Networks rule change.</w:t>
      </w:r>
      <w:r w:rsidR="004A25BA">
        <w:rPr>
          <w:rStyle w:val="FootnoteReference"/>
        </w:rPr>
        <w:footnoteReference w:id="3"/>
      </w:r>
    </w:p>
    <w:p w:rsidR="00402707" w:rsidRPr="00402707" w:rsidRDefault="00402707" w:rsidP="00402707">
      <w:r w:rsidRPr="00402707">
        <w:t xml:space="preserve">A private network means any network for the supply of electrical energy to a third party, </w:t>
      </w:r>
      <w:r w:rsidR="00773A09">
        <w:t>other</w:t>
      </w:r>
      <w:r w:rsidR="001D28C3">
        <w:t xml:space="preserve"> </w:t>
      </w:r>
      <w:r w:rsidR="00773A09">
        <w:t xml:space="preserve">than </w:t>
      </w:r>
      <w:r w:rsidRPr="00402707">
        <w:t xml:space="preserve">a transmission or distribution network registered with AEMO. </w:t>
      </w:r>
      <w:r w:rsidR="00337E11">
        <w:t>E</w:t>
      </w:r>
      <w:r w:rsidR="00381B2B">
        <w:t xml:space="preserve">lectrical wiring on your own site is normally just a private electricity installation. It only becomes a private network if it </w:t>
      </w:r>
      <w:r w:rsidR="00381B2B" w:rsidRPr="00381B2B">
        <w:rPr>
          <w:rStyle w:val="Emphasis"/>
        </w:rPr>
        <w:t xml:space="preserve">supplies </w:t>
      </w:r>
      <w:r w:rsidR="00381B2B">
        <w:t xml:space="preserve">electricity to a third party. It does not matter if the supply is free </w:t>
      </w:r>
      <w:r w:rsidR="00BF5F61">
        <w:t>–</w:t>
      </w:r>
      <w:r w:rsidR="00381B2B">
        <w:t xml:space="preserve"> you are still providing a distribution ser</w:t>
      </w:r>
      <w:r w:rsidR="009F1088">
        <w:t xml:space="preserve">vice. </w:t>
      </w:r>
      <w:r w:rsidR="00381B2B">
        <w:t xml:space="preserve">The term </w:t>
      </w:r>
      <w:r w:rsidR="00023CF9">
        <w:t>'</w:t>
      </w:r>
      <w:r w:rsidR="00381B2B">
        <w:t>embedded n</w:t>
      </w:r>
      <w:r w:rsidR="00023CF9">
        <w:t xml:space="preserve">etwork' is </w:t>
      </w:r>
      <w:r w:rsidR="00381B2B">
        <w:t xml:space="preserve">now </w:t>
      </w:r>
      <w:r w:rsidR="00023CF9">
        <w:t>defined in chapter 10 of the NER</w:t>
      </w:r>
      <w:r w:rsidR="00381B2B">
        <w:t>. Under the NER definition, all private networks are embedded networks.</w:t>
      </w:r>
      <w:r w:rsidR="00023CF9">
        <w:t xml:space="preserve"> </w:t>
      </w:r>
    </w:p>
    <w:p w:rsidR="00402707" w:rsidRPr="00402707" w:rsidRDefault="00402707" w:rsidP="00402707">
      <w:r w:rsidRPr="00402707">
        <w:t>Persons involved in the on</w:t>
      </w:r>
      <w:r w:rsidR="00BF5F61">
        <w:t>–</w:t>
      </w:r>
      <w:r w:rsidRPr="00402707">
        <w:t xml:space="preserve">selling of electricity may, depending on their circumstances, need to conform both to this </w:t>
      </w:r>
      <w:r w:rsidR="000E60F7">
        <w:t>g</w:t>
      </w:r>
      <w:r w:rsidRPr="00402707">
        <w:t>uideline and our guideline for retail exemptions, the Retail Exempt Selling Guideline</w:t>
      </w:r>
      <w:r w:rsidR="00BF5F61">
        <w:rPr>
          <w:rStyle w:val="FootnoteReference"/>
        </w:rPr>
        <w:footnoteReference w:id="4"/>
      </w:r>
      <w:r>
        <w:t xml:space="preserve"> or, where the AER does not regulate on</w:t>
      </w:r>
      <w:r w:rsidR="00BF5F61">
        <w:t>–</w:t>
      </w:r>
      <w:r>
        <w:t>selling, the requirements for on</w:t>
      </w:r>
      <w:r w:rsidR="00BF5F61">
        <w:t>–</w:t>
      </w:r>
      <w:r>
        <w:t>selling administered by the jurisdictional regulator.</w:t>
      </w:r>
    </w:p>
    <w:p w:rsidR="00402707" w:rsidRPr="00402707" w:rsidRDefault="00402707" w:rsidP="00402707">
      <w:pPr>
        <w:pStyle w:val="Boxedtext"/>
      </w:pPr>
      <w:r w:rsidRPr="00402707">
        <w:t xml:space="preserve">An analogy that might help to explain the relationship between the two </w:t>
      </w:r>
      <w:r w:rsidR="00304952" w:rsidRPr="00402707">
        <w:t>guidelines</w:t>
      </w:r>
      <w:r w:rsidR="002511EF">
        <w:t>:</w:t>
      </w:r>
      <w:r w:rsidR="00304952">
        <w:t xml:space="preserve"> </w:t>
      </w:r>
      <w:r w:rsidR="00304952" w:rsidRPr="00402707">
        <w:t>To</w:t>
      </w:r>
      <w:r w:rsidRPr="00402707">
        <w:t xml:space="preserve"> drive a car legally on the road </w:t>
      </w:r>
      <w:r w:rsidR="00304952">
        <w:t xml:space="preserve">the </w:t>
      </w:r>
      <w:r w:rsidRPr="00402707">
        <w:t>car must be registered and the driver must have a driver’s licence.</w:t>
      </w:r>
    </w:p>
    <w:p w:rsidR="00402707" w:rsidRPr="00402707" w:rsidRDefault="00BF5F61" w:rsidP="00402707">
      <w:pPr>
        <w:pStyle w:val="Boxedtext"/>
      </w:pPr>
      <w:r>
        <w:t>–</w:t>
      </w:r>
      <w:r w:rsidR="00402707">
        <w:tab/>
        <w:t>Registration or exemption of</w:t>
      </w:r>
      <w:r w:rsidR="00402707" w:rsidRPr="00402707">
        <w:t xml:space="preserve"> the network is analogous to registration of the car. </w:t>
      </w:r>
    </w:p>
    <w:p w:rsidR="00402707" w:rsidRPr="00402707" w:rsidRDefault="00BF5F61" w:rsidP="00402707">
      <w:pPr>
        <w:pStyle w:val="Boxedtext"/>
      </w:pPr>
      <w:r>
        <w:t>–</w:t>
      </w:r>
      <w:r w:rsidR="00402707">
        <w:tab/>
        <w:t>Having a retail exemption is</w:t>
      </w:r>
      <w:r w:rsidR="00402707" w:rsidRPr="00402707">
        <w:t xml:space="preserve"> analogous to </w:t>
      </w:r>
      <w:r w:rsidR="00402707">
        <w:t>the</w:t>
      </w:r>
      <w:r w:rsidR="00402707" w:rsidRPr="00402707">
        <w:t xml:space="preserve"> driver having a driver’s licence. </w:t>
      </w:r>
    </w:p>
    <w:p w:rsidR="00285892" w:rsidRDefault="00402707" w:rsidP="00402707">
      <w:r w:rsidRPr="00402707">
        <w:t xml:space="preserve">This </w:t>
      </w:r>
      <w:r w:rsidR="00762B3E">
        <w:t xml:space="preserve">Network </w:t>
      </w:r>
      <w:r w:rsidRPr="00402707">
        <w:t xml:space="preserve">Guideline is about the exemption or registration of the physical assets that make up the network. </w:t>
      </w:r>
    </w:p>
    <w:p w:rsidR="00402707" w:rsidRPr="00402707" w:rsidRDefault="00402707" w:rsidP="00402707">
      <w:r w:rsidRPr="00402707">
        <w:lastRenderedPageBreak/>
        <w:t>Please note</w:t>
      </w:r>
      <w:r w:rsidR="00762B3E">
        <w:t xml:space="preserve">: </w:t>
      </w:r>
      <w:r w:rsidR="00285892" w:rsidRPr="00285892">
        <w:t xml:space="preserve">Individual exemptions which concern an activity described in table 1 or table 3 of this guideline must comply with </w:t>
      </w:r>
      <w:r w:rsidR="00285892">
        <w:t xml:space="preserve">this </w:t>
      </w:r>
      <w:r w:rsidR="00285892" w:rsidRPr="00285892">
        <w:t>amended guideline</w:t>
      </w:r>
      <w:r w:rsidR="00285892">
        <w:t xml:space="preserve">. All other </w:t>
      </w:r>
      <w:r w:rsidRPr="00402707">
        <w:t>individual exempt</w:t>
      </w:r>
      <w:r w:rsidR="00762B3E">
        <w:t xml:space="preserve">ions granted by the AER </w:t>
      </w:r>
      <w:r w:rsidRPr="00402707">
        <w:t xml:space="preserve">and published on the AER’s website are unaffected by </w:t>
      </w:r>
      <w:r w:rsidR="00773A09">
        <w:t>changes to</w:t>
      </w:r>
      <w:r w:rsidRPr="00402707">
        <w:t xml:space="preserve"> this Guideline. All </w:t>
      </w:r>
      <w:r w:rsidR="00285892">
        <w:t xml:space="preserve">deemed and registrable </w:t>
      </w:r>
      <w:r w:rsidRPr="00402707">
        <w:t xml:space="preserve">exemptions must comply with this guideline including, where required, registration </w:t>
      </w:r>
      <w:r w:rsidR="00285892">
        <w:t xml:space="preserve">or amendment </w:t>
      </w:r>
      <w:r w:rsidRPr="00402707">
        <w:t xml:space="preserve">of the </w:t>
      </w:r>
      <w:r w:rsidR="00285892">
        <w:t xml:space="preserve">registration details of the </w:t>
      </w:r>
      <w:r w:rsidRPr="00402707">
        <w:t xml:space="preserve">network in the ‘registrable’ exemption category as provided for in this </w:t>
      </w:r>
      <w:r w:rsidR="000E60F7">
        <w:t>g</w:t>
      </w:r>
      <w:r w:rsidRPr="00402707">
        <w:t>uideline.</w:t>
      </w:r>
      <w:r w:rsidR="00285892" w:rsidRPr="00285892">
        <w:t xml:space="preserve"> </w:t>
      </w:r>
    </w:p>
    <w:p w:rsidR="00402707" w:rsidRPr="00402707" w:rsidRDefault="00402707" w:rsidP="00402707">
      <w:r w:rsidRPr="00402707">
        <w:t>Most small network owners/operators will</w:t>
      </w:r>
      <w:r w:rsidR="00F6214F">
        <w:t xml:space="preserve"> prefer to not </w:t>
      </w:r>
      <w:r w:rsidRPr="00402707">
        <w:t xml:space="preserve">register with AEMO as a distributor. </w:t>
      </w:r>
      <w:r w:rsidR="00337E11">
        <w:t>If</w:t>
      </w:r>
      <w:r w:rsidR="001D28C3">
        <w:t xml:space="preserve"> </w:t>
      </w:r>
      <w:r w:rsidR="00337E11">
        <w:t xml:space="preserve">you </w:t>
      </w:r>
      <w:r w:rsidR="00773A09">
        <w:t>register</w:t>
      </w:r>
      <w:r w:rsidR="004A539E">
        <w:t xml:space="preserve"> with AEMO</w:t>
      </w:r>
      <w:r w:rsidR="00773A09">
        <w:t xml:space="preserve">, you </w:t>
      </w:r>
      <w:r w:rsidR="00337E11">
        <w:t xml:space="preserve">will incur initial registration costs and ongoing reporting obligations and costs. </w:t>
      </w:r>
      <w:r w:rsidRPr="00402707">
        <w:t xml:space="preserve">Our </w:t>
      </w:r>
      <w:r w:rsidR="00762B3E">
        <w:t xml:space="preserve">Network </w:t>
      </w:r>
      <w:r w:rsidRPr="00402707">
        <w:t>Guideline</w:t>
      </w:r>
      <w:r w:rsidRPr="00402707" w:rsidDel="008314B9">
        <w:t xml:space="preserve"> </w:t>
      </w:r>
      <w:r w:rsidRPr="00402707">
        <w:t>sets out eligible classes of distribution activity and the requirements which must be met for an exemption to apply. Regardless of whether a network is registered or exempt, it will be subject to additional requirements governing matters including</w:t>
      </w:r>
      <w:r w:rsidR="00285892">
        <w:t xml:space="preserve"> price controls,</w:t>
      </w:r>
      <w:r w:rsidRPr="00402707">
        <w:t xml:space="preserve"> construction standards and electrical safety under the laws of the State or Territory in which it is located.</w:t>
      </w:r>
    </w:p>
    <w:p w:rsidR="00402707" w:rsidRPr="00402707" w:rsidRDefault="00402707" w:rsidP="00402707">
      <w:r w:rsidRPr="00402707">
        <w:t>All exempt private networks are subject to conditions</w:t>
      </w:r>
      <w:r w:rsidR="00D05D74">
        <w:t xml:space="preserve"> to ensure appropriate consumer protections are in place for the customers they serve</w:t>
      </w:r>
      <w:r w:rsidRPr="00402707">
        <w:t xml:space="preserve">. These conditions cover </w:t>
      </w:r>
      <w:r w:rsidR="00304952">
        <w:t xml:space="preserve">access to retail competition, </w:t>
      </w:r>
      <w:r w:rsidRPr="00402707">
        <w:t>safety, dispute resolution, metering and pricing. Even if your network is in a ‘deemed’ category, if you fail to observe the relevant conditions your exemption will be invalid</w:t>
      </w:r>
      <w:r w:rsidR="00337E11">
        <w:t xml:space="preserve"> and </w:t>
      </w:r>
      <w:r w:rsidR="00773A09">
        <w:t xml:space="preserve">you will be </w:t>
      </w:r>
      <w:r w:rsidR="00337E11">
        <w:t>operating illegally</w:t>
      </w:r>
      <w:r w:rsidRPr="00402707">
        <w:t xml:space="preserve">. This may expose you legally to a civil penalty (a fine) under the National Electricity Law or other relevant legislation. </w:t>
      </w:r>
      <w:r w:rsidR="00762B3E">
        <w:t xml:space="preserve">The conditions are in Part B, Section 4 of this </w:t>
      </w:r>
      <w:r w:rsidR="000E60F7">
        <w:t>g</w:t>
      </w:r>
      <w:r w:rsidR="00762B3E">
        <w:t>uideline.</w:t>
      </w:r>
    </w:p>
    <w:p w:rsidR="00402707" w:rsidRPr="00402707" w:rsidRDefault="0043187C" w:rsidP="001C3E8E">
      <w:pPr>
        <w:pStyle w:val="Heading4notnumbered"/>
      </w:pPr>
      <w:r>
        <w:t xml:space="preserve">Retail </w:t>
      </w:r>
      <w:r w:rsidR="00402707" w:rsidRPr="00402707">
        <w:t>Exempt Selling Guideline</w:t>
      </w:r>
    </w:p>
    <w:p w:rsidR="00402707" w:rsidRPr="00402707" w:rsidRDefault="00402707" w:rsidP="00402707">
      <w:r w:rsidRPr="00402707">
        <w:t>The AER’s requirements governing retail on</w:t>
      </w:r>
      <w:r w:rsidR="00BF5F61">
        <w:t>–</w:t>
      </w:r>
      <w:r w:rsidRPr="00402707">
        <w:t>selling registration and exemptions are set out in our Retail Exempt Selling Guideline, which should be read in close conjunction with this Guideline.</w:t>
      </w:r>
      <w:r w:rsidRPr="00402707" w:rsidDel="008314B9">
        <w:t xml:space="preserve"> </w:t>
      </w:r>
    </w:p>
    <w:p w:rsidR="00402707" w:rsidRPr="00402707" w:rsidRDefault="00304952" w:rsidP="001C3E8E">
      <w:pPr>
        <w:pStyle w:val="Heading4notnumbered"/>
        <w:rPr>
          <w:rFonts w:eastAsiaTheme="majorEastAsia"/>
        </w:rPr>
      </w:pPr>
      <w:r>
        <w:rPr>
          <w:rFonts w:eastAsiaTheme="majorEastAsia"/>
        </w:rPr>
        <w:t xml:space="preserve">Selling, </w:t>
      </w:r>
      <w:r w:rsidR="00402707" w:rsidRPr="00402707">
        <w:rPr>
          <w:rFonts w:eastAsiaTheme="majorEastAsia"/>
        </w:rPr>
        <w:t>On</w:t>
      </w:r>
      <w:r w:rsidR="00BF5F61">
        <w:rPr>
          <w:rFonts w:eastAsiaTheme="majorEastAsia"/>
        </w:rPr>
        <w:t>–</w:t>
      </w:r>
      <w:r w:rsidR="00402707" w:rsidRPr="00402707">
        <w:rPr>
          <w:rFonts w:eastAsiaTheme="majorEastAsia"/>
        </w:rPr>
        <w:t>selling</w:t>
      </w:r>
      <w:r>
        <w:rPr>
          <w:rFonts w:eastAsiaTheme="majorEastAsia"/>
        </w:rPr>
        <w:t xml:space="preserve"> and Supply</w:t>
      </w:r>
    </w:p>
    <w:p w:rsidR="00402707" w:rsidRPr="00402707" w:rsidRDefault="00402707" w:rsidP="00402707">
      <w:r w:rsidRPr="00402707">
        <w:t xml:space="preserve">The terms </w:t>
      </w:r>
      <w:r w:rsidR="00304952">
        <w:t>'</w:t>
      </w:r>
      <w:r w:rsidRPr="00402707">
        <w:t>selling</w:t>
      </w:r>
      <w:r w:rsidR="00304952">
        <w:t>',</w:t>
      </w:r>
      <w:r w:rsidRPr="00402707">
        <w:t xml:space="preserve"> </w:t>
      </w:r>
      <w:r w:rsidR="00304952">
        <w:t>'</w:t>
      </w:r>
      <w:r w:rsidRPr="00402707">
        <w:t>on</w:t>
      </w:r>
      <w:r w:rsidR="00BF5F61">
        <w:t>–</w:t>
      </w:r>
      <w:r w:rsidRPr="00402707">
        <w:t>selling</w:t>
      </w:r>
      <w:r w:rsidR="00304952">
        <w:t>'</w:t>
      </w:r>
      <w:r w:rsidRPr="00402707">
        <w:t xml:space="preserve"> </w:t>
      </w:r>
      <w:r w:rsidR="00304952">
        <w:t xml:space="preserve">and 'supply' </w:t>
      </w:r>
      <w:r w:rsidRPr="00402707">
        <w:t xml:space="preserve">have very broad connotations when used in this Guideline. They include all manner of situations where electricity is supplied </w:t>
      </w:r>
      <w:r w:rsidR="00D05D74">
        <w:t xml:space="preserve">from one person </w:t>
      </w:r>
      <w:r w:rsidRPr="00402707">
        <w:t>to another person.</w:t>
      </w:r>
      <w:r w:rsidR="00304952">
        <w:t xml:space="preserve"> This</w:t>
      </w:r>
      <w:r w:rsidRPr="00402707">
        <w:t xml:space="preserve"> includes residential boarding houses, flats, apartments, retirement villages, caravan parks, retail centres, strata title, industrial parks, airports, office building, mining facilities, joint venture arrangements, quasi</w:t>
      </w:r>
      <w:r w:rsidR="00BF5F61">
        <w:t>–</w:t>
      </w:r>
      <w:r w:rsidRPr="00402707">
        <w:t>retail or distribution arrangements and third</w:t>
      </w:r>
      <w:r w:rsidR="00BF5F61">
        <w:t>–</w:t>
      </w:r>
      <w:r w:rsidRPr="00402707">
        <w:t>party connections to generators</w:t>
      </w:r>
      <w:r w:rsidR="00304952">
        <w:t>,</w:t>
      </w:r>
      <w:r w:rsidRPr="00402707">
        <w:t xml:space="preserve"> to name but a few examples. </w:t>
      </w:r>
    </w:p>
    <w:p w:rsidR="00402707" w:rsidRPr="00402707" w:rsidRDefault="00402707" w:rsidP="00402707">
      <w:r w:rsidRPr="00402707">
        <w:t>Where the sale of electricity takes place</w:t>
      </w:r>
      <w:r w:rsidR="00304952">
        <w:t>,</w:t>
      </w:r>
      <w:r w:rsidRPr="00402707">
        <w:t xml:space="preserve"> the party selling the electricity must be registered or exempt under the Retail Exempt Selling Guideline, wherever </w:t>
      </w:r>
      <w:r w:rsidR="00AA28D0">
        <w:t xml:space="preserve">the </w:t>
      </w:r>
      <w:r w:rsidR="00476CFF">
        <w:t xml:space="preserve">Retail Law </w:t>
      </w:r>
      <w:r w:rsidRPr="00402707">
        <w:t>is in effect</w:t>
      </w:r>
      <w:r w:rsidR="00304952">
        <w:t>, or under the local jurisdictional requirements elsewhere</w:t>
      </w:r>
      <w:r w:rsidR="00E97981">
        <w:t>.</w:t>
      </w:r>
    </w:p>
    <w:p w:rsidR="00E97981" w:rsidRDefault="00402707" w:rsidP="00402707">
      <w:r w:rsidRPr="00402707">
        <w:t xml:space="preserve">The test for </w:t>
      </w:r>
      <w:r w:rsidR="00E97981">
        <w:t>'</w:t>
      </w:r>
      <w:r w:rsidRPr="00402707">
        <w:t>selling</w:t>
      </w:r>
      <w:r w:rsidR="006919E8">
        <w:t>' or 'on</w:t>
      </w:r>
      <w:r w:rsidR="00BF5F61">
        <w:t>–</w:t>
      </w:r>
      <w:r w:rsidR="002511EF">
        <w:t xml:space="preserve">selling' </w:t>
      </w:r>
      <w:r w:rsidR="002511EF" w:rsidRPr="00402707">
        <w:t>electricity</w:t>
      </w:r>
      <w:r w:rsidRPr="00402707">
        <w:t xml:space="preserve"> is about an action or activity</w:t>
      </w:r>
      <w:r w:rsidR="00E97981">
        <w:t xml:space="preserve"> </w:t>
      </w:r>
      <w:r w:rsidR="009F1088">
        <w:t xml:space="preserve">that </w:t>
      </w:r>
      <w:r w:rsidR="00E97981">
        <w:t>normally involves an exchange of money</w:t>
      </w:r>
      <w:r w:rsidRPr="00402707">
        <w:t>. In contrast, the test for a network exemption is</w:t>
      </w:r>
      <w:r w:rsidR="009F1088">
        <w:t xml:space="preserve"> </w:t>
      </w:r>
      <w:r w:rsidR="00E97981">
        <w:t>about the 'supply' of energy</w:t>
      </w:r>
      <w:r w:rsidR="009F6AF9">
        <w:t xml:space="preserve"> </w:t>
      </w:r>
      <w:r w:rsidR="008E4BE3">
        <w:t xml:space="preserve">over physical assets such as wires or busbars </w:t>
      </w:r>
      <w:r w:rsidR="009F6AF9">
        <w:t>and the associated technical issues</w:t>
      </w:r>
      <w:r w:rsidR="00E97981">
        <w:t>.</w:t>
      </w:r>
      <w:r w:rsidR="009F1088">
        <w:t xml:space="preserve"> In this revision of the guideline we have amended some deemed and registrable exemptions to refer to 'supply' of electricity, rather than 'selling' to better reflect this distinction.</w:t>
      </w:r>
    </w:p>
    <w:p w:rsidR="00E97981" w:rsidRDefault="00476CFF" w:rsidP="00402707">
      <w:r>
        <w:lastRenderedPageBreak/>
        <w:t>I</w:t>
      </w:r>
      <w:r w:rsidR="00773A09">
        <w:t xml:space="preserve">f </w:t>
      </w:r>
      <w:r w:rsidR="00402707" w:rsidRPr="00402707">
        <w:t xml:space="preserve">your wiring </w:t>
      </w:r>
      <w:r w:rsidR="00E97981">
        <w:t xml:space="preserve">is </w:t>
      </w:r>
      <w:r w:rsidR="00402707" w:rsidRPr="00402707">
        <w:t xml:space="preserve">connected to the National Electricity Market and you </w:t>
      </w:r>
      <w:r w:rsidR="00E97981" w:rsidRPr="00402707">
        <w:t xml:space="preserve">are </w:t>
      </w:r>
      <w:r w:rsidR="00402707" w:rsidRPr="00402707">
        <w:t>supplying electricity to a third person</w:t>
      </w:r>
      <w:r w:rsidR="00773A09">
        <w:t>,</w:t>
      </w:r>
      <w:r w:rsidR="00BE4DAC">
        <w:t xml:space="preserve"> </w:t>
      </w:r>
      <w:r w:rsidR="00773A09">
        <w:t>y</w:t>
      </w:r>
      <w:r w:rsidR="00E97981">
        <w:t>ou must hold a network exemption.</w:t>
      </w:r>
      <w:r w:rsidR="00A45637">
        <w:rPr>
          <w:rStyle w:val="FootnoteReference"/>
        </w:rPr>
        <w:footnoteReference w:id="5"/>
      </w:r>
      <w:r w:rsidR="00E97981">
        <w:t xml:space="preserve"> </w:t>
      </w:r>
      <w:r w:rsidR="00B622B5">
        <w:t xml:space="preserve">It doesn't matter if you charge for it or not. </w:t>
      </w:r>
      <w:r w:rsidR="00E97981">
        <w:t>E</w:t>
      </w:r>
      <w:r w:rsidR="00402707" w:rsidRPr="00402707">
        <w:t xml:space="preserve">ven if the electricity is given away for free both you (as the network owner) and your agents </w:t>
      </w:r>
      <w:r w:rsidR="00E97981">
        <w:t xml:space="preserve">(if you have any) </w:t>
      </w:r>
      <w:r w:rsidR="00402707" w:rsidRPr="00402707">
        <w:t>must be registered or exemp</w:t>
      </w:r>
      <w:r w:rsidR="00E97981">
        <w:t>t under this Network Guideline.</w:t>
      </w:r>
      <w:r w:rsidR="00A45637">
        <w:t xml:space="preserve"> </w:t>
      </w:r>
    </w:p>
    <w:p w:rsidR="009F6AF9" w:rsidRDefault="009F6AF9" w:rsidP="00402707">
      <w:r>
        <w:t xml:space="preserve">Under this </w:t>
      </w:r>
      <w:r w:rsidR="000E7EEA">
        <w:t>g</w:t>
      </w:r>
      <w:r>
        <w:t xml:space="preserve">uideline, </w:t>
      </w:r>
      <w:r w:rsidR="00402707" w:rsidRPr="00402707">
        <w:t xml:space="preserve">minor </w:t>
      </w:r>
      <w:r w:rsidR="00B622B5">
        <w:t xml:space="preserve">supply </w:t>
      </w:r>
      <w:r w:rsidR="00402707" w:rsidRPr="00402707">
        <w:t xml:space="preserve">situations </w:t>
      </w:r>
      <w:r w:rsidR="00B44EC2">
        <w:t xml:space="preserve">where the network is small and electricity is provided for free </w:t>
      </w:r>
      <w:r w:rsidR="00B622B5">
        <w:t>have been</w:t>
      </w:r>
      <w:r w:rsidR="00402707" w:rsidRPr="00402707">
        <w:t xml:space="preserve"> deemed to be exempt.</w:t>
      </w:r>
      <w:r w:rsidR="00E97981">
        <w:t xml:space="preserve"> </w:t>
      </w:r>
    </w:p>
    <w:p w:rsidR="00402707" w:rsidRDefault="009F6AF9" w:rsidP="00402707">
      <w:r>
        <w:t xml:space="preserve">Recent developments in alternative energy and battery systems have created a lot of interest in creating </w:t>
      </w:r>
      <w:proofErr w:type="spellStart"/>
      <w:r>
        <w:t>microgrids</w:t>
      </w:r>
      <w:proofErr w:type="spellEnd"/>
      <w:r>
        <w:t xml:space="preserve"> and selling power to one's neighbours. </w:t>
      </w:r>
      <w:r w:rsidR="00E97981">
        <w:t xml:space="preserve">However, </w:t>
      </w:r>
      <w:r>
        <w:t>you need to be cautious:</w:t>
      </w:r>
      <w:r w:rsidR="00B622B5">
        <w:t xml:space="preserve"> </w:t>
      </w:r>
      <w:r w:rsidR="00E97981">
        <w:t xml:space="preserve">although it </w:t>
      </w:r>
      <w:r w:rsidR="00B622B5">
        <w:t>is physically</w:t>
      </w:r>
      <w:r w:rsidR="00E97981">
        <w:t xml:space="preserve"> possible to supply electricity to your neighbours</w:t>
      </w:r>
      <w:r w:rsidR="000E7F36">
        <w:t>,</w:t>
      </w:r>
      <w:r w:rsidR="00B622B5">
        <w:t xml:space="preserve"> you should check the laws in your State or Territory. In m</w:t>
      </w:r>
      <w:r w:rsidR="000E7F36">
        <w:t>any</w:t>
      </w:r>
      <w:r w:rsidR="00B622B5">
        <w:t xml:space="preserve"> places </w:t>
      </w:r>
      <w:r w:rsidR="000E7F36">
        <w:t xml:space="preserve">it </w:t>
      </w:r>
      <w:r w:rsidR="00B622B5">
        <w:t xml:space="preserve">is illegal </w:t>
      </w:r>
      <w:r w:rsidR="000E7F36">
        <w:t xml:space="preserve">for </w:t>
      </w:r>
      <w:r>
        <w:t xml:space="preserve">private </w:t>
      </w:r>
      <w:r w:rsidR="000E7F36">
        <w:t xml:space="preserve">wiring to cross a site boundary or public land without additional State or Territory approvals </w:t>
      </w:r>
      <w:r w:rsidR="00B622B5">
        <w:t>under local laws.</w:t>
      </w:r>
      <w:r>
        <w:t xml:space="preserve"> Normally, only a registered distributor is authorised to provide this service.</w:t>
      </w:r>
      <w:r w:rsidR="00D036CF">
        <w:t xml:space="preserve"> Also, current NEM metrology procedures do not support private electricity transactions of this kind. These factors can make private s</w:t>
      </w:r>
      <w:r w:rsidR="007A6D08">
        <w:t xml:space="preserve">elling difficult to implement. </w:t>
      </w:r>
      <w:r w:rsidR="00D036CF">
        <w:t xml:space="preserve"> </w:t>
      </w:r>
    </w:p>
    <w:p w:rsidR="00402707" w:rsidRPr="00402707" w:rsidRDefault="00402707" w:rsidP="001C3E8E">
      <w:pPr>
        <w:pStyle w:val="Heading4notnumbered"/>
      </w:pPr>
      <w:r w:rsidRPr="00402707">
        <w:t>Terminology</w:t>
      </w:r>
    </w:p>
    <w:p w:rsidR="00B44EC2" w:rsidRDefault="00402707" w:rsidP="00402707">
      <w:r w:rsidRPr="00402707">
        <w:t>In this Guideline the terms ‘private network’, ‘embedded network’ and ‘exempt network’ are generally interchangeable.</w:t>
      </w:r>
      <w:r w:rsidR="00B622B5">
        <w:t xml:space="preserve"> However, note that 'embedded network' is </w:t>
      </w:r>
      <w:r w:rsidR="00B44EC2">
        <w:t xml:space="preserve">now </w:t>
      </w:r>
      <w:r w:rsidR="00B622B5">
        <w:t xml:space="preserve">a defined term in the NER. Wherever that term is used in this guideline, it has the meaning assigned to it under the NER. </w:t>
      </w:r>
      <w:r w:rsidR="00D05D74">
        <w:t>Under</w:t>
      </w:r>
      <w:r w:rsidR="000E7F36" w:rsidRPr="00402707">
        <w:t xml:space="preserve"> the National Electricity Law all private networks must be exempted by the AER.</w:t>
      </w:r>
    </w:p>
    <w:p w:rsidR="00402707" w:rsidRPr="00402707" w:rsidRDefault="00402707" w:rsidP="00402707">
      <w:r w:rsidRPr="00402707">
        <w:t xml:space="preserve">The terms all refer to the physical assets that deliver electricity </w:t>
      </w:r>
      <w:r w:rsidR="00D05D74">
        <w:t xml:space="preserve">from one person </w:t>
      </w:r>
      <w:r w:rsidRPr="00402707">
        <w:t xml:space="preserve">to another person or party. They include any privately owned wires, switches, transformers or other electrical equipment owned, operated or controlled by the applicant. </w:t>
      </w:r>
      <w:r w:rsidR="00D05D74">
        <w:t>While meter installations are used to deliver electricity and may form part of a registrable network, they are exempt from AER registration given that they are considered to provide competitive energy services under the NER.</w:t>
      </w:r>
    </w:p>
    <w:p w:rsidR="00402707" w:rsidRPr="00402707" w:rsidRDefault="00402707" w:rsidP="001C3E8E">
      <w:pPr>
        <w:pStyle w:val="Heading4notnumbered"/>
      </w:pPr>
      <w:r w:rsidRPr="00402707">
        <w:t>Deemed, Registrable and Individual Exemptions</w:t>
      </w:r>
    </w:p>
    <w:p w:rsidR="00402707" w:rsidRPr="00402707" w:rsidRDefault="00402707" w:rsidP="00402707">
      <w:r w:rsidRPr="00402707">
        <w:t xml:space="preserve">Similar to the Retail Exempt Selling Guideline, there are three categories of exemption </w:t>
      </w:r>
      <w:r w:rsidR="00BF5F61">
        <w:t>–</w:t>
      </w:r>
      <w:r w:rsidRPr="00402707">
        <w:t xml:space="preserve"> ‘deemed; ‘registrable’ and ‘individual’. In section </w:t>
      </w:r>
      <w:r w:rsidRPr="00402707">
        <w:fldChar w:fldCharType="begin"/>
      </w:r>
      <w:r w:rsidRPr="00402707">
        <w:instrText xml:space="preserve"> REF _Ref361909716 \r \h  \* MERGEFORMAT </w:instrText>
      </w:r>
      <w:r w:rsidRPr="00402707">
        <w:fldChar w:fldCharType="separate"/>
      </w:r>
      <w:r w:rsidR="00D30DD5">
        <w:t>2.3</w:t>
      </w:r>
      <w:r w:rsidRPr="00402707">
        <w:fldChar w:fldCharType="end"/>
      </w:r>
      <w:r w:rsidRPr="00402707">
        <w:t xml:space="preserve"> we explain </w:t>
      </w:r>
      <w:r w:rsidR="00865B38">
        <w:t xml:space="preserve">the </w:t>
      </w:r>
      <w:r w:rsidRPr="00402707">
        <w:t>type</w:t>
      </w:r>
      <w:r w:rsidR="00865B38">
        <w:t>s</w:t>
      </w:r>
      <w:r w:rsidRPr="00402707">
        <w:t xml:space="preserve"> of exemption </w:t>
      </w:r>
      <w:r w:rsidR="00865B38">
        <w:t xml:space="preserve">as they </w:t>
      </w:r>
      <w:r w:rsidRPr="00402707">
        <w:t xml:space="preserve">relate to particular activities. In section </w:t>
      </w:r>
      <w:r w:rsidRPr="00402707">
        <w:fldChar w:fldCharType="begin"/>
      </w:r>
      <w:r w:rsidRPr="00402707">
        <w:instrText xml:space="preserve"> REF _Ref361909733 \r \h  \* MERGEFORMAT </w:instrText>
      </w:r>
      <w:r w:rsidRPr="00402707">
        <w:fldChar w:fldCharType="separate"/>
      </w:r>
      <w:r w:rsidR="00D30DD5">
        <w:t>3</w:t>
      </w:r>
      <w:r w:rsidRPr="00402707">
        <w:fldChar w:fldCharType="end"/>
      </w:r>
      <w:r w:rsidRPr="00402707">
        <w:t xml:space="preserve"> we detail the pre</w:t>
      </w:r>
      <w:r w:rsidR="00BF5F61">
        <w:t>–</w:t>
      </w:r>
      <w:r w:rsidRPr="00402707">
        <w:t>defined exemption classes</w:t>
      </w:r>
      <w:r w:rsidR="00CE34E8">
        <w:t xml:space="preserve"> and in section 4 the conditions which apply to those activities</w:t>
      </w:r>
      <w:r w:rsidRPr="00402707">
        <w:t>.</w:t>
      </w:r>
    </w:p>
    <w:p w:rsidR="00B44EC2" w:rsidRDefault="00402707" w:rsidP="00402707">
      <w:r w:rsidRPr="00402707">
        <w:t xml:space="preserve">The range of predefined exemption classes encompasses both deemed and registrable exemptions in both </w:t>
      </w:r>
      <w:r w:rsidR="000E7EEA">
        <w:t>g</w:t>
      </w:r>
      <w:r w:rsidRPr="00402707">
        <w:t xml:space="preserve">uidelines. </w:t>
      </w:r>
      <w:r w:rsidR="00B44EC2" w:rsidRPr="00402707">
        <w:t xml:space="preserve">All deemed and registrable </w:t>
      </w:r>
      <w:r w:rsidR="00865B38">
        <w:t xml:space="preserve">network </w:t>
      </w:r>
      <w:r w:rsidR="00B44EC2" w:rsidRPr="00402707">
        <w:t xml:space="preserve">exemptions </w:t>
      </w:r>
      <w:r w:rsidR="00C91B7C">
        <w:t xml:space="preserve">maintain important consumer protection measures but </w:t>
      </w:r>
      <w:r w:rsidR="00B44EC2" w:rsidRPr="00402707">
        <w:t>exempt the holder from the technical requirements of chapter 5 of the NER.</w:t>
      </w:r>
    </w:p>
    <w:p w:rsidR="00402707" w:rsidRPr="00402707" w:rsidRDefault="00402707" w:rsidP="00402707">
      <w:r w:rsidRPr="00402707">
        <w:t xml:space="preserve">The AER has aligned </w:t>
      </w:r>
      <w:r w:rsidR="00B44EC2">
        <w:t xml:space="preserve">many of </w:t>
      </w:r>
      <w:r w:rsidRPr="00402707">
        <w:t xml:space="preserve">the </w:t>
      </w:r>
      <w:r w:rsidR="00A51FD7">
        <w:t xml:space="preserve">activity </w:t>
      </w:r>
      <w:r w:rsidRPr="00402707">
        <w:t xml:space="preserve">classes for deemed and registrable network exemptions with the equivalent classes in the Retail Exempt Selling Guideline. However, the </w:t>
      </w:r>
      <w:r w:rsidRPr="00402707">
        <w:lastRenderedPageBreak/>
        <w:t xml:space="preserve">Network Guideline deals with a wider range of activities than those captured under the Retail Law. Therefore, there are more classes in the Network Guideline. The </w:t>
      </w:r>
      <w:r w:rsidR="00865B38">
        <w:t xml:space="preserve">predefined </w:t>
      </w:r>
      <w:r w:rsidRPr="00402707">
        <w:t xml:space="preserve">classes are set out in four tables numbered 1 to 4. The classes in tables 1 and 3 are related to the Retail Exempt Selling Guideline classes. </w:t>
      </w:r>
      <w:r w:rsidR="00865B38" w:rsidRPr="00865B38">
        <w:t xml:space="preserve">The classes in tables </w:t>
      </w:r>
      <w:r w:rsidR="00865B38">
        <w:t>2</w:t>
      </w:r>
      <w:r w:rsidR="00865B38" w:rsidRPr="00865B38">
        <w:t xml:space="preserve"> and </w:t>
      </w:r>
      <w:r w:rsidR="00865B38">
        <w:t>4</w:t>
      </w:r>
      <w:r w:rsidR="00865B38" w:rsidRPr="00865B38">
        <w:t xml:space="preserve"> are </w:t>
      </w:r>
      <w:r w:rsidR="00865B38">
        <w:t xml:space="preserve">concerned with a range of situations that are not </w:t>
      </w:r>
      <w:r w:rsidR="00865B38" w:rsidRPr="00865B38">
        <w:t xml:space="preserve">directly related to the </w:t>
      </w:r>
      <w:r w:rsidR="00865B38">
        <w:t>retail sale of electricity.</w:t>
      </w:r>
    </w:p>
    <w:p w:rsidR="00402707" w:rsidRPr="00402707" w:rsidRDefault="00402707" w:rsidP="00402707">
      <w:r w:rsidRPr="00402707">
        <w:t xml:space="preserve">Individual exemptions operate differently between the </w:t>
      </w:r>
      <w:r w:rsidR="003119F4">
        <w:t xml:space="preserve">National Energy </w:t>
      </w:r>
      <w:r w:rsidRPr="00402707">
        <w:t xml:space="preserve">Retail Law and the National Electricity Law. We have tried to anticipate a wide range of ‘real world’ activities in the deemed and registrable categories. We expect an application for an individual network exemption will be for </w:t>
      </w:r>
      <w:r w:rsidR="003119F4">
        <w:t xml:space="preserve">either a </w:t>
      </w:r>
      <w:r w:rsidRPr="00402707">
        <w:t>new, unanticipated activity</w:t>
      </w:r>
      <w:r w:rsidR="003119F4">
        <w:t xml:space="preserve"> for which no exemption class exists</w:t>
      </w:r>
      <w:r w:rsidR="003119F4" w:rsidRPr="00402707">
        <w:t xml:space="preserve"> or</w:t>
      </w:r>
      <w:r w:rsidRPr="00402707">
        <w:t xml:space="preserve"> for a variation of the conditions.</w:t>
      </w:r>
      <w:r w:rsidR="004C400B" w:rsidRPr="004C400B">
        <w:t xml:space="preserve"> </w:t>
      </w:r>
    </w:p>
    <w:p w:rsidR="00402707" w:rsidRDefault="00402707" w:rsidP="00402707">
      <w:r w:rsidRPr="00402707">
        <w:t xml:space="preserve">All applications </w:t>
      </w:r>
      <w:r w:rsidR="00B44EC2">
        <w:t xml:space="preserve">for individual exemption </w:t>
      </w:r>
      <w:r w:rsidRPr="00402707">
        <w:t>will be subject to a formal determination by the AER. Applications for a variation of conditions will only be granted in exceptional circumstances</w:t>
      </w:r>
      <w:proofErr w:type="gramStart"/>
      <w:r w:rsidRPr="00402707">
        <w:t>..</w:t>
      </w:r>
      <w:proofErr w:type="gramEnd"/>
      <w:r w:rsidRPr="00402707">
        <w:t xml:space="preserve"> </w:t>
      </w:r>
      <w:r w:rsidR="00D036CF">
        <w:t xml:space="preserve">The application must demonstrate that a variation of conditions will be consistent with the National Electricity Objective. Individual exemptions </w:t>
      </w:r>
      <w:r w:rsidRPr="00402707">
        <w:t>are registrable and will be published.</w:t>
      </w:r>
    </w:p>
    <w:p w:rsidR="00402707" w:rsidRPr="00402707" w:rsidRDefault="00402707" w:rsidP="001C3E8E">
      <w:pPr>
        <w:pStyle w:val="Heading4notnumbered"/>
      </w:pPr>
      <w:r w:rsidRPr="00402707">
        <w:t>Exemption tables</w:t>
      </w:r>
    </w:p>
    <w:p w:rsidR="00402707" w:rsidRPr="00402707" w:rsidRDefault="00402707" w:rsidP="00402707">
      <w:r w:rsidRPr="00402707">
        <w:t xml:space="preserve">Deemed </w:t>
      </w:r>
      <w:r w:rsidR="00B44EC2">
        <w:t xml:space="preserve">network </w:t>
      </w:r>
      <w:r w:rsidRPr="00402707">
        <w:t>exemption classes are described in Tables 1 and 2</w:t>
      </w:r>
      <w:r w:rsidR="004C400B">
        <w:t xml:space="preserve"> in section </w:t>
      </w:r>
      <w:r w:rsidR="004C400B">
        <w:fldChar w:fldCharType="begin"/>
      </w:r>
      <w:r w:rsidR="004C400B">
        <w:instrText xml:space="preserve"> REF _Ref459379747 \r \h </w:instrText>
      </w:r>
      <w:r w:rsidR="004C400B">
        <w:fldChar w:fldCharType="separate"/>
      </w:r>
      <w:r w:rsidR="00D30DD5">
        <w:t>3.1</w:t>
      </w:r>
      <w:r w:rsidR="004C400B">
        <w:fldChar w:fldCharType="end"/>
      </w:r>
      <w:r w:rsidRPr="00402707">
        <w:t xml:space="preserve">, along with details of the parties to whom the exemption applies. Deemed exemptions are subject to strict observance of the conditions detailed in Part B of the </w:t>
      </w:r>
      <w:r w:rsidR="000E7EEA">
        <w:t xml:space="preserve">Network </w:t>
      </w:r>
      <w:r w:rsidRPr="00402707">
        <w:t xml:space="preserve">Guideline. Penalties may apply to any party who wrongly claims to be eligible for a deemed exemption. </w:t>
      </w:r>
    </w:p>
    <w:p w:rsidR="00402707" w:rsidRPr="00402707" w:rsidRDefault="00402707" w:rsidP="00402707">
      <w:r w:rsidRPr="00402707">
        <w:t xml:space="preserve">Registrable </w:t>
      </w:r>
      <w:r w:rsidR="00B44EC2">
        <w:t xml:space="preserve">network </w:t>
      </w:r>
      <w:r w:rsidRPr="00402707">
        <w:t>exemptions are described in Tables 3 and 4</w:t>
      </w:r>
      <w:r w:rsidR="004C400B">
        <w:t xml:space="preserve"> in section </w:t>
      </w:r>
      <w:r w:rsidR="004C400B">
        <w:fldChar w:fldCharType="begin"/>
      </w:r>
      <w:r w:rsidR="004C400B">
        <w:instrText xml:space="preserve"> REF _Ref459379775 \r \h </w:instrText>
      </w:r>
      <w:r w:rsidR="004C400B">
        <w:fldChar w:fldCharType="separate"/>
      </w:r>
      <w:r w:rsidR="00D30DD5">
        <w:t>3.2</w:t>
      </w:r>
      <w:r w:rsidR="004C400B">
        <w:fldChar w:fldCharType="end"/>
      </w:r>
      <w:r w:rsidRPr="00402707">
        <w:t xml:space="preserve">, along with details of the parties to whom the exemption applies both during and after a transition period, and are subject to strict observance of the conditions detailed in Part B of the </w:t>
      </w:r>
      <w:r w:rsidR="000E7EEA" w:rsidRPr="000E7EEA">
        <w:t xml:space="preserve">Network </w:t>
      </w:r>
      <w:r w:rsidRPr="00402707">
        <w:t xml:space="preserve">Guideline. </w:t>
      </w:r>
    </w:p>
    <w:p w:rsidR="00402707" w:rsidRDefault="00402707" w:rsidP="00402707">
      <w:r w:rsidRPr="00402707">
        <w:t>The NER also provides for individual exemptions, which are a single category described in Table 5</w:t>
      </w:r>
      <w:r w:rsidR="004C400B">
        <w:t xml:space="preserve"> in section </w:t>
      </w:r>
      <w:r w:rsidR="004C400B">
        <w:fldChar w:fldCharType="begin"/>
      </w:r>
      <w:r w:rsidR="004C400B">
        <w:instrText xml:space="preserve"> REF _Ref361831288 \r \h </w:instrText>
      </w:r>
      <w:r w:rsidR="004C400B">
        <w:fldChar w:fldCharType="separate"/>
      </w:r>
      <w:r w:rsidR="00D30DD5">
        <w:t>3.3</w:t>
      </w:r>
      <w:r w:rsidR="004C400B">
        <w:fldChar w:fldCharType="end"/>
      </w:r>
      <w:r w:rsidRPr="00402707">
        <w:t>.</w:t>
      </w:r>
    </w:p>
    <w:p w:rsidR="00402707" w:rsidRPr="00402707" w:rsidRDefault="001C3E8E" w:rsidP="00304952">
      <w:pPr>
        <w:pStyle w:val="Heading3"/>
      </w:pPr>
      <w:bookmarkStart w:id="12" w:name="_Toc468276059"/>
      <w:r>
        <w:t>Basic exemption c</w:t>
      </w:r>
      <w:r w:rsidR="00402707" w:rsidRPr="00402707">
        <w:t>onditions</w:t>
      </w:r>
      <w:bookmarkEnd w:id="12"/>
      <w:r w:rsidR="00402707" w:rsidRPr="00402707">
        <w:t xml:space="preserve"> </w:t>
      </w:r>
    </w:p>
    <w:p w:rsidR="00402707" w:rsidRPr="00402707" w:rsidRDefault="00402707" w:rsidP="00402707">
      <w:r w:rsidRPr="00402707">
        <w:t xml:space="preserve">There are </w:t>
      </w:r>
      <w:r w:rsidR="00B44EC2" w:rsidRPr="00402707">
        <w:t>f</w:t>
      </w:r>
      <w:r w:rsidR="00B44EC2">
        <w:t xml:space="preserve">ive </w:t>
      </w:r>
      <w:r w:rsidRPr="00402707">
        <w:t xml:space="preserve">basic requirements for exempt networks. An exempt person must: </w:t>
      </w:r>
    </w:p>
    <w:p w:rsidR="00402707" w:rsidRPr="00402707" w:rsidRDefault="00402707" w:rsidP="00B44EC2">
      <w:pPr>
        <w:pStyle w:val="Bulletpoint"/>
      </w:pPr>
      <w:r w:rsidRPr="00402707">
        <w:t>ensure that their network is safe</w:t>
      </w:r>
    </w:p>
    <w:p w:rsidR="00402707" w:rsidRPr="00402707" w:rsidRDefault="00402707" w:rsidP="00B44EC2">
      <w:pPr>
        <w:pStyle w:val="Bulletpoint"/>
      </w:pPr>
      <w:r w:rsidRPr="00402707">
        <w:t>have a dispute resolution mechanism</w:t>
      </w:r>
    </w:p>
    <w:p w:rsidR="00402707" w:rsidRPr="00402707" w:rsidRDefault="00402707" w:rsidP="000E7EEA">
      <w:pPr>
        <w:pStyle w:val="Bulletpoint"/>
      </w:pPr>
      <w:r w:rsidRPr="00402707">
        <w:t xml:space="preserve">ensure that network pricing is in accordance with </w:t>
      </w:r>
      <w:r w:rsidR="004C400B">
        <w:t xml:space="preserve">this </w:t>
      </w:r>
      <w:r w:rsidR="000E7EEA" w:rsidRPr="000E7EEA">
        <w:t xml:space="preserve">Network </w:t>
      </w:r>
      <w:r w:rsidR="004C400B">
        <w:t>Guideline</w:t>
      </w:r>
    </w:p>
    <w:p w:rsidR="00B44EC2" w:rsidRDefault="00402707" w:rsidP="00B44EC2">
      <w:pPr>
        <w:pStyle w:val="Bulletpoint"/>
      </w:pPr>
      <w:r w:rsidRPr="00402707">
        <w:t>ensure that electricity meters comply with National Measurement Act 1960 (</w:t>
      </w:r>
      <w:proofErr w:type="spellStart"/>
      <w:r w:rsidRPr="00402707">
        <w:t>Cth</w:t>
      </w:r>
      <w:proofErr w:type="spellEnd"/>
      <w:r w:rsidRPr="00402707">
        <w:t>) requirements for electricity meters installed from 1 January 2013</w:t>
      </w:r>
      <w:r w:rsidRPr="00402707">
        <w:rPr>
          <w:rStyle w:val="FootnoteReference"/>
        </w:rPr>
        <w:footnoteReference w:id="6"/>
      </w:r>
      <w:r w:rsidRPr="00402707">
        <w:t xml:space="preserve"> and other applicable Australian standards</w:t>
      </w:r>
      <w:r w:rsidR="00B44EC2">
        <w:t>; and</w:t>
      </w:r>
    </w:p>
    <w:p w:rsidR="00402707" w:rsidRPr="00402707" w:rsidRDefault="008D7D63" w:rsidP="00B44EC2">
      <w:pPr>
        <w:pStyle w:val="Bulletpoint"/>
      </w:pPr>
      <w:proofErr w:type="gramStart"/>
      <w:r>
        <w:t>provide</w:t>
      </w:r>
      <w:proofErr w:type="gramEnd"/>
      <w:r>
        <w:t xml:space="preserve"> </w:t>
      </w:r>
      <w:r w:rsidR="00B44EC2">
        <w:t>ready access to retail competition where it is available in a jurisdiction</w:t>
      </w:r>
      <w:r w:rsidR="00402707" w:rsidRPr="00402707">
        <w:t>.</w:t>
      </w:r>
      <w:r w:rsidR="001D28C3">
        <w:t xml:space="preserve"> </w:t>
      </w:r>
    </w:p>
    <w:p w:rsidR="00B44EC2" w:rsidRDefault="00402707" w:rsidP="00402707">
      <w:r w:rsidRPr="00402707">
        <w:t xml:space="preserve">Section </w:t>
      </w:r>
      <w:r w:rsidRPr="00402707">
        <w:fldChar w:fldCharType="begin"/>
      </w:r>
      <w:r w:rsidRPr="00402707">
        <w:instrText xml:space="preserve"> REF _Ref361909753 \r \h  \* MERGEFORMAT </w:instrText>
      </w:r>
      <w:r w:rsidRPr="00402707">
        <w:fldChar w:fldCharType="separate"/>
      </w:r>
      <w:r w:rsidR="00D30DD5">
        <w:t>4</w:t>
      </w:r>
      <w:r w:rsidRPr="00402707">
        <w:fldChar w:fldCharType="end"/>
      </w:r>
      <w:r w:rsidRPr="00402707">
        <w:t xml:space="preserve"> details the specific conditions which must be met for each exemption </w:t>
      </w:r>
      <w:r w:rsidR="000E71AF">
        <w:t xml:space="preserve">activity </w:t>
      </w:r>
      <w:r w:rsidRPr="00402707">
        <w:t xml:space="preserve">class. </w:t>
      </w:r>
    </w:p>
    <w:p w:rsidR="00402707" w:rsidRDefault="00402707" w:rsidP="00402707">
      <w:r w:rsidRPr="00402707">
        <w:lastRenderedPageBreak/>
        <w:t xml:space="preserve">Compliance with all the relevant conditions set out in this </w:t>
      </w:r>
      <w:r w:rsidR="000E7EEA" w:rsidRPr="000E7EEA">
        <w:t xml:space="preserve">Network </w:t>
      </w:r>
      <w:r w:rsidRPr="00402707">
        <w:t>Guideline</w:t>
      </w:r>
      <w:r w:rsidRPr="00402707" w:rsidDel="008314B9">
        <w:t xml:space="preserve"> </w:t>
      </w:r>
      <w:r w:rsidRPr="00402707">
        <w:t>is a mandatory requirement for a network service provider exemption to be valid. Non</w:t>
      </w:r>
      <w:r w:rsidR="00BF5F61">
        <w:t>–</w:t>
      </w:r>
      <w:r w:rsidRPr="00402707">
        <w:t>compliance may result in penalties in accordance with the provisions of section 11 of the NEL.</w:t>
      </w:r>
    </w:p>
    <w:p w:rsidR="00083CF4" w:rsidRDefault="00F6506D" w:rsidP="00402707">
      <w:r>
        <w:t>B</w:t>
      </w:r>
      <w:r w:rsidR="00DC4EEE">
        <w:t xml:space="preserve">efore </w:t>
      </w:r>
      <w:r>
        <w:t xml:space="preserve">we </w:t>
      </w:r>
      <w:r w:rsidR="00DC4EEE">
        <w:t>discuss our general administration requirements</w:t>
      </w:r>
      <w:r w:rsidR="006919E8">
        <w:t xml:space="preserve"> for exempt networks</w:t>
      </w:r>
      <w:r w:rsidR="00DC4EEE">
        <w:t xml:space="preserve">, we discuss </w:t>
      </w:r>
      <w:r w:rsidR="00D036CF">
        <w:t xml:space="preserve">access requirements, </w:t>
      </w:r>
      <w:r w:rsidR="00DC4EEE">
        <w:t xml:space="preserve">some </w:t>
      </w:r>
      <w:r w:rsidR="00D036CF">
        <w:t xml:space="preserve">basic metrology terminology and </w:t>
      </w:r>
      <w:r w:rsidR="00DC4EEE">
        <w:t>general background matters.</w:t>
      </w:r>
    </w:p>
    <w:p w:rsidR="00402707" w:rsidRPr="00402707" w:rsidRDefault="00402707" w:rsidP="001C3E8E">
      <w:pPr>
        <w:pStyle w:val="Heading4notnumbered"/>
      </w:pPr>
      <w:r w:rsidRPr="00402707">
        <w:t>Access to retail competition</w:t>
      </w:r>
    </w:p>
    <w:p w:rsidR="00563B0A" w:rsidRDefault="00090583" w:rsidP="00402707">
      <w:r>
        <w:t xml:space="preserve">At the time </w:t>
      </w:r>
      <w:r w:rsidR="002511EF">
        <w:t>of writing</w:t>
      </w:r>
      <w:r w:rsidR="00F6506D">
        <w:t>,</w:t>
      </w:r>
      <w:r>
        <w:t xml:space="preserve"> </w:t>
      </w:r>
      <w:r w:rsidR="00415628" w:rsidRPr="00402707">
        <w:t xml:space="preserve">Victoria, New South Wales and South Australia </w:t>
      </w:r>
      <w:r w:rsidR="00402707" w:rsidRPr="00402707">
        <w:t xml:space="preserve">allow customers in private networks to exercise a right to choose their electricity retailer. To achieve </w:t>
      </w:r>
      <w:r w:rsidR="006919E8">
        <w:t xml:space="preserve">this </w:t>
      </w:r>
      <w:r w:rsidR="00563B0A">
        <w:t xml:space="preserve">access to </w:t>
      </w:r>
      <w:r w:rsidR="00DC4EEE">
        <w:t>retail competition in these jurisdictions</w:t>
      </w:r>
      <w:r w:rsidR="00402707" w:rsidRPr="00402707">
        <w:t>, special arrangements exist to create a ‘parent/child</w:t>
      </w:r>
      <w:r w:rsidR="00083CF4">
        <w:t>'</w:t>
      </w:r>
      <w:r w:rsidR="00402707" w:rsidRPr="00402707">
        <w:rPr>
          <w:rStyle w:val="FootnoteReference"/>
        </w:rPr>
        <w:footnoteReference w:id="7"/>
      </w:r>
      <w:r w:rsidR="00402707" w:rsidRPr="00402707">
        <w:t xml:space="preserve"> relationship for the metering.</w:t>
      </w:r>
      <w:r w:rsidR="00865B38">
        <w:t xml:space="preserve"> </w:t>
      </w:r>
      <w:r w:rsidR="00DC4EEE">
        <w:t>However, t</w:t>
      </w:r>
      <w:r w:rsidR="00DE4096">
        <w:t xml:space="preserve">hese arrangements have not always worked </w:t>
      </w:r>
      <w:r w:rsidR="006919E8">
        <w:t xml:space="preserve">as </w:t>
      </w:r>
      <w:r w:rsidR="00DC4EEE">
        <w:t xml:space="preserve">smoothly </w:t>
      </w:r>
      <w:r w:rsidR="00DE4096">
        <w:t xml:space="preserve">as </w:t>
      </w:r>
      <w:r w:rsidR="006919E8">
        <w:t>they should</w:t>
      </w:r>
      <w:r w:rsidR="00DE4096">
        <w:t xml:space="preserve">, which led to </w:t>
      </w:r>
      <w:r w:rsidR="00476CFF">
        <w:t>the embedded networks</w:t>
      </w:r>
      <w:r w:rsidR="00DE4096">
        <w:t xml:space="preserve"> </w:t>
      </w:r>
      <w:r w:rsidR="00DC4EEE">
        <w:t xml:space="preserve">rule change proposal </w:t>
      </w:r>
      <w:r w:rsidR="00DE4096">
        <w:t>sponsored by AEMO to expand the NER to address problem areas.</w:t>
      </w:r>
      <w:r w:rsidR="00CE34E8">
        <w:rPr>
          <w:rStyle w:val="FootnoteReference"/>
        </w:rPr>
        <w:footnoteReference w:id="8"/>
      </w:r>
    </w:p>
    <w:p w:rsidR="008951DF" w:rsidRDefault="00865B38" w:rsidP="00402707">
      <w:r>
        <w:t xml:space="preserve">The AEMC </w:t>
      </w:r>
      <w:r w:rsidR="00EF5396">
        <w:t xml:space="preserve">made </w:t>
      </w:r>
      <w:r>
        <w:t>the Embedded Networks rule change</w:t>
      </w:r>
      <w:r w:rsidR="006919E8">
        <w:t xml:space="preserve"> in December 2015</w:t>
      </w:r>
      <w:r>
        <w:t xml:space="preserve">, which </w:t>
      </w:r>
      <w:r w:rsidR="006919E8">
        <w:t>is intended</w:t>
      </w:r>
      <w:r>
        <w:t xml:space="preserve"> to make parent/child metering </w:t>
      </w:r>
      <w:r w:rsidR="005A3D05">
        <w:t>consistent and simpler to implement</w:t>
      </w:r>
      <w:r>
        <w:t>. The rule</w:t>
      </w:r>
      <w:r w:rsidR="00DE4096">
        <w:t xml:space="preserve"> change requires that a special, new </w:t>
      </w:r>
      <w:r>
        <w:t>class of accredited NEM partic</w:t>
      </w:r>
      <w:r w:rsidR="00D05116">
        <w:t xml:space="preserve">ipant, the </w:t>
      </w:r>
      <w:r w:rsidR="00D05116" w:rsidRPr="00563B0A">
        <w:rPr>
          <w:rStyle w:val="Emphasis"/>
        </w:rPr>
        <w:t>Embedded Network Manager</w:t>
      </w:r>
      <w:r w:rsidR="00D05116">
        <w:t xml:space="preserve"> (ENM) be appointed wherever customers </w:t>
      </w:r>
      <w:r w:rsidR="004C400B">
        <w:t xml:space="preserve">want </w:t>
      </w:r>
      <w:r w:rsidR="00D05116">
        <w:t xml:space="preserve">access </w:t>
      </w:r>
      <w:r w:rsidR="004C400B">
        <w:t xml:space="preserve">to </w:t>
      </w:r>
      <w:r w:rsidR="00D05116">
        <w:t>retail competition.</w:t>
      </w:r>
      <w:r w:rsidR="00402707" w:rsidRPr="00402707">
        <w:t xml:space="preserve"> </w:t>
      </w:r>
      <w:r w:rsidR="00DE4096">
        <w:t>T</w:t>
      </w:r>
      <w:r w:rsidR="004C400B">
        <w:t xml:space="preserve">he ENM </w:t>
      </w:r>
      <w:r w:rsidR="00476CFF">
        <w:t xml:space="preserve">is </w:t>
      </w:r>
      <w:r w:rsidR="00DE4096">
        <w:t xml:space="preserve">tasked with ensuring the metering installation is correctly recorded in the market settlement system. </w:t>
      </w:r>
      <w:r w:rsidR="001139B2">
        <w:t xml:space="preserve">Commencing in March 2017, AEMO will accredit ENMs and will maintain a register of ENMs. </w:t>
      </w:r>
    </w:p>
    <w:p w:rsidR="001742FF" w:rsidRPr="00402707" w:rsidRDefault="00402707" w:rsidP="00402707">
      <w:r w:rsidRPr="00402707">
        <w:t xml:space="preserve">Elsewhere, access to retail competition through a private network is subject to agreement between the </w:t>
      </w:r>
      <w:r w:rsidR="003A62F6">
        <w:t>exempt embedded network service provider</w:t>
      </w:r>
      <w:r w:rsidRPr="00402707">
        <w:t xml:space="preserve"> and the customers of that network. Customers in the ACT, Queensland and Tasmania </w:t>
      </w:r>
      <w:r w:rsidR="00B16D2F">
        <w:t xml:space="preserve">have traditionally </w:t>
      </w:r>
      <w:r w:rsidRPr="00402707">
        <w:t>require</w:t>
      </w:r>
      <w:r w:rsidR="00B16D2F">
        <w:t>d</w:t>
      </w:r>
      <w:r w:rsidRPr="00402707">
        <w:t xml:space="preserve"> a direct connection to a distributor to access retail competition</w:t>
      </w:r>
      <w:r w:rsidR="00D05116">
        <w:t xml:space="preserve">. </w:t>
      </w:r>
      <w:r w:rsidR="00A942CC" w:rsidRPr="00A942CC">
        <w:t xml:space="preserve">The ACT and Queensland are expected to review their arrangements for access to retail competition in embedded networks. With the introduction of the new rule from 1 December 2017, the new access arrangements may also be adopted by one or more of the other NEM jurisdictions. </w:t>
      </w:r>
      <w:r w:rsidR="008951DF">
        <w:t xml:space="preserve">The situation which is to apply in </w:t>
      </w:r>
      <w:r w:rsidR="00A942CC" w:rsidRPr="00A942CC">
        <w:t>Tasmania</w:t>
      </w:r>
      <w:r w:rsidR="005A3D05">
        <w:t xml:space="preserve"> and</w:t>
      </w:r>
      <w:r w:rsidR="00A942CC" w:rsidRPr="00A942CC">
        <w:t xml:space="preserve"> </w:t>
      </w:r>
      <w:r w:rsidR="008951DF">
        <w:t xml:space="preserve">the Northern Territory is subject to further </w:t>
      </w:r>
      <w:r w:rsidR="004D74DD">
        <w:t>consideration</w:t>
      </w:r>
      <w:r w:rsidR="008951DF">
        <w:t xml:space="preserve"> by those jurisdictions.</w:t>
      </w:r>
    </w:p>
    <w:p w:rsidR="004A25BA" w:rsidRPr="00402707" w:rsidRDefault="00402707" w:rsidP="001C3E8E">
      <w:pPr>
        <w:pStyle w:val="Heading4notnumbered"/>
      </w:pPr>
      <w:r w:rsidRPr="00402707">
        <w:t>Victoria, New South Wales</w:t>
      </w:r>
      <w:r w:rsidR="004A25BA">
        <w:t>,</w:t>
      </w:r>
      <w:r w:rsidRPr="00402707">
        <w:t xml:space="preserve"> South Australia</w:t>
      </w:r>
      <w:r w:rsidR="004A25BA">
        <w:t xml:space="preserve"> </w:t>
      </w:r>
    </w:p>
    <w:p w:rsidR="00402707" w:rsidRPr="00402707" w:rsidRDefault="00DE4096" w:rsidP="00402707">
      <w:r w:rsidRPr="00402707">
        <w:t>To make ac</w:t>
      </w:r>
      <w:r w:rsidR="00B3079A">
        <w:t>cess to retail competition work it is essential that a</w:t>
      </w:r>
      <w:r>
        <w:t xml:space="preserve">n exempt embedded network service provider </w:t>
      </w:r>
      <w:r w:rsidRPr="00402707">
        <w:t xml:space="preserve">not </w:t>
      </w:r>
      <w:r>
        <w:t xml:space="preserve">impede </w:t>
      </w:r>
      <w:r w:rsidRPr="00402707">
        <w:t>access to retail competition and take reasonable steps to facilitate access for a tenant.</w:t>
      </w:r>
      <w:r w:rsidRPr="00402707">
        <w:rPr>
          <w:rStyle w:val="FootnoteReference"/>
        </w:rPr>
        <w:footnoteReference w:id="9"/>
      </w:r>
      <w:r w:rsidRPr="00402707">
        <w:t xml:space="preserve"> </w:t>
      </w:r>
      <w:r w:rsidR="00B3079A">
        <w:t xml:space="preserve">With this in mind, we imposed a condition in revision 1.3 of this guideline to require an exempt embedded network service provider to support retail competition, which was available in </w:t>
      </w:r>
      <w:r w:rsidR="00402707" w:rsidRPr="00402707">
        <w:t xml:space="preserve">these </w:t>
      </w:r>
      <w:r w:rsidR="00B3079A">
        <w:t xml:space="preserve">three </w:t>
      </w:r>
      <w:r w:rsidR="00402707" w:rsidRPr="00402707">
        <w:t>jurisdictions</w:t>
      </w:r>
      <w:r w:rsidR="00B3079A">
        <w:t>.</w:t>
      </w:r>
      <w:r w:rsidR="00402707" w:rsidRPr="00402707">
        <w:t xml:space="preserve"> </w:t>
      </w:r>
      <w:r w:rsidR="00B3079A">
        <w:t xml:space="preserve">These jurisdictions </w:t>
      </w:r>
      <w:r w:rsidR="001C3E8E">
        <w:t>(and</w:t>
      </w:r>
      <w:r w:rsidR="00B3079A">
        <w:t xml:space="preserve"> </w:t>
      </w:r>
      <w:r w:rsidR="001C3E8E">
        <w:t>any who adopt the parent/child approach) have</w:t>
      </w:r>
      <w:r w:rsidR="00402707" w:rsidRPr="00402707">
        <w:t xml:space="preserve"> </w:t>
      </w:r>
      <w:r w:rsidR="00E86C79">
        <w:t xml:space="preserve">(or will have) </w:t>
      </w:r>
      <w:r w:rsidR="001C3E8E" w:rsidRPr="00402707">
        <w:t xml:space="preserve">procedures </w:t>
      </w:r>
      <w:r w:rsidR="00402707" w:rsidRPr="00402707">
        <w:t xml:space="preserve">in place </w:t>
      </w:r>
      <w:r w:rsidR="001C3E8E" w:rsidRPr="00402707">
        <w:t xml:space="preserve">with AEMO </w:t>
      </w:r>
      <w:r w:rsidR="00402707" w:rsidRPr="00402707">
        <w:t>(called metrology procedures) to register</w:t>
      </w:r>
      <w:r w:rsidR="001C3E8E">
        <w:t xml:space="preserve"> the</w:t>
      </w:r>
      <w:r w:rsidR="00402707" w:rsidRPr="00402707">
        <w:t xml:space="preserve"> ‘parent’ and ‘child’ meters for customers of </w:t>
      </w:r>
      <w:r w:rsidR="00402707" w:rsidRPr="00402707">
        <w:lastRenderedPageBreak/>
        <w:t>private networks that access retail competition.</w:t>
      </w:r>
      <w:r w:rsidR="00402707" w:rsidRPr="00402707">
        <w:rPr>
          <w:rStyle w:val="FootnoteReference"/>
        </w:rPr>
        <w:footnoteReference w:id="10"/>
      </w:r>
      <w:r w:rsidR="00402707" w:rsidRPr="00402707">
        <w:t xml:space="preserve"> Metrology procedures are </w:t>
      </w:r>
      <w:r w:rsidR="00D05116">
        <w:t>very detailed</w:t>
      </w:r>
      <w:r w:rsidR="00402707" w:rsidRPr="00402707">
        <w:t xml:space="preserve">. Describing how these procedures work is </w:t>
      </w:r>
      <w:r w:rsidR="00D05116">
        <w:t xml:space="preserve">generally </w:t>
      </w:r>
      <w:r w:rsidR="00402707" w:rsidRPr="00402707">
        <w:t xml:space="preserve">beyond the scope of this </w:t>
      </w:r>
      <w:r w:rsidR="00E86C79" w:rsidRPr="00402707">
        <w:t>guideline</w:t>
      </w:r>
      <w:r w:rsidR="00DC7279">
        <w:t xml:space="preserve"> but we summarize them here to help explain how access to retail competition works in an embedded network</w:t>
      </w:r>
      <w:r w:rsidR="00402707" w:rsidRPr="00402707">
        <w:t>.</w:t>
      </w:r>
    </w:p>
    <w:p w:rsidR="00DC7279" w:rsidRDefault="00DC7279" w:rsidP="00402707">
      <w:r>
        <w:t xml:space="preserve">If you live in an apartment building or occupy a shop in a shopping centre it is quite common for there to be one meter which records all the energy used on the site. This meter is generally known of as the </w:t>
      </w:r>
      <w:r w:rsidR="00D31631">
        <w:t xml:space="preserve">'parent' or </w:t>
      </w:r>
      <w:r>
        <w:t>'gate' meter. The owner</w:t>
      </w:r>
      <w:r w:rsidR="005A3D05">
        <w:t>'</w:t>
      </w:r>
      <w:r>
        <w:t xml:space="preserve">s corporation or the shopping centre proprietor </w:t>
      </w:r>
      <w:r w:rsidR="00B36D5A">
        <w:t xml:space="preserve">(in their role as the exempt embedded network service provider) </w:t>
      </w:r>
      <w:r>
        <w:t xml:space="preserve">is usually responsible for all the energy and network charges which are billed to this meter. </w:t>
      </w:r>
      <w:r w:rsidR="001839A3">
        <w:t xml:space="preserve">It is important to note that the network charges are billed to the 'gate' meter because special arrangements must be made to attribute this external network cost to each user of the network. </w:t>
      </w:r>
    </w:p>
    <w:p w:rsidR="00C8079E" w:rsidRDefault="00DC7279" w:rsidP="00A04D10">
      <w:r>
        <w:t xml:space="preserve">Stated simply, an embedded network is formed when a 'parent' or 'gate' meter is placed between meters of multiple customers and the poles and wires that form part of the national grid. This simple act transforms all the electrical distribution system on the customer's side of the parent meter into an embedded network and the customers' meters into 'child' meters. Figure </w:t>
      </w:r>
      <w:r w:rsidR="001742FF">
        <w:t xml:space="preserve">2.1 </w:t>
      </w:r>
      <w:r>
        <w:t>illustrates an embedded network in an apartment block.</w:t>
      </w:r>
    </w:p>
    <w:p w:rsidR="00DC7279" w:rsidRDefault="00DC7279" w:rsidP="00DC7279">
      <w:pPr>
        <w:pStyle w:val="Caption"/>
      </w:pPr>
      <w:proofErr w:type="gramStart"/>
      <w:r>
        <w:t xml:space="preserve">Figure </w:t>
      </w:r>
      <w:r w:rsidRPr="00CA5687">
        <w:fldChar w:fldCharType="begin"/>
      </w:r>
      <w:r>
        <w:instrText xml:space="preserve"> STYLEREF 1 \s </w:instrText>
      </w:r>
      <w:r w:rsidRPr="00CA5687">
        <w:fldChar w:fldCharType="separate"/>
      </w:r>
      <w:r w:rsidR="00D30DD5">
        <w:rPr>
          <w:noProof/>
        </w:rPr>
        <w:t>2</w:t>
      </w:r>
      <w:r w:rsidRPr="00CA5687">
        <w:fldChar w:fldCharType="end"/>
      </w:r>
      <w:r>
        <w:t>.</w:t>
      </w:r>
      <w:proofErr w:type="gramEnd"/>
      <w:r w:rsidRPr="00CA5687">
        <w:fldChar w:fldCharType="begin"/>
      </w:r>
      <w:r>
        <w:instrText xml:space="preserve"> SEQ Table \* ARABIC \s 1 </w:instrText>
      </w:r>
      <w:r w:rsidRPr="00CA5687">
        <w:fldChar w:fldCharType="separate"/>
      </w:r>
      <w:r w:rsidR="00D30DD5">
        <w:rPr>
          <w:noProof/>
        </w:rPr>
        <w:t>1</w:t>
      </w:r>
      <w:r w:rsidRPr="00CA5687">
        <w:fldChar w:fldCharType="end"/>
      </w:r>
      <w:r>
        <w:t xml:space="preserve"> Example of an embedded network</w:t>
      </w:r>
    </w:p>
    <w:p w:rsidR="00DC7279" w:rsidRDefault="00DC7279" w:rsidP="00DC7279">
      <w:r w:rsidRPr="00DC7279">
        <w:rPr>
          <w:noProof/>
          <w:lang w:eastAsia="en-AU"/>
        </w:rPr>
        <w:drawing>
          <wp:inline distT="0" distB="0" distL="0" distR="0" wp14:anchorId="49A7C9AC" wp14:editId="44F0B116">
            <wp:extent cx="5731510" cy="2854121"/>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2854121"/>
                    </a:xfrm>
                    <a:prstGeom prst="rect">
                      <a:avLst/>
                    </a:prstGeom>
                  </pic:spPr>
                </pic:pic>
              </a:graphicData>
            </a:graphic>
          </wp:inline>
        </w:drawing>
      </w:r>
    </w:p>
    <w:p w:rsidR="00DC7279" w:rsidRDefault="00DC7279" w:rsidP="00402707"/>
    <w:p w:rsidR="00C8079E" w:rsidRDefault="00C8079E" w:rsidP="00A04D10"/>
    <w:p w:rsidR="00C8079E" w:rsidRDefault="00C8079E" w:rsidP="00A04D10"/>
    <w:p w:rsidR="00C8079E" w:rsidRDefault="00C8079E" w:rsidP="00A04D10"/>
    <w:p w:rsidR="00A04D10" w:rsidRPr="001742FF" w:rsidRDefault="00A04D10" w:rsidP="00A04D10">
      <w:r w:rsidRPr="001742FF">
        <w:t xml:space="preserve">Under the AEMO metrology procedures the ‘gate’ meter owned by the exempt embedded network service provider must be recorded as a ‘parent’ meter in the market settlement </w:t>
      </w:r>
      <w:r w:rsidRPr="001742FF">
        <w:lastRenderedPageBreak/>
        <w:t>system by the new retailer. Previously, where a tenant accessed an external retailer, the new retailer would arrange to install additional metering, namely a NEM registered ‘child’ meter to record the energy component of the bill. Arrangements needed to be made for the retailer to provide energy billing information to the exempt embedded network service provider. Also, the network charge for the energy use by a tenant (i.e. the child meter) would be manually calculated. We expect the embedded networks rule change will result in significant streamlining and improvement of these processes. An ENM will be required to actively manage these processes in embedded networks to ensure the correct information is recorded and exchanged in timely fashion.</w:t>
      </w:r>
    </w:p>
    <w:p w:rsidR="00BB2BCB" w:rsidRDefault="00BB2BCB" w:rsidP="00402707">
      <w:r>
        <w:t xml:space="preserve">The embedded network will </w:t>
      </w:r>
      <w:r w:rsidR="00B36D5A">
        <w:t xml:space="preserve">continue to </w:t>
      </w:r>
      <w:r>
        <w:t>incur distribution charges from the local distributor for all customers in the embedded network, including customers that obtain supply from a</w:t>
      </w:r>
      <w:r w:rsidR="00B36D5A">
        <w:t>n</w:t>
      </w:r>
      <w:r>
        <w:t xml:space="preserve"> </w:t>
      </w:r>
      <w:r w:rsidR="00B36D5A">
        <w:t xml:space="preserve">authorised </w:t>
      </w:r>
      <w:r w:rsidR="004363AC">
        <w:t xml:space="preserve">(or 'market') </w:t>
      </w:r>
      <w:r>
        <w:t xml:space="preserve">retailer. This </w:t>
      </w:r>
      <w:r w:rsidR="00492455">
        <w:t xml:space="preserve">external network </w:t>
      </w:r>
      <w:r>
        <w:t xml:space="preserve">cost must be passed on to </w:t>
      </w:r>
      <w:r w:rsidR="00492455">
        <w:t xml:space="preserve">all </w:t>
      </w:r>
      <w:r>
        <w:t xml:space="preserve">the respective </w:t>
      </w:r>
      <w:r w:rsidR="00492455">
        <w:t xml:space="preserve">customers, including the </w:t>
      </w:r>
      <w:r>
        <w:t xml:space="preserve">market customers. </w:t>
      </w:r>
      <w:r w:rsidR="00402707" w:rsidRPr="00402707">
        <w:t xml:space="preserve">The AER permits </w:t>
      </w:r>
      <w:r w:rsidR="00B3079A" w:rsidRPr="00402707">
        <w:t xml:space="preserve">the </w:t>
      </w:r>
      <w:r w:rsidR="00B3079A">
        <w:t xml:space="preserve">exempt embedded network service provider </w:t>
      </w:r>
      <w:r w:rsidR="00B3079A" w:rsidRPr="00402707">
        <w:t xml:space="preserve">to recover </w:t>
      </w:r>
      <w:r w:rsidR="00402707" w:rsidRPr="00402707">
        <w:t xml:space="preserve">the associated external network component either directly from the tenant or from the </w:t>
      </w:r>
      <w:r w:rsidR="00B3079A">
        <w:t>tenant's market</w:t>
      </w:r>
      <w:r w:rsidR="00402707" w:rsidRPr="00402707">
        <w:t xml:space="preserve"> retailer under </w:t>
      </w:r>
      <w:r w:rsidR="00923955">
        <w:t xml:space="preserve">condition </w:t>
      </w:r>
      <w:r w:rsidR="00EE59D8">
        <w:fldChar w:fldCharType="begin"/>
      </w:r>
      <w:r w:rsidR="00EE59D8">
        <w:instrText xml:space="preserve"> REF _Ref361908948 \r \h </w:instrText>
      </w:r>
      <w:r w:rsidR="00EE59D8">
        <w:fldChar w:fldCharType="separate"/>
      </w:r>
      <w:r w:rsidR="00D30DD5">
        <w:t>4.6.2</w:t>
      </w:r>
      <w:r w:rsidR="00EE59D8">
        <w:fldChar w:fldCharType="end"/>
      </w:r>
      <w:r w:rsidR="00402707" w:rsidRPr="00402707">
        <w:t>.</w:t>
      </w:r>
      <w:r w:rsidRPr="00BB2BCB">
        <w:t xml:space="preserve"> </w:t>
      </w:r>
      <w:r w:rsidRPr="00402707">
        <w:t>If these arrangements are not followed closely there is a serious risk of billing errors.</w:t>
      </w:r>
    </w:p>
    <w:p w:rsidR="00BB2BCB" w:rsidRPr="00402707" w:rsidRDefault="009D4069" w:rsidP="00BB2BCB">
      <w:r>
        <w:t>Under this guideline t</w:t>
      </w:r>
      <w:r w:rsidR="00402707" w:rsidRPr="00402707">
        <w:t xml:space="preserve">he </w:t>
      </w:r>
      <w:r w:rsidR="003A62F6">
        <w:t>exempt embedded network service provider</w:t>
      </w:r>
      <w:r w:rsidR="00F6214F">
        <w:t xml:space="preserve"> can only pass on external costs; they</w:t>
      </w:r>
      <w:r w:rsidR="00402707" w:rsidRPr="00402707">
        <w:t xml:space="preserve"> cannot </w:t>
      </w:r>
      <w:r w:rsidR="00492455">
        <w:t xml:space="preserve">impose </w:t>
      </w:r>
      <w:r w:rsidR="00402707" w:rsidRPr="00402707">
        <w:t xml:space="preserve">a surcharge to the customer for use of the network. The recovery of externally imposed costs is </w:t>
      </w:r>
      <w:r w:rsidR="000A6CCA" w:rsidRPr="00402707">
        <w:t>permitted</w:t>
      </w:r>
      <w:r w:rsidR="000A6CCA">
        <w:t>;</w:t>
      </w:r>
      <w:r w:rsidR="00402707" w:rsidRPr="00402707">
        <w:t xml:space="preserve"> however, under charge group</w:t>
      </w:r>
      <w:r w:rsidR="00BF1280">
        <w:t>s</w:t>
      </w:r>
      <w:r w:rsidR="00402707" w:rsidRPr="00402707">
        <w:t xml:space="preserve"> </w:t>
      </w:r>
      <w:r w:rsidR="00BB2BCB">
        <w:t>A/</w:t>
      </w:r>
      <w:r w:rsidR="00402707" w:rsidRPr="00402707">
        <w:t xml:space="preserve">B (see Section </w:t>
      </w:r>
      <w:r w:rsidR="00402707" w:rsidRPr="00402707">
        <w:fldChar w:fldCharType="begin"/>
      </w:r>
      <w:r w:rsidR="00402707" w:rsidRPr="00402707">
        <w:instrText xml:space="preserve"> REF _Ref361909776 \r \h  \* MERGEFORMAT </w:instrText>
      </w:r>
      <w:r w:rsidR="00402707" w:rsidRPr="00402707">
        <w:fldChar w:fldCharType="separate"/>
      </w:r>
      <w:r w:rsidR="00D30DD5">
        <w:t>4.6</w:t>
      </w:r>
      <w:r w:rsidR="00402707" w:rsidRPr="00402707">
        <w:fldChar w:fldCharType="end"/>
      </w:r>
      <w:r w:rsidR="00402707" w:rsidRPr="00402707">
        <w:t xml:space="preserve"> of this </w:t>
      </w:r>
      <w:r w:rsidR="00222A1F" w:rsidRPr="00402707">
        <w:t>guideline</w:t>
      </w:r>
      <w:r w:rsidR="00402707" w:rsidRPr="00402707">
        <w:t>).</w:t>
      </w:r>
      <w:r w:rsidR="00BB2BCB">
        <w:rPr>
          <w:rStyle w:val="FootnoteReference"/>
        </w:rPr>
        <w:footnoteReference w:id="11"/>
      </w:r>
      <w:r w:rsidR="00402707" w:rsidRPr="00402707">
        <w:t xml:space="preserve"> </w:t>
      </w:r>
    </w:p>
    <w:p w:rsidR="001742FF" w:rsidRPr="00402707" w:rsidRDefault="00402707" w:rsidP="00402707">
      <w:r w:rsidRPr="00402707">
        <w:t xml:space="preserve">Some </w:t>
      </w:r>
      <w:r w:rsidR="003A62F6">
        <w:t>exempt embedded network service provider</w:t>
      </w:r>
      <w:r w:rsidRPr="00402707">
        <w:t>s may consider that they should be able to charge extra for special electricity infrastructure they provide, particularly transformers. However, the National Electricity Rules require the AER to set charges for network assets</w:t>
      </w:r>
      <w:r w:rsidR="001D28C3">
        <w:t xml:space="preserve"> </w:t>
      </w:r>
      <w:r w:rsidR="00EF5396">
        <w:t>owned and operated by a registered (and licensed)</w:t>
      </w:r>
      <w:r w:rsidRPr="00402707">
        <w:t xml:space="preserve"> distribution network. This is a very complex and involved process which takes considerable time and expense to negotiate. It is impractical to apply this process to private networks. The AER allow</w:t>
      </w:r>
      <w:r w:rsidR="004A25BA">
        <w:t>s</w:t>
      </w:r>
      <w:r w:rsidRPr="00402707">
        <w:t xml:space="preserve"> ‘shadow pricing’ to apply in this situation.</w:t>
      </w:r>
      <w:r w:rsidRPr="00402707">
        <w:rPr>
          <w:rStyle w:val="FootnoteReference"/>
        </w:rPr>
        <w:footnoteReference w:id="12"/>
      </w:r>
      <w:r w:rsidRPr="00402707">
        <w:t xml:space="preserve"> </w:t>
      </w:r>
    </w:p>
    <w:p w:rsidR="00402707" w:rsidRPr="00402707" w:rsidRDefault="00402707" w:rsidP="001C3E8E">
      <w:pPr>
        <w:pStyle w:val="Heading4notnumbered"/>
      </w:pPr>
      <w:r w:rsidRPr="00402707">
        <w:t>Other NEM Jurisdictions</w:t>
      </w:r>
    </w:p>
    <w:p w:rsidR="00402707" w:rsidRDefault="00402707" w:rsidP="00402707">
      <w:r w:rsidRPr="00402707">
        <w:t xml:space="preserve">If the AEMO Metrology Procedures </w:t>
      </w:r>
      <w:r w:rsidR="004A25BA">
        <w:t xml:space="preserve">for parent/child metering </w:t>
      </w:r>
      <w:r w:rsidRPr="00402707">
        <w:t>do not apply</w:t>
      </w:r>
      <w:r w:rsidR="004A25BA">
        <w:t>,</w:t>
      </w:r>
      <w:r w:rsidRPr="00402707">
        <w:t xml:space="preserve"> a different approach must be taken to access an external retailer through a private network. T</w:t>
      </w:r>
      <w:r w:rsidR="00492455">
        <w:t>o access a market retailer t</w:t>
      </w:r>
      <w:r w:rsidRPr="00402707">
        <w:t xml:space="preserve">he tenant will need </w:t>
      </w:r>
      <w:r w:rsidR="00492455">
        <w:t xml:space="preserve">to first arrange </w:t>
      </w:r>
      <w:r w:rsidRPr="00402707">
        <w:t>a direct connection to the local distributor</w:t>
      </w:r>
      <w:r w:rsidR="004A25BA">
        <w:t>,</w:t>
      </w:r>
      <w:r w:rsidRPr="00402707">
        <w:t xml:space="preserve"> which is individually metered in the normal way. This may require changes to the wiring within the network. Any such changes will be an expense borne by the tenant.</w:t>
      </w:r>
      <w:r w:rsidR="004A25BA" w:rsidRPr="004A25BA">
        <w:t xml:space="preserve"> Where access to competition requires a direct connection, we have amended this guideline to make clear that an exempt embedded network service provider must allow that direct connection on reasonable terms.</w:t>
      </w:r>
    </w:p>
    <w:p w:rsidR="00402707" w:rsidRPr="00402707" w:rsidRDefault="00402707" w:rsidP="001C3E8E">
      <w:pPr>
        <w:pStyle w:val="Heading4notnumbered"/>
      </w:pPr>
      <w:r w:rsidRPr="00402707">
        <w:t>Unmetered supplies</w:t>
      </w:r>
    </w:p>
    <w:p w:rsidR="009C3D26" w:rsidRDefault="00402707" w:rsidP="00402707">
      <w:r w:rsidRPr="00402707">
        <w:t xml:space="preserve">Unmetered supplies </w:t>
      </w:r>
      <w:r w:rsidR="00B624BB">
        <w:t xml:space="preserve">may </w:t>
      </w:r>
      <w:r w:rsidRPr="00402707">
        <w:t xml:space="preserve">exist for many reasons. We have established specific circumstances where an unmetered supply is permitted. The situations we permit are limited, </w:t>
      </w:r>
      <w:r w:rsidRPr="00402707">
        <w:lastRenderedPageBreak/>
        <w:t>especially if small customers are involved. If energy is being supplied at no cost or as part of a broader commercial arrangement</w:t>
      </w:r>
      <w:r w:rsidR="0077267C">
        <w:t>,</w:t>
      </w:r>
      <w:r w:rsidRPr="00402707">
        <w:t xml:space="preserve"> an unmetered supply is permitted. However, we consider that small customers should not be subject to unmetered supply of electricity. Some jurisdictions have existing unmetered supplies. Existing </w:t>
      </w:r>
      <w:r w:rsidR="009D4069">
        <w:t xml:space="preserve">registered </w:t>
      </w:r>
      <w:r w:rsidRPr="00402707">
        <w:t>unmetered installations are not required to be upgraded. In all other c</w:t>
      </w:r>
      <w:r w:rsidR="00B624BB">
        <w:t>ircumstances</w:t>
      </w:r>
      <w:r w:rsidRPr="00402707">
        <w:t xml:space="preserve"> we expect meters or sub</w:t>
      </w:r>
      <w:r w:rsidR="00BF5F61">
        <w:t>–</w:t>
      </w:r>
      <w:r w:rsidRPr="00402707">
        <w:t>meters will be installed to measure the electricity supplied to a customer.</w:t>
      </w:r>
    </w:p>
    <w:p w:rsidR="009C3D26" w:rsidRDefault="009C3D26">
      <w:pPr>
        <w:spacing w:line="240" w:lineRule="auto"/>
      </w:pPr>
      <w:r>
        <w:br w:type="page"/>
      </w:r>
    </w:p>
    <w:p w:rsidR="004C50BD" w:rsidRPr="004C50BD" w:rsidRDefault="004C50BD" w:rsidP="004C50BD">
      <w:pPr>
        <w:pStyle w:val="Heading2"/>
      </w:pPr>
      <w:bookmarkStart w:id="13" w:name="_Toc466303871"/>
      <w:bookmarkStart w:id="14" w:name="_Toc365299412"/>
      <w:bookmarkStart w:id="15" w:name="_Toc468276060"/>
      <w:bookmarkEnd w:id="13"/>
      <w:r w:rsidRPr="004C50BD">
        <w:lastRenderedPageBreak/>
        <w:t>Who must register or obtain exemption?</w:t>
      </w:r>
      <w:bookmarkEnd w:id="14"/>
      <w:bookmarkEnd w:id="15"/>
    </w:p>
    <w:p w:rsidR="004C50BD" w:rsidRPr="004C50BD" w:rsidRDefault="004C50BD" w:rsidP="004C50BD">
      <w:r w:rsidRPr="004C50BD">
        <w:t xml:space="preserve">In this </w:t>
      </w:r>
      <w:r w:rsidR="00A51FD7" w:rsidRPr="004C50BD">
        <w:t xml:space="preserve">Network </w:t>
      </w:r>
      <w:r w:rsidRPr="004C50BD">
        <w:t xml:space="preserve">Guideline the key regulatory factor is whether the network you own, operate or control is providing </w:t>
      </w:r>
      <w:r w:rsidR="00492455">
        <w:t xml:space="preserve">an </w:t>
      </w:r>
      <w:r w:rsidRPr="004C50BD">
        <w:t xml:space="preserve">electricity </w:t>
      </w:r>
      <w:r w:rsidR="00492455">
        <w:t xml:space="preserve">supply </w:t>
      </w:r>
      <w:r w:rsidRPr="004C50BD">
        <w:t xml:space="preserve">to a third party for any reason. If it is, you must register or be exempt. </w:t>
      </w:r>
    </w:p>
    <w:p w:rsidR="004C50BD" w:rsidRPr="004C50BD" w:rsidRDefault="004C50BD" w:rsidP="004C50BD">
      <w:pPr>
        <w:pStyle w:val="Boxedtext"/>
      </w:pPr>
      <w:r w:rsidRPr="004C50BD">
        <w:t>Technically, under a very strict interpretation of the NEL, even the simple act of allowing a cleaning contractor to plug</w:t>
      </w:r>
      <w:r w:rsidR="00BF5F61">
        <w:t>–</w:t>
      </w:r>
      <w:r w:rsidRPr="004C50BD">
        <w:t>in a vacuum</w:t>
      </w:r>
      <w:r w:rsidR="00BF5F61">
        <w:t>–</w:t>
      </w:r>
      <w:r w:rsidRPr="004C50BD">
        <w:t xml:space="preserve">cleaner in your office or shop may be considered to be providing a distribution service under the NEL. </w:t>
      </w:r>
    </w:p>
    <w:p w:rsidR="004C50BD" w:rsidRPr="004C50BD" w:rsidRDefault="00516B53" w:rsidP="004C50BD">
      <w:pPr>
        <w:pStyle w:val="Boxedtext"/>
      </w:pPr>
      <w:r>
        <w:t xml:space="preserve">Obviously, </w:t>
      </w:r>
      <w:r w:rsidR="004C50BD" w:rsidRPr="004C50BD">
        <w:t xml:space="preserve">it was not the intention of the NEL to require persons to register networks for common activities like this. </w:t>
      </w:r>
      <w:r>
        <w:t>T</w:t>
      </w:r>
      <w:r w:rsidR="004C50BD" w:rsidRPr="004C50BD">
        <w:t>he exemption framework exists</w:t>
      </w:r>
      <w:r>
        <w:t xml:space="preserve"> and this</w:t>
      </w:r>
      <w:r w:rsidR="004C50BD" w:rsidRPr="004C50BD">
        <w:t xml:space="preserve"> allows the AER to deem a wide range of activities like this example to be exempt. We apply this approach to a wide range of </w:t>
      </w:r>
      <w:r>
        <w:t xml:space="preserve">incidental </w:t>
      </w:r>
      <w:r w:rsidR="004C50BD" w:rsidRPr="004C50BD">
        <w:t xml:space="preserve">activities that are relatively common or which have </w:t>
      </w:r>
      <w:r>
        <w:t xml:space="preserve">a </w:t>
      </w:r>
      <w:r w:rsidR="004C50BD" w:rsidRPr="004C50BD">
        <w:t>low</w:t>
      </w:r>
      <w:r>
        <w:t xml:space="preserve"> financial impact</w:t>
      </w:r>
      <w:r w:rsidR="00D31631">
        <w:t xml:space="preserve"> </w:t>
      </w:r>
      <w:r w:rsidR="004C50BD" w:rsidRPr="004C50BD">
        <w:t xml:space="preserve">(see table 1, section </w:t>
      </w:r>
      <w:r w:rsidR="004C50BD" w:rsidRPr="004C50BD">
        <w:fldChar w:fldCharType="begin"/>
      </w:r>
      <w:r w:rsidR="004C50BD" w:rsidRPr="004C50BD">
        <w:instrText xml:space="preserve"> REF _Ref361909794 \r \h  \* MERGEFORMAT </w:instrText>
      </w:r>
      <w:r w:rsidR="004C50BD" w:rsidRPr="004C50BD">
        <w:fldChar w:fldCharType="separate"/>
      </w:r>
      <w:r w:rsidR="00D30DD5">
        <w:t>3.1.1</w:t>
      </w:r>
      <w:r w:rsidR="004C50BD" w:rsidRPr="004C50BD">
        <w:fldChar w:fldCharType="end"/>
      </w:r>
      <w:r w:rsidR="004C50BD" w:rsidRPr="004C50BD">
        <w:t>).</w:t>
      </w:r>
    </w:p>
    <w:p w:rsidR="004C50BD" w:rsidRPr="004C50BD" w:rsidRDefault="004C50BD" w:rsidP="001C3E8E">
      <w:pPr>
        <w:pStyle w:val="Heading4notnumbered"/>
        <w:rPr>
          <w:rFonts w:eastAsiaTheme="majorEastAsia"/>
        </w:rPr>
      </w:pPr>
      <w:r w:rsidRPr="004C50BD">
        <w:rPr>
          <w:rFonts w:eastAsiaTheme="majorEastAsia"/>
        </w:rPr>
        <w:t>Multiple parties must register</w:t>
      </w:r>
    </w:p>
    <w:p w:rsidR="004C50BD" w:rsidRPr="004C50BD" w:rsidRDefault="004C50BD" w:rsidP="004C50BD">
      <w:r w:rsidRPr="004C50BD">
        <w:t>The National Electricity Law also requires everyone associated with a private network to register or be exempt. This applies to the network owner or joint owners’, a lease holder or legally appointed representatives if they have rights of control over the physical assets that comprise the private electricity network. In many cases there is no one else with these rights. If no other person or firm is involved then the network owner alone has whole responsibility for the registration and operation of the network.</w:t>
      </w:r>
    </w:p>
    <w:p w:rsidR="004C50BD" w:rsidRPr="004C50BD" w:rsidRDefault="004C50BD" w:rsidP="004C50BD">
      <w:r w:rsidRPr="004C50BD">
        <w:t xml:space="preserve">Where the network owner has made an agency arrangement with another entity to be the ‘operator’ or ‘controller’ of the network, registration or exemption of that agent or entity is also required. The ‘operator’ or ‘controller’ of a network is anyone who arranges to provide services normally associated with a network service provider. This most commonly means specialist energy companies that provide services in exempt networks. </w:t>
      </w:r>
    </w:p>
    <w:p w:rsidR="009C3D26" w:rsidRDefault="004C50BD" w:rsidP="004C50BD">
      <w:r w:rsidRPr="004C50BD">
        <w:t xml:space="preserve">Exemption classes apply to persons </w:t>
      </w:r>
      <w:r w:rsidR="00B624BB">
        <w:t xml:space="preserve">including </w:t>
      </w:r>
      <w:r w:rsidRPr="004C50BD">
        <w:t>businesses that own or manage a site containing an embedded network. Examples of the services that lead to a need to register include, but are not limited to: fault response; metering and meter reading; switching (fuse removal); access management to meters and meter panels; interfacing to a registered distributor about these matters, etc.</w:t>
      </w:r>
      <w:r w:rsidRPr="004C50BD">
        <w:rPr>
          <w:rStyle w:val="FootnoteReference"/>
        </w:rPr>
        <w:footnoteReference w:id="13"/>
      </w:r>
      <w:r w:rsidRPr="004C50BD">
        <w:t xml:space="preserve"> The terms ‘operator’ and ‘controller’ are largely interchangeable when applied to a private network.</w:t>
      </w:r>
    </w:p>
    <w:p w:rsidR="009C3D26" w:rsidRDefault="009C3D26">
      <w:pPr>
        <w:spacing w:line="240" w:lineRule="auto"/>
      </w:pPr>
      <w:r>
        <w:br w:type="page"/>
      </w:r>
    </w:p>
    <w:p w:rsidR="004C50BD" w:rsidRPr="004C50BD" w:rsidRDefault="004C50BD" w:rsidP="004C50BD">
      <w:pPr>
        <w:pStyle w:val="Heading2"/>
      </w:pPr>
      <w:bookmarkStart w:id="16" w:name="_Toc466303873"/>
      <w:bookmarkStart w:id="17" w:name="_Toc466303874"/>
      <w:bookmarkStart w:id="18" w:name="_Ref361909716"/>
      <w:bookmarkStart w:id="19" w:name="_Toc365299413"/>
      <w:bookmarkStart w:id="20" w:name="_Toc468276061"/>
      <w:bookmarkEnd w:id="16"/>
      <w:bookmarkEnd w:id="17"/>
      <w:r w:rsidRPr="004C50BD">
        <w:lastRenderedPageBreak/>
        <w:t>What type of exemption applies to me?</w:t>
      </w:r>
      <w:bookmarkEnd w:id="18"/>
      <w:bookmarkEnd w:id="19"/>
      <w:bookmarkEnd w:id="20"/>
      <w:r w:rsidRPr="004C50BD">
        <w:t xml:space="preserve"> </w:t>
      </w:r>
    </w:p>
    <w:p w:rsidR="004C50BD" w:rsidRPr="004C50BD" w:rsidRDefault="004C50BD" w:rsidP="004C50BD">
      <w:r w:rsidRPr="004C50BD">
        <w:t xml:space="preserve">There are three types of exemption: deemed, registrable and individual. The type of exemption you may be eligible for will depend mainly on the nature of your business, who you are </w:t>
      </w:r>
      <w:r>
        <w:t xml:space="preserve">supplying </w:t>
      </w:r>
      <w:r w:rsidRPr="004C50BD">
        <w:t>energy to and why you are doing it.</w:t>
      </w:r>
      <w:r w:rsidR="001D28C3">
        <w:t xml:space="preserve"> </w:t>
      </w:r>
    </w:p>
    <w:p w:rsidR="004C50BD" w:rsidRPr="004C50BD" w:rsidRDefault="004C50BD" w:rsidP="004C50BD">
      <w:r w:rsidRPr="004C50BD">
        <w:t>Deemed and registrable exemptions are class exemptions that apply to certain groups of people</w:t>
      </w:r>
      <w:r w:rsidR="00BF5F61">
        <w:t>–</w:t>
      </w:r>
      <w:r w:rsidRPr="004C50BD">
        <w:t>or classes</w:t>
      </w:r>
      <w:r w:rsidR="00BF5F61">
        <w:t>–</w:t>
      </w:r>
      <w:r w:rsidRPr="004C50BD">
        <w:t xml:space="preserve">who sell or </w:t>
      </w:r>
      <w:r>
        <w:t>supply</w:t>
      </w:r>
      <w:r w:rsidRPr="004C50BD">
        <w:t xml:space="preserve"> energy to a third party. Generally, </w:t>
      </w:r>
      <w:r w:rsidR="00CF2403">
        <w:t xml:space="preserve">deemed exemptions </w:t>
      </w:r>
      <w:r w:rsidRPr="004C50BD">
        <w:t xml:space="preserve">are </w:t>
      </w:r>
      <w:r w:rsidR="00CF2403">
        <w:t xml:space="preserve">targeted towards </w:t>
      </w:r>
      <w:r w:rsidRPr="004C50BD">
        <w:t>people or businesses who sell or provide a connection to electricity incidentally</w:t>
      </w:r>
      <w:r w:rsidR="00CF2403">
        <w:t>. E</w:t>
      </w:r>
      <w:r w:rsidRPr="004C50BD">
        <w:t>nergy sales</w:t>
      </w:r>
      <w:r>
        <w:t xml:space="preserve"> and supply is</w:t>
      </w:r>
      <w:r w:rsidRPr="004C50BD">
        <w:t xml:space="preserve"> not their primary business or </w:t>
      </w:r>
      <w:r w:rsidR="00CF2403">
        <w:t xml:space="preserve">is an incidental </w:t>
      </w:r>
      <w:r w:rsidRPr="004C50BD">
        <w:t>part of their business model</w:t>
      </w:r>
      <w:r w:rsidR="00CF2403">
        <w:t>. They</w:t>
      </w:r>
      <w:r w:rsidRPr="004C50BD">
        <w:t xml:space="preserve"> are generally motivated by considerations other than profit.</w:t>
      </w:r>
      <w:r w:rsidR="001D28C3">
        <w:t xml:space="preserve"> </w:t>
      </w:r>
    </w:p>
    <w:p w:rsidR="004C50BD" w:rsidRPr="004C50BD" w:rsidRDefault="004C50BD" w:rsidP="004C50BD">
      <w:r w:rsidRPr="004C50BD">
        <w:t>A deemed exemption is an exemption that applies automatically to certain classes of people</w:t>
      </w:r>
      <w:r w:rsidR="00CF2403">
        <w:t xml:space="preserve"> or firms</w:t>
      </w:r>
      <w:r w:rsidRPr="004C50BD">
        <w:t>. A p</w:t>
      </w:r>
      <w:r w:rsidR="00CF2403">
        <w:t>arty</w:t>
      </w:r>
      <w:r w:rsidRPr="004C50BD">
        <w:t xml:space="preserve"> covered by a deemed exemption does not need to either apply or register with us (however, conditions will generally apply). Deeme</w:t>
      </w:r>
      <w:r w:rsidR="009D4069">
        <w:t>d classes are usually for small</w:t>
      </w:r>
      <w:r w:rsidR="00BF5F61">
        <w:t>–</w:t>
      </w:r>
      <w:r w:rsidRPr="004C50BD">
        <w:t>scale selling arrangements where the costs associated with registration would outweigh the benefits of increased regulation.</w:t>
      </w:r>
      <w:r w:rsidR="00516B53">
        <w:t xml:space="preserve"> We apply the principle that the regulatory obligation should be proportionate to the benefits to the customer.</w:t>
      </w:r>
    </w:p>
    <w:p w:rsidR="004C50BD" w:rsidRPr="004C50BD" w:rsidRDefault="004C50BD" w:rsidP="004C50BD">
      <w:r w:rsidRPr="004C50BD">
        <w:t>Situations that deemed exemptions apply to include</w:t>
      </w:r>
      <w:r w:rsidR="0063741B" w:rsidRPr="0063741B">
        <w:t xml:space="preserve"> </w:t>
      </w:r>
      <w:r w:rsidR="0063741B" w:rsidRPr="004C50BD">
        <w:t xml:space="preserve">selling </w:t>
      </w:r>
      <w:r w:rsidR="0063741B">
        <w:t>or supplying electricity to</w:t>
      </w:r>
      <w:r w:rsidRPr="004C50BD">
        <w:t>:</w:t>
      </w:r>
      <w:r w:rsidR="001D28C3">
        <w:t xml:space="preserve"> </w:t>
      </w:r>
    </w:p>
    <w:p w:rsidR="004C50BD" w:rsidRPr="004C50BD" w:rsidRDefault="004C50BD" w:rsidP="004C50BD">
      <w:pPr>
        <w:pStyle w:val="Bulletpoint"/>
      </w:pPr>
      <w:r w:rsidRPr="004C50BD">
        <w:t>a related company</w:t>
      </w:r>
    </w:p>
    <w:p w:rsidR="004C50BD" w:rsidRPr="004C50BD" w:rsidRDefault="004C50BD" w:rsidP="004C50BD">
      <w:pPr>
        <w:pStyle w:val="Bulletpoint"/>
      </w:pPr>
      <w:r w:rsidRPr="004C50BD">
        <w:t>fewer than 10 small tenants or residents</w:t>
      </w:r>
    </w:p>
    <w:p w:rsidR="004C50BD" w:rsidRPr="004C50BD" w:rsidRDefault="0063741B" w:rsidP="004C50BD">
      <w:pPr>
        <w:pStyle w:val="Bulletpoint"/>
      </w:pPr>
      <w:r w:rsidRPr="004C50BD">
        <w:t xml:space="preserve">short term accommodation in </w:t>
      </w:r>
      <w:r w:rsidR="007333BE">
        <w:t>caravan parks or holiday</w:t>
      </w:r>
      <w:r w:rsidR="004C50BD" w:rsidRPr="004C50BD">
        <w:t xml:space="preserve"> parks selling metered energy </w:t>
      </w:r>
    </w:p>
    <w:p w:rsidR="004C50BD" w:rsidRPr="004C50BD" w:rsidRDefault="00222A1F" w:rsidP="004C50BD">
      <w:pPr>
        <w:pStyle w:val="Bulletpoint"/>
      </w:pPr>
      <w:r>
        <w:t>plug</w:t>
      </w:r>
      <w:r w:rsidR="00BF5F61">
        <w:t>–</w:t>
      </w:r>
      <w:r w:rsidR="004C50BD" w:rsidRPr="004C50BD">
        <w:t xml:space="preserve">in </w:t>
      </w:r>
      <w:r w:rsidR="0063741B">
        <w:t>or</w:t>
      </w:r>
      <w:r w:rsidR="004C50BD" w:rsidRPr="004C50BD">
        <w:t xml:space="preserve"> rack mounted equipment</w:t>
      </w:r>
      <w:r w:rsidR="00174D85">
        <w:t>,</w:t>
      </w:r>
      <w:r w:rsidR="004C50BD" w:rsidRPr="004C50BD">
        <w:t xml:space="preserve"> </w:t>
      </w:r>
      <w:r w:rsidR="00174D85">
        <w:t>including NBN equipment</w:t>
      </w:r>
    </w:p>
    <w:p w:rsidR="004C50BD" w:rsidRPr="004C50BD" w:rsidRDefault="004C50BD" w:rsidP="004C50BD">
      <w:pPr>
        <w:pStyle w:val="Bulletpoint"/>
      </w:pPr>
      <w:r w:rsidRPr="004C50BD">
        <w:t xml:space="preserve">unmetered </w:t>
      </w:r>
      <w:r w:rsidR="0063741B">
        <w:t>tenants</w:t>
      </w:r>
      <w:r w:rsidRPr="004C50BD">
        <w:t xml:space="preserve"> in Queensland</w:t>
      </w:r>
      <w:r w:rsidRPr="00CF2403">
        <w:rPr>
          <w:rStyle w:val="Superscript"/>
        </w:rPr>
        <w:footnoteReference w:id="14"/>
      </w:r>
      <w:r w:rsidRPr="004C50BD">
        <w:t xml:space="preserve"> </w:t>
      </w:r>
    </w:p>
    <w:p w:rsidR="004C50BD" w:rsidRPr="004C50BD" w:rsidRDefault="004C50BD" w:rsidP="004C50BD">
      <w:pPr>
        <w:pStyle w:val="Bulletpoint"/>
      </w:pPr>
      <w:r w:rsidRPr="004C50BD">
        <w:t xml:space="preserve">telecommunications companies for a telecoms related activity </w:t>
      </w:r>
      <w:r w:rsidR="007333BE">
        <w:t>of any kind</w:t>
      </w:r>
    </w:p>
    <w:p w:rsidR="004C50BD" w:rsidRPr="004C50BD" w:rsidRDefault="004C50BD" w:rsidP="004C50BD">
      <w:pPr>
        <w:pStyle w:val="Bulletpoint"/>
      </w:pPr>
      <w:r w:rsidRPr="004C50BD">
        <w:t>government agencies that sell metered energy ancillary to their core functions</w:t>
      </w:r>
    </w:p>
    <w:p w:rsidR="004C50BD" w:rsidRPr="004C50BD" w:rsidRDefault="004C50BD" w:rsidP="004C50BD">
      <w:pPr>
        <w:pStyle w:val="Bulletpoint"/>
      </w:pPr>
      <w:r w:rsidRPr="004C50BD">
        <w:t xml:space="preserve">private solar PV </w:t>
      </w:r>
      <w:r w:rsidR="007333BE">
        <w:t xml:space="preserve">inverter </w:t>
      </w:r>
      <w:r w:rsidRPr="004C50BD">
        <w:t>and generator installations</w:t>
      </w:r>
    </w:p>
    <w:p w:rsidR="004C50BD" w:rsidRPr="004C50BD" w:rsidRDefault="004C50BD" w:rsidP="004C50BD">
      <w:pPr>
        <w:pStyle w:val="Bulletpoint"/>
      </w:pPr>
      <w:r w:rsidRPr="004C50BD">
        <w:t>broadcasting sites</w:t>
      </w:r>
    </w:p>
    <w:p w:rsidR="004C50BD" w:rsidRPr="004C50BD" w:rsidRDefault="004C50BD" w:rsidP="004C50BD">
      <w:pPr>
        <w:pStyle w:val="Bulletpoint"/>
      </w:pPr>
      <w:r w:rsidRPr="004C50BD">
        <w:t>rail network operators</w:t>
      </w:r>
    </w:p>
    <w:p w:rsidR="004C50BD" w:rsidRPr="004C50BD" w:rsidRDefault="004C50BD" w:rsidP="004C50BD">
      <w:pPr>
        <w:pStyle w:val="Bulletpoint"/>
      </w:pPr>
      <w:r w:rsidRPr="004C50BD">
        <w:t>electric vehicle charging stations</w:t>
      </w:r>
    </w:p>
    <w:p w:rsidR="004C50BD" w:rsidRPr="004C50BD" w:rsidRDefault="004C50BD" w:rsidP="004C50BD">
      <w:pPr>
        <w:pStyle w:val="Bulletpoint"/>
      </w:pPr>
      <w:r w:rsidRPr="004C50BD">
        <w:t>building and construction sites</w:t>
      </w:r>
    </w:p>
    <w:p w:rsidR="004C50BD" w:rsidRPr="004C50BD" w:rsidRDefault="004C50BD" w:rsidP="004C50BD">
      <w:pPr>
        <w:pStyle w:val="Bulletpoint"/>
      </w:pPr>
      <w:r w:rsidRPr="004C50BD">
        <w:t xml:space="preserve">large corporate entities (both parties: buyer and seller) </w:t>
      </w:r>
    </w:p>
    <w:p w:rsidR="004C50BD" w:rsidRPr="004C50BD" w:rsidRDefault="004C50BD" w:rsidP="004C50BD">
      <w:pPr>
        <w:pStyle w:val="Bulletpoint"/>
      </w:pPr>
      <w:proofErr w:type="gramStart"/>
      <w:r w:rsidRPr="004C50BD">
        <w:t>demand</w:t>
      </w:r>
      <w:r w:rsidR="00BF5F61">
        <w:t>–</w:t>
      </w:r>
      <w:r w:rsidRPr="004C50BD">
        <w:t>side</w:t>
      </w:r>
      <w:proofErr w:type="gramEnd"/>
      <w:r w:rsidRPr="004C50BD">
        <w:t xml:space="preserve"> scheme participants.</w:t>
      </w:r>
    </w:p>
    <w:p w:rsidR="004C50BD" w:rsidRPr="004C50BD" w:rsidRDefault="004C50BD" w:rsidP="004C50BD">
      <w:r w:rsidRPr="004C50BD">
        <w:t xml:space="preserve">A </w:t>
      </w:r>
      <w:r w:rsidR="00516B53">
        <w:t xml:space="preserve">comprehensive </w:t>
      </w:r>
      <w:r w:rsidRPr="004C50BD">
        <w:t xml:space="preserve">list of deemed exemptions is set out at Section 3. </w:t>
      </w:r>
    </w:p>
    <w:p w:rsidR="00CF2403" w:rsidRPr="00CF2403" w:rsidRDefault="00CF2403" w:rsidP="00CF2403">
      <w:r w:rsidRPr="00CF2403">
        <w:t xml:space="preserve">A registrable exemption applies to certain classes of people and must be registered with us. It applies to a particular individual or entity for a particular site, and is subject to conditions. Registrable classes are for energy selling activities that we consider need greater </w:t>
      </w:r>
      <w:r w:rsidRPr="00CF2403">
        <w:lastRenderedPageBreak/>
        <w:t xml:space="preserve">transparency and regulatory oversight, usually because the scale of the activities is larger and the impact on the </w:t>
      </w:r>
      <w:r w:rsidR="00ED29B6">
        <w:t xml:space="preserve">electricity </w:t>
      </w:r>
      <w:r w:rsidRPr="00CF2403">
        <w:t xml:space="preserve">market </w:t>
      </w:r>
      <w:r w:rsidR="00ED29B6">
        <w:t xml:space="preserve">and customers is </w:t>
      </w:r>
      <w:r w:rsidRPr="00CF2403">
        <w:t>greater.</w:t>
      </w:r>
      <w:r w:rsidR="008C480E">
        <w:t xml:space="preserve"> Again, we apply the principle that the regulatory obligation should be proportionate to the benefits to the customer.</w:t>
      </w:r>
    </w:p>
    <w:p w:rsidR="00CF2403" w:rsidRPr="00CF2403" w:rsidRDefault="00CF2403" w:rsidP="00CF2403">
      <w:r w:rsidRPr="00CF2403">
        <w:t>Situations that registrable exemptions apply to include</w:t>
      </w:r>
      <w:r w:rsidR="0063741B" w:rsidRPr="0063741B">
        <w:t xml:space="preserve"> selling or supplying electricity to</w:t>
      </w:r>
      <w:r w:rsidR="0063741B">
        <w:t xml:space="preserve"> or by</w:t>
      </w:r>
      <w:r w:rsidRPr="00CF2403">
        <w:t xml:space="preserve">: </w:t>
      </w:r>
    </w:p>
    <w:p w:rsidR="00CF2403" w:rsidRPr="00CF2403" w:rsidRDefault="0063741B" w:rsidP="00CF2403">
      <w:pPr>
        <w:pStyle w:val="Bulletpoint"/>
      </w:pPr>
      <w:r>
        <w:t>sites with ten</w:t>
      </w:r>
      <w:r w:rsidR="00CF2403" w:rsidRPr="00CF2403">
        <w:t xml:space="preserve"> or more small tenants or residents, or to an adjacent site </w:t>
      </w:r>
    </w:p>
    <w:p w:rsidR="00CF2403" w:rsidRPr="00CF2403" w:rsidRDefault="0063741B" w:rsidP="00CF2403">
      <w:pPr>
        <w:pStyle w:val="Bulletpoint"/>
      </w:pPr>
      <w:r w:rsidRPr="00CF2403">
        <w:t xml:space="preserve">permanent residents </w:t>
      </w:r>
      <w:r>
        <w:t xml:space="preserve">of </w:t>
      </w:r>
      <w:r w:rsidR="00CF2403" w:rsidRPr="00CF2403">
        <w:t xml:space="preserve">retirement villages or caravan parks </w:t>
      </w:r>
    </w:p>
    <w:p w:rsidR="00CF2403" w:rsidRPr="00CF2403" w:rsidRDefault="00CF2403" w:rsidP="00CF2403">
      <w:pPr>
        <w:pStyle w:val="Bulletpoint"/>
      </w:pPr>
      <w:r w:rsidRPr="00CF2403">
        <w:t xml:space="preserve">large customers </w:t>
      </w:r>
    </w:p>
    <w:p w:rsidR="00CF2403" w:rsidRPr="00CF2403" w:rsidRDefault="00CF2403" w:rsidP="00CF2403">
      <w:pPr>
        <w:pStyle w:val="Bulletpoint"/>
      </w:pPr>
      <w:r w:rsidRPr="00CF2403">
        <w:t>unmetered energy supply arrangements entered into prior to the commencement of the Retail Law</w:t>
      </w:r>
    </w:p>
    <w:p w:rsidR="00CF2403" w:rsidRPr="00CF2403" w:rsidRDefault="00CF2403" w:rsidP="00CF2403">
      <w:pPr>
        <w:pStyle w:val="Bulletpoint"/>
      </w:pPr>
      <w:r w:rsidRPr="00CF2403">
        <w:t>generators offering market services</w:t>
      </w:r>
    </w:p>
    <w:p w:rsidR="00CF2403" w:rsidRPr="00CF2403" w:rsidRDefault="00CF2403" w:rsidP="00CF2403">
      <w:pPr>
        <w:pStyle w:val="Bulletpoint"/>
      </w:pPr>
      <w:r w:rsidRPr="00CF2403">
        <w:t>mining and primary production developments</w:t>
      </w:r>
    </w:p>
    <w:p w:rsidR="00CF2403" w:rsidRPr="00CF2403" w:rsidRDefault="00CF2403" w:rsidP="00CF2403">
      <w:pPr>
        <w:pStyle w:val="Bulletpoint"/>
      </w:pPr>
      <w:proofErr w:type="gramStart"/>
      <w:r w:rsidRPr="00CF2403">
        <w:t>sites</w:t>
      </w:r>
      <w:proofErr w:type="gramEnd"/>
      <w:r w:rsidRPr="00CF2403">
        <w:t xml:space="preserve"> where a customer can access retail competition in a participating jurisdiction. </w:t>
      </w:r>
    </w:p>
    <w:p w:rsidR="00CF2403" w:rsidRPr="00CF2403" w:rsidRDefault="00CF2403" w:rsidP="00CF2403">
      <w:r w:rsidRPr="00CF2403">
        <w:t xml:space="preserve">A </w:t>
      </w:r>
      <w:r w:rsidR="00D5340A">
        <w:t xml:space="preserve">comprehensive </w:t>
      </w:r>
      <w:r w:rsidRPr="00CF2403">
        <w:t xml:space="preserve">list of registrable exemptions is set out at Section 3. </w:t>
      </w:r>
    </w:p>
    <w:p w:rsidR="00CF2403" w:rsidRPr="00CF2403" w:rsidRDefault="007333BE" w:rsidP="00CF2403">
      <w:r>
        <w:t>A</w:t>
      </w:r>
      <w:r w:rsidR="00CF2403" w:rsidRPr="00CF2403">
        <w:t xml:space="preserve"> network individual exemption is required in circumstances where an applicant </w:t>
      </w:r>
      <w:r w:rsidR="00D5340A">
        <w:t>demonstrate</w:t>
      </w:r>
      <w:r w:rsidR="005C2EDB">
        <w:t>s</w:t>
      </w:r>
      <w:r w:rsidR="00D5340A">
        <w:t xml:space="preserve"> </w:t>
      </w:r>
      <w:r w:rsidR="005C2EDB">
        <w:t xml:space="preserve">why they are </w:t>
      </w:r>
      <w:r w:rsidR="00CF2403" w:rsidRPr="00CF2403">
        <w:t>unable to conform to all of the conditions applicable to any relevant class of registrable exemption, or where no class exists which covers the activities for which the applicant seeks exemption.</w:t>
      </w:r>
    </w:p>
    <w:p w:rsidR="005C2EDB" w:rsidRDefault="005C2EDB" w:rsidP="00CF2403">
      <w:r>
        <w:t>Where no class covers the activities to be undertaken an i</w:t>
      </w:r>
      <w:r w:rsidR="00CF2403" w:rsidRPr="00CF2403">
        <w:t>ndividual exemption</w:t>
      </w:r>
      <w:r>
        <w:t xml:space="preserve"> will be</w:t>
      </w:r>
      <w:r w:rsidR="00CF2403" w:rsidRPr="00CF2403">
        <w:t xml:space="preserve"> tailored to the specific situation of the person or business seeking the exemption and their customer(s). Conditions attached to an individual exemption are generally applied with a view to balancing the needs and rights of customers and the regulatory </w:t>
      </w:r>
      <w:r w:rsidR="004363AC">
        <w:t>cost</w:t>
      </w:r>
      <w:r w:rsidR="004363AC" w:rsidRPr="00CF2403">
        <w:t xml:space="preserve"> </w:t>
      </w:r>
      <w:r w:rsidR="00CF2403" w:rsidRPr="00CF2403">
        <w:t xml:space="preserve">that meeting those conditions will place on the exemption holder. </w:t>
      </w:r>
    </w:p>
    <w:p w:rsidR="00CF2403" w:rsidRPr="00CF2403" w:rsidRDefault="005C2EDB" w:rsidP="00CF2403">
      <w:r>
        <w:t>A</w:t>
      </w:r>
      <w:r w:rsidR="00CF2403" w:rsidRPr="00CF2403">
        <w:t xml:space="preserve">s the network </w:t>
      </w:r>
      <w:r w:rsidR="007333BE">
        <w:t xml:space="preserve">exemption </w:t>
      </w:r>
      <w:r w:rsidR="00CF2403" w:rsidRPr="00CF2403">
        <w:t xml:space="preserve">conditions relate to </w:t>
      </w:r>
      <w:r w:rsidR="00CF2403">
        <w:t xml:space="preserve">access to retail competition, </w:t>
      </w:r>
      <w:r w:rsidR="00CF2403" w:rsidRPr="00CF2403">
        <w:t>safety, metering, dispute resolution and pricing</w:t>
      </w:r>
      <w:r>
        <w:t xml:space="preserve">, where an application is to vary the conditions </w:t>
      </w:r>
      <w:r w:rsidR="00CF2403" w:rsidRPr="00CF2403">
        <w:t>we will need to be convinced of a compelling case to vary our stand</w:t>
      </w:r>
      <w:r w:rsidR="00ED29B6">
        <w:t>ard</w:t>
      </w:r>
      <w:r w:rsidR="00CF2403" w:rsidRPr="00CF2403">
        <w:t xml:space="preserve"> conditions for these matters. </w:t>
      </w:r>
    </w:p>
    <w:p w:rsidR="009C3D26" w:rsidRDefault="00CF2403" w:rsidP="00CF2403">
      <w:r w:rsidRPr="00CF2403">
        <w:t xml:space="preserve">If your activities do not fall within one of our </w:t>
      </w:r>
      <w:r w:rsidR="00ED29B6">
        <w:t xml:space="preserve">activity </w:t>
      </w:r>
      <w:r w:rsidRPr="00CF2403">
        <w:t xml:space="preserve">class exemptions you should contact us to discuss the best course of action. </w:t>
      </w:r>
    </w:p>
    <w:p w:rsidR="009C3D26" w:rsidRDefault="009C3D26">
      <w:pPr>
        <w:spacing w:line="240" w:lineRule="auto"/>
      </w:pPr>
      <w:r>
        <w:br w:type="page"/>
      </w:r>
    </w:p>
    <w:p w:rsidR="00691422" w:rsidRPr="00691422" w:rsidRDefault="00691422" w:rsidP="00691422">
      <w:pPr>
        <w:pStyle w:val="Heading2"/>
      </w:pPr>
      <w:bookmarkStart w:id="21" w:name="_Toc466303876"/>
      <w:bookmarkStart w:id="22" w:name="_Toc365299414"/>
      <w:bookmarkStart w:id="23" w:name="_Ref456963214"/>
      <w:bookmarkStart w:id="24" w:name="_Toc468276062"/>
      <w:bookmarkEnd w:id="21"/>
      <w:r w:rsidRPr="00691422">
        <w:lastRenderedPageBreak/>
        <w:t>How do I obtain an exemption?</w:t>
      </w:r>
      <w:bookmarkEnd w:id="22"/>
      <w:bookmarkEnd w:id="23"/>
      <w:bookmarkEnd w:id="24"/>
      <w:r w:rsidRPr="00691422">
        <w:t xml:space="preserve"> </w:t>
      </w:r>
    </w:p>
    <w:p w:rsidR="00691422" w:rsidRPr="00691422" w:rsidRDefault="00691422" w:rsidP="00691422">
      <w:pPr>
        <w:pStyle w:val="Heading3"/>
      </w:pPr>
      <w:bookmarkStart w:id="25" w:name="_Toc468276063"/>
      <w:r w:rsidRPr="00691422">
        <w:t>Pre</w:t>
      </w:r>
      <w:r w:rsidR="00BF5F61">
        <w:t>–</w:t>
      </w:r>
      <w:r w:rsidRPr="00691422">
        <w:t>registration</w:t>
      </w:r>
      <w:bookmarkEnd w:id="25"/>
    </w:p>
    <w:p w:rsidR="00691422" w:rsidRPr="00691422" w:rsidRDefault="005C2EDB" w:rsidP="00691422">
      <w:r>
        <w:t xml:space="preserve">Pre–registration is permitted where a network is under construction and is expected to commence operation within 6 months of the date of registration. </w:t>
      </w:r>
      <w:r w:rsidR="00691422" w:rsidRPr="00691422">
        <w:t>You can pre</w:t>
      </w:r>
      <w:r w:rsidR="00BF5F61">
        <w:t>–</w:t>
      </w:r>
      <w:r w:rsidR="00691422" w:rsidRPr="00691422">
        <w:t xml:space="preserve">register for a network exemption by following the processes outlined in this </w:t>
      </w:r>
      <w:r w:rsidR="000E7EEA" w:rsidRPr="000E7EEA">
        <w:t xml:space="preserve">Network </w:t>
      </w:r>
      <w:r w:rsidR="00691422" w:rsidRPr="00691422">
        <w:t xml:space="preserve">Guideline. </w:t>
      </w:r>
    </w:p>
    <w:p w:rsidR="00691422" w:rsidRPr="00691422" w:rsidRDefault="00691422" w:rsidP="00691422">
      <w:pPr>
        <w:pStyle w:val="Heading3"/>
      </w:pPr>
      <w:bookmarkStart w:id="26" w:name="_Toc468276064"/>
      <w:r w:rsidRPr="00691422">
        <w:t>Deemed exemptions</w:t>
      </w:r>
      <w:bookmarkEnd w:id="26"/>
      <w:r w:rsidRPr="00691422">
        <w:t xml:space="preserve"> </w:t>
      </w:r>
    </w:p>
    <w:p w:rsidR="00FE772A" w:rsidRDefault="00691422" w:rsidP="00691422">
      <w:r w:rsidRPr="00691422">
        <w:t xml:space="preserve">Deemed exemptions are automatic. Provided you meet all the criteria and conditions attached to the deemed class, you do not need to apply; rather, you are ‘deemed’ to be exempt. </w:t>
      </w:r>
      <w:r w:rsidR="008657D1">
        <w:t xml:space="preserve">However, if </w:t>
      </w:r>
      <w:r w:rsidR="00D31631">
        <w:t xml:space="preserve">you are required to appoint an </w:t>
      </w:r>
      <w:proofErr w:type="gramStart"/>
      <w:r w:rsidR="00D31631">
        <w:t xml:space="preserve">ENM </w:t>
      </w:r>
      <w:r w:rsidR="008657D1">
        <w:t>,</w:t>
      </w:r>
      <w:proofErr w:type="gramEnd"/>
      <w:r w:rsidR="008657D1">
        <w:t xml:space="preserve"> you </w:t>
      </w:r>
      <w:r w:rsidR="00F21B56">
        <w:t xml:space="preserve">are </w:t>
      </w:r>
      <w:r w:rsidR="008657D1">
        <w:t>required to register any applicable deemed activity classes.</w:t>
      </w:r>
    </w:p>
    <w:p w:rsidR="00691422" w:rsidRPr="00691422" w:rsidRDefault="00691422" w:rsidP="00691422">
      <w:pPr>
        <w:pStyle w:val="Heading3"/>
      </w:pPr>
      <w:bookmarkStart w:id="27" w:name="_Toc466303880"/>
      <w:bookmarkStart w:id="28" w:name="_Toc468276065"/>
      <w:bookmarkEnd w:id="27"/>
      <w:r w:rsidRPr="00691422">
        <w:t>Registrable exemptions</w:t>
      </w:r>
      <w:bookmarkEnd w:id="28"/>
      <w:r w:rsidRPr="00691422">
        <w:t xml:space="preserve"> </w:t>
      </w:r>
    </w:p>
    <w:p w:rsidR="00691422" w:rsidRPr="00691422" w:rsidRDefault="00691422" w:rsidP="00691422">
      <w:r w:rsidRPr="00691422">
        <w:t xml:space="preserve">These exemptions are not automatic. You can register an exemption by completing </w:t>
      </w:r>
      <w:r w:rsidR="000A6CCA">
        <w:t>the</w:t>
      </w:r>
      <w:r w:rsidR="000A6CCA" w:rsidRPr="00691422">
        <w:t xml:space="preserve"> </w:t>
      </w:r>
      <w:r w:rsidR="000A6CCA">
        <w:t xml:space="preserve">online </w:t>
      </w:r>
      <w:r w:rsidRPr="00691422">
        <w:t>registration form</w:t>
      </w:r>
      <w:r w:rsidR="000A6CCA">
        <w:t xml:space="preserve"> on the AER website</w:t>
      </w:r>
      <w:r w:rsidRPr="00691422">
        <w:t>.</w:t>
      </w:r>
      <w:r w:rsidRPr="00691422">
        <w:rPr>
          <w:rStyle w:val="FootnoteReference"/>
        </w:rPr>
        <w:footnoteReference w:id="15"/>
      </w:r>
      <w:r w:rsidRPr="00691422">
        <w:t xml:space="preserve"> To obtain a network exemption, you need to complete Parts A</w:t>
      </w:r>
      <w:r>
        <w:t xml:space="preserve">, </w:t>
      </w:r>
      <w:r w:rsidRPr="00691422">
        <w:t xml:space="preserve">B </w:t>
      </w:r>
      <w:r>
        <w:t xml:space="preserve">and C </w:t>
      </w:r>
      <w:r w:rsidRPr="00691422">
        <w:t>of the form.</w:t>
      </w:r>
      <w:r w:rsidRPr="00691422">
        <w:rPr>
          <w:rStyle w:val="FootnoteReference"/>
        </w:rPr>
        <w:footnoteReference w:id="16"/>
      </w:r>
      <w:r w:rsidRPr="00691422">
        <w:t xml:space="preserve"> </w:t>
      </w:r>
      <w:r>
        <w:t xml:space="preserve">Follow the instructions on the website. </w:t>
      </w:r>
      <w:r w:rsidRPr="00691422">
        <w:t>More than one registration class may apply.</w:t>
      </w:r>
      <w:r>
        <w:t xml:space="preserve"> Select all that apply.</w:t>
      </w:r>
    </w:p>
    <w:p w:rsidR="00691422" w:rsidRPr="00691422" w:rsidRDefault="00691422" w:rsidP="00691422">
      <w:r w:rsidRPr="00691422">
        <w:t>You must provide all the information requested in the form, including:</w:t>
      </w:r>
    </w:p>
    <w:p w:rsidR="00691422" w:rsidRPr="00691422" w:rsidRDefault="00691422" w:rsidP="00691422">
      <w:pPr>
        <w:pStyle w:val="Bulletpoint"/>
      </w:pPr>
      <w:r w:rsidRPr="00691422">
        <w:t xml:space="preserve">the legal name (and trading name) of the business or person seeking the exemption, and their Australian Business Number (ABN) (preferred) or Australian Company Number (ACN) </w:t>
      </w:r>
    </w:p>
    <w:p w:rsidR="00691422" w:rsidRPr="00691422" w:rsidRDefault="00691422" w:rsidP="00691422">
      <w:pPr>
        <w:pStyle w:val="Bulletpoint"/>
      </w:pPr>
      <w:r w:rsidRPr="00691422">
        <w:t>the site address for the exemption, the number of customers at that site and the class of exemption (for example, class NR1), and a brief description of the normal business activities undertaken at that site</w:t>
      </w:r>
      <w:r w:rsidR="00EB6C9B">
        <w:rPr>
          <w:rStyle w:val="FootnoteReference"/>
        </w:rPr>
        <w:footnoteReference w:id="17"/>
      </w:r>
    </w:p>
    <w:p w:rsidR="00691422" w:rsidRPr="00691422" w:rsidRDefault="00691422" w:rsidP="00691422">
      <w:pPr>
        <w:pStyle w:val="Bulletpoint"/>
      </w:pPr>
      <w:proofErr w:type="gramStart"/>
      <w:r w:rsidRPr="00691422">
        <w:t>contact</w:t>
      </w:r>
      <w:proofErr w:type="gramEnd"/>
      <w:r w:rsidRPr="00691422">
        <w:t xml:space="preserve"> details of the authorised representative for the applicant. </w:t>
      </w:r>
    </w:p>
    <w:p w:rsidR="00691422" w:rsidRDefault="00691422" w:rsidP="00691422">
      <w:r w:rsidRPr="00691422">
        <w:t xml:space="preserve">The </w:t>
      </w:r>
      <w:proofErr w:type="spellStart"/>
      <w:r w:rsidRPr="00691422">
        <w:t>proforma</w:t>
      </w:r>
      <w:proofErr w:type="spellEnd"/>
      <w:r w:rsidRPr="00691422">
        <w:t xml:space="preserve"> should be repeated for any other parties (i.e. agents, energy service operators, etc.) who must also register for the network. </w:t>
      </w:r>
    </w:p>
    <w:p w:rsidR="00DC3B8E" w:rsidRPr="00DC3B8E" w:rsidRDefault="00F21B56" w:rsidP="00DC3B8E">
      <w:r>
        <w:t>Other than for brownfield conversions under condition 4.9, t</w:t>
      </w:r>
      <w:r w:rsidR="00DC3B8E" w:rsidRPr="00DC3B8E">
        <w:t xml:space="preserve">here is no formal approval process for registrable exemptions; your exemption comes into effect </w:t>
      </w:r>
      <w:r w:rsidR="00DC3B8E">
        <w:t xml:space="preserve">on the nominated effective date </w:t>
      </w:r>
      <w:r w:rsidR="00DC3B8E" w:rsidRPr="00DC3B8E">
        <w:t xml:space="preserve">when it </w:t>
      </w:r>
      <w:r w:rsidR="00DC3B8E">
        <w:t xml:space="preserve">is published </w:t>
      </w:r>
      <w:r w:rsidR="00DC3B8E" w:rsidRPr="00DC3B8E">
        <w:t>on our public register of network exemptions.</w:t>
      </w:r>
      <w:r w:rsidR="00DC3B8E" w:rsidRPr="00DC3B8E">
        <w:rPr>
          <w:rStyle w:val="FootnoteReference"/>
        </w:rPr>
        <w:footnoteReference w:id="18"/>
      </w:r>
      <w:r w:rsidR="00DC3B8E" w:rsidRPr="00DC3B8E">
        <w:t xml:space="preserve"> Once the exemption appears on the register, it becomes a “registered exemption”. Conditions apply to all registered </w:t>
      </w:r>
      <w:r w:rsidR="003708F8">
        <w:t xml:space="preserve">(and deemed) </w:t>
      </w:r>
      <w:r w:rsidR="00DC3B8E" w:rsidRPr="00DC3B8E">
        <w:t xml:space="preserve">exemptions. </w:t>
      </w:r>
    </w:p>
    <w:p w:rsidR="004C50BD" w:rsidRDefault="00DC3B8E" w:rsidP="00DC3B8E">
      <w:r w:rsidRPr="00DC3B8E">
        <w:t xml:space="preserve">You should advise us if your details change, for instance if the site for which you have the exemption changes owners, or the nature of your energy selling activities changes (for </w:t>
      </w:r>
      <w:r w:rsidRPr="00DC3B8E">
        <w:lastRenderedPageBreak/>
        <w:t>example, you no longer sell energy to small non</w:t>
      </w:r>
      <w:r w:rsidR="00BF5F61">
        <w:t>–</w:t>
      </w:r>
      <w:r w:rsidRPr="00DC3B8E">
        <w:t>residential customers, but to large customers).</w:t>
      </w:r>
    </w:p>
    <w:p w:rsidR="00C92EA2" w:rsidRPr="00C92EA2" w:rsidRDefault="00C92EA2" w:rsidP="00C92EA2">
      <w:pPr>
        <w:pStyle w:val="Heading3"/>
      </w:pPr>
      <w:bookmarkStart w:id="29" w:name="_Toc468276066"/>
      <w:r w:rsidRPr="00C92EA2">
        <w:t>Individual exemptions</w:t>
      </w:r>
      <w:bookmarkEnd w:id="29"/>
    </w:p>
    <w:p w:rsidR="00C92EA2" w:rsidRPr="00C92EA2" w:rsidRDefault="00C92EA2" w:rsidP="00C92EA2">
      <w:r w:rsidRPr="00C92EA2">
        <w:t xml:space="preserve">We recommend that you contact us before applying for an individual exemption or if you are planning a development that would rely on an individual exemption. This is so that we can provide information and guidance relevant to your individual circumstances, and assist you with the application process. </w:t>
      </w:r>
      <w:r w:rsidR="007759C0">
        <w:t>I</w:t>
      </w:r>
      <w:r w:rsidRPr="00C92EA2">
        <w:t>ndividual network exemptions should not be necessary for common activities. Almost all common activities will be covered by a deemed or registrable network exemption.</w:t>
      </w:r>
      <w:r w:rsidR="007759C0">
        <w:t xml:space="preserve"> We reserve this category for new and novel situations or where a variation of conditions is considered necessary and desirable.</w:t>
      </w:r>
    </w:p>
    <w:p w:rsidR="00C92EA2" w:rsidRPr="00C92EA2" w:rsidRDefault="00EB6C9B" w:rsidP="00C92EA2">
      <w:r>
        <w:t xml:space="preserve">Section 5.3 </w:t>
      </w:r>
      <w:r w:rsidR="00C92EA2" w:rsidRPr="00C92EA2">
        <w:t>sets out the information that you must provide when you apply for an individual exemption.</w:t>
      </w:r>
      <w:r w:rsidR="00C92EA2" w:rsidRPr="00C92EA2">
        <w:rPr>
          <w:rStyle w:val="FootnoteReference"/>
        </w:rPr>
        <w:footnoteReference w:id="19"/>
      </w:r>
      <w:r w:rsidR="00C92EA2" w:rsidRPr="00C92EA2">
        <w:t xml:space="preserve"> </w:t>
      </w:r>
    </w:p>
    <w:p w:rsidR="00C92EA2" w:rsidRPr="00C92EA2" w:rsidRDefault="00C92EA2" w:rsidP="00C92EA2">
      <w:r w:rsidRPr="00C92EA2">
        <w:t>Please be aware that providing false or misleading information in an application for the grant or variation of an individual exemption is a serious offence under the Criminal Code Act 1995 (</w:t>
      </w:r>
      <w:proofErr w:type="spellStart"/>
      <w:r w:rsidRPr="00C92EA2">
        <w:t>Cth</w:t>
      </w:r>
      <w:proofErr w:type="spellEnd"/>
      <w:r w:rsidRPr="00C92EA2">
        <w:t>). The maximum penalty for such an offence is 12 months imprisonment.</w:t>
      </w:r>
    </w:p>
    <w:p w:rsidR="00C92EA2" w:rsidRDefault="00C92EA2" w:rsidP="00C92EA2">
      <w:r w:rsidRPr="00C92EA2">
        <w:t xml:space="preserve">Once you have completed your application please email it to: </w:t>
      </w:r>
      <w:hyperlink r:id="rId14" w:history="1">
        <w:r w:rsidRPr="00C92EA2">
          <w:t>aerexemptions@aer.gov.au</w:t>
        </w:r>
      </w:hyperlink>
      <w:r w:rsidRPr="00C92EA2">
        <w:t xml:space="preserve"> with ‘Application for individual exemption’ in the subject line. </w:t>
      </w:r>
    </w:p>
    <w:p w:rsidR="004E1871" w:rsidRPr="004E1871" w:rsidRDefault="004E1871" w:rsidP="004E1871">
      <w:r w:rsidRPr="004E1871">
        <w:t xml:space="preserve">Applications for an </w:t>
      </w:r>
      <w:r w:rsidR="00ED29B6">
        <w:t xml:space="preserve">individual </w:t>
      </w:r>
      <w:r w:rsidRPr="004E1871">
        <w:t>electricity network service provider exemption may be lodged together with an application for an individual retail exemption.</w:t>
      </w:r>
    </w:p>
    <w:p w:rsidR="004E1871" w:rsidRPr="004E1871" w:rsidRDefault="004E1871" w:rsidP="004E1871">
      <w:pPr>
        <w:pStyle w:val="Heading3"/>
      </w:pPr>
      <w:bookmarkStart w:id="30" w:name="_Ref361909031"/>
      <w:bookmarkStart w:id="31" w:name="_Toc468276067"/>
      <w:r w:rsidRPr="004E1871">
        <w:t>Public consultation process</w:t>
      </w:r>
      <w:bookmarkEnd w:id="30"/>
      <w:bookmarkEnd w:id="31"/>
    </w:p>
    <w:p w:rsidR="004E1871" w:rsidRPr="004E1871" w:rsidRDefault="004E1871" w:rsidP="004E1871">
      <w:r w:rsidRPr="004E1871">
        <w:t xml:space="preserve">Individual network exemptions </w:t>
      </w:r>
      <w:r>
        <w:t xml:space="preserve">may </w:t>
      </w:r>
      <w:r w:rsidRPr="004E1871">
        <w:t xml:space="preserve">be subject to consultation with affected stakeholders before a determination is made. This consultation may affect only a small number of parties if a small private network is involved or, where an application has potential to affect larger groups of customers, </w:t>
      </w:r>
      <w:r>
        <w:t xml:space="preserve">it </w:t>
      </w:r>
      <w:r w:rsidRPr="004E1871">
        <w:t>may involve a formal public process. In accordance with clause 2.5.1 of the NER</w:t>
      </w:r>
      <w:r>
        <w:t>,</w:t>
      </w:r>
      <w:r w:rsidRPr="004E1871">
        <w:t xml:space="preserve"> the AER will decide the scope of consultation on a case by case basis.</w:t>
      </w:r>
    </w:p>
    <w:p w:rsidR="004E1871" w:rsidRPr="004E1871" w:rsidRDefault="004E1871" w:rsidP="004E1871">
      <w:r w:rsidRPr="004E1871">
        <w:t xml:space="preserve">Once we have received and accepted </w:t>
      </w:r>
      <w:r>
        <w:t xml:space="preserve">an </w:t>
      </w:r>
      <w:r w:rsidRPr="004E1871">
        <w:t xml:space="preserve">application for an individual exemption, </w:t>
      </w:r>
      <w:r>
        <w:t>we will consider whether the application raises matters which should be the subject of wider consultation.</w:t>
      </w:r>
      <w:r w:rsidR="00580BF9">
        <w:t xml:space="preserve"> </w:t>
      </w:r>
      <w:r>
        <w:t xml:space="preserve">If we decide to consult broadly we will </w:t>
      </w:r>
      <w:r w:rsidRPr="004E1871">
        <w:t>publish a notice on our website:</w:t>
      </w:r>
    </w:p>
    <w:p w:rsidR="004E1871" w:rsidRPr="004E1871" w:rsidRDefault="004E1871" w:rsidP="004E1871">
      <w:pPr>
        <w:pStyle w:val="Bulletpoint"/>
      </w:pPr>
      <w:r w:rsidRPr="004E1871">
        <w:t xml:space="preserve">stating that the application has been received </w:t>
      </w:r>
    </w:p>
    <w:p w:rsidR="004E1871" w:rsidRPr="004E1871" w:rsidRDefault="004E1871" w:rsidP="004E1871">
      <w:pPr>
        <w:pStyle w:val="Bulletpoint"/>
      </w:pPr>
      <w:proofErr w:type="gramStart"/>
      <w:r w:rsidRPr="004E1871">
        <w:t>seeking</w:t>
      </w:r>
      <w:proofErr w:type="gramEnd"/>
      <w:r w:rsidRPr="004E1871">
        <w:t xml:space="preserve"> written submissions on the application from interested stakeholders.</w:t>
      </w:r>
    </w:p>
    <w:p w:rsidR="004E1871" w:rsidRDefault="004E1871" w:rsidP="004E1871">
      <w:r w:rsidRPr="004E1871">
        <w:t xml:space="preserve">The consultation period will </w:t>
      </w:r>
      <w:r w:rsidR="00C70F7F">
        <w:t xml:space="preserve">normally </w:t>
      </w:r>
      <w:r w:rsidRPr="004E1871">
        <w:t xml:space="preserve">run for </w:t>
      </w:r>
      <w:r w:rsidR="00B9037E">
        <w:t xml:space="preserve">10 to </w:t>
      </w:r>
      <w:r w:rsidRPr="004E1871">
        <w:t xml:space="preserve">20 business days. </w:t>
      </w:r>
    </w:p>
    <w:p w:rsidR="001742FF" w:rsidRDefault="001742FF" w:rsidP="004E1871"/>
    <w:p w:rsidR="00C8079E" w:rsidRDefault="00C8079E" w:rsidP="004E1871"/>
    <w:p w:rsidR="00C8079E" w:rsidRDefault="00C8079E" w:rsidP="004E1871"/>
    <w:p w:rsidR="004E1871" w:rsidRPr="004E1871" w:rsidRDefault="004E1871" w:rsidP="004E1871">
      <w:pPr>
        <w:pStyle w:val="Heading3"/>
      </w:pPr>
      <w:bookmarkStart w:id="32" w:name="_Toc468276068"/>
      <w:r w:rsidRPr="004E1871">
        <w:lastRenderedPageBreak/>
        <w:t>Confidentiality</w:t>
      </w:r>
      <w:bookmarkEnd w:id="32"/>
      <w:r w:rsidRPr="004E1871">
        <w:t xml:space="preserve"> </w:t>
      </w:r>
    </w:p>
    <w:p w:rsidR="004E1871" w:rsidRPr="004E1871" w:rsidRDefault="004E1871" w:rsidP="004E1871">
      <w:r w:rsidRPr="004E1871">
        <w:t xml:space="preserve">We understand that you may provide us with confidential information as part of your application. If you do, we ask that you clearly identify and mark anything you consider confidential and give reasons for each confidentiality claim. Please also advise us of any potential disadvantage that disclosing the information might cause you. If your application contains confidential information, you should submit both a public and confidential version of the information. You should only remove information in the public version that you consider confidential. </w:t>
      </w:r>
    </w:p>
    <w:p w:rsidR="004E1871" w:rsidRPr="004E1871" w:rsidRDefault="004E1871" w:rsidP="004E1871">
      <w:r w:rsidRPr="004E1871">
        <w:t xml:space="preserve">A confidentiality claim, by itself, is not always enough to prevent disclosure. Under the NEL and the </w:t>
      </w:r>
      <w:r w:rsidRPr="00580BF9">
        <w:rPr>
          <w:rStyle w:val="Emphasis"/>
        </w:rPr>
        <w:t>Competition and Consumer Act 2010</w:t>
      </w:r>
      <w:r w:rsidRPr="004E1871">
        <w:t xml:space="preserve"> </w:t>
      </w:r>
      <w:r w:rsidRPr="00580BF9">
        <w:rPr>
          <w:rStyle w:val="Emphasis"/>
        </w:rPr>
        <w:t>(</w:t>
      </w:r>
      <w:proofErr w:type="spellStart"/>
      <w:r w:rsidRPr="00580BF9">
        <w:rPr>
          <w:rStyle w:val="Emphasis"/>
        </w:rPr>
        <w:t>Cth</w:t>
      </w:r>
      <w:proofErr w:type="spellEnd"/>
      <w:r w:rsidRPr="00580BF9">
        <w:rPr>
          <w:rStyle w:val="Emphasis"/>
        </w:rPr>
        <w:t>)</w:t>
      </w:r>
      <w:r w:rsidRPr="004E1871">
        <w:t xml:space="preserve">, we may disclose confidential information in certain circumstances, for example, where disclosure would not cause detriment, or the public benefit in disclosing the information outweighs that detriment. </w:t>
      </w:r>
    </w:p>
    <w:p w:rsidR="004E1871" w:rsidRPr="004E1871" w:rsidRDefault="004E1871" w:rsidP="004E1871">
      <w:r w:rsidRPr="004E1871">
        <w:t>If we are considering disclosing this information, we will let you know and give you an opportunity to comment in the first instance.</w:t>
      </w:r>
    </w:p>
    <w:p w:rsidR="004E1871" w:rsidRPr="004E1871" w:rsidRDefault="004E1871" w:rsidP="004E1871">
      <w:pPr>
        <w:pStyle w:val="Heading3"/>
      </w:pPr>
      <w:bookmarkStart w:id="33" w:name="_Toc468276069"/>
      <w:r w:rsidRPr="004E1871">
        <w:t>Decision making process</w:t>
      </w:r>
      <w:bookmarkEnd w:id="33"/>
      <w:r w:rsidRPr="004E1871">
        <w:t xml:space="preserve"> </w:t>
      </w:r>
    </w:p>
    <w:p w:rsidR="004E1871" w:rsidRPr="004E1871" w:rsidRDefault="004E1871" w:rsidP="004E1871">
      <w:r w:rsidRPr="004E1871">
        <w:t xml:space="preserve">We will advise you, in writing, of our decision. If your </w:t>
      </w:r>
      <w:r w:rsidR="00793504">
        <w:t xml:space="preserve">individual exemption </w:t>
      </w:r>
      <w:r w:rsidRPr="004E1871">
        <w:t xml:space="preserve">application is approved, we will also advise you of the conditions attached to the individual exemption. You will need to formally accept those conditions before your individual exemption takes effect. </w:t>
      </w:r>
    </w:p>
    <w:p w:rsidR="004E1871" w:rsidRPr="004E1871" w:rsidRDefault="004E1871" w:rsidP="004E1871">
      <w:r w:rsidRPr="004E1871">
        <w:t xml:space="preserve">When considering applications for individual exemptions, we will be guided by the National Electricity Objective, which is: </w:t>
      </w:r>
    </w:p>
    <w:p w:rsidR="004E1871" w:rsidRPr="004E1871" w:rsidRDefault="004E1871" w:rsidP="00580BF9">
      <w:pPr>
        <w:pStyle w:val="Quote"/>
      </w:pPr>
      <w:r w:rsidRPr="004E1871">
        <w:t xml:space="preserve">…to promote efficient investment in, and efficient operation and use of, energy services for the long term interests of consumers of energy with respect to price, quality, safety, reliability and security of supply of energy. </w:t>
      </w:r>
    </w:p>
    <w:p w:rsidR="004E1871" w:rsidRPr="004E1871" w:rsidRDefault="004E1871" w:rsidP="004E1871">
      <w:pPr>
        <w:pStyle w:val="Heading3"/>
      </w:pPr>
      <w:bookmarkStart w:id="34" w:name="_Toc468276070"/>
      <w:r w:rsidRPr="004E1871">
        <w:t>Grounds for refusal</w:t>
      </w:r>
      <w:bookmarkEnd w:id="34"/>
      <w:r w:rsidRPr="004E1871">
        <w:t xml:space="preserve"> </w:t>
      </w:r>
    </w:p>
    <w:p w:rsidR="004E1871" w:rsidRPr="004E1871" w:rsidRDefault="004E1871" w:rsidP="004E1871">
      <w:r w:rsidRPr="004E1871">
        <w:t>We may refuse an application for an individual or registrable exemption</w:t>
      </w:r>
      <w:r w:rsidR="00BF6ABF">
        <w:t xml:space="preserve"> or we may revoke an exemption</w:t>
      </w:r>
      <w:r w:rsidRPr="004E1871">
        <w:t xml:space="preserve"> </w:t>
      </w:r>
      <w:r w:rsidR="00B9764C">
        <w:t xml:space="preserve">(including a deemed exemption) </w:t>
      </w:r>
      <w:r w:rsidRPr="004E1871">
        <w:t xml:space="preserve">if, for example: </w:t>
      </w:r>
    </w:p>
    <w:p w:rsidR="004E1871" w:rsidRDefault="004E1871" w:rsidP="00580BF9">
      <w:pPr>
        <w:pStyle w:val="Bulletpoint"/>
      </w:pPr>
      <w:r w:rsidRPr="004E1871">
        <w:t xml:space="preserve">we believe that granting </w:t>
      </w:r>
      <w:r w:rsidR="00BF6ABF">
        <w:t xml:space="preserve">a new (or continuing </w:t>
      </w:r>
      <w:r w:rsidRPr="004E1871">
        <w:t xml:space="preserve">an </w:t>
      </w:r>
      <w:r w:rsidR="00BF6ABF">
        <w:t xml:space="preserve">existing) </w:t>
      </w:r>
      <w:r w:rsidRPr="004E1871">
        <w:t xml:space="preserve">exemption may not contribute to the achievement of the National Electricity Objective </w:t>
      </w:r>
    </w:p>
    <w:p w:rsidR="00B9764C" w:rsidRPr="004E1871" w:rsidRDefault="00B9764C" w:rsidP="000E7EEA">
      <w:pPr>
        <w:pStyle w:val="Bulletpoint"/>
      </w:pPr>
      <w:r>
        <w:t xml:space="preserve">there is any breach of our conditions for exemptions (Part B of this </w:t>
      </w:r>
      <w:r w:rsidR="000E7EEA" w:rsidRPr="000E7EEA">
        <w:t xml:space="preserve">Network </w:t>
      </w:r>
      <w:r w:rsidR="000E7EEA">
        <w:t>Guideline</w:t>
      </w:r>
      <w:r>
        <w:t>)</w:t>
      </w:r>
    </w:p>
    <w:p w:rsidR="004E1871" w:rsidRPr="004E1871" w:rsidRDefault="004E1871" w:rsidP="00580BF9">
      <w:pPr>
        <w:pStyle w:val="Bulletpoint"/>
      </w:pPr>
      <w:proofErr w:type="gramStart"/>
      <w:r w:rsidRPr="004E1871">
        <w:t>you</w:t>
      </w:r>
      <w:proofErr w:type="gramEnd"/>
      <w:r w:rsidRPr="004E1871">
        <w:t xml:space="preserve"> have provided us with false or misleading information.</w:t>
      </w:r>
    </w:p>
    <w:p w:rsidR="004E1871" w:rsidRPr="004E1871" w:rsidRDefault="004E1871" w:rsidP="004E1871">
      <w:pPr>
        <w:pStyle w:val="Heading3"/>
      </w:pPr>
      <w:bookmarkStart w:id="35" w:name="_Toc468276071"/>
      <w:r w:rsidRPr="004E1871">
        <w:t>Location and length of exemption</w:t>
      </w:r>
      <w:bookmarkEnd w:id="35"/>
      <w:r w:rsidRPr="004E1871">
        <w:t xml:space="preserve"> </w:t>
      </w:r>
    </w:p>
    <w:p w:rsidR="004E1871" w:rsidRPr="004E1871" w:rsidRDefault="004E1871" w:rsidP="004E1871">
      <w:r w:rsidRPr="004E1871">
        <w:t>Most individual exemptions will be issued for a particular site or area, and will limit the supply of energy to a certain class or classes of customers. Generally, we will not issue individual exemptions for multiple sites (but we may issue an individual exemption that covers a class of sites)</w:t>
      </w:r>
      <w:r w:rsidR="00793504">
        <w:t>. We will</w:t>
      </w:r>
      <w:r w:rsidRPr="004E1871">
        <w:t xml:space="preserve"> only issue them where we consider that doing so is consistent with the NER and the National Electricity Objective. </w:t>
      </w:r>
    </w:p>
    <w:p w:rsidR="004E1871" w:rsidRPr="004E1871" w:rsidRDefault="004E1871" w:rsidP="004E1871">
      <w:r w:rsidRPr="004E1871">
        <w:lastRenderedPageBreak/>
        <w:t>The NER does not place a limit on the duration or validity of an exemption. However, we may impose a time limit on the grant or variation of an individual exemption. This will be determined on a case</w:t>
      </w:r>
      <w:r w:rsidR="00805F4F">
        <w:t>–</w:t>
      </w:r>
      <w:r w:rsidRPr="004E1871">
        <w:t>by</w:t>
      </w:r>
      <w:r w:rsidR="00805F4F">
        <w:t>–</w:t>
      </w:r>
      <w:r w:rsidRPr="004E1871">
        <w:t xml:space="preserve">case basis. </w:t>
      </w:r>
    </w:p>
    <w:p w:rsidR="004E1871" w:rsidRPr="004E1871" w:rsidRDefault="004E1871" w:rsidP="004E1871">
      <w:r w:rsidRPr="004E1871">
        <w:t>If no expiry date is stated as a condition of exemption, the grant or variation of the individual exemption will continue indefinitely</w:t>
      </w:r>
      <w:r w:rsidR="00BF6ABF">
        <w:t>,</w:t>
      </w:r>
      <w:r w:rsidRPr="004E1871">
        <w:t xml:space="preserve"> unless it is revoked</w:t>
      </w:r>
      <w:r w:rsidR="0099732F">
        <w:t xml:space="preserve"> or retired</w:t>
      </w:r>
      <w:r w:rsidRPr="004E1871">
        <w:t xml:space="preserve">. </w:t>
      </w:r>
      <w:r w:rsidRPr="004E1871">
        <w:tab/>
      </w:r>
    </w:p>
    <w:p w:rsidR="004E1871" w:rsidRPr="004E1871" w:rsidRDefault="004E1871" w:rsidP="004E1871">
      <w:pPr>
        <w:pStyle w:val="Heading3"/>
      </w:pPr>
      <w:bookmarkStart w:id="36" w:name="_Toc468276072"/>
      <w:r w:rsidRPr="004E1871">
        <w:t>Change of circumstances</w:t>
      </w:r>
      <w:bookmarkEnd w:id="36"/>
    </w:p>
    <w:p w:rsidR="003A210C" w:rsidRDefault="004E1871" w:rsidP="004E1871">
      <w:r w:rsidRPr="004E1871">
        <w:t xml:space="preserve">Your exemption will specify the conditions of the exemption. You will need to apply for a new or separate individual exemption to vary the conditions specified. </w:t>
      </w:r>
    </w:p>
    <w:p w:rsidR="003A210C" w:rsidRDefault="003A210C" w:rsidP="004E1871">
      <w:r>
        <w:t>I</w:t>
      </w:r>
      <w:r w:rsidR="004E1871" w:rsidRPr="004E1871">
        <w:t>f your details change in any other way, for example if there is a change in</w:t>
      </w:r>
      <w:r>
        <w:t xml:space="preserve"> contact details</w:t>
      </w:r>
      <w:r w:rsidR="004E1871" w:rsidRPr="004E1871">
        <w:t xml:space="preserve">, you should contact us </w:t>
      </w:r>
      <w:r>
        <w:t xml:space="preserve">promptly </w:t>
      </w:r>
      <w:r w:rsidR="004E1871" w:rsidRPr="004E1871">
        <w:t>so that we can vary your exemption.</w:t>
      </w:r>
      <w:r>
        <w:t xml:space="preserve"> </w:t>
      </w:r>
    </w:p>
    <w:p w:rsidR="004E1871" w:rsidRPr="00C92EA2" w:rsidRDefault="003A210C" w:rsidP="00C92EA2">
      <w:r>
        <w:t xml:space="preserve">If there is a change in ownership, the existing exemption will be retired but will not be amended or deleted. The new owner should apply promptly for a new exemption via our website, as set out in section </w:t>
      </w:r>
      <w:r>
        <w:fldChar w:fldCharType="begin"/>
      </w:r>
      <w:r>
        <w:instrText xml:space="preserve"> REF _Ref456195534 \r \h </w:instrText>
      </w:r>
      <w:r>
        <w:fldChar w:fldCharType="separate"/>
      </w:r>
      <w:r w:rsidR="00D30DD5">
        <w:t>5.5</w:t>
      </w:r>
      <w:r>
        <w:fldChar w:fldCharType="end"/>
      </w:r>
      <w:r>
        <w:t xml:space="preserve">. The site may continue to operate on the </w:t>
      </w:r>
      <w:r w:rsidR="003708F8">
        <w:t xml:space="preserve">same </w:t>
      </w:r>
      <w:r>
        <w:t xml:space="preserve">basis </w:t>
      </w:r>
      <w:r w:rsidR="003708F8">
        <w:t>as</w:t>
      </w:r>
      <w:r>
        <w:t xml:space="preserve"> the old exemption </w:t>
      </w:r>
      <w:r w:rsidR="003708F8">
        <w:t xml:space="preserve">(but to maintain services, the new owner/operator will be deemed to replace the old owner/operator in the interim) </w:t>
      </w:r>
      <w:r>
        <w:t>until the new exemption is published.</w:t>
      </w:r>
    </w:p>
    <w:p w:rsidR="00580BF9" w:rsidRPr="00580BF9" w:rsidRDefault="00580BF9" w:rsidP="00580BF9">
      <w:pPr>
        <w:pStyle w:val="Heading1"/>
      </w:pPr>
      <w:bookmarkStart w:id="37" w:name="_Ref361909733"/>
      <w:bookmarkStart w:id="38" w:name="_Toc365299415"/>
      <w:bookmarkStart w:id="39" w:name="_Toc468276073"/>
      <w:r w:rsidRPr="00580BF9">
        <w:lastRenderedPageBreak/>
        <w:t>Introduction and exemption classes</w:t>
      </w:r>
      <w:bookmarkEnd w:id="37"/>
      <w:bookmarkEnd w:id="38"/>
      <w:bookmarkEnd w:id="39"/>
    </w:p>
    <w:p w:rsidR="00052B6D" w:rsidRPr="00EC597C" w:rsidRDefault="00052B6D" w:rsidP="00052B6D">
      <w:pPr>
        <w:pStyle w:val="Boxedtext"/>
      </w:pPr>
      <w:bookmarkStart w:id="40" w:name="_Toc365299416"/>
      <w:r w:rsidRPr="00EC597C">
        <w:t>Operating a network in breach of the AER’s conditions will invalidate your exemption and could expose you to sizeable civil penalties.</w:t>
      </w:r>
      <w:r w:rsidR="001D28C3">
        <w:t xml:space="preserve"> </w:t>
      </w:r>
      <w:r w:rsidRPr="00EC597C">
        <w:t>The requirement</w:t>
      </w:r>
      <w:r>
        <w:t xml:space="preserve"> to observe the condition</w:t>
      </w:r>
      <w:r w:rsidRPr="00EC597C">
        <w:t xml:space="preserve">s </w:t>
      </w:r>
      <w:r>
        <w:t xml:space="preserve">for exemption </w:t>
      </w:r>
      <w:r w:rsidRPr="00EC597C">
        <w:t>appl</w:t>
      </w:r>
      <w:r>
        <w:t>ies jointly and severally</w:t>
      </w:r>
      <w:r w:rsidRPr="00EC597C">
        <w:t xml:space="preserve"> to the network owner, network operator and any party or agent of the owner or operator who has control of the private network. </w:t>
      </w:r>
      <w:r>
        <w:t>Please read the following sections carefully and observe all the conditions related to your activities.</w:t>
      </w:r>
    </w:p>
    <w:p w:rsidR="00580BF9" w:rsidRDefault="00580BF9" w:rsidP="00580BF9">
      <w:pPr>
        <w:pStyle w:val="Heading2"/>
      </w:pPr>
      <w:bookmarkStart w:id="41" w:name="_Ref459379747"/>
      <w:bookmarkStart w:id="42" w:name="_Toc468276074"/>
      <w:r w:rsidRPr="00580BF9">
        <w:t>Deemed exemption classes</w:t>
      </w:r>
      <w:bookmarkEnd w:id="40"/>
      <w:bookmarkEnd w:id="41"/>
      <w:bookmarkEnd w:id="42"/>
    </w:p>
    <w:p w:rsidR="005E0B33" w:rsidRDefault="000E60F7" w:rsidP="00EC597C">
      <w:r>
        <w:t xml:space="preserve">Except where an Embedded Network Manager (ENM) is appointed (see conditions </w:t>
      </w:r>
      <w:r>
        <w:fldChar w:fldCharType="begin"/>
      </w:r>
      <w:r>
        <w:instrText xml:space="preserve"> REF _Ref361906960 \r \h </w:instrText>
      </w:r>
      <w:r>
        <w:fldChar w:fldCharType="separate"/>
      </w:r>
      <w:r>
        <w:t>4.4</w:t>
      </w:r>
      <w:r>
        <w:fldChar w:fldCharType="end"/>
      </w:r>
      <w:r>
        <w:t xml:space="preserve"> and </w:t>
      </w:r>
      <w:r>
        <w:fldChar w:fldCharType="begin"/>
      </w:r>
      <w:r>
        <w:instrText xml:space="preserve"> REF _Ref457226924 \r \h </w:instrText>
      </w:r>
      <w:r>
        <w:fldChar w:fldCharType="separate"/>
      </w:r>
      <w:r>
        <w:t>4.7</w:t>
      </w:r>
      <w:r>
        <w:fldChar w:fldCharType="end"/>
      </w:r>
      <w:r>
        <w:t>), n</w:t>
      </w:r>
      <w:r w:rsidR="00EC597C" w:rsidRPr="00EC597C">
        <w:t>o application is required for a deemed exemption</w:t>
      </w:r>
      <w:r w:rsidR="00174D85">
        <w:t xml:space="preserve"> described in table 1</w:t>
      </w:r>
      <w:r w:rsidR="00EC597C" w:rsidRPr="00EC597C">
        <w:t xml:space="preserve">. </w:t>
      </w:r>
    </w:p>
    <w:p w:rsidR="00580BF9" w:rsidRDefault="00580BF9" w:rsidP="00580BF9">
      <w:pPr>
        <w:pStyle w:val="Heading3"/>
      </w:pPr>
      <w:bookmarkStart w:id="43" w:name="_Toc466303891"/>
      <w:bookmarkStart w:id="44" w:name="_Toc466303892"/>
      <w:bookmarkStart w:id="45" w:name="_Toc466303893"/>
      <w:bookmarkStart w:id="46" w:name="_Toc466303894"/>
      <w:bookmarkStart w:id="47" w:name="_Toc466303895"/>
      <w:bookmarkStart w:id="48" w:name="_Toc466303896"/>
      <w:bookmarkStart w:id="49" w:name="_Toc466303897"/>
      <w:bookmarkStart w:id="50" w:name="_Ref361909794"/>
      <w:bookmarkStart w:id="51" w:name="_Toc468276075"/>
      <w:bookmarkEnd w:id="43"/>
      <w:bookmarkEnd w:id="44"/>
      <w:bookmarkEnd w:id="45"/>
      <w:bookmarkEnd w:id="46"/>
      <w:bookmarkEnd w:id="47"/>
      <w:bookmarkEnd w:id="48"/>
      <w:bookmarkEnd w:id="49"/>
      <w:r w:rsidRPr="00580BF9">
        <w:t xml:space="preserve">Energy </w:t>
      </w:r>
      <w:bookmarkEnd w:id="50"/>
      <w:r w:rsidR="00E9732D">
        <w:t>supply</w:t>
      </w:r>
      <w:bookmarkEnd w:id="51"/>
      <w:r w:rsidR="00E9732D">
        <w:t xml:space="preserve"> </w:t>
      </w:r>
    </w:p>
    <w:p w:rsidR="00580BF9" w:rsidRDefault="00580BF9" w:rsidP="0099732F">
      <w:pPr>
        <w:pStyle w:val="Tabletitle"/>
      </w:pPr>
      <w:r w:rsidRPr="00580BF9">
        <w:t xml:space="preserve">Table 1 </w:t>
      </w:r>
      <w:r w:rsidR="00BF5F61">
        <w:t>–</w:t>
      </w:r>
      <w:r w:rsidRPr="00580BF9">
        <w:t xml:space="preserve"> Deemed classes of exemption </w:t>
      </w:r>
      <w:r w:rsidR="00BF5F61">
        <w:t>–</w:t>
      </w:r>
      <w:r w:rsidRPr="00580BF9">
        <w:t xml:space="preserve"> energy </w:t>
      </w:r>
      <w:r w:rsidR="00C4112F">
        <w:t>supply</w:t>
      </w:r>
      <w:r w:rsidR="00623C38">
        <w:rPr>
          <w:rStyle w:val="FootnoteReference"/>
        </w:rPr>
        <w:footnoteReference w:id="20"/>
      </w:r>
    </w:p>
    <w:tbl>
      <w:tblPr>
        <w:tblStyle w:val="AERTable-Text"/>
        <w:tblW w:w="0" w:type="auto"/>
        <w:tblLook w:val="04A0" w:firstRow="1" w:lastRow="0" w:firstColumn="1" w:lastColumn="0" w:noHBand="0" w:noVBand="1"/>
      </w:tblPr>
      <w:tblGrid>
        <w:gridCol w:w="857"/>
        <w:gridCol w:w="8385"/>
      </w:tblGrid>
      <w:tr w:rsidR="00E55054" w:rsidRPr="00AC35B7" w:rsidTr="00580BF9">
        <w:trPr>
          <w:cnfStyle w:val="100000000000" w:firstRow="1" w:lastRow="0" w:firstColumn="0" w:lastColumn="0" w:oddVBand="0" w:evenVBand="0" w:oddHBand="0" w:evenHBand="0" w:firstRowFirstColumn="0" w:firstRowLastColumn="0" w:lastRowFirstColumn="0" w:lastRowLastColumn="0"/>
        </w:trPr>
        <w:tc>
          <w:tcPr>
            <w:tcW w:w="0" w:type="auto"/>
          </w:tcPr>
          <w:p w:rsidR="00E55054" w:rsidRPr="00580BF9" w:rsidRDefault="00E55054" w:rsidP="006B0806">
            <w:pPr>
              <w:pStyle w:val="TableHeading"/>
            </w:pPr>
            <w:r w:rsidRPr="00580BF9">
              <w:t>Class</w:t>
            </w:r>
          </w:p>
        </w:tc>
        <w:tc>
          <w:tcPr>
            <w:tcW w:w="0" w:type="auto"/>
          </w:tcPr>
          <w:p w:rsidR="00E55054" w:rsidRPr="00580BF9" w:rsidRDefault="00E55054" w:rsidP="006B0806">
            <w:pPr>
              <w:pStyle w:val="TableHeading"/>
            </w:pPr>
            <w:r w:rsidRPr="00580BF9">
              <w:t>Activity</w:t>
            </w:r>
          </w:p>
        </w:tc>
      </w:tr>
      <w:tr w:rsidR="00E55054" w:rsidRPr="00AC35B7" w:rsidTr="00580BF9">
        <w:tc>
          <w:tcPr>
            <w:tcW w:w="0" w:type="auto"/>
          </w:tcPr>
          <w:p w:rsidR="00E55054" w:rsidRPr="00580BF9" w:rsidRDefault="00E55054" w:rsidP="00AC4D9A">
            <w:pPr>
              <w:pStyle w:val="Tabletext"/>
            </w:pPr>
            <w:r w:rsidRPr="00580BF9">
              <w:t>ND1</w:t>
            </w:r>
          </w:p>
        </w:tc>
        <w:tc>
          <w:tcPr>
            <w:tcW w:w="0" w:type="auto"/>
          </w:tcPr>
          <w:p w:rsidR="00E55054" w:rsidRPr="00580BF9" w:rsidRDefault="00E55054" w:rsidP="008B15ED">
            <w:pPr>
              <w:pStyle w:val="Tabletext"/>
            </w:pPr>
            <w:r w:rsidRPr="00580BF9">
              <w:t xml:space="preserve">Persons </w:t>
            </w:r>
            <w:r w:rsidR="00EE59D8">
              <w:t xml:space="preserve">supplying </w:t>
            </w:r>
            <w:r w:rsidR="008B15ED">
              <w:t xml:space="preserve">metered </w:t>
            </w:r>
            <w:r w:rsidR="00680D69">
              <w:t xml:space="preserve">or unmetered </w:t>
            </w:r>
            <w:r w:rsidR="00EE59D8">
              <w:t xml:space="preserve">energy </w:t>
            </w:r>
            <w:r w:rsidRPr="00580BF9">
              <w:t xml:space="preserve">to fewer than ten small commercial/retail customers within the limits of a site that they </w:t>
            </w:r>
            <w:proofErr w:type="gramStart"/>
            <w:r w:rsidRPr="00580BF9">
              <w:t>own,</w:t>
            </w:r>
            <w:proofErr w:type="gramEnd"/>
            <w:r w:rsidRPr="00580BF9">
              <w:t xml:space="preserve"> occupy or operate.</w:t>
            </w:r>
            <w:r w:rsidR="000175F2">
              <w:t xml:space="preserve"> Not applicable </w:t>
            </w:r>
            <w:r w:rsidR="00E66DDB">
              <w:t>if an Embedded Network Manager is appointed (see exemption class NR1).</w:t>
            </w:r>
          </w:p>
        </w:tc>
      </w:tr>
      <w:tr w:rsidR="00E55054" w:rsidRPr="00AC35B7" w:rsidTr="00580BF9">
        <w:trPr>
          <w:cnfStyle w:val="000000010000" w:firstRow="0" w:lastRow="0" w:firstColumn="0" w:lastColumn="0" w:oddVBand="0" w:evenVBand="0" w:oddHBand="0" w:evenHBand="1" w:firstRowFirstColumn="0" w:firstRowLastColumn="0" w:lastRowFirstColumn="0" w:lastRowLastColumn="0"/>
        </w:trPr>
        <w:tc>
          <w:tcPr>
            <w:tcW w:w="0" w:type="auto"/>
          </w:tcPr>
          <w:p w:rsidR="00E55054" w:rsidRPr="00580BF9" w:rsidRDefault="00E55054" w:rsidP="00AC4D9A">
            <w:pPr>
              <w:pStyle w:val="Tabletext"/>
            </w:pPr>
            <w:r w:rsidRPr="00580BF9">
              <w:t>ND2</w:t>
            </w:r>
          </w:p>
        </w:tc>
        <w:tc>
          <w:tcPr>
            <w:tcW w:w="0" w:type="auto"/>
          </w:tcPr>
          <w:p w:rsidR="00E55054" w:rsidRPr="00580BF9" w:rsidRDefault="00E55054" w:rsidP="00E66DDB">
            <w:pPr>
              <w:pStyle w:val="Tabletext"/>
            </w:pPr>
            <w:r w:rsidRPr="00580BF9">
              <w:t xml:space="preserve">Persons </w:t>
            </w:r>
            <w:r w:rsidR="00EA22B8">
              <w:t xml:space="preserve">supplying </w:t>
            </w:r>
            <w:r w:rsidR="008B15ED">
              <w:t xml:space="preserve">metered </w:t>
            </w:r>
            <w:r w:rsidR="00680D69">
              <w:t xml:space="preserve">or unmetered </w:t>
            </w:r>
            <w:r w:rsidRPr="00580BF9">
              <w:t xml:space="preserve">energy to fewer than ten residential customers within the limits of a site that they </w:t>
            </w:r>
            <w:proofErr w:type="gramStart"/>
            <w:r w:rsidRPr="00580BF9">
              <w:t>own,</w:t>
            </w:r>
            <w:proofErr w:type="gramEnd"/>
            <w:r w:rsidRPr="00580BF9">
              <w:t xml:space="preserve"> occupy or operate.</w:t>
            </w:r>
            <w:r w:rsidR="00E66DDB" w:rsidRPr="00580BF9">
              <w:t xml:space="preserve"> </w:t>
            </w:r>
            <w:r w:rsidR="00E66DDB" w:rsidRPr="00E66DDB">
              <w:t>Not applicable if an Embedded Network Manager is appointed (see exemption class NR</w:t>
            </w:r>
            <w:r w:rsidR="00E66DDB">
              <w:t>2</w:t>
            </w:r>
            <w:r w:rsidR="00E66DDB" w:rsidRPr="00E66DDB">
              <w:t>).</w:t>
            </w:r>
          </w:p>
        </w:tc>
      </w:tr>
      <w:tr w:rsidR="00E55054" w:rsidRPr="00AC35B7" w:rsidTr="00580BF9">
        <w:tc>
          <w:tcPr>
            <w:tcW w:w="0" w:type="auto"/>
          </w:tcPr>
          <w:p w:rsidR="00E55054" w:rsidRPr="00580BF9" w:rsidRDefault="00E55054" w:rsidP="00AC4D9A">
            <w:pPr>
              <w:pStyle w:val="Tabletext"/>
            </w:pPr>
            <w:r w:rsidRPr="00580BF9">
              <w:t>ND3</w:t>
            </w:r>
          </w:p>
        </w:tc>
        <w:tc>
          <w:tcPr>
            <w:tcW w:w="0" w:type="auto"/>
          </w:tcPr>
          <w:p w:rsidR="00E55054" w:rsidRPr="00580BF9" w:rsidRDefault="00E55054" w:rsidP="008B15ED">
            <w:pPr>
              <w:pStyle w:val="Tabletext"/>
            </w:pPr>
            <w:r w:rsidRPr="00580BF9">
              <w:t xml:space="preserve">Persons </w:t>
            </w:r>
            <w:r w:rsidR="00EA22B8" w:rsidRPr="00EA22B8">
              <w:t>supplying</w:t>
            </w:r>
            <w:r w:rsidR="00EA22B8">
              <w:t xml:space="preserve"> </w:t>
            </w:r>
            <w:r w:rsidR="008B15ED">
              <w:t xml:space="preserve">metered </w:t>
            </w:r>
            <w:r w:rsidR="00033656">
              <w:t xml:space="preserve">or unmetered </w:t>
            </w:r>
            <w:r w:rsidR="00EA22B8" w:rsidRPr="00580BF9">
              <w:t xml:space="preserve">energy </w:t>
            </w:r>
            <w:r w:rsidRPr="00580BF9">
              <w:t>to occupants of holiday accommodation on a short</w:t>
            </w:r>
            <w:r w:rsidR="00BF5F61">
              <w:t>–</w:t>
            </w:r>
            <w:r w:rsidRPr="00580BF9">
              <w:t>term basis.</w:t>
            </w:r>
          </w:p>
        </w:tc>
      </w:tr>
      <w:tr w:rsidR="00E55054" w:rsidRPr="00AC35B7" w:rsidTr="00580BF9">
        <w:trPr>
          <w:cnfStyle w:val="000000010000" w:firstRow="0" w:lastRow="0" w:firstColumn="0" w:lastColumn="0" w:oddVBand="0" w:evenVBand="0" w:oddHBand="0" w:evenHBand="1" w:firstRowFirstColumn="0" w:firstRowLastColumn="0" w:lastRowFirstColumn="0" w:lastRowLastColumn="0"/>
        </w:trPr>
        <w:tc>
          <w:tcPr>
            <w:tcW w:w="0" w:type="auto"/>
          </w:tcPr>
          <w:p w:rsidR="00E55054" w:rsidRPr="00580BF9" w:rsidRDefault="00E55054" w:rsidP="00AC4D9A">
            <w:pPr>
              <w:pStyle w:val="Tabletext"/>
            </w:pPr>
            <w:r w:rsidRPr="00580BF9">
              <w:t>ND4</w:t>
            </w:r>
          </w:p>
        </w:tc>
        <w:tc>
          <w:tcPr>
            <w:tcW w:w="0" w:type="auto"/>
          </w:tcPr>
          <w:p w:rsidR="00E55054" w:rsidRPr="00580BF9" w:rsidRDefault="008E4BE3">
            <w:pPr>
              <w:pStyle w:val="Tabletext"/>
            </w:pPr>
            <w:r>
              <w:t>Metering installations</w:t>
            </w:r>
            <w:r w:rsidR="005E0B33">
              <w:t xml:space="preserve"> (includes metering panels and associated </w:t>
            </w:r>
            <w:r w:rsidR="00A026BC">
              <w:t>sundry equipment but not including incoming sub-mains or outgoing service wiring)</w:t>
            </w:r>
          </w:p>
        </w:tc>
      </w:tr>
      <w:tr w:rsidR="00E55054" w:rsidRPr="00AC35B7" w:rsidTr="00580BF9">
        <w:tc>
          <w:tcPr>
            <w:tcW w:w="0" w:type="auto"/>
          </w:tcPr>
          <w:p w:rsidR="00E55054" w:rsidRPr="00580BF9" w:rsidRDefault="00E55054" w:rsidP="00AC4D9A">
            <w:pPr>
              <w:pStyle w:val="Tabletext"/>
            </w:pPr>
            <w:r w:rsidRPr="00580BF9">
              <w:t>ND5</w:t>
            </w:r>
          </w:p>
        </w:tc>
        <w:tc>
          <w:tcPr>
            <w:tcW w:w="0" w:type="auto"/>
          </w:tcPr>
          <w:p w:rsidR="00E55054" w:rsidRPr="00580BF9" w:rsidRDefault="00F01E9D" w:rsidP="00031305">
            <w:pPr>
              <w:pStyle w:val="Tabletext"/>
            </w:pPr>
            <w:r>
              <w:t xml:space="preserve">All </w:t>
            </w:r>
            <w:r w:rsidR="00E55054" w:rsidRPr="00580BF9">
              <w:t xml:space="preserve">supply </w:t>
            </w:r>
            <w:r w:rsidR="00EE59D8">
              <w:t xml:space="preserve">of energy </w:t>
            </w:r>
            <w:r w:rsidR="00E55054" w:rsidRPr="00580BF9">
              <w:t>via plug</w:t>
            </w:r>
            <w:r w:rsidR="00BF5F61">
              <w:t>–</w:t>
            </w:r>
            <w:r w:rsidR="00E55054" w:rsidRPr="00580BF9">
              <w:t>in or rack mounted equipment in any premises.</w:t>
            </w:r>
            <w:r w:rsidR="00A942CC">
              <w:t xml:space="preserve"> </w:t>
            </w:r>
            <w:r w:rsidR="00A942CC" w:rsidRPr="00A942CC">
              <w:t xml:space="preserve">Includes NBN equipment in </w:t>
            </w:r>
            <w:r w:rsidR="008E4BE3">
              <w:t xml:space="preserve">any </w:t>
            </w:r>
            <w:r w:rsidR="00A942CC" w:rsidRPr="00A942CC">
              <w:t>premises</w:t>
            </w:r>
            <w:r w:rsidR="00913061">
              <w:t xml:space="preserve"> with an input current rating not exceeding </w:t>
            </w:r>
            <w:r w:rsidR="00446992">
              <w:t>3</w:t>
            </w:r>
            <w:r w:rsidR="00913061">
              <w:t xml:space="preserve"> amps AC</w:t>
            </w:r>
            <w:r w:rsidR="00A942CC" w:rsidRPr="00A942CC">
              <w:t>.</w:t>
            </w:r>
          </w:p>
        </w:tc>
      </w:tr>
      <w:tr w:rsidR="00E55054" w:rsidRPr="00AC35B7" w:rsidTr="00580BF9">
        <w:trPr>
          <w:cnfStyle w:val="000000010000" w:firstRow="0" w:lastRow="0" w:firstColumn="0" w:lastColumn="0" w:oddVBand="0" w:evenVBand="0" w:oddHBand="0" w:evenHBand="1" w:firstRowFirstColumn="0" w:firstRowLastColumn="0" w:lastRowFirstColumn="0" w:lastRowLastColumn="0"/>
        </w:trPr>
        <w:tc>
          <w:tcPr>
            <w:tcW w:w="0" w:type="auto"/>
          </w:tcPr>
          <w:p w:rsidR="00E55054" w:rsidRPr="00580BF9" w:rsidRDefault="00E55054" w:rsidP="00AC4D9A">
            <w:pPr>
              <w:pStyle w:val="Tabletext"/>
            </w:pPr>
            <w:r w:rsidRPr="00580BF9">
              <w:t>ND6</w:t>
            </w:r>
          </w:p>
        </w:tc>
        <w:tc>
          <w:tcPr>
            <w:tcW w:w="0" w:type="auto"/>
          </w:tcPr>
          <w:p w:rsidR="00E55054" w:rsidRPr="00580BF9" w:rsidRDefault="00E55054" w:rsidP="008B15ED">
            <w:pPr>
              <w:pStyle w:val="Tabletext"/>
            </w:pPr>
            <w:r w:rsidRPr="00580BF9">
              <w:t xml:space="preserve">Persons </w:t>
            </w:r>
            <w:r>
              <w:t xml:space="preserve">supplying </w:t>
            </w:r>
            <w:r w:rsidRPr="00580BF9">
              <w:t>unmetered electricity to small customers in Queensland.</w:t>
            </w:r>
          </w:p>
        </w:tc>
      </w:tr>
      <w:tr w:rsidR="00E55054" w:rsidRPr="00AC35B7" w:rsidTr="00580BF9">
        <w:tc>
          <w:tcPr>
            <w:tcW w:w="0" w:type="auto"/>
          </w:tcPr>
          <w:p w:rsidR="00E55054" w:rsidRPr="00580BF9" w:rsidRDefault="00E55054" w:rsidP="00AC4D9A">
            <w:pPr>
              <w:pStyle w:val="Tabletext"/>
            </w:pPr>
            <w:r w:rsidRPr="00580BF9">
              <w:t>ND7</w:t>
            </w:r>
          </w:p>
        </w:tc>
        <w:tc>
          <w:tcPr>
            <w:tcW w:w="0" w:type="auto"/>
          </w:tcPr>
          <w:p w:rsidR="00E55054" w:rsidRPr="00580BF9" w:rsidRDefault="00E55054" w:rsidP="00AC4D9A">
            <w:pPr>
              <w:pStyle w:val="Tabletext"/>
            </w:pPr>
            <w:r>
              <w:t>Reserved</w:t>
            </w:r>
          </w:p>
        </w:tc>
      </w:tr>
      <w:tr w:rsidR="00E55054" w:rsidRPr="00AC35B7" w:rsidTr="00580BF9">
        <w:trPr>
          <w:cnfStyle w:val="000000010000" w:firstRow="0" w:lastRow="0" w:firstColumn="0" w:lastColumn="0" w:oddVBand="0" w:evenVBand="0" w:oddHBand="0" w:evenHBand="1" w:firstRowFirstColumn="0" w:firstRowLastColumn="0" w:lastRowFirstColumn="0" w:lastRowLastColumn="0"/>
        </w:trPr>
        <w:tc>
          <w:tcPr>
            <w:tcW w:w="0" w:type="auto"/>
          </w:tcPr>
          <w:p w:rsidR="00E55054" w:rsidRPr="00580BF9" w:rsidRDefault="00E55054" w:rsidP="00AC4D9A">
            <w:pPr>
              <w:pStyle w:val="Tabletext"/>
            </w:pPr>
            <w:r w:rsidRPr="00580BF9">
              <w:t>ND8</w:t>
            </w:r>
          </w:p>
        </w:tc>
        <w:tc>
          <w:tcPr>
            <w:tcW w:w="0" w:type="auto"/>
          </w:tcPr>
          <w:p w:rsidR="00E55054" w:rsidRPr="00580BF9" w:rsidRDefault="00E55054" w:rsidP="008B15ED">
            <w:pPr>
              <w:pStyle w:val="Tabletext"/>
            </w:pPr>
            <w:r w:rsidRPr="00580BF9">
              <w:t xml:space="preserve">Persons </w:t>
            </w:r>
            <w:r w:rsidR="00EA22B8" w:rsidRPr="00EA22B8">
              <w:t xml:space="preserve">supplying </w:t>
            </w:r>
            <w:r w:rsidR="008B15ED">
              <w:t xml:space="preserve">metered </w:t>
            </w:r>
            <w:r w:rsidR="00033656">
              <w:t xml:space="preserve">or unmetered </w:t>
            </w:r>
            <w:r w:rsidRPr="00580BF9">
              <w:t>energy to a related company.</w:t>
            </w:r>
          </w:p>
        </w:tc>
      </w:tr>
      <w:tr w:rsidR="00E55054" w:rsidRPr="00AC35B7" w:rsidTr="00580BF9">
        <w:tc>
          <w:tcPr>
            <w:tcW w:w="0" w:type="auto"/>
          </w:tcPr>
          <w:p w:rsidR="00E55054" w:rsidRPr="00580BF9" w:rsidRDefault="00E55054" w:rsidP="00AC4D9A">
            <w:pPr>
              <w:pStyle w:val="Tabletext"/>
            </w:pPr>
            <w:r w:rsidRPr="00580BF9">
              <w:t>ND9</w:t>
            </w:r>
          </w:p>
        </w:tc>
        <w:tc>
          <w:tcPr>
            <w:tcW w:w="0" w:type="auto"/>
          </w:tcPr>
          <w:p w:rsidR="00E55054" w:rsidRPr="00580BF9" w:rsidRDefault="00F01E9D" w:rsidP="00F01E9D">
            <w:pPr>
              <w:pStyle w:val="Tabletext"/>
            </w:pPr>
            <w:r>
              <w:t>Any</w:t>
            </w:r>
            <w:r w:rsidR="00EA22B8" w:rsidRPr="00EA22B8">
              <w:t xml:space="preserve"> supply</w:t>
            </w:r>
            <w:r>
              <w:t xml:space="preserve"> of</w:t>
            </w:r>
            <w:r w:rsidR="00EA22B8" w:rsidRPr="00EA22B8">
              <w:t xml:space="preserve"> </w:t>
            </w:r>
            <w:r w:rsidR="00E55054" w:rsidRPr="00580BF9">
              <w:t xml:space="preserve">energy in conjunction with, or ancillary to, </w:t>
            </w:r>
            <w:r w:rsidR="00E55054">
              <w:t xml:space="preserve">or to facilitate </w:t>
            </w:r>
            <w:r w:rsidR="00E55054" w:rsidRPr="00580BF9">
              <w:t>the provision of telecommunications services</w:t>
            </w:r>
            <w:r w:rsidR="00E55054">
              <w:t xml:space="preserve">. Includes internet, telephone, mobile phone, fibre optic, </w:t>
            </w:r>
            <w:proofErr w:type="gramStart"/>
            <w:r w:rsidR="00E55054">
              <w:t>hybrid</w:t>
            </w:r>
            <w:proofErr w:type="gramEnd"/>
            <w:r w:rsidR="00E55054">
              <w:t xml:space="preserve"> fibre cable, television, radio, Wi</w:t>
            </w:r>
            <w:r w:rsidR="00BF5F61">
              <w:t>–</w:t>
            </w:r>
            <w:r w:rsidR="00E55054">
              <w:t>Fi or other communications technology.</w:t>
            </w:r>
          </w:p>
        </w:tc>
      </w:tr>
      <w:tr w:rsidR="00E55054" w:rsidRPr="00AC35B7" w:rsidTr="00580BF9">
        <w:trPr>
          <w:cnfStyle w:val="000000010000" w:firstRow="0" w:lastRow="0" w:firstColumn="0" w:lastColumn="0" w:oddVBand="0" w:evenVBand="0" w:oddHBand="0" w:evenHBand="1" w:firstRowFirstColumn="0" w:firstRowLastColumn="0" w:lastRowFirstColumn="0" w:lastRowLastColumn="0"/>
        </w:trPr>
        <w:tc>
          <w:tcPr>
            <w:tcW w:w="0" w:type="auto"/>
          </w:tcPr>
          <w:p w:rsidR="00E55054" w:rsidRPr="00580BF9" w:rsidRDefault="00E55054" w:rsidP="00AC4D9A">
            <w:pPr>
              <w:pStyle w:val="Tabletext"/>
            </w:pPr>
            <w:r w:rsidRPr="00580BF9">
              <w:t>ND10</w:t>
            </w:r>
          </w:p>
        </w:tc>
        <w:tc>
          <w:tcPr>
            <w:tcW w:w="0" w:type="auto"/>
          </w:tcPr>
          <w:p w:rsidR="00E55054" w:rsidRPr="00580BF9" w:rsidRDefault="00E55054" w:rsidP="00623C38">
            <w:pPr>
              <w:pStyle w:val="Tabletext"/>
            </w:pPr>
            <w:r w:rsidRPr="00580BF9">
              <w:t xml:space="preserve">Government agencies, other than housing authorities, </w:t>
            </w:r>
            <w:r>
              <w:t xml:space="preserve">supplying </w:t>
            </w:r>
            <w:r w:rsidR="008B15ED">
              <w:t xml:space="preserve">metered or </w:t>
            </w:r>
            <w:r>
              <w:t>unmetered energy</w:t>
            </w:r>
            <w:r w:rsidRPr="00580BF9">
              <w:t xml:space="preserve"> to non</w:t>
            </w:r>
            <w:r w:rsidR="00BF5F61">
              <w:t>–</w:t>
            </w:r>
            <w:r w:rsidRPr="00580BF9">
              <w:t>residential customers</w:t>
            </w:r>
            <w:r>
              <w:t xml:space="preserve">. </w:t>
            </w:r>
            <w:r w:rsidR="00623C38">
              <w:t>I</w:t>
            </w:r>
            <w:r>
              <w:t>ncludes all public and private educational institutions</w:t>
            </w:r>
            <w:r w:rsidRPr="00580BF9">
              <w:t>.</w:t>
            </w:r>
          </w:p>
        </w:tc>
      </w:tr>
    </w:tbl>
    <w:p w:rsidR="00580BF9" w:rsidRDefault="00580BF9" w:rsidP="00970CF9">
      <w:pPr>
        <w:pStyle w:val="Note"/>
      </w:pPr>
      <w:r w:rsidRPr="00580BF9">
        <w:t>Notes:</w:t>
      </w:r>
      <w:r w:rsidRPr="00580BF9">
        <w:tab/>
        <w:t xml:space="preserve">Classes of exemption labelled ‘ND_’ are ‘network deemed’ classes. </w:t>
      </w:r>
      <w:r w:rsidR="001C002E" w:rsidRPr="001C002E">
        <w:t>For all classes</w:t>
      </w:r>
      <w:r w:rsidR="00AA28D0">
        <w:t>:</w:t>
      </w:r>
      <w:r w:rsidR="007A6D08">
        <w:t xml:space="preserve"> </w:t>
      </w:r>
      <w:r w:rsidR="001C002E" w:rsidRPr="001C002E">
        <w:t>the AER does not support the sale of unmetered energy to small customers</w:t>
      </w:r>
      <w:r w:rsidR="001E0592">
        <w:t xml:space="preserve"> </w:t>
      </w:r>
      <w:r w:rsidR="000723FF">
        <w:t>except that u</w:t>
      </w:r>
      <w:r w:rsidR="006D4C02">
        <w:t>nmetered sites within camping and caravan parks are permitted.</w:t>
      </w:r>
    </w:p>
    <w:p w:rsidR="00A84E0D" w:rsidRPr="00A84E0D" w:rsidRDefault="003A210C" w:rsidP="00A84E0D">
      <w:pPr>
        <w:pStyle w:val="Heading3"/>
      </w:pPr>
      <w:bookmarkStart w:id="52" w:name="_Toc466303899"/>
      <w:bookmarkStart w:id="53" w:name="_Toc468276076"/>
      <w:bookmarkEnd w:id="52"/>
      <w:r>
        <w:lastRenderedPageBreak/>
        <w:t>Deemed n</w:t>
      </w:r>
      <w:r w:rsidR="00A84E0D" w:rsidRPr="00A84E0D">
        <w:t>etwork specific situations</w:t>
      </w:r>
      <w:bookmarkEnd w:id="53"/>
    </w:p>
    <w:p w:rsidR="0049375A" w:rsidRDefault="00A84E0D" w:rsidP="00A84E0D">
      <w:r w:rsidRPr="00A84E0D">
        <w:t xml:space="preserve">The conditions specified in Part B of the </w:t>
      </w:r>
      <w:r w:rsidR="000E7EEA" w:rsidRPr="000E7EEA">
        <w:t xml:space="preserve">Network </w:t>
      </w:r>
      <w:r w:rsidRPr="00A84E0D">
        <w:t>Guideline</w:t>
      </w:r>
      <w:r w:rsidRPr="00A84E0D" w:rsidDel="008314B9">
        <w:t xml:space="preserve"> </w:t>
      </w:r>
      <w:r w:rsidRPr="00A84E0D">
        <w:t xml:space="preserve">apply to all deemed network specific exemption classes. </w:t>
      </w:r>
      <w:r w:rsidR="008C38FC">
        <w:t>In particular, t</w:t>
      </w:r>
      <w:r w:rsidRPr="00A84E0D">
        <w:t xml:space="preserve">he </w:t>
      </w:r>
      <w:r w:rsidR="00EC13D1">
        <w:t>'</w:t>
      </w:r>
      <w:r w:rsidR="008D54BF">
        <w:t xml:space="preserve">applicable </w:t>
      </w:r>
      <w:r w:rsidRPr="00A84E0D">
        <w:t>conditions</w:t>
      </w:r>
      <w:r w:rsidR="00EC13D1">
        <w:t>'</w:t>
      </w:r>
      <w:r w:rsidRPr="00A84E0D">
        <w:t xml:space="preserve"> </w:t>
      </w:r>
      <w:r w:rsidR="008D54BF">
        <w:t xml:space="preserve">listed in </w:t>
      </w:r>
      <w:r w:rsidRPr="00A84E0D">
        <w:t>table</w:t>
      </w:r>
      <w:r w:rsidR="008D54BF">
        <w:t xml:space="preserve"> </w:t>
      </w:r>
      <w:r w:rsidR="00291A70">
        <w:t xml:space="preserve">2 </w:t>
      </w:r>
      <w:r w:rsidR="00EC13D1">
        <w:t>corresponding to a deemed exemption class apply,</w:t>
      </w:r>
      <w:r w:rsidRPr="00A84E0D">
        <w:t xml:space="preserve"> as further modified by table 7.</w:t>
      </w:r>
    </w:p>
    <w:p w:rsidR="00A84E0D" w:rsidRPr="00A84E0D" w:rsidRDefault="00A84E0D" w:rsidP="00A84E0D">
      <w:pPr>
        <w:pStyle w:val="Caption"/>
      </w:pPr>
      <w:r w:rsidRPr="00A84E0D">
        <w:t xml:space="preserve">Table 2 </w:t>
      </w:r>
      <w:r w:rsidR="00BF5F61">
        <w:t>–</w:t>
      </w:r>
      <w:r w:rsidRPr="00A84E0D">
        <w:t xml:space="preserve"> Deemed classes of exemption </w:t>
      </w:r>
      <w:r w:rsidR="00BF5F61">
        <w:t>–</w:t>
      </w:r>
      <w:r w:rsidRPr="00A84E0D">
        <w:t xml:space="preserve"> other situations</w:t>
      </w:r>
    </w:p>
    <w:tbl>
      <w:tblPr>
        <w:tblStyle w:val="AERTable-Text"/>
        <w:tblW w:w="9020" w:type="dxa"/>
        <w:tblLook w:val="04A0" w:firstRow="1" w:lastRow="0" w:firstColumn="1" w:lastColumn="0" w:noHBand="0" w:noVBand="1"/>
      </w:tblPr>
      <w:tblGrid>
        <w:gridCol w:w="950"/>
        <w:gridCol w:w="3949"/>
        <w:gridCol w:w="79"/>
        <w:gridCol w:w="2338"/>
        <w:gridCol w:w="1704"/>
      </w:tblGrid>
      <w:tr w:rsidR="00A84E0D" w:rsidRPr="00AC35B7" w:rsidTr="009E66E6">
        <w:trPr>
          <w:cnfStyle w:val="100000000000" w:firstRow="1" w:lastRow="0" w:firstColumn="0" w:lastColumn="0" w:oddVBand="0" w:evenVBand="0" w:oddHBand="0" w:evenHBand="0" w:firstRowFirstColumn="0" w:firstRowLastColumn="0" w:lastRowFirstColumn="0" w:lastRowLastColumn="0"/>
        </w:trPr>
        <w:tc>
          <w:tcPr>
            <w:tcW w:w="0" w:type="auto"/>
          </w:tcPr>
          <w:p w:rsidR="00A84E0D" w:rsidRPr="00A84E0D" w:rsidRDefault="00A84E0D" w:rsidP="00E1378B">
            <w:r w:rsidRPr="00A84E0D">
              <w:t>Class</w:t>
            </w:r>
          </w:p>
        </w:tc>
        <w:tc>
          <w:tcPr>
            <w:tcW w:w="4074" w:type="dxa"/>
          </w:tcPr>
          <w:p w:rsidR="00A84E0D" w:rsidRPr="00A84E0D" w:rsidRDefault="00A84E0D" w:rsidP="00E1378B">
            <w:r w:rsidRPr="00A84E0D">
              <w:t>Activity</w:t>
            </w:r>
          </w:p>
        </w:tc>
        <w:tc>
          <w:tcPr>
            <w:tcW w:w="2462" w:type="dxa"/>
            <w:gridSpan w:val="2"/>
          </w:tcPr>
          <w:p w:rsidR="00A84E0D" w:rsidRPr="00A84E0D" w:rsidRDefault="00A84E0D" w:rsidP="00E1378B">
            <w:r w:rsidRPr="00A84E0D">
              <w:t>Deemed exemption applicable to:</w:t>
            </w:r>
          </w:p>
        </w:tc>
        <w:tc>
          <w:tcPr>
            <w:tcW w:w="1712" w:type="dxa"/>
          </w:tcPr>
          <w:p w:rsidR="00A84E0D" w:rsidRPr="00A84E0D" w:rsidRDefault="00A84E0D" w:rsidP="00E1378B">
            <w:r w:rsidRPr="00A84E0D">
              <w:t>Applicable Conditions:</w:t>
            </w:r>
          </w:p>
        </w:tc>
      </w:tr>
      <w:tr w:rsidR="00A84E0D" w:rsidRPr="00AC35B7" w:rsidTr="009E66E6">
        <w:tc>
          <w:tcPr>
            <w:tcW w:w="0" w:type="auto"/>
          </w:tcPr>
          <w:p w:rsidR="00A84E0D" w:rsidRPr="00A84E0D" w:rsidRDefault="00A84E0D" w:rsidP="009E66E6">
            <w:pPr>
              <w:pStyle w:val="Tabletext"/>
            </w:pPr>
            <w:r w:rsidRPr="00A84E0D">
              <w:t>NDO1</w:t>
            </w:r>
            <w:r w:rsidRPr="00A84E0D">
              <w:rPr>
                <w:rStyle w:val="FootnoteReference"/>
              </w:rPr>
              <w:footnoteReference w:id="21"/>
            </w:r>
          </w:p>
        </w:tc>
        <w:tc>
          <w:tcPr>
            <w:tcW w:w="4074" w:type="dxa"/>
          </w:tcPr>
          <w:p w:rsidR="00A84E0D" w:rsidRPr="00A84E0D" w:rsidRDefault="00A84E0D" w:rsidP="009E66E6">
            <w:pPr>
              <w:pStyle w:val="Tabletext"/>
            </w:pPr>
            <w:r w:rsidRPr="00A84E0D">
              <w:t>Off</w:t>
            </w:r>
            <w:r w:rsidR="00BF5F61">
              <w:t>–</w:t>
            </w:r>
            <w:r w:rsidRPr="00A84E0D">
              <w:t>market energy generation by equipment owned, operated or controlled by a third</w:t>
            </w:r>
            <w:r w:rsidR="00BF5F61">
              <w:t>–</w:t>
            </w:r>
            <w:r w:rsidRPr="00A84E0D">
              <w:t>party and connected to the NEM via a private electricity connection or equipment intended solely to provide emergency energy supply, or third</w:t>
            </w:r>
            <w:r w:rsidR="00BF5F61">
              <w:t>–</w:t>
            </w:r>
            <w:r w:rsidRPr="00A84E0D">
              <w:t xml:space="preserve">party </w:t>
            </w:r>
            <w:r w:rsidR="009E66E6">
              <w:t>renewable</w:t>
            </w:r>
            <w:r w:rsidRPr="00A84E0D">
              <w:t xml:space="preserve"> energy system providers </w:t>
            </w:r>
          </w:p>
        </w:tc>
        <w:tc>
          <w:tcPr>
            <w:tcW w:w="2462" w:type="dxa"/>
            <w:gridSpan w:val="2"/>
          </w:tcPr>
          <w:p w:rsidR="00A84E0D" w:rsidRPr="00A84E0D" w:rsidRDefault="00A84E0D" w:rsidP="00EC13D1">
            <w:pPr>
              <w:pStyle w:val="Tabletext"/>
            </w:pPr>
            <w:r w:rsidRPr="00A84E0D">
              <w:t xml:space="preserve">Energy generation </w:t>
            </w:r>
            <w:r w:rsidR="00EC13D1">
              <w:t xml:space="preserve">(including inverter) </w:t>
            </w:r>
            <w:r w:rsidR="00EC13D1" w:rsidRPr="00A84E0D">
              <w:t xml:space="preserve">installations </w:t>
            </w:r>
            <w:r w:rsidRPr="00A84E0D">
              <w:t>not intended to supply network support or demand management services to the NEM and not otherwise required to be registered with AEMO.</w:t>
            </w:r>
            <w:r w:rsidRPr="00A84E0D">
              <w:rPr>
                <w:rStyle w:val="FootnoteReference"/>
              </w:rPr>
              <w:footnoteReference w:id="22"/>
            </w:r>
          </w:p>
        </w:tc>
        <w:tc>
          <w:tcPr>
            <w:tcW w:w="1712" w:type="dxa"/>
          </w:tcPr>
          <w:p w:rsidR="00A84E0D" w:rsidRPr="00A84E0D" w:rsidRDefault="00A84E0D" w:rsidP="00222A1F">
            <w:pPr>
              <w:pStyle w:val="Tabletext"/>
            </w:pPr>
            <w:r w:rsidRPr="00A84E0D">
              <w:t>4.1, 4.2, 4.3, 4.5, 4.6</w:t>
            </w:r>
          </w:p>
        </w:tc>
      </w:tr>
      <w:tr w:rsidR="00A84E0D" w:rsidRPr="00AC35B7" w:rsidTr="009E66E6">
        <w:trPr>
          <w:cnfStyle w:val="000000010000" w:firstRow="0" w:lastRow="0" w:firstColumn="0" w:lastColumn="0" w:oddVBand="0" w:evenVBand="0" w:oddHBand="0" w:evenHBand="1" w:firstRowFirstColumn="0" w:firstRowLastColumn="0" w:lastRowFirstColumn="0" w:lastRowLastColumn="0"/>
        </w:trPr>
        <w:tc>
          <w:tcPr>
            <w:tcW w:w="0" w:type="auto"/>
          </w:tcPr>
          <w:p w:rsidR="00A84E0D" w:rsidRPr="00A84E0D" w:rsidRDefault="00A84E0D" w:rsidP="009E66E6">
            <w:pPr>
              <w:pStyle w:val="Tabletext"/>
            </w:pPr>
            <w:r w:rsidRPr="00A84E0D">
              <w:t>NDO2</w:t>
            </w:r>
          </w:p>
        </w:tc>
        <w:tc>
          <w:tcPr>
            <w:tcW w:w="4074" w:type="dxa"/>
          </w:tcPr>
          <w:p w:rsidR="00A84E0D" w:rsidRPr="00A84E0D" w:rsidRDefault="00A84E0D" w:rsidP="009E66E6">
            <w:pPr>
              <w:pStyle w:val="Tabletext"/>
            </w:pPr>
            <w:r w:rsidRPr="00A84E0D">
              <w:t>Sites broadcasting television and radio signals.</w:t>
            </w:r>
          </w:p>
        </w:tc>
        <w:tc>
          <w:tcPr>
            <w:tcW w:w="2462" w:type="dxa"/>
            <w:gridSpan w:val="2"/>
          </w:tcPr>
          <w:p w:rsidR="00A84E0D" w:rsidRPr="00A84E0D" w:rsidRDefault="00ED29B6" w:rsidP="009E66E6">
            <w:pPr>
              <w:pStyle w:val="Tabletext"/>
            </w:pPr>
            <w:r>
              <w:t>All s</w:t>
            </w:r>
            <w:r w:rsidR="009E66E6">
              <w:t>ituations.</w:t>
            </w:r>
          </w:p>
        </w:tc>
        <w:tc>
          <w:tcPr>
            <w:tcW w:w="1712" w:type="dxa"/>
          </w:tcPr>
          <w:p w:rsidR="00A84E0D" w:rsidRPr="00A84E0D" w:rsidRDefault="00A84E0D" w:rsidP="009E66E6">
            <w:pPr>
              <w:pStyle w:val="Tabletext"/>
            </w:pPr>
            <w:r w:rsidRPr="00A84E0D">
              <w:t>4.1, 4.5</w:t>
            </w:r>
          </w:p>
        </w:tc>
      </w:tr>
      <w:tr w:rsidR="00A84E0D" w:rsidRPr="00AC35B7" w:rsidTr="009E66E6">
        <w:tc>
          <w:tcPr>
            <w:tcW w:w="0" w:type="auto"/>
          </w:tcPr>
          <w:p w:rsidR="00A84E0D" w:rsidRPr="00A84E0D" w:rsidRDefault="00A84E0D" w:rsidP="009E66E6">
            <w:pPr>
              <w:pStyle w:val="Tabletext"/>
            </w:pPr>
            <w:r w:rsidRPr="00A84E0D">
              <w:t>NDO3</w:t>
            </w:r>
            <w:r w:rsidRPr="00A84E0D">
              <w:rPr>
                <w:rStyle w:val="FootnoteReference"/>
              </w:rPr>
              <w:footnoteReference w:id="23"/>
            </w:r>
          </w:p>
        </w:tc>
        <w:tc>
          <w:tcPr>
            <w:tcW w:w="4074" w:type="dxa"/>
          </w:tcPr>
          <w:p w:rsidR="00A84E0D" w:rsidRPr="00A84E0D" w:rsidRDefault="00A84E0D" w:rsidP="009E66E6">
            <w:pPr>
              <w:pStyle w:val="Tabletext"/>
            </w:pPr>
            <w:r w:rsidRPr="00A84E0D">
              <w:t>Electric vehicle charging station</w:t>
            </w:r>
            <w:r w:rsidR="00FE4E1F">
              <w:t>s</w:t>
            </w:r>
            <w:r w:rsidRPr="00A84E0D">
              <w:t xml:space="preserve"> within a private network (e.g. a privately owned charging station located in a public area, hotel, shopping centre, university, etc.)</w:t>
            </w:r>
          </w:p>
        </w:tc>
        <w:tc>
          <w:tcPr>
            <w:tcW w:w="2462" w:type="dxa"/>
            <w:gridSpan w:val="2"/>
          </w:tcPr>
          <w:p w:rsidR="00A84E0D" w:rsidRPr="00A84E0D" w:rsidRDefault="009E66E6" w:rsidP="00ED29B6">
            <w:pPr>
              <w:pStyle w:val="Tabletext"/>
            </w:pPr>
            <w:r>
              <w:t xml:space="preserve">All </w:t>
            </w:r>
            <w:r w:rsidR="00ED29B6">
              <w:t>s</w:t>
            </w:r>
            <w:r>
              <w:t>ituations.</w:t>
            </w:r>
          </w:p>
        </w:tc>
        <w:tc>
          <w:tcPr>
            <w:tcW w:w="1712" w:type="dxa"/>
          </w:tcPr>
          <w:p w:rsidR="00A84E0D" w:rsidRPr="00A84E0D" w:rsidRDefault="00A84E0D" w:rsidP="008C38FC">
            <w:pPr>
              <w:pStyle w:val="Tabletext"/>
            </w:pPr>
            <w:r w:rsidRPr="00A84E0D">
              <w:t>4.1, &amp; to the extent relevant: 4.2, 4.3, 4.4, 4.5</w:t>
            </w:r>
            <w:r w:rsidR="008C38FC">
              <w:t>,</w:t>
            </w:r>
            <w:r w:rsidRPr="00A84E0D">
              <w:t xml:space="preserve"> 4.6</w:t>
            </w:r>
            <w:r w:rsidR="008C38FC">
              <w:t xml:space="preserve"> &amp; 4.7</w:t>
            </w:r>
          </w:p>
        </w:tc>
      </w:tr>
      <w:tr w:rsidR="00A84E0D" w:rsidRPr="00AC35B7" w:rsidTr="009E66E6">
        <w:trPr>
          <w:cnfStyle w:val="000000010000" w:firstRow="0" w:lastRow="0" w:firstColumn="0" w:lastColumn="0" w:oddVBand="0" w:evenVBand="0" w:oddHBand="0" w:evenHBand="1" w:firstRowFirstColumn="0" w:firstRowLastColumn="0" w:lastRowFirstColumn="0" w:lastRowLastColumn="0"/>
        </w:trPr>
        <w:tc>
          <w:tcPr>
            <w:tcW w:w="0" w:type="auto"/>
          </w:tcPr>
          <w:p w:rsidR="00A84E0D" w:rsidRPr="00A84E0D" w:rsidRDefault="00A84E0D" w:rsidP="009E66E6">
            <w:pPr>
              <w:pStyle w:val="Tabletext"/>
            </w:pPr>
            <w:r w:rsidRPr="00A84E0D">
              <w:t>NDO4</w:t>
            </w:r>
          </w:p>
        </w:tc>
        <w:tc>
          <w:tcPr>
            <w:tcW w:w="4074" w:type="dxa"/>
          </w:tcPr>
          <w:p w:rsidR="00A84E0D" w:rsidRPr="00A84E0D" w:rsidRDefault="00A84E0D" w:rsidP="009E66E6">
            <w:pPr>
              <w:pStyle w:val="Tabletext"/>
            </w:pPr>
            <w:r w:rsidRPr="00A84E0D">
              <w:t>Temporary supply for the construction and commissioning phase of building, civil, construction industrial, transport, mining or other projects</w:t>
            </w:r>
          </w:p>
        </w:tc>
        <w:tc>
          <w:tcPr>
            <w:tcW w:w="2462" w:type="dxa"/>
            <w:gridSpan w:val="2"/>
          </w:tcPr>
          <w:p w:rsidR="00A84E0D" w:rsidRPr="00A84E0D" w:rsidRDefault="00A84E0D" w:rsidP="009E66E6">
            <w:pPr>
              <w:pStyle w:val="Tabletext"/>
            </w:pPr>
            <w:r w:rsidRPr="00A84E0D">
              <w:t>Incidental supply to facilitate bona fide construction and commissioning of new facilities on the same or an adjoining site</w:t>
            </w:r>
          </w:p>
        </w:tc>
        <w:tc>
          <w:tcPr>
            <w:tcW w:w="1712" w:type="dxa"/>
          </w:tcPr>
          <w:p w:rsidR="00A84E0D" w:rsidRPr="00A84E0D" w:rsidRDefault="00A84E0D" w:rsidP="008C38FC">
            <w:pPr>
              <w:pStyle w:val="Tabletext"/>
            </w:pPr>
            <w:r w:rsidRPr="00A84E0D">
              <w:t>4.1, &amp; to the extent relevant: 4.2, 4.3, 4.4, 4.5</w:t>
            </w:r>
            <w:r w:rsidR="008C38FC">
              <w:t>,</w:t>
            </w:r>
            <w:r w:rsidRPr="00A84E0D">
              <w:t xml:space="preserve"> 4.6</w:t>
            </w:r>
            <w:r w:rsidR="008C38FC">
              <w:t xml:space="preserve"> &amp; 4.7</w:t>
            </w:r>
          </w:p>
        </w:tc>
      </w:tr>
      <w:tr w:rsidR="00A84E0D" w:rsidRPr="00AC35B7" w:rsidTr="009E66E6">
        <w:tc>
          <w:tcPr>
            <w:tcW w:w="0" w:type="auto"/>
          </w:tcPr>
          <w:p w:rsidR="00A84E0D" w:rsidRPr="00A84E0D" w:rsidRDefault="00A84E0D" w:rsidP="009E66E6">
            <w:pPr>
              <w:pStyle w:val="Tabletext"/>
            </w:pPr>
            <w:r w:rsidRPr="00A84E0D">
              <w:t>NDO5</w:t>
            </w:r>
          </w:p>
        </w:tc>
        <w:tc>
          <w:tcPr>
            <w:tcW w:w="4074" w:type="dxa"/>
          </w:tcPr>
          <w:p w:rsidR="00A84E0D" w:rsidRPr="00A84E0D" w:rsidRDefault="00A84E0D" w:rsidP="009E66E6">
            <w:pPr>
              <w:pStyle w:val="Tabletext"/>
              <w:rPr>
                <w:highlight w:val="cyan"/>
              </w:rPr>
            </w:pPr>
            <w:r w:rsidRPr="00A84E0D">
              <w:t>Electric traction systems supplying passenger or freight vehicles and associated infrastructure (i.e. rail networks) but not including commercial and/or retail activities</w:t>
            </w:r>
          </w:p>
        </w:tc>
        <w:tc>
          <w:tcPr>
            <w:tcW w:w="2462" w:type="dxa"/>
            <w:gridSpan w:val="2"/>
          </w:tcPr>
          <w:p w:rsidR="00A84E0D" w:rsidRPr="00A84E0D" w:rsidRDefault="009E66E6" w:rsidP="00ED29B6">
            <w:pPr>
              <w:pStyle w:val="Tabletext"/>
            </w:pPr>
            <w:r>
              <w:t xml:space="preserve">All </w:t>
            </w:r>
            <w:r w:rsidR="00ED29B6">
              <w:t>s</w:t>
            </w:r>
            <w:r>
              <w:t>ituations.</w:t>
            </w:r>
          </w:p>
        </w:tc>
        <w:tc>
          <w:tcPr>
            <w:tcW w:w="1712" w:type="dxa"/>
          </w:tcPr>
          <w:p w:rsidR="00A84E0D" w:rsidRPr="00A84E0D" w:rsidRDefault="00A84E0D" w:rsidP="009E66E6">
            <w:pPr>
              <w:pStyle w:val="Tabletext"/>
            </w:pPr>
            <w:r w:rsidRPr="00A84E0D">
              <w:t>4.1</w:t>
            </w:r>
          </w:p>
        </w:tc>
      </w:tr>
      <w:tr w:rsidR="00A84E0D" w:rsidRPr="00AC35B7" w:rsidTr="009E66E6">
        <w:trPr>
          <w:cnfStyle w:val="000000010000" w:firstRow="0" w:lastRow="0" w:firstColumn="0" w:lastColumn="0" w:oddVBand="0" w:evenVBand="0" w:oddHBand="0" w:evenHBand="1" w:firstRowFirstColumn="0" w:firstRowLastColumn="0" w:lastRowFirstColumn="0" w:lastRowLastColumn="0"/>
        </w:trPr>
        <w:tc>
          <w:tcPr>
            <w:tcW w:w="0" w:type="auto"/>
          </w:tcPr>
          <w:p w:rsidR="00A84E0D" w:rsidRPr="00A84E0D" w:rsidRDefault="00A84E0D" w:rsidP="009E66E6">
            <w:pPr>
              <w:pStyle w:val="Tabletext"/>
            </w:pPr>
            <w:r w:rsidRPr="00A84E0D">
              <w:t>NDO6</w:t>
            </w:r>
          </w:p>
        </w:tc>
        <w:tc>
          <w:tcPr>
            <w:tcW w:w="4156" w:type="dxa"/>
            <w:gridSpan w:val="2"/>
          </w:tcPr>
          <w:p w:rsidR="00A84E0D" w:rsidRPr="00A84E0D" w:rsidRDefault="00A84E0D" w:rsidP="009E66E6">
            <w:pPr>
              <w:pStyle w:val="Tabletext"/>
            </w:pPr>
            <w:r w:rsidRPr="00A84E0D">
              <w:t>Large corporate entities</w:t>
            </w:r>
            <w:r w:rsidRPr="00A84E0D">
              <w:rPr>
                <w:rStyle w:val="FootnoteReference"/>
              </w:rPr>
              <w:footnoteReference w:id="24"/>
            </w:r>
          </w:p>
        </w:tc>
        <w:tc>
          <w:tcPr>
            <w:tcW w:w="2380" w:type="dxa"/>
          </w:tcPr>
          <w:p w:rsidR="00A84E0D" w:rsidRPr="00A84E0D" w:rsidRDefault="009E66E6" w:rsidP="00ED29B6">
            <w:pPr>
              <w:pStyle w:val="Tabletext"/>
            </w:pPr>
            <w:r w:rsidRPr="009E66E6">
              <w:t xml:space="preserve">All </w:t>
            </w:r>
            <w:r w:rsidR="00ED29B6">
              <w:t>s</w:t>
            </w:r>
            <w:r w:rsidRPr="009E66E6">
              <w:t>ituations.</w:t>
            </w:r>
          </w:p>
        </w:tc>
        <w:tc>
          <w:tcPr>
            <w:tcW w:w="1712" w:type="dxa"/>
          </w:tcPr>
          <w:p w:rsidR="00A84E0D" w:rsidRPr="00A84E0D" w:rsidRDefault="00A84E0D" w:rsidP="008C38FC">
            <w:pPr>
              <w:pStyle w:val="Tabletext"/>
            </w:pPr>
            <w:r w:rsidRPr="00A84E0D">
              <w:t xml:space="preserve">4.1, &amp; to the </w:t>
            </w:r>
            <w:r w:rsidRPr="00A84E0D">
              <w:lastRenderedPageBreak/>
              <w:t>extent relevant: 4.2, 4.3, 4.4,</w:t>
            </w:r>
            <w:r w:rsidR="008C38FC">
              <w:t xml:space="preserve"> 4.5, </w:t>
            </w:r>
            <w:r w:rsidRPr="00A84E0D">
              <w:t>4.6</w:t>
            </w:r>
            <w:r w:rsidR="008C38FC">
              <w:t xml:space="preserve"> &amp; 4.7</w:t>
            </w:r>
          </w:p>
        </w:tc>
      </w:tr>
      <w:tr w:rsidR="00A84E0D" w:rsidRPr="00AC35B7" w:rsidTr="009E66E6">
        <w:tc>
          <w:tcPr>
            <w:tcW w:w="0" w:type="auto"/>
          </w:tcPr>
          <w:p w:rsidR="00A84E0D" w:rsidRPr="00A84E0D" w:rsidRDefault="00A84E0D" w:rsidP="009E66E6">
            <w:pPr>
              <w:pStyle w:val="Tabletext"/>
            </w:pPr>
            <w:r w:rsidRPr="00A84E0D">
              <w:lastRenderedPageBreak/>
              <w:t>NDO7</w:t>
            </w:r>
          </w:p>
        </w:tc>
        <w:tc>
          <w:tcPr>
            <w:tcW w:w="4156" w:type="dxa"/>
            <w:gridSpan w:val="2"/>
          </w:tcPr>
          <w:p w:rsidR="00A84E0D" w:rsidRPr="00A84E0D" w:rsidRDefault="00A84E0D" w:rsidP="00441151">
            <w:pPr>
              <w:pStyle w:val="Tabletext"/>
            </w:pPr>
            <w:r w:rsidRPr="00A84E0D">
              <w:t>Residential, commercial and industrial sites where demand</w:t>
            </w:r>
            <w:r w:rsidR="00BF5F61">
              <w:t>–</w:t>
            </w:r>
            <w:r w:rsidRPr="00A84E0D">
              <w:t xml:space="preserve">side participation equipment and facilities </w:t>
            </w:r>
            <w:r w:rsidR="00441151">
              <w:t>are</w:t>
            </w:r>
            <w:r w:rsidRPr="00A84E0D">
              <w:t xml:space="preserve"> installed</w:t>
            </w:r>
            <w:r w:rsidR="00A942CC">
              <w:t xml:space="preserve"> (see footnote)</w:t>
            </w:r>
            <w:r w:rsidRPr="00A84E0D">
              <w:t>, including the owners and operators of the equipment and facilities</w:t>
            </w:r>
            <w:r w:rsidR="00130EF4">
              <w:t>.</w:t>
            </w:r>
            <w:r w:rsidR="00130EF4">
              <w:rPr>
                <w:rStyle w:val="FootnoteReference"/>
              </w:rPr>
              <w:footnoteReference w:id="25"/>
            </w:r>
          </w:p>
        </w:tc>
        <w:tc>
          <w:tcPr>
            <w:tcW w:w="2380" w:type="dxa"/>
          </w:tcPr>
          <w:p w:rsidR="00A84E0D" w:rsidRPr="00A84E0D" w:rsidRDefault="009E66E6" w:rsidP="00ED29B6">
            <w:pPr>
              <w:pStyle w:val="Tabletext"/>
            </w:pPr>
            <w:r>
              <w:t xml:space="preserve">All </w:t>
            </w:r>
            <w:r w:rsidR="00ED29B6">
              <w:t>s</w:t>
            </w:r>
            <w:r>
              <w:t>ituations.</w:t>
            </w:r>
          </w:p>
        </w:tc>
        <w:tc>
          <w:tcPr>
            <w:tcW w:w="1712" w:type="dxa"/>
          </w:tcPr>
          <w:p w:rsidR="00A84E0D" w:rsidRPr="00A84E0D" w:rsidRDefault="00A84E0D" w:rsidP="009E66E6">
            <w:pPr>
              <w:pStyle w:val="Tabletext"/>
            </w:pPr>
            <w:r w:rsidRPr="00A84E0D">
              <w:t>4.1, 4.2, 4.3, 4.5, 4.6</w:t>
            </w:r>
          </w:p>
        </w:tc>
      </w:tr>
    </w:tbl>
    <w:p w:rsidR="00A84E0D" w:rsidRDefault="00A84E0D" w:rsidP="009E66E6">
      <w:pPr>
        <w:pStyle w:val="Note"/>
      </w:pPr>
      <w:r w:rsidRPr="00A84E0D">
        <w:t xml:space="preserve">Notes: </w:t>
      </w:r>
      <w:r w:rsidRPr="00A84E0D">
        <w:tab/>
        <w:t>Classes of exemption labelled ‘NDO_’ are ‘network deemed other’ classes</w:t>
      </w:r>
      <w:r w:rsidR="009E66E6">
        <w:t xml:space="preserve">. </w:t>
      </w:r>
      <w:r w:rsidRPr="00A84E0D">
        <w:t xml:space="preserve">The supply of network services in accordance with a commercial agreement between private parties is permitted for each category listed in Table 2. </w:t>
      </w:r>
    </w:p>
    <w:p w:rsidR="009C3D26" w:rsidRDefault="009C3D26" w:rsidP="00463AA7">
      <w:pPr>
        <w:pStyle w:val="Heading3"/>
      </w:pPr>
      <w:bookmarkStart w:id="54" w:name="_Toc468276077"/>
      <w:r>
        <w:t>Using deemed exemptions</w:t>
      </w:r>
      <w:bookmarkEnd w:id="54"/>
    </w:p>
    <w:p w:rsidR="009C3D26" w:rsidRPr="009C3D26" w:rsidRDefault="009C3D26" w:rsidP="009C3D26">
      <w:r w:rsidRPr="009C3D26">
        <w:t xml:space="preserve">All deemed exemptions are subject to compliance with the activity class description set out in Tables 1 and 2, and the conditions 4.1 – 4.9, set out in Part B of the </w:t>
      </w:r>
      <w:r w:rsidR="000E7EEA" w:rsidRPr="000E7EEA">
        <w:t xml:space="preserve">Network </w:t>
      </w:r>
      <w:r w:rsidRPr="009C3D26">
        <w:t xml:space="preserve">Guideline. </w:t>
      </w:r>
    </w:p>
    <w:p w:rsidR="009C3D26" w:rsidRPr="009C3D26" w:rsidRDefault="009C3D26" w:rsidP="009C3D26">
      <w:r w:rsidRPr="009C3D26">
        <w:t>To use a deemed exemption:</w:t>
      </w:r>
    </w:p>
    <w:p w:rsidR="009C3D26" w:rsidRPr="009C3D26" w:rsidRDefault="009C3D26" w:rsidP="00A84E41">
      <w:pPr>
        <w:pStyle w:val="ListNumber"/>
        <w:numPr>
          <w:ilvl w:val="0"/>
          <w:numId w:val="50"/>
        </w:numPr>
      </w:pPr>
      <w:r w:rsidRPr="009C3D26">
        <w:t xml:space="preserve">Review the Activity description and match it to your situation. Note the Activity class. </w:t>
      </w:r>
    </w:p>
    <w:p w:rsidR="009C3D26" w:rsidRPr="009C3D26" w:rsidRDefault="009C3D26" w:rsidP="00ED5229">
      <w:pPr>
        <w:pStyle w:val="ListNumber"/>
      </w:pPr>
      <w:r w:rsidRPr="009C3D26">
        <w:t>Look up the Activity Class in table 6 or 7 (whichever applies). Identify which of the general conditions apply to your network and are relevant.</w:t>
      </w:r>
    </w:p>
    <w:p w:rsidR="009C3D26" w:rsidRPr="009C3D26" w:rsidRDefault="009C3D26" w:rsidP="00ED5229">
      <w:pPr>
        <w:pStyle w:val="ListNumber"/>
      </w:pPr>
      <w:r w:rsidRPr="009C3D26">
        <w:t>Read the relevant general conditions (which are numbered 4.1.1 to 4.1.12) that apply to your activity class.</w:t>
      </w:r>
    </w:p>
    <w:p w:rsidR="009C3D26" w:rsidRPr="009C3D26" w:rsidRDefault="009C3D26" w:rsidP="00ED5229">
      <w:pPr>
        <w:pStyle w:val="ListNumber"/>
      </w:pPr>
      <w:r w:rsidRPr="009C3D26">
        <w:t>Read specific conditions 4.2 through 4.9.</w:t>
      </w:r>
    </w:p>
    <w:p w:rsidR="009C3D26" w:rsidRDefault="009C3D26" w:rsidP="00ED5229">
      <w:pPr>
        <w:pStyle w:val="ListNumber"/>
      </w:pPr>
      <w:r w:rsidRPr="009C3D26">
        <w:t>Comply with all the applicable conditions.</w:t>
      </w:r>
      <w:r>
        <w:br w:type="page"/>
      </w:r>
    </w:p>
    <w:p w:rsidR="004B18EB" w:rsidRPr="004B18EB" w:rsidRDefault="004B18EB" w:rsidP="004B18EB">
      <w:pPr>
        <w:pStyle w:val="Heading2"/>
      </w:pPr>
      <w:bookmarkStart w:id="55" w:name="_Toc466303902"/>
      <w:bookmarkStart w:id="56" w:name="_Toc365299417"/>
      <w:bookmarkStart w:id="57" w:name="_Ref459379775"/>
      <w:bookmarkStart w:id="58" w:name="_Toc468276078"/>
      <w:bookmarkEnd w:id="55"/>
      <w:r w:rsidRPr="004B18EB">
        <w:lastRenderedPageBreak/>
        <w:t>Registrable exemption classes</w:t>
      </w:r>
      <w:bookmarkEnd w:id="56"/>
      <w:bookmarkEnd w:id="57"/>
      <w:bookmarkEnd w:id="58"/>
      <w:r w:rsidRPr="004B18EB">
        <w:t xml:space="preserve"> </w:t>
      </w:r>
    </w:p>
    <w:p w:rsidR="004A606D" w:rsidRDefault="004B18EB" w:rsidP="004B18EB">
      <w:r w:rsidRPr="004B18EB">
        <w:t xml:space="preserve">Tables 3 and 4 set out the classes of registrable exemption. More than one </w:t>
      </w:r>
      <w:r w:rsidR="004A606D" w:rsidRPr="004A606D">
        <w:t xml:space="preserve">activity class </w:t>
      </w:r>
      <w:r w:rsidRPr="004B18EB">
        <w:t xml:space="preserve">may apply. </w:t>
      </w:r>
      <w:proofErr w:type="gramStart"/>
      <w:r w:rsidRPr="004B18EB">
        <w:t xml:space="preserve">If so, when registering </w:t>
      </w:r>
      <w:r w:rsidR="004A606D">
        <w:t xml:space="preserve">select </w:t>
      </w:r>
      <w:r w:rsidRPr="004B18EB">
        <w:t xml:space="preserve">each relevant </w:t>
      </w:r>
      <w:r w:rsidR="004A606D" w:rsidRPr="004A606D">
        <w:t>activity class</w:t>
      </w:r>
      <w:r w:rsidRPr="004B18EB">
        <w:t>.</w:t>
      </w:r>
      <w:proofErr w:type="gramEnd"/>
      <w:r w:rsidRPr="004B18EB">
        <w:t xml:space="preserve"> </w:t>
      </w:r>
      <w:r>
        <w:t xml:space="preserve">You should also </w:t>
      </w:r>
      <w:r w:rsidR="004A606D" w:rsidRPr="004A606D">
        <w:t xml:space="preserve">select </w:t>
      </w:r>
      <w:r w:rsidR="004A606D">
        <w:t xml:space="preserve">the </w:t>
      </w:r>
      <w:r>
        <w:t>applicable deemed categories if any are relevant to your private network.</w:t>
      </w:r>
      <w:r w:rsidR="004A606D">
        <w:t xml:space="preserve"> </w:t>
      </w:r>
    </w:p>
    <w:p w:rsidR="004B18EB" w:rsidRPr="004B18EB" w:rsidRDefault="004A606D" w:rsidP="004A606D">
      <w:pPr>
        <w:pStyle w:val="Boxedtext"/>
      </w:pPr>
      <w:r>
        <w:t xml:space="preserve">As changed arrangements apply to access to retail competition, all registration applications which </w:t>
      </w:r>
      <w:r w:rsidR="001C6AC9">
        <w:t xml:space="preserve">previously </w:t>
      </w:r>
      <w:r>
        <w:t>involve</w:t>
      </w:r>
      <w:r w:rsidR="001C6AC9">
        <w:t>d</w:t>
      </w:r>
      <w:r>
        <w:t xml:space="preserve"> activity class NRO5 must </w:t>
      </w:r>
      <w:r w:rsidR="001C6AC9">
        <w:t>now</w:t>
      </w:r>
      <w:r>
        <w:t xml:space="preserve"> nominate every applicable activity class in table 3.</w:t>
      </w:r>
    </w:p>
    <w:p w:rsidR="003B6AE9" w:rsidRDefault="004B18EB" w:rsidP="004B18EB">
      <w:r w:rsidRPr="004B18EB">
        <w:t xml:space="preserve">The conditions set out in sections </w:t>
      </w:r>
      <w:r w:rsidRPr="004B18EB">
        <w:fldChar w:fldCharType="begin"/>
      </w:r>
      <w:r w:rsidRPr="004B18EB">
        <w:instrText xml:space="preserve"> REF  _Ref361906980 \h \r  \* MERGEFORMAT </w:instrText>
      </w:r>
      <w:r w:rsidRPr="004B18EB">
        <w:fldChar w:fldCharType="separate"/>
      </w:r>
      <w:r w:rsidR="00D30DD5">
        <w:t>4.1</w:t>
      </w:r>
      <w:r w:rsidRPr="004B18EB">
        <w:fldChar w:fldCharType="end"/>
      </w:r>
      <w:r w:rsidRPr="004B18EB">
        <w:t xml:space="preserve"> </w:t>
      </w:r>
      <w:r w:rsidR="00BF5F61">
        <w:t>–</w:t>
      </w:r>
      <w:r w:rsidR="00E0510F">
        <w:t xml:space="preserve"> </w:t>
      </w:r>
      <w:r w:rsidR="00E0510F">
        <w:fldChar w:fldCharType="begin"/>
      </w:r>
      <w:r w:rsidR="00E0510F">
        <w:instrText xml:space="preserve"> REF _Ref468362829 \r \h </w:instrText>
      </w:r>
      <w:r w:rsidR="00E0510F">
        <w:fldChar w:fldCharType="separate"/>
      </w:r>
      <w:r w:rsidR="00E0510F">
        <w:t>4.9</w:t>
      </w:r>
      <w:r w:rsidR="00E0510F">
        <w:fldChar w:fldCharType="end"/>
      </w:r>
      <w:r w:rsidR="00E0510F">
        <w:t xml:space="preserve"> </w:t>
      </w:r>
      <w:r w:rsidRPr="004B18EB">
        <w:t xml:space="preserve">of Part B of the </w:t>
      </w:r>
      <w:r w:rsidR="000E7EEA" w:rsidRPr="000E7EEA">
        <w:t xml:space="preserve">Network </w:t>
      </w:r>
      <w:r w:rsidRPr="004B18EB">
        <w:t>Guideline</w:t>
      </w:r>
      <w:r w:rsidRPr="004B18EB" w:rsidDel="008314B9">
        <w:t xml:space="preserve"> </w:t>
      </w:r>
      <w:r w:rsidRPr="004B18EB">
        <w:t xml:space="preserve">apply to all registrable exemptions, as </w:t>
      </w:r>
      <w:r w:rsidR="004A606D">
        <w:t>modified by table 8 or table 9.</w:t>
      </w:r>
    </w:p>
    <w:p w:rsidR="00AD1B6E" w:rsidRDefault="004B18EB" w:rsidP="0049375A">
      <w:r w:rsidRPr="004B18EB">
        <w:t>A</w:t>
      </w:r>
      <w:r>
        <w:t>ny</w:t>
      </w:r>
      <w:r w:rsidRPr="004B18EB">
        <w:t xml:space="preserve"> variation of these conditions requires </w:t>
      </w:r>
      <w:r>
        <w:t xml:space="preserve">AER approval under </w:t>
      </w:r>
      <w:r w:rsidRPr="004B18EB">
        <w:t xml:space="preserve">an individual exemption application made in accordance with sections </w:t>
      </w:r>
      <w:fldSimple w:instr=" REF _Ref361831288 \r  \* MERGEFORMAT ">
        <w:r w:rsidR="00D30DD5">
          <w:t>3.3</w:t>
        </w:r>
      </w:fldSimple>
      <w:r w:rsidRPr="004B18EB">
        <w:t xml:space="preserve"> and</w:t>
      </w:r>
      <w:r w:rsidR="003A210C">
        <w:t xml:space="preserve"> </w:t>
      </w:r>
      <w:r w:rsidR="003A210C">
        <w:fldChar w:fldCharType="begin"/>
      </w:r>
      <w:r w:rsidR="003A210C">
        <w:instrText xml:space="preserve"> REF _Ref361831452 \r \h </w:instrText>
      </w:r>
      <w:r w:rsidR="003A210C">
        <w:fldChar w:fldCharType="separate"/>
      </w:r>
      <w:r w:rsidR="00D30DD5">
        <w:t>5.3</w:t>
      </w:r>
      <w:r w:rsidR="003A210C">
        <w:fldChar w:fldCharType="end"/>
      </w:r>
      <w:r w:rsidRPr="004B18EB">
        <w:t xml:space="preserve">. </w:t>
      </w:r>
    </w:p>
    <w:p w:rsidR="004B18EB" w:rsidRPr="004B18EB" w:rsidRDefault="004B18EB" w:rsidP="004B18EB">
      <w:pPr>
        <w:pStyle w:val="Caption"/>
      </w:pPr>
      <w:r w:rsidRPr="004B18EB">
        <w:t xml:space="preserve">Table 3 </w:t>
      </w:r>
      <w:r w:rsidR="00BF5F61">
        <w:t>–</w:t>
      </w:r>
      <w:r w:rsidRPr="004B18EB">
        <w:t xml:space="preserve"> Registrable classes of exemption </w:t>
      </w:r>
      <w:r w:rsidR="00BF5F61">
        <w:t>–</w:t>
      </w:r>
      <w:r w:rsidRPr="004B18EB">
        <w:t xml:space="preserve"> energy </w:t>
      </w:r>
      <w:r w:rsidR="00F01E9D">
        <w:t>supply</w:t>
      </w:r>
      <w:r w:rsidR="00623C38">
        <w:rPr>
          <w:rStyle w:val="FootnoteReference"/>
        </w:rPr>
        <w:footnoteReference w:id="26"/>
      </w:r>
    </w:p>
    <w:tbl>
      <w:tblPr>
        <w:tblStyle w:val="AERTable-Text"/>
        <w:tblW w:w="0" w:type="auto"/>
        <w:tblLayout w:type="fixed"/>
        <w:tblLook w:val="04A0" w:firstRow="1" w:lastRow="0" w:firstColumn="1" w:lastColumn="0" w:noHBand="0" w:noVBand="1"/>
      </w:tblPr>
      <w:tblGrid>
        <w:gridCol w:w="864"/>
        <w:gridCol w:w="8175"/>
      </w:tblGrid>
      <w:tr w:rsidR="003B6AE9" w:rsidRPr="00AC35B7" w:rsidTr="003B6AE9">
        <w:trPr>
          <w:cnfStyle w:val="100000000000" w:firstRow="1" w:lastRow="0" w:firstColumn="0" w:lastColumn="0" w:oddVBand="0" w:evenVBand="0" w:oddHBand="0" w:evenHBand="0" w:firstRowFirstColumn="0" w:firstRowLastColumn="0" w:lastRowFirstColumn="0" w:lastRowLastColumn="0"/>
        </w:trPr>
        <w:tc>
          <w:tcPr>
            <w:tcW w:w="864" w:type="dxa"/>
          </w:tcPr>
          <w:p w:rsidR="003B6AE9" w:rsidRPr="004B18EB" w:rsidRDefault="003B6AE9" w:rsidP="00E1378B">
            <w:r w:rsidRPr="004B18EB">
              <w:t>Class</w:t>
            </w:r>
          </w:p>
        </w:tc>
        <w:tc>
          <w:tcPr>
            <w:tcW w:w="8175" w:type="dxa"/>
          </w:tcPr>
          <w:p w:rsidR="003B6AE9" w:rsidRPr="004B18EB" w:rsidRDefault="00623C38" w:rsidP="00623C38">
            <w:r w:rsidRPr="00744886">
              <w:t>Activity</w:t>
            </w:r>
          </w:p>
        </w:tc>
      </w:tr>
      <w:tr w:rsidR="003B6AE9" w:rsidRPr="00AC35B7" w:rsidTr="003B6AE9">
        <w:tc>
          <w:tcPr>
            <w:tcW w:w="864" w:type="dxa"/>
          </w:tcPr>
          <w:p w:rsidR="003B6AE9" w:rsidRPr="004B18EB" w:rsidRDefault="003B6AE9" w:rsidP="00E1378B">
            <w:r w:rsidRPr="004B18EB">
              <w:t>NR1</w:t>
            </w:r>
          </w:p>
        </w:tc>
        <w:tc>
          <w:tcPr>
            <w:tcW w:w="8175" w:type="dxa"/>
          </w:tcPr>
          <w:p w:rsidR="003B6AE9" w:rsidRPr="004B18EB" w:rsidRDefault="003B6AE9" w:rsidP="008B15ED">
            <w:pPr>
              <w:pStyle w:val="Tabletext"/>
            </w:pPr>
            <w:r w:rsidRPr="004B18EB">
              <w:t xml:space="preserve">Persons </w:t>
            </w:r>
            <w:r w:rsidR="004A606D">
              <w:t xml:space="preserve">supplying </w:t>
            </w:r>
            <w:r w:rsidR="008B15ED">
              <w:t xml:space="preserve">metered </w:t>
            </w:r>
            <w:r w:rsidR="00033656">
              <w:t xml:space="preserve">or unmetered </w:t>
            </w:r>
            <w:r w:rsidR="004A606D">
              <w:t xml:space="preserve">energy </w:t>
            </w:r>
            <w:r w:rsidRPr="004B18EB">
              <w:t xml:space="preserve">to ten or </w:t>
            </w:r>
            <w:proofErr w:type="gramStart"/>
            <w:r w:rsidRPr="004B18EB">
              <w:t>more small</w:t>
            </w:r>
            <w:proofErr w:type="gramEnd"/>
            <w:r w:rsidRPr="004B18EB">
              <w:t xml:space="preserve"> commercial/retail customers within the limits of a site that they own, occupy or operate.</w:t>
            </w:r>
            <w:r w:rsidR="000175F2">
              <w:t xml:space="preserve"> </w:t>
            </w:r>
            <w:r w:rsidR="000175F2" w:rsidRPr="000175F2">
              <w:t>Additionally, persons that have appointed an Embedded Network Manager who would otherwise meet the ND1 class activity description.</w:t>
            </w:r>
          </w:p>
        </w:tc>
      </w:tr>
      <w:tr w:rsidR="003B6AE9" w:rsidRPr="00AC35B7" w:rsidTr="003B6AE9">
        <w:trPr>
          <w:cnfStyle w:val="000000010000" w:firstRow="0" w:lastRow="0" w:firstColumn="0" w:lastColumn="0" w:oddVBand="0" w:evenVBand="0" w:oddHBand="0" w:evenHBand="1" w:firstRowFirstColumn="0" w:firstRowLastColumn="0" w:lastRowFirstColumn="0" w:lastRowLastColumn="0"/>
        </w:trPr>
        <w:tc>
          <w:tcPr>
            <w:tcW w:w="864" w:type="dxa"/>
          </w:tcPr>
          <w:p w:rsidR="003B6AE9" w:rsidRPr="004B18EB" w:rsidRDefault="003B6AE9" w:rsidP="00E1378B">
            <w:r w:rsidRPr="004B18EB">
              <w:t>NR2</w:t>
            </w:r>
          </w:p>
        </w:tc>
        <w:tc>
          <w:tcPr>
            <w:tcW w:w="8175" w:type="dxa"/>
          </w:tcPr>
          <w:p w:rsidR="003B6AE9" w:rsidRPr="004B18EB" w:rsidRDefault="003B6AE9" w:rsidP="000175F2">
            <w:pPr>
              <w:pStyle w:val="Tabletext"/>
            </w:pPr>
            <w:r w:rsidRPr="004B18EB">
              <w:t xml:space="preserve">Persons </w:t>
            </w:r>
            <w:r w:rsidR="00F01E9D">
              <w:t xml:space="preserve">supplying </w:t>
            </w:r>
            <w:r w:rsidR="008B15ED">
              <w:t xml:space="preserve">metered </w:t>
            </w:r>
            <w:r w:rsidR="00033656">
              <w:t xml:space="preserve">or unmetered </w:t>
            </w:r>
            <w:r w:rsidRPr="004B18EB">
              <w:t xml:space="preserve">energy to ten or more residential customers within the limits of a site that they </w:t>
            </w:r>
            <w:proofErr w:type="gramStart"/>
            <w:r w:rsidRPr="004B18EB">
              <w:t>own,</w:t>
            </w:r>
            <w:proofErr w:type="gramEnd"/>
            <w:r w:rsidRPr="004B18EB">
              <w:t xml:space="preserve"> occupy or operate.</w:t>
            </w:r>
            <w:r w:rsidR="000175F2">
              <w:t xml:space="preserve"> </w:t>
            </w:r>
            <w:r w:rsidR="000175F2" w:rsidRPr="000175F2">
              <w:t>Additionally, persons that have appointed an Embedded Network Manager who would otherwise meet the ND</w:t>
            </w:r>
            <w:r w:rsidR="000175F2">
              <w:t>2</w:t>
            </w:r>
            <w:r w:rsidR="000175F2" w:rsidRPr="000175F2">
              <w:t xml:space="preserve"> class activity description.</w:t>
            </w:r>
          </w:p>
        </w:tc>
      </w:tr>
      <w:tr w:rsidR="003B6AE9" w:rsidRPr="00AC35B7" w:rsidTr="003B6AE9">
        <w:tc>
          <w:tcPr>
            <w:tcW w:w="864" w:type="dxa"/>
          </w:tcPr>
          <w:p w:rsidR="003B6AE9" w:rsidRPr="004B18EB" w:rsidRDefault="003B6AE9" w:rsidP="00E1378B">
            <w:r w:rsidRPr="004B18EB">
              <w:t>NR3</w:t>
            </w:r>
          </w:p>
        </w:tc>
        <w:tc>
          <w:tcPr>
            <w:tcW w:w="8175" w:type="dxa"/>
          </w:tcPr>
          <w:p w:rsidR="003B6AE9" w:rsidRPr="004B18EB" w:rsidRDefault="003B6AE9" w:rsidP="008B15ED">
            <w:pPr>
              <w:pStyle w:val="Tabletext"/>
            </w:pPr>
            <w:r w:rsidRPr="004B18EB">
              <w:t xml:space="preserve">Retirement villages </w:t>
            </w:r>
            <w:r w:rsidR="00EE59D8" w:rsidRPr="00EE59D8">
              <w:t xml:space="preserve">supplying </w:t>
            </w:r>
            <w:r w:rsidR="008B15ED">
              <w:t xml:space="preserve">metered </w:t>
            </w:r>
            <w:r w:rsidR="00033656">
              <w:t xml:space="preserve">or unmetered </w:t>
            </w:r>
            <w:r w:rsidR="00EE59D8" w:rsidRPr="00EE59D8">
              <w:t xml:space="preserve">energy </w:t>
            </w:r>
            <w:r w:rsidRPr="004B18EB">
              <w:t xml:space="preserve">to residential customers within the limits of a site that they </w:t>
            </w:r>
            <w:proofErr w:type="gramStart"/>
            <w:r w:rsidRPr="004B18EB">
              <w:t>own,</w:t>
            </w:r>
            <w:proofErr w:type="gramEnd"/>
            <w:r w:rsidRPr="004B18EB">
              <w:t xml:space="preserve"> occupy or operate.</w:t>
            </w:r>
          </w:p>
        </w:tc>
      </w:tr>
      <w:tr w:rsidR="003B6AE9" w:rsidRPr="00AC35B7" w:rsidTr="003B6AE9">
        <w:trPr>
          <w:cnfStyle w:val="000000010000" w:firstRow="0" w:lastRow="0" w:firstColumn="0" w:lastColumn="0" w:oddVBand="0" w:evenVBand="0" w:oddHBand="0" w:evenHBand="1" w:firstRowFirstColumn="0" w:firstRowLastColumn="0" w:lastRowFirstColumn="0" w:lastRowLastColumn="0"/>
        </w:trPr>
        <w:tc>
          <w:tcPr>
            <w:tcW w:w="864" w:type="dxa"/>
          </w:tcPr>
          <w:p w:rsidR="003B6AE9" w:rsidRPr="004B18EB" w:rsidRDefault="003B6AE9" w:rsidP="00E1378B">
            <w:r w:rsidRPr="004B18EB">
              <w:t>NR4</w:t>
            </w:r>
          </w:p>
        </w:tc>
        <w:tc>
          <w:tcPr>
            <w:tcW w:w="8175" w:type="dxa"/>
          </w:tcPr>
          <w:p w:rsidR="003B6AE9" w:rsidRPr="004B18EB" w:rsidRDefault="003B6AE9" w:rsidP="008B15ED">
            <w:pPr>
              <w:pStyle w:val="Tabletext"/>
            </w:pPr>
            <w:r w:rsidRPr="004B18EB">
              <w:t xml:space="preserve">Persons </w:t>
            </w:r>
            <w:r w:rsidR="00EE59D8" w:rsidRPr="00EE59D8">
              <w:t xml:space="preserve">supplying </w:t>
            </w:r>
            <w:r w:rsidR="008B15ED">
              <w:t xml:space="preserve">metered </w:t>
            </w:r>
            <w:r w:rsidR="00033656">
              <w:t xml:space="preserve">or unmetered </w:t>
            </w:r>
            <w:r w:rsidR="00EE59D8" w:rsidRPr="00EE59D8">
              <w:t xml:space="preserve">energy </w:t>
            </w:r>
            <w:r w:rsidRPr="004B18EB">
              <w:t xml:space="preserve">in caravan parks, </w:t>
            </w:r>
            <w:r w:rsidR="00C83AD6">
              <w:t xml:space="preserve">holiday parks, </w:t>
            </w:r>
            <w:r w:rsidRPr="004B18EB">
              <w:t xml:space="preserve">residential </w:t>
            </w:r>
            <w:r w:rsidR="00C83AD6">
              <w:t xml:space="preserve">land lease </w:t>
            </w:r>
            <w:r w:rsidRPr="004B18EB">
              <w:t>parks and manufactured home estates to residents who principally reside there.</w:t>
            </w:r>
          </w:p>
        </w:tc>
      </w:tr>
      <w:tr w:rsidR="003B6AE9" w:rsidRPr="00AC35B7" w:rsidTr="003B6AE9">
        <w:tc>
          <w:tcPr>
            <w:tcW w:w="864" w:type="dxa"/>
          </w:tcPr>
          <w:p w:rsidR="003B6AE9" w:rsidRPr="004B18EB" w:rsidRDefault="003B6AE9" w:rsidP="00E1378B">
            <w:r w:rsidRPr="004B18EB">
              <w:t>NR5</w:t>
            </w:r>
          </w:p>
        </w:tc>
        <w:tc>
          <w:tcPr>
            <w:tcW w:w="8175" w:type="dxa"/>
          </w:tcPr>
          <w:p w:rsidR="003B6AE9" w:rsidRPr="004B18EB" w:rsidRDefault="003B6AE9" w:rsidP="001C002E">
            <w:pPr>
              <w:pStyle w:val="Tabletext"/>
            </w:pPr>
            <w:r w:rsidRPr="004B18EB">
              <w:t xml:space="preserve">Persons </w:t>
            </w:r>
            <w:r w:rsidR="00033656" w:rsidRPr="00033656">
              <w:t xml:space="preserve">supplying </w:t>
            </w:r>
            <w:r w:rsidR="00EA22B8" w:rsidRPr="00EA22B8">
              <w:t xml:space="preserve">metered </w:t>
            </w:r>
            <w:r w:rsidR="00F01E9D">
              <w:t xml:space="preserve">energy </w:t>
            </w:r>
            <w:r w:rsidRPr="004B18EB">
              <w:t>to large customers.</w:t>
            </w:r>
          </w:p>
        </w:tc>
      </w:tr>
      <w:tr w:rsidR="003B6AE9" w:rsidRPr="00AC35B7" w:rsidTr="003B6AE9">
        <w:trPr>
          <w:cnfStyle w:val="000000010000" w:firstRow="0" w:lastRow="0" w:firstColumn="0" w:lastColumn="0" w:oddVBand="0" w:evenVBand="0" w:oddHBand="0" w:evenHBand="1" w:firstRowFirstColumn="0" w:firstRowLastColumn="0" w:lastRowFirstColumn="0" w:lastRowLastColumn="0"/>
        </w:trPr>
        <w:tc>
          <w:tcPr>
            <w:tcW w:w="864" w:type="dxa"/>
          </w:tcPr>
          <w:p w:rsidR="003B6AE9" w:rsidRPr="004B18EB" w:rsidRDefault="003B6AE9" w:rsidP="00E1378B">
            <w:r w:rsidRPr="004B18EB">
              <w:t>NR6</w:t>
            </w:r>
          </w:p>
        </w:tc>
        <w:tc>
          <w:tcPr>
            <w:tcW w:w="8175" w:type="dxa"/>
          </w:tcPr>
          <w:p w:rsidR="003B6AE9" w:rsidRPr="004B18EB" w:rsidRDefault="003B6AE9" w:rsidP="00DB743A">
            <w:pPr>
              <w:pStyle w:val="Tabletext"/>
            </w:pPr>
            <w:r w:rsidRPr="004B18EB">
              <w:t xml:space="preserve">Persons </w:t>
            </w:r>
            <w:r w:rsidR="004A606D">
              <w:t xml:space="preserve">supplying </w:t>
            </w:r>
            <w:r w:rsidR="00DB743A">
              <w:t xml:space="preserve">metered </w:t>
            </w:r>
            <w:r w:rsidR="00033656">
              <w:t xml:space="preserve">or unmetered </w:t>
            </w:r>
            <w:r w:rsidR="004A606D">
              <w:t xml:space="preserve">energy </w:t>
            </w:r>
            <w:r w:rsidRPr="004B18EB">
              <w:t>to small customers at a site or premises adjacent</w:t>
            </w:r>
            <w:r w:rsidR="00A04D10">
              <w:rPr>
                <w:rStyle w:val="FootnoteReference"/>
              </w:rPr>
              <w:footnoteReference w:id="27"/>
            </w:r>
            <w:r w:rsidRPr="004B18EB">
              <w:t xml:space="preserve"> to a site that they own, occupy or operate.</w:t>
            </w:r>
          </w:p>
        </w:tc>
      </w:tr>
      <w:tr w:rsidR="003B6AE9" w:rsidRPr="00AC35B7" w:rsidTr="003B6AE9">
        <w:tc>
          <w:tcPr>
            <w:tcW w:w="864" w:type="dxa"/>
          </w:tcPr>
          <w:p w:rsidR="003B6AE9" w:rsidRPr="004B18EB" w:rsidRDefault="003B6AE9" w:rsidP="00E1378B">
            <w:r w:rsidRPr="004B18EB">
              <w:t>NR7</w:t>
            </w:r>
          </w:p>
        </w:tc>
        <w:tc>
          <w:tcPr>
            <w:tcW w:w="8175" w:type="dxa"/>
          </w:tcPr>
          <w:p w:rsidR="003B6AE9" w:rsidRPr="004B18EB" w:rsidRDefault="003B6AE9" w:rsidP="00DB743A">
            <w:pPr>
              <w:pStyle w:val="Tabletext"/>
            </w:pPr>
            <w:r w:rsidRPr="004B18EB">
              <w:t xml:space="preserve">Persons </w:t>
            </w:r>
            <w:r w:rsidR="00EA22B8">
              <w:t>supplying</w:t>
            </w:r>
            <w:r w:rsidRPr="004B18EB">
              <w:t xml:space="preserve"> unmetered energy to small commercial/retail customers at a site that they </w:t>
            </w:r>
            <w:proofErr w:type="gramStart"/>
            <w:r w:rsidRPr="004B18EB">
              <w:t>own,</w:t>
            </w:r>
            <w:proofErr w:type="gramEnd"/>
            <w:r w:rsidRPr="004B18EB">
              <w:t xml:space="preserve"> occupy or operate.</w:t>
            </w:r>
            <w:r w:rsidR="001C002E">
              <w:t xml:space="preserve"> (</w:t>
            </w:r>
            <w:r w:rsidR="001C002E" w:rsidRPr="00DC7719">
              <w:rPr>
                <w:rStyle w:val="Strong"/>
              </w:rPr>
              <w:t>Closed to new applicants</w:t>
            </w:r>
            <w:r w:rsidR="001C002E">
              <w:t>.)</w:t>
            </w:r>
          </w:p>
        </w:tc>
      </w:tr>
    </w:tbl>
    <w:p w:rsidR="004B18EB" w:rsidRPr="004B18EB" w:rsidRDefault="004B18EB" w:rsidP="00E1378B">
      <w:pPr>
        <w:pStyle w:val="Note"/>
      </w:pPr>
      <w:r w:rsidRPr="004B18EB">
        <w:t xml:space="preserve">Note: </w:t>
      </w:r>
      <w:r w:rsidRPr="004B18EB">
        <w:tab/>
        <w:t>Classes of exemption labelled ‘NR_’ are ‘network registrable’ classes.</w:t>
      </w:r>
    </w:p>
    <w:p w:rsidR="00FC6164" w:rsidRDefault="00516C78" w:rsidP="00620C6B">
      <w:pPr>
        <w:pStyle w:val="Note"/>
      </w:pPr>
      <w:r w:rsidRPr="00516C78">
        <w:t xml:space="preserve">Class NR7 excludes </w:t>
      </w:r>
      <w:r w:rsidR="000F0984">
        <w:t xml:space="preserve">private </w:t>
      </w:r>
      <w:r w:rsidRPr="00516C78">
        <w:t>networks in Queensland that are deemed exempt under Class ND6 in Table 1.</w:t>
      </w:r>
    </w:p>
    <w:p w:rsidR="00494E21" w:rsidRDefault="009C3D26" w:rsidP="00463AA7">
      <w:proofErr w:type="gramStart"/>
      <w:r w:rsidRPr="0075558A">
        <w:lastRenderedPageBreak/>
        <w:t xml:space="preserve">For </w:t>
      </w:r>
      <w:r w:rsidRPr="00463AA7">
        <w:t xml:space="preserve">all classes note that the AER does not </w:t>
      </w:r>
      <w:r>
        <w:t xml:space="preserve">generally </w:t>
      </w:r>
      <w:r w:rsidRPr="0075558A">
        <w:t>support the sale of unmetered energy to small customers.</w:t>
      </w:r>
      <w:proofErr w:type="gramEnd"/>
      <w:r w:rsidRPr="0075558A">
        <w:t xml:space="preserve"> </w:t>
      </w:r>
      <w:r w:rsidRPr="00463AA7">
        <w:t>We will only consider approving an individual exemption for unmetered selling in e</w:t>
      </w:r>
      <w:r w:rsidRPr="007F16B6">
        <w:t>xceptional circumstances, based</w:t>
      </w:r>
      <w:r w:rsidRPr="001E1614">
        <w:t xml:space="preserve"> on an application made in accordance with sections 3.3 and 5.3, however, unmetered sites within camping and caravan parks</w:t>
      </w:r>
      <w:r>
        <w:t xml:space="preserve"> and equivalent situations</w:t>
      </w:r>
      <w:r w:rsidRPr="0075558A">
        <w:t xml:space="preserve"> are permitted</w:t>
      </w:r>
      <w:r w:rsidRPr="00463AA7">
        <w:t>.</w:t>
      </w:r>
    </w:p>
    <w:p w:rsidR="00744886" w:rsidRPr="00744886" w:rsidRDefault="00744886" w:rsidP="00744886">
      <w:pPr>
        <w:pStyle w:val="Caption"/>
      </w:pPr>
      <w:r w:rsidRPr="00744886">
        <w:t xml:space="preserve">Table 4 </w:t>
      </w:r>
      <w:r w:rsidR="00BF5F61">
        <w:t>–</w:t>
      </w:r>
      <w:r w:rsidRPr="00744886">
        <w:t xml:space="preserve"> Registrable classes of exemption </w:t>
      </w:r>
      <w:r w:rsidR="00BF5F61">
        <w:t>–</w:t>
      </w:r>
      <w:r w:rsidRPr="00744886">
        <w:t xml:space="preserve"> other situations</w:t>
      </w:r>
    </w:p>
    <w:tbl>
      <w:tblPr>
        <w:tblStyle w:val="AERTable-Text"/>
        <w:tblW w:w="0" w:type="auto"/>
        <w:tblInd w:w="250" w:type="dxa"/>
        <w:tblLook w:val="04A0" w:firstRow="1" w:lastRow="0" w:firstColumn="1" w:lastColumn="0" w:noHBand="0" w:noVBand="1"/>
      </w:tblPr>
      <w:tblGrid>
        <w:gridCol w:w="950"/>
        <w:gridCol w:w="4570"/>
        <w:gridCol w:w="3250"/>
        <w:gridCol w:w="222"/>
      </w:tblGrid>
      <w:tr w:rsidR="000F0984" w:rsidRPr="00AC35B7" w:rsidTr="00744886">
        <w:trPr>
          <w:cnfStyle w:val="100000000000" w:firstRow="1" w:lastRow="0" w:firstColumn="0" w:lastColumn="0" w:oddVBand="0" w:evenVBand="0" w:oddHBand="0" w:evenHBand="0" w:firstRowFirstColumn="0" w:firstRowLastColumn="0" w:lastRowFirstColumn="0" w:lastRowLastColumn="0"/>
        </w:trPr>
        <w:tc>
          <w:tcPr>
            <w:tcW w:w="700" w:type="dxa"/>
          </w:tcPr>
          <w:p w:rsidR="00744886" w:rsidRPr="00744886" w:rsidRDefault="00744886" w:rsidP="00793504">
            <w:r w:rsidRPr="00744886">
              <w:t>Class</w:t>
            </w:r>
          </w:p>
        </w:tc>
        <w:tc>
          <w:tcPr>
            <w:tcW w:w="0" w:type="auto"/>
          </w:tcPr>
          <w:p w:rsidR="00744886" w:rsidRPr="00744886" w:rsidRDefault="00744886" w:rsidP="00793504">
            <w:r w:rsidRPr="00744886">
              <w:t>Activity</w:t>
            </w:r>
          </w:p>
        </w:tc>
        <w:tc>
          <w:tcPr>
            <w:tcW w:w="0" w:type="auto"/>
          </w:tcPr>
          <w:p w:rsidR="00744886" w:rsidRPr="00744886" w:rsidRDefault="00744886" w:rsidP="00793504">
            <w:r w:rsidRPr="00744886">
              <w:t>Registrable exemption</w:t>
            </w:r>
          </w:p>
        </w:tc>
        <w:tc>
          <w:tcPr>
            <w:tcW w:w="0" w:type="auto"/>
          </w:tcPr>
          <w:p w:rsidR="00744886" w:rsidRPr="00744886" w:rsidRDefault="00744886" w:rsidP="00793504"/>
        </w:tc>
      </w:tr>
      <w:tr w:rsidR="00744886" w:rsidRPr="00AC35B7" w:rsidTr="00744886">
        <w:tc>
          <w:tcPr>
            <w:tcW w:w="700" w:type="dxa"/>
          </w:tcPr>
          <w:p w:rsidR="00744886" w:rsidRPr="00744886" w:rsidRDefault="00744886" w:rsidP="00744886">
            <w:pPr>
              <w:pStyle w:val="Tabletext"/>
            </w:pPr>
            <w:r w:rsidRPr="00744886">
              <w:t>NRO1</w:t>
            </w:r>
            <w:r w:rsidRPr="00744886">
              <w:rPr>
                <w:rStyle w:val="FootnoteReference"/>
              </w:rPr>
              <w:footnoteReference w:id="28"/>
            </w:r>
          </w:p>
        </w:tc>
        <w:tc>
          <w:tcPr>
            <w:tcW w:w="0" w:type="auto"/>
          </w:tcPr>
          <w:p w:rsidR="00744886" w:rsidRPr="00744886" w:rsidRDefault="00744886" w:rsidP="003B6AE9">
            <w:pPr>
              <w:pStyle w:val="Tabletext"/>
            </w:pPr>
            <w:r w:rsidRPr="00744886">
              <w:t>Off</w:t>
            </w:r>
            <w:r w:rsidR="00BF5F61">
              <w:t>–</w:t>
            </w:r>
            <w:r w:rsidRPr="00744886">
              <w:t>market energy generation by equipment owned, operated or controlled by a third</w:t>
            </w:r>
            <w:r w:rsidR="00BF5F61">
              <w:t>–</w:t>
            </w:r>
            <w:r w:rsidRPr="00744886">
              <w:t>party and connected to the NEM via a private</w:t>
            </w:r>
            <w:r w:rsidR="000F0984">
              <w:t xml:space="preserve"> network</w:t>
            </w:r>
            <w:r w:rsidRPr="00744886">
              <w:t xml:space="preserve"> connection</w:t>
            </w:r>
          </w:p>
        </w:tc>
        <w:tc>
          <w:tcPr>
            <w:tcW w:w="0" w:type="auto"/>
          </w:tcPr>
          <w:p w:rsidR="00744886" w:rsidRPr="00744886" w:rsidRDefault="00744886" w:rsidP="00744886">
            <w:pPr>
              <w:pStyle w:val="Tabletext"/>
            </w:pPr>
            <w:r w:rsidRPr="00744886">
              <w:t xml:space="preserve">Energy generation </w:t>
            </w:r>
            <w:r>
              <w:t xml:space="preserve">(including inverter) </w:t>
            </w:r>
            <w:r w:rsidRPr="00744886">
              <w:t>installations intended to supply network support or demand management services to the NEM</w:t>
            </w:r>
          </w:p>
        </w:tc>
        <w:tc>
          <w:tcPr>
            <w:tcW w:w="0" w:type="auto"/>
          </w:tcPr>
          <w:p w:rsidR="00744886" w:rsidRPr="00744886" w:rsidRDefault="00744886" w:rsidP="00744886">
            <w:pPr>
              <w:pStyle w:val="Tabletext"/>
            </w:pPr>
          </w:p>
        </w:tc>
      </w:tr>
      <w:tr w:rsidR="000F0984" w:rsidRPr="00AC35B7" w:rsidTr="00744886">
        <w:trPr>
          <w:cnfStyle w:val="000000010000" w:firstRow="0" w:lastRow="0" w:firstColumn="0" w:lastColumn="0" w:oddVBand="0" w:evenVBand="0" w:oddHBand="0" w:evenHBand="1" w:firstRowFirstColumn="0" w:firstRowLastColumn="0" w:lastRowFirstColumn="0" w:lastRowLastColumn="0"/>
        </w:trPr>
        <w:tc>
          <w:tcPr>
            <w:tcW w:w="700" w:type="dxa"/>
          </w:tcPr>
          <w:p w:rsidR="00744886" w:rsidRPr="00744886" w:rsidRDefault="00744886" w:rsidP="00744886">
            <w:pPr>
              <w:pStyle w:val="Tabletext"/>
            </w:pPr>
            <w:r w:rsidRPr="00744886">
              <w:t>NRO2</w:t>
            </w:r>
            <w:r w:rsidRPr="00744886">
              <w:rPr>
                <w:rStyle w:val="FootnoteReference"/>
              </w:rPr>
              <w:footnoteReference w:id="29"/>
            </w:r>
          </w:p>
        </w:tc>
        <w:tc>
          <w:tcPr>
            <w:tcW w:w="0" w:type="auto"/>
          </w:tcPr>
          <w:p w:rsidR="00744886" w:rsidRPr="00744886" w:rsidRDefault="00744886" w:rsidP="003B6AE9">
            <w:pPr>
              <w:pStyle w:val="Tabletext"/>
            </w:pPr>
            <w:r w:rsidRPr="00744886">
              <w:t>On</w:t>
            </w:r>
            <w:r w:rsidR="00BF5F61">
              <w:t>–</w:t>
            </w:r>
            <w:r w:rsidRPr="00744886">
              <w:t>market energy generation by equipment owned, operated or controlled by a third</w:t>
            </w:r>
            <w:r w:rsidR="00BF5F61">
              <w:t>–</w:t>
            </w:r>
            <w:r w:rsidRPr="00744886">
              <w:t xml:space="preserve">party and connected to the NEM via a private </w:t>
            </w:r>
            <w:r w:rsidR="000F0984">
              <w:t xml:space="preserve">network </w:t>
            </w:r>
            <w:r w:rsidRPr="00744886">
              <w:t>connection</w:t>
            </w:r>
          </w:p>
        </w:tc>
        <w:tc>
          <w:tcPr>
            <w:tcW w:w="0" w:type="auto"/>
          </w:tcPr>
          <w:p w:rsidR="00744886" w:rsidRPr="00744886" w:rsidRDefault="00744886" w:rsidP="00744886">
            <w:pPr>
              <w:pStyle w:val="Tabletext"/>
            </w:pPr>
            <w:r w:rsidRPr="00744886">
              <w:t>Energy generation</w:t>
            </w:r>
            <w:r>
              <w:t xml:space="preserve"> (including inverter)</w:t>
            </w:r>
            <w:r w:rsidRPr="00744886">
              <w:t xml:space="preserve"> installations required to be registered with </w:t>
            </w:r>
            <w:r>
              <w:t xml:space="preserve">the </w:t>
            </w:r>
            <w:r w:rsidRPr="00744886">
              <w:t>AEMO under clause 2.5.2 of the NER</w:t>
            </w:r>
          </w:p>
        </w:tc>
        <w:tc>
          <w:tcPr>
            <w:tcW w:w="0" w:type="auto"/>
          </w:tcPr>
          <w:p w:rsidR="00744886" w:rsidRPr="00744886" w:rsidRDefault="00744886" w:rsidP="00744886">
            <w:pPr>
              <w:pStyle w:val="Tabletext"/>
            </w:pPr>
          </w:p>
        </w:tc>
      </w:tr>
      <w:tr w:rsidR="00744886" w:rsidRPr="00AC35B7" w:rsidTr="00744886">
        <w:tc>
          <w:tcPr>
            <w:tcW w:w="700" w:type="dxa"/>
          </w:tcPr>
          <w:p w:rsidR="00744886" w:rsidRPr="00744886" w:rsidRDefault="00744886" w:rsidP="00744886">
            <w:pPr>
              <w:pStyle w:val="Tabletext"/>
            </w:pPr>
            <w:r w:rsidRPr="00744886">
              <w:t>NRO3</w:t>
            </w:r>
          </w:p>
        </w:tc>
        <w:tc>
          <w:tcPr>
            <w:tcW w:w="0" w:type="auto"/>
          </w:tcPr>
          <w:p w:rsidR="00744886" w:rsidRPr="00744886" w:rsidRDefault="00744886" w:rsidP="00744886">
            <w:pPr>
              <w:pStyle w:val="Tabletext"/>
            </w:pPr>
            <w:r w:rsidRPr="00744886">
              <w:t>Ongoing supply to a mining or primary production facility and associated residential, commercial, industrial, processing and ancillary support facilities</w:t>
            </w:r>
            <w:r w:rsidRPr="00744886">
              <w:rPr>
                <w:rStyle w:val="FootnoteReference"/>
              </w:rPr>
              <w:footnoteReference w:id="30"/>
            </w:r>
            <w:r w:rsidRPr="00744886">
              <w:t xml:space="preserve"> in areas with restricted access to NEM supply</w:t>
            </w:r>
          </w:p>
        </w:tc>
        <w:tc>
          <w:tcPr>
            <w:tcW w:w="0" w:type="auto"/>
          </w:tcPr>
          <w:p w:rsidR="00744886" w:rsidRPr="00744886" w:rsidRDefault="00744886" w:rsidP="00744886">
            <w:pPr>
              <w:pStyle w:val="Tabletext"/>
            </w:pPr>
            <w:r w:rsidRPr="00744886">
              <w:t>All bona fide installations, subject to demonstrable circumstances of remoteness from existing NEM supply infrastructure</w:t>
            </w:r>
          </w:p>
        </w:tc>
        <w:tc>
          <w:tcPr>
            <w:tcW w:w="0" w:type="auto"/>
          </w:tcPr>
          <w:p w:rsidR="00744886" w:rsidRPr="00744886" w:rsidRDefault="00744886" w:rsidP="00744886">
            <w:pPr>
              <w:pStyle w:val="Tabletext"/>
            </w:pPr>
          </w:p>
        </w:tc>
      </w:tr>
      <w:tr w:rsidR="000F0984" w:rsidRPr="00AC35B7" w:rsidTr="00744886">
        <w:trPr>
          <w:cnfStyle w:val="000000010000" w:firstRow="0" w:lastRow="0" w:firstColumn="0" w:lastColumn="0" w:oddVBand="0" w:evenVBand="0" w:oddHBand="0" w:evenHBand="1" w:firstRowFirstColumn="0" w:firstRowLastColumn="0" w:lastRowFirstColumn="0" w:lastRowLastColumn="0"/>
        </w:trPr>
        <w:tc>
          <w:tcPr>
            <w:tcW w:w="700" w:type="dxa"/>
          </w:tcPr>
          <w:p w:rsidR="00744886" w:rsidRPr="00744886" w:rsidRDefault="00744886" w:rsidP="00744886">
            <w:pPr>
              <w:pStyle w:val="Tabletext"/>
            </w:pPr>
            <w:r w:rsidRPr="00744886">
              <w:t>NRO4</w:t>
            </w:r>
          </w:p>
        </w:tc>
        <w:tc>
          <w:tcPr>
            <w:tcW w:w="0" w:type="auto"/>
          </w:tcPr>
          <w:p w:rsidR="00744886" w:rsidRPr="00744886" w:rsidRDefault="00744886" w:rsidP="00E97A4B">
            <w:pPr>
              <w:pStyle w:val="Tabletext"/>
            </w:pPr>
            <w:r w:rsidRPr="00744886">
              <w:t>Industrial, commercial and ‘mixed</w:t>
            </w:r>
            <w:r w:rsidR="00BF5F61">
              <w:t>–</w:t>
            </w:r>
            <w:r w:rsidRPr="00744886">
              <w:t xml:space="preserve">use’ facilities but not including residential or energy generation activity. Includes the </w:t>
            </w:r>
            <w:r w:rsidR="00971C8B">
              <w:t xml:space="preserve">metered or </w:t>
            </w:r>
            <w:r w:rsidRPr="00744886">
              <w:t xml:space="preserve">unmetered supply of energy under an agreed commercial scheme </w:t>
            </w:r>
            <w:r w:rsidR="00971C8B">
              <w:t xml:space="preserve">negotiated with </w:t>
            </w:r>
            <w:r w:rsidRPr="00744886">
              <w:t>large customers.</w:t>
            </w:r>
          </w:p>
        </w:tc>
        <w:tc>
          <w:tcPr>
            <w:tcW w:w="0" w:type="auto"/>
          </w:tcPr>
          <w:p w:rsidR="00744886" w:rsidRPr="00744886" w:rsidRDefault="00744886" w:rsidP="00744886">
            <w:pPr>
              <w:pStyle w:val="Tabletext"/>
            </w:pPr>
            <w:r w:rsidRPr="00744886">
              <w:t>All installations</w:t>
            </w:r>
          </w:p>
        </w:tc>
        <w:tc>
          <w:tcPr>
            <w:tcW w:w="0" w:type="auto"/>
          </w:tcPr>
          <w:p w:rsidR="00744886" w:rsidRPr="00744886" w:rsidRDefault="00744886" w:rsidP="00744886">
            <w:pPr>
              <w:pStyle w:val="Tabletext"/>
            </w:pPr>
          </w:p>
        </w:tc>
      </w:tr>
      <w:tr w:rsidR="00744886" w:rsidRPr="00AC35B7" w:rsidTr="00744886">
        <w:tc>
          <w:tcPr>
            <w:tcW w:w="700" w:type="dxa"/>
          </w:tcPr>
          <w:p w:rsidR="00744886" w:rsidRPr="00744886" w:rsidRDefault="00744886" w:rsidP="00744886">
            <w:pPr>
              <w:pStyle w:val="Tabletext"/>
            </w:pPr>
            <w:r w:rsidRPr="00744886">
              <w:t>NRO5</w:t>
            </w:r>
          </w:p>
        </w:tc>
        <w:tc>
          <w:tcPr>
            <w:tcW w:w="0" w:type="auto"/>
          </w:tcPr>
          <w:p w:rsidR="00744886" w:rsidRPr="00744886" w:rsidRDefault="00744886" w:rsidP="00744886">
            <w:pPr>
              <w:pStyle w:val="Tabletext"/>
            </w:pPr>
            <w:r w:rsidRPr="00744886">
              <w:t>Metered energy selling to customers in networks with metering infrastructure enabling access to full retail competition in a jurisdiction</w:t>
            </w:r>
            <w:r w:rsidRPr="00744886">
              <w:rPr>
                <w:rStyle w:val="FootnoteReference"/>
              </w:rPr>
              <w:footnoteReference w:id="31"/>
            </w:r>
          </w:p>
        </w:tc>
        <w:tc>
          <w:tcPr>
            <w:tcW w:w="0" w:type="auto"/>
          </w:tcPr>
          <w:p w:rsidR="00744886" w:rsidRPr="00DC7719" w:rsidRDefault="001C6AC9" w:rsidP="004632D1">
            <w:pPr>
              <w:pStyle w:val="Tabletext"/>
              <w:rPr>
                <w:rStyle w:val="Strong"/>
              </w:rPr>
            </w:pPr>
            <w:r w:rsidRPr="00DC7719">
              <w:rPr>
                <w:rStyle w:val="Strong"/>
              </w:rPr>
              <w:t>Closed</w:t>
            </w:r>
            <w:r w:rsidR="004632D1">
              <w:rPr>
                <w:rStyle w:val="Strong"/>
              </w:rPr>
              <w:t xml:space="preserve"> to new applications</w:t>
            </w:r>
            <w:r w:rsidRPr="00DC7719">
              <w:rPr>
                <w:rStyle w:val="Strong"/>
              </w:rPr>
              <w:t>. Replace with activity class from table 1 or table 3.</w:t>
            </w:r>
          </w:p>
        </w:tc>
        <w:tc>
          <w:tcPr>
            <w:tcW w:w="0" w:type="auto"/>
          </w:tcPr>
          <w:p w:rsidR="00744886" w:rsidRPr="00744886" w:rsidRDefault="00744886" w:rsidP="00744886">
            <w:pPr>
              <w:pStyle w:val="Tabletext"/>
            </w:pPr>
          </w:p>
        </w:tc>
      </w:tr>
    </w:tbl>
    <w:p w:rsidR="00285EF4" w:rsidRDefault="00744886" w:rsidP="00463AA7">
      <w:pPr>
        <w:pStyle w:val="Note"/>
      </w:pPr>
      <w:r w:rsidRPr="00744886">
        <w:t xml:space="preserve">Note: </w:t>
      </w:r>
      <w:r w:rsidRPr="00744886">
        <w:tab/>
        <w:t>Classes of exemption labelled ‘NRO_’ are ‘network registrable other’ classes</w:t>
      </w:r>
      <w:r w:rsidR="00285EF4">
        <w:t>.</w:t>
      </w:r>
    </w:p>
    <w:p w:rsidR="00744886" w:rsidRDefault="00285EF4" w:rsidP="00744886">
      <w:r>
        <w:lastRenderedPageBreak/>
        <w:t>E</w:t>
      </w:r>
      <w:r w:rsidRPr="00744886">
        <w:t xml:space="preserve">xcept </w:t>
      </w:r>
      <w:r>
        <w:t xml:space="preserve">for </w:t>
      </w:r>
      <w:r w:rsidRPr="00744886">
        <w:t>class NRO5</w:t>
      </w:r>
      <w:r>
        <w:t>, t</w:t>
      </w:r>
      <w:r w:rsidR="00744886" w:rsidRPr="00744886">
        <w:t xml:space="preserve">he supply of network services in accordance with a </w:t>
      </w:r>
      <w:r>
        <w:t xml:space="preserve">mutually agreed </w:t>
      </w:r>
      <w:r w:rsidR="00744886" w:rsidRPr="00744886">
        <w:t>commercial agreement between private parties is permitted for each class listed in Table 4</w:t>
      </w:r>
      <w:r w:rsidR="007A6D08">
        <w:t xml:space="preserve"> - </w:t>
      </w:r>
      <w:r w:rsidR="00494E21">
        <w:t xml:space="preserve">see charge group C in section </w:t>
      </w:r>
      <w:r w:rsidR="00494E21">
        <w:fldChar w:fldCharType="begin"/>
      </w:r>
      <w:r w:rsidR="00494E21">
        <w:instrText xml:space="preserve"> REF _Ref466300659 \r \h </w:instrText>
      </w:r>
      <w:r w:rsidR="00494E21">
        <w:fldChar w:fldCharType="separate"/>
      </w:r>
      <w:r w:rsidR="00494E21">
        <w:t>4.6.1.3</w:t>
      </w:r>
      <w:r w:rsidR="00494E21">
        <w:fldChar w:fldCharType="end"/>
      </w:r>
      <w:r w:rsidR="00744886" w:rsidRPr="00744886">
        <w:t>.</w:t>
      </w:r>
    </w:p>
    <w:p w:rsidR="00744886" w:rsidRPr="00744886" w:rsidRDefault="00744886" w:rsidP="00744886">
      <w:pPr>
        <w:pStyle w:val="Heading2"/>
      </w:pPr>
      <w:bookmarkStart w:id="59" w:name="_Toc466303904"/>
      <w:bookmarkStart w:id="60" w:name="_Ref361831288"/>
      <w:bookmarkStart w:id="61" w:name="_Ref361831397"/>
      <w:bookmarkStart w:id="62" w:name="_Toc365299418"/>
      <w:bookmarkStart w:id="63" w:name="_Toc468276079"/>
      <w:bookmarkEnd w:id="59"/>
      <w:r w:rsidRPr="00744886">
        <w:t>Individual exemption</w:t>
      </w:r>
      <w:bookmarkEnd w:id="60"/>
      <w:bookmarkEnd w:id="61"/>
      <w:bookmarkEnd w:id="62"/>
      <w:bookmarkEnd w:id="63"/>
      <w:r w:rsidRPr="00744886">
        <w:t xml:space="preserve"> </w:t>
      </w:r>
    </w:p>
    <w:p w:rsidR="00744886" w:rsidRDefault="00744886" w:rsidP="00744886">
      <w:r w:rsidRPr="00744886">
        <w:t xml:space="preserve">Class NRI in Table 5 refers to network exemptions specific to the circumstances of the applicant. This </w:t>
      </w:r>
      <w:r w:rsidR="00285EF4">
        <w:t xml:space="preserve">class </w:t>
      </w:r>
      <w:r w:rsidRPr="00744886">
        <w:t xml:space="preserve">will apply in circumstances where an applicant is unable to conform to all of the conditions applicable to any relevant class of registrable exemption or where no class exists which covers the activities for which the applicant seeks exemption. </w:t>
      </w:r>
    </w:p>
    <w:p w:rsidR="00A026BC" w:rsidRDefault="00A026BC" w:rsidP="00A026BC">
      <w:r>
        <w:t>C</w:t>
      </w:r>
      <w:r w:rsidRPr="008E440D">
        <w:t xml:space="preserve">onditions 4.1 – 4.9 of Part B of the </w:t>
      </w:r>
      <w:r w:rsidR="000E7EEA" w:rsidRPr="000E7EEA">
        <w:t xml:space="preserve">Network </w:t>
      </w:r>
      <w:r w:rsidRPr="008E440D">
        <w:t xml:space="preserve">Guideline apply to all individual network exemptions unless specifically varied by a decision of the AER. Where an application for an individual network exemption or for a variation of conditions is required, it must be made in the form set out in section 5.3 in Part C of this </w:t>
      </w:r>
      <w:r w:rsidR="000E7EEA" w:rsidRPr="000E7EEA">
        <w:t xml:space="preserve">Network </w:t>
      </w:r>
      <w:r w:rsidRPr="008E440D">
        <w:t xml:space="preserve">Guideline. </w:t>
      </w:r>
    </w:p>
    <w:p w:rsidR="00744886" w:rsidRPr="00744886" w:rsidRDefault="00744886" w:rsidP="00744886">
      <w:pPr>
        <w:pStyle w:val="Caption"/>
      </w:pPr>
      <w:r w:rsidRPr="00744886">
        <w:t xml:space="preserve">Table 5 </w:t>
      </w:r>
      <w:r w:rsidR="00BF5F61">
        <w:t>–</w:t>
      </w:r>
      <w:r w:rsidRPr="00744886">
        <w:t xml:space="preserve"> Individual network exemption class </w:t>
      </w:r>
    </w:p>
    <w:tbl>
      <w:tblPr>
        <w:tblStyle w:val="AERTable-Text"/>
        <w:tblW w:w="0" w:type="auto"/>
        <w:tblLook w:val="04A0" w:firstRow="1" w:lastRow="0" w:firstColumn="1" w:lastColumn="0" w:noHBand="0" w:noVBand="1"/>
      </w:tblPr>
      <w:tblGrid>
        <w:gridCol w:w="857"/>
        <w:gridCol w:w="3228"/>
        <w:gridCol w:w="2175"/>
        <w:gridCol w:w="2982"/>
      </w:tblGrid>
      <w:tr w:rsidR="00744886" w:rsidRPr="00AC35B7" w:rsidTr="00744886">
        <w:trPr>
          <w:cnfStyle w:val="100000000000" w:firstRow="1" w:lastRow="0" w:firstColumn="0" w:lastColumn="0" w:oddVBand="0" w:evenVBand="0" w:oddHBand="0" w:evenHBand="0" w:firstRowFirstColumn="0" w:firstRowLastColumn="0" w:lastRowFirstColumn="0" w:lastRowLastColumn="0"/>
        </w:trPr>
        <w:tc>
          <w:tcPr>
            <w:tcW w:w="0" w:type="auto"/>
          </w:tcPr>
          <w:p w:rsidR="00744886" w:rsidRPr="00744886" w:rsidRDefault="00744886" w:rsidP="00744886">
            <w:pPr>
              <w:pStyle w:val="TableHeading"/>
            </w:pPr>
            <w:r w:rsidRPr="00744886">
              <w:t>Class</w:t>
            </w:r>
          </w:p>
        </w:tc>
        <w:tc>
          <w:tcPr>
            <w:tcW w:w="0" w:type="auto"/>
          </w:tcPr>
          <w:p w:rsidR="00744886" w:rsidRPr="00744886" w:rsidRDefault="00744886" w:rsidP="00744886">
            <w:pPr>
              <w:pStyle w:val="TableHeading"/>
            </w:pPr>
            <w:r w:rsidRPr="00744886">
              <w:t>Activity</w:t>
            </w:r>
          </w:p>
        </w:tc>
        <w:tc>
          <w:tcPr>
            <w:tcW w:w="0" w:type="auto"/>
          </w:tcPr>
          <w:p w:rsidR="00744886" w:rsidRPr="00744886" w:rsidRDefault="00744886" w:rsidP="00744886">
            <w:pPr>
              <w:pStyle w:val="TableHeading"/>
            </w:pPr>
            <w:r w:rsidRPr="00744886">
              <w:t>Registrable exemption</w:t>
            </w:r>
          </w:p>
        </w:tc>
        <w:tc>
          <w:tcPr>
            <w:tcW w:w="0" w:type="auto"/>
          </w:tcPr>
          <w:p w:rsidR="00744886" w:rsidRPr="00744886" w:rsidRDefault="00744886" w:rsidP="00744886">
            <w:pPr>
              <w:pStyle w:val="TableHeading"/>
            </w:pPr>
            <w:r w:rsidRPr="00744886">
              <w:t>Application for individual exemption</w:t>
            </w:r>
          </w:p>
        </w:tc>
      </w:tr>
      <w:tr w:rsidR="00744886" w:rsidRPr="00AC35B7" w:rsidTr="00744886">
        <w:tc>
          <w:tcPr>
            <w:tcW w:w="0" w:type="auto"/>
          </w:tcPr>
          <w:p w:rsidR="00744886" w:rsidRPr="00744886" w:rsidRDefault="00744886" w:rsidP="00744886">
            <w:pPr>
              <w:pStyle w:val="Tabletext"/>
            </w:pPr>
            <w:r w:rsidRPr="00744886">
              <w:t>NRI</w:t>
            </w:r>
          </w:p>
        </w:tc>
        <w:tc>
          <w:tcPr>
            <w:tcW w:w="0" w:type="auto"/>
          </w:tcPr>
          <w:p w:rsidR="00744886" w:rsidRPr="00744886" w:rsidRDefault="00744886" w:rsidP="00744886">
            <w:pPr>
              <w:pStyle w:val="Tabletext"/>
            </w:pPr>
            <w:r w:rsidRPr="00744886">
              <w:t>Specific exemption of a network not otherwise described</w:t>
            </w:r>
          </w:p>
        </w:tc>
        <w:tc>
          <w:tcPr>
            <w:tcW w:w="0" w:type="auto"/>
          </w:tcPr>
          <w:p w:rsidR="00744886" w:rsidRPr="00744886" w:rsidRDefault="00744886" w:rsidP="00744886">
            <w:pPr>
              <w:pStyle w:val="Tabletext"/>
            </w:pPr>
            <w:r w:rsidRPr="00744886">
              <w:t>All approved applications</w:t>
            </w:r>
          </w:p>
        </w:tc>
        <w:tc>
          <w:tcPr>
            <w:tcW w:w="0" w:type="auto"/>
          </w:tcPr>
          <w:p w:rsidR="00744886" w:rsidRPr="00744886" w:rsidRDefault="00744886" w:rsidP="00744886">
            <w:pPr>
              <w:pStyle w:val="Tabletext"/>
            </w:pPr>
            <w:r w:rsidRPr="00744886">
              <w:t>Detailed application required</w:t>
            </w:r>
          </w:p>
        </w:tc>
      </w:tr>
    </w:tbl>
    <w:p w:rsidR="00744886" w:rsidRDefault="00744886" w:rsidP="00463AA7">
      <w:pPr>
        <w:pStyle w:val="Note"/>
      </w:pPr>
      <w:r w:rsidRPr="00744886">
        <w:t xml:space="preserve">Note: </w:t>
      </w:r>
      <w:r w:rsidRPr="00744886">
        <w:tab/>
        <w:t>Exemption class ‘NRI’ is ‘network registrable i</w:t>
      </w:r>
      <w:r>
        <w:t>ndividual’ exemption.</w:t>
      </w:r>
    </w:p>
    <w:p w:rsidR="00B84568" w:rsidRDefault="00B84568" w:rsidP="00944882">
      <w:pPr>
        <w:pStyle w:val="Boxedtext"/>
      </w:pPr>
      <w:r w:rsidRPr="00B84568">
        <w:t>We prefer, wherever it is practicable, to convert individual network exemptions to registrable exemptions. We recommend you contact the AER and discuss your situation at the earliest opportunity before proceeding to lodge an application.</w:t>
      </w:r>
    </w:p>
    <w:p w:rsidR="00805F4F" w:rsidRDefault="00A31F4D" w:rsidP="00805F4F">
      <w:r w:rsidRPr="006819BE">
        <w:t xml:space="preserve">The AER decision on an individual </w:t>
      </w:r>
      <w:r w:rsidR="00944882">
        <w:t xml:space="preserve">network </w:t>
      </w:r>
      <w:r w:rsidRPr="006819BE">
        <w:t>exemption may nominate some, or all</w:t>
      </w:r>
      <w:r w:rsidR="00AD1B6E">
        <w:t>,</w:t>
      </w:r>
      <w:r w:rsidRPr="006819BE">
        <w:t xml:space="preserve"> of the </w:t>
      </w:r>
      <w:r w:rsidR="00AD1B6E">
        <w:t xml:space="preserve">general and specific </w:t>
      </w:r>
      <w:r w:rsidRPr="006819BE">
        <w:t>conditions apply</w:t>
      </w:r>
      <w:r w:rsidR="00944882">
        <w:t xml:space="preserve"> or that different conditions apply</w:t>
      </w:r>
      <w:r w:rsidRPr="006819BE">
        <w:t xml:space="preserve">. The default position is that all the conditions </w:t>
      </w:r>
      <w:r w:rsidR="006C5178">
        <w:t xml:space="preserve">listed in </w:t>
      </w:r>
      <w:r w:rsidR="00944882">
        <w:t xml:space="preserve">Part B </w:t>
      </w:r>
      <w:r w:rsidRPr="006819BE">
        <w:t>apply</w:t>
      </w:r>
      <w:r w:rsidR="006C5178">
        <w:t xml:space="preserve"> unless they are clearly irrelevant</w:t>
      </w:r>
      <w:r w:rsidRPr="006819BE">
        <w:t>. In the absence of a</w:t>
      </w:r>
      <w:r>
        <w:t>n AER</w:t>
      </w:r>
      <w:r w:rsidRPr="006819BE">
        <w:t xml:space="preserve"> decision to omit a particular condition, the condition continues to apply.</w:t>
      </w:r>
    </w:p>
    <w:p w:rsidR="00805F4F" w:rsidRDefault="00805F4F" w:rsidP="00805F4F">
      <w:r w:rsidRPr="00744886">
        <w:t xml:space="preserve">Parties who assume control of a private network subject to an individual exemption must, within not more than 20 business days of commencing to own, operate or control that private network, make an application for exemption in the form set out in section </w:t>
      </w:r>
      <w:r>
        <w:fldChar w:fldCharType="begin"/>
      </w:r>
      <w:r>
        <w:instrText xml:space="preserve"> REF _Ref456196879 \r \h </w:instrText>
      </w:r>
      <w:r>
        <w:fldChar w:fldCharType="separate"/>
      </w:r>
      <w:r w:rsidR="00D30DD5">
        <w:t>5.5</w:t>
      </w:r>
      <w:r>
        <w:fldChar w:fldCharType="end"/>
      </w:r>
      <w:r w:rsidRPr="00744886">
        <w:t xml:space="preserve"> in Part C of this Guideline.</w:t>
      </w:r>
    </w:p>
    <w:p w:rsidR="00A31F4D" w:rsidRDefault="00A31F4D" w:rsidP="00744886"/>
    <w:p w:rsidR="006819BE" w:rsidRDefault="006819BE" w:rsidP="006819BE">
      <w:pPr>
        <w:pStyle w:val="Heading1"/>
      </w:pPr>
      <w:bookmarkStart w:id="64" w:name="_Ref361909753"/>
      <w:bookmarkStart w:id="65" w:name="_Toc365299419"/>
      <w:bookmarkStart w:id="66" w:name="_Toc468276080"/>
      <w:r w:rsidRPr="006819BE">
        <w:lastRenderedPageBreak/>
        <w:t xml:space="preserve">Part B </w:t>
      </w:r>
      <w:r w:rsidR="00BF5F61">
        <w:t>–</w:t>
      </w:r>
      <w:r w:rsidRPr="006819BE">
        <w:t xml:space="preserve"> Conditions</w:t>
      </w:r>
      <w:bookmarkEnd w:id="64"/>
      <w:bookmarkEnd w:id="65"/>
      <w:bookmarkEnd w:id="66"/>
    </w:p>
    <w:p w:rsidR="00681DE2" w:rsidRDefault="00285EF4" w:rsidP="00191C56">
      <w:r>
        <w:t xml:space="preserve">Our conditions for exemption </w:t>
      </w:r>
      <w:r w:rsidR="00681DE2">
        <w:t>are de</w:t>
      </w:r>
      <w:r w:rsidR="00944882">
        <w:t>tailed in this section</w:t>
      </w:r>
      <w:r w:rsidR="00681DE2">
        <w:t xml:space="preserve">. </w:t>
      </w:r>
      <w:r w:rsidR="00944882">
        <w:t>It</w:t>
      </w:r>
      <w:r w:rsidR="00681DE2">
        <w:t xml:space="preserve"> is divided into nine sub</w:t>
      </w:r>
      <w:r w:rsidR="00BF5F61">
        <w:t>–</w:t>
      </w:r>
      <w:r w:rsidR="00681DE2">
        <w:t xml:space="preserve">sections, numbered </w:t>
      </w:r>
      <w:r w:rsidR="002030CF">
        <w:fldChar w:fldCharType="begin"/>
      </w:r>
      <w:r w:rsidR="002030CF">
        <w:instrText xml:space="preserve"> REF _Ref361906951 \r \h </w:instrText>
      </w:r>
      <w:r w:rsidR="002030CF">
        <w:fldChar w:fldCharType="separate"/>
      </w:r>
      <w:r w:rsidR="00D30DD5">
        <w:t>4.1</w:t>
      </w:r>
      <w:r w:rsidR="002030CF">
        <w:fldChar w:fldCharType="end"/>
      </w:r>
      <w:r>
        <w:t xml:space="preserve"> through</w:t>
      </w:r>
      <w:r w:rsidR="00E0510F">
        <w:t xml:space="preserve"> </w:t>
      </w:r>
      <w:r w:rsidR="00E0510F">
        <w:fldChar w:fldCharType="begin"/>
      </w:r>
      <w:r w:rsidR="00E0510F">
        <w:instrText xml:space="preserve"> REF _Ref468362742 \r \h </w:instrText>
      </w:r>
      <w:r w:rsidR="00E0510F">
        <w:fldChar w:fldCharType="separate"/>
      </w:r>
      <w:r w:rsidR="00E0510F">
        <w:t>4.9</w:t>
      </w:r>
      <w:r w:rsidR="00E0510F">
        <w:fldChar w:fldCharType="end"/>
      </w:r>
      <w:r>
        <w:t xml:space="preserve">. Section </w:t>
      </w:r>
      <w:r w:rsidR="00944882">
        <w:fldChar w:fldCharType="begin"/>
      </w:r>
      <w:r w:rsidR="00944882">
        <w:instrText xml:space="preserve"> REF _Ref361906951 \r \h </w:instrText>
      </w:r>
      <w:r w:rsidR="00944882">
        <w:fldChar w:fldCharType="separate"/>
      </w:r>
      <w:r w:rsidR="00D30DD5">
        <w:t>4.1</w:t>
      </w:r>
      <w:r w:rsidR="00944882">
        <w:fldChar w:fldCharType="end"/>
      </w:r>
      <w:r w:rsidR="00944882">
        <w:t xml:space="preserve"> </w:t>
      </w:r>
      <w:r>
        <w:t>co</w:t>
      </w:r>
      <w:r w:rsidR="00681DE2">
        <w:t>ntains</w:t>
      </w:r>
      <w:r>
        <w:t xml:space="preserve"> twelve </w:t>
      </w:r>
      <w:r w:rsidR="00681DE2">
        <w:t xml:space="preserve">general </w:t>
      </w:r>
      <w:r>
        <w:t>sub</w:t>
      </w:r>
      <w:r w:rsidR="00BF5F61">
        <w:t>–</w:t>
      </w:r>
      <w:r>
        <w:t>conditions</w:t>
      </w:r>
      <w:r w:rsidR="00824AE2">
        <w:t xml:space="preserve"> which apply to all embedded networks, except where modified by </w:t>
      </w:r>
      <w:r w:rsidR="00191C56" w:rsidRPr="006819BE">
        <w:t xml:space="preserve">tables 6, 7, 8 &amp; 9 for the respective exemption class. </w:t>
      </w:r>
    </w:p>
    <w:p w:rsidR="00824AE2" w:rsidRDefault="004632D1" w:rsidP="00191C56">
      <w:r>
        <w:t>Condit</w:t>
      </w:r>
      <w:r w:rsidR="00A55263">
        <w:t xml:space="preserve">ions </w:t>
      </w:r>
      <w:r w:rsidR="002030CF">
        <w:fldChar w:fldCharType="begin"/>
      </w:r>
      <w:r w:rsidR="002030CF">
        <w:instrText xml:space="preserve"> REF _Ref456784810 \r \h </w:instrText>
      </w:r>
      <w:r w:rsidR="002030CF">
        <w:fldChar w:fldCharType="separate"/>
      </w:r>
      <w:r w:rsidR="00D30DD5">
        <w:t>4.2</w:t>
      </w:r>
      <w:r w:rsidR="002030CF">
        <w:fldChar w:fldCharType="end"/>
      </w:r>
      <w:r w:rsidR="00A55263">
        <w:t xml:space="preserve"> through </w:t>
      </w:r>
      <w:r w:rsidR="00E0510F">
        <w:fldChar w:fldCharType="begin"/>
      </w:r>
      <w:r w:rsidR="00E0510F">
        <w:instrText xml:space="preserve"> REF _Ref468362767 \r \h </w:instrText>
      </w:r>
      <w:r w:rsidR="00E0510F">
        <w:fldChar w:fldCharType="separate"/>
      </w:r>
      <w:r w:rsidR="00E0510F">
        <w:t>4.9</w:t>
      </w:r>
      <w:r w:rsidR="00E0510F">
        <w:fldChar w:fldCharType="end"/>
      </w:r>
      <w:r w:rsidR="00A55263">
        <w:t xml:space="preserve"> provide </w:t>
      </w:r>
      <w:r w:rsidR="00681DE2">
        <w:t xml:space="preserve">a detailed explanation of our requirements for metering, interaction with AEMO, distribution loss factors, pricing, appointment of an embedded network manager, </w:t>
      </w:r>
      <w:r w:rsidR="00FC6164">
        <w:t xml:space="preserve">information provision and </w:t>
      </w:r>
      <w:r w:rsidR="00681DE2">
        <w:t xml:space="preserve">conversion of an existing site. </w:t>
      </w:r>
    </w:p>
    <w:p w:rsidR="00191C56" w:rsidRPr="006819BE" w:rsidRDefault="00191C56" w:rsidP="00191C56">
      <w:r w:rsidRPr="006819BE">
        <w:t>These conditions will only be varied</w:t>
      </w:r>
      <w:r w:rsidR="00824AE2">
        <w:t xml:space="preserve"> by the AER</w:t>
      </w:r>
      <w:r w:rsidRPr="006819BE">
        <w:t xml:space="preserve"> in response to a written application (see sections </w:t>
      </w:r>
      <w:r w:rsidRPr="006819BE">
        <w:fldChar w:fldCharType="begin"/>
      </w:r>
      <w:r w:rsidRPr="006819BE">
        <w:instrText xml:space="preserve"> REF _Ref361831288 \r \h  \* MERGEFORMAT </w:instrText>
      </w:r>
      <w:r w:rsidRPr="006819BE">
        <w:fldChar w:fldCharType="separate"/>
      </w:r>
      <w:r w:rsidR="00D30DD5">
        <w:t>3.3</w:t>
      </w:r>
      <w:r w:rsidRPr="006819BE">
        <w:fldChar w:fldCharType="end"/>
      </w:r>
      <w:r w:rsidRPr="006819BE">
        <w:t xml:space="preserve"> and </w:t>
      </w:r>
      <w:r w:rsidRPr="006819BE">
        <w:fldChar w:fldCharType="begin"/>
      </w:r>
      <w:r w:rsidRPr="006819BE">
        <w:instrText xml:space="preserve"> REF _Ref361831452 \r \h  \* MERGEFORMAT </w:instrText>
      </w:r>
      <w:r w:rsidRPr="006819BE">
        <w:fldChar w:fldCharType="separate"/>
      </w:r>
      <w:r w:rsidR="00D30DD5">
        <w:t>5.3</w:t>
      </w:r>
      <w:r w:rsidRPr="006819BE">
        <w:fldChar w:fldCharType="end"/>
      </w:r>
      <w:r w:rsidRPr="006819BE">
        <w:t>) demonstrating that exceptional circumstances apply</w:t>
      </w:r>
      <w:r w:rsidR="00824AE2">
        <w:t>. We consider exceptional circumstances should mean</w:t>
      </w:r>
      <w:r w:rsidRPr="006819BE">
        <w:t xml:space="preserve"> that a material detriment to customers will be significantly reduced or eliminated by varying these conditions. </w:t>
      </w:r>
    </w:p>
    <w:p w:rsidR="006819BE" w:rsidRPr="006819BE" w:rsidRDefault="006819BE" w:rsidP="006819BE">
      <w:pPr>
        <w:pStyle w:val="Heading2"/>
      </w:pPr>
      <w:bookmarkStart w:id="67" w:name="_Ref361906951"/>
      <w:bookmarkStart w:id="68" w:name="_Ref361906980"/>
      <w:bookmarkStart w:id="69" w:name="_Ref361908096"/>
      <w:bookmarkStart w:id="70" w:name="_Ref361908520"/>
      <w:bookmarkStart w:id="71" w:name="_Ref361908883"/>
      <w:bookmarkStart w:id="72" w:name="_Ref362009072"/>
      <w:bookmarkStart w:id="73" w:name="_Toc365299420"/>
      <w:bookmarkStart w:id="74" w:name="_Toc468276081"/>
      <w:r w:rsidRPr="006819BE">
        <w:t>General requirements</w:t>
      </w:r>
      <w:bookmarkEnd w:id="67"/>
      <w:bookmarkEnd w:id="68"/>
      <w:bookmarkEnd w:id="69"/>
      <w:bookmarkEnd w:id="70"/>
      <w:bookmarkEnd w:id="71"/>
      <w:bookmarkEnd w:id="72"/>
      <w:bookmarkEnd w:id="73"/>
      <w:bookmarkEnd w:id="74"/>
    </w:p>
    <w:p w:rsidR="006819BE" w:rsidRPr="006819BE" w:rsidRDefault="006819BE" w:rsidP="006819BE">
      <w:r w:rsidRPr="006819BE">
        <w:t>Words in italics are primarily intended as commentary to assist understanding of a condition but also form part of the condition. Where a tick appears in a table the numbered condition applies to the named exemption activity class. Where the words “Not applicable” appear in any of tables 6, 7, 8 or 9, the numbered condition does not apply to that class of activity. Where a clause reference appears, only that specific clause applies.</w:t>
      </w:r>
    </w:p>
    <w:p w:rsidR="001F7173" w:rsidRDefault="006819BE" w:rsidP="00E65EE4">
      <w:pPr>
        <w:pStyle w:val="ListNumber"/>
        <w:numPr>
          <w:ilvl w:val="0"/>
          <w:numId w:val="24"/>
        </w:numPr>
      </w:pPr>
      <w:r w:rsidRPr="006819BE">
        <w:t xml:space="preserve">All meters used for the measurement of electrical energy whether delivered to, or exported by, a customer must comply with the requirements of the </w:t>
      </w:r>
      <w:r w:rsidRPr="00824AE2">
        <w:rPr>
          <w:rStyle w:val="Emphasis"/>
        </w:rPr>
        <w:t>National Measurement Act</w:t>
      </w:r>
      <w:r w:rsidR="00824AE2">
        <w:rPr>
          <w:rStyle w:val="Emphasis"/>
        </w:rPr>
        <w:t>,</w:t>
      </w:r>
      <w:r w:rsidRPr="006819BE">
        <w:t xml:space="preserve"> 1960 (</w:t>
      </w:r>
      <w:proofErr w:type="spellStart"/>
      <w:r w:rsidRPr="006819BE">
        <w:t>Cth</w:t>
      </w:r>
      <w:proofErr w:type="spellEnd"/>
      <w:r w:rsidRPr="006819BE">
        <w:t>) and regulations made under that Act for electricity meters and sub</w:t>
      </w:r>
      <w:r w:rsidR="00BF5F61">
        <w:t>–</w:t>
      </w:r>
      <w:r w:rsidRPr="006819BE">
        <w:t xml:space="preserve">meters and with the requirements set out in schedule 7.2 of the NER. </w:t>
      </w:r>
    </w:p>
    <w:p w:rsidR="006819BE" w:rsidRPr="00191C56" w:rsidRDefault="00292D04" w:rsidP="00292D04">
      <w:pPr>
        <w:pStyle w:val="List"/>
        <w:rPr>
          <w:rStyle w:val="Emphasis"/>
        </w:rPr>
      </w:pPr>
      <w:r>
        <w:tab/>
      </w:r>
      <w:r w:rsidR="006819BE" w:rsidRPr="00191C56">
        <w:rPr>
          <w:rStyle w:val="Emphasis"/>
        </w:rPr>
        <w:t>This condition applies to all metered energy situations. It does not apply if an unmetered supply is permitted by the AER.</w:t>
      </w:r>
    </w:p>
    <w:p w:rsidR="006819BE" w:rsidRPr="006819BE" w:rsidRDefault="006819BE" w:rsidP="00292D04">
      <w:pPr>
        <w:pStyle w:val="ListNumber"/>
      </w:pPr>
      <w:r w:rsidRPr="006819BE">
        <w:t xml:space="preserve">All paid energy consumption must be metered except where the AER has determined an unmetered supply is permitted. </w:t>
      </w:r>
    </w:p>
    <w:p w:rsidR="006819BE" w:rsidRPr="00191C56" w:rsidRDefault="00191C56" w:rsidP="00292D04">
      <w:pPr>
        <w:pStyle w:val="List"/>
        <w:rPr>
          <w:rStyle w:val="Emphasis"/>
        </w:rPr>
      </w:pPr>
      <w:r>
        <w:tab/>
      </w:r>
      <w:r w:rsidR="006819BE" w:rsidRPr="00191C56">
        <w:rPr>
          <w:rStyle w:val="Emphasis"/>
        </w:rPr>
        <w:t xml:space="preserve">Note that the AER does not approve unmetered supplies except in unique or exceptional circumstances. Metering is not required if no charge is levied for electricity or </w:t>
      </w:r>
      <w:r w:rsidR="00BF1280">
        <w:rPr>
          <w:rStyle w:val="Emphasis"/>
        </w:rPr>
        <w:t xml:space="preserve">for the </w:t>
      </w:r>
      <w:r w:rsidR="006819BE" w:rsidRPr="00191C56">
        <w:rPr>
          <w:rStyle w:val="Emphasis"/>
        </w:rPr>
        <w:t xml:space="preserve">recovery of </w:t>
      </w:r>
      <w:r w:rsidR="00BF1280">
        <w:rPr>
          <w:rStyle w:val="Emphasis"/>
        </w:rPr>
        <w:t xml:space="preserve">energy </w:t>
      </w:r>
      <w:r w:rsidR="006819BE" w:rsidRPr="00191C56">
        <w:rPr>
          <w:rStyle w:val="Emphasis"/>
        </w:rPr>
        <w:t>supply costs from a tenant or co</w:t>
      </w:r>
      <w:r w:rsidR="00BF5F61">
        <w:rPr>
          <w:rStyle w:val="Emphasis"/>
        </w:rPr>
        <w:t>–</w:t>
      </w:r>
      <w:r w:rsidR="006819BE" w:rsidRPr="00191C56">
        <w:rPr>
          <w:rStyle w:val="Emphasis"/>
        </w:rPr>
        <w:t xml:space="preserve">tenant. </w:t>
      </w:r>
    </w:p>
    <w:p w:rsidR="006819BE" w:rsidRPr="006819BE" w:rsidRDefault="006819BE" w:rsidP="00292D04">
      <w:pPr>
        <w:pStyle w:val="ListNumber"/>
      </w:pPr>
      <w:r w:rsidRPr="006819BE">
        <w:t xml:space="preserve">All private networks must, at all times, be installed, operated and maintained in accordance with all applicable requirements (within the jurisdiction in which the network is located) for the safety of persons and property. This includes, where relevant, an industry Code or Guideline otherwise applicable to a network service provider providing similar services. </w:t>
      </w:r>
    </w:p>
    <w:p w:rsidR="006819BE" w:rsidRPr="006819BE" w:rsidRDefault="00292D04" w:rsidP="00292D04">
      <w:pPr>
        <w:pStyle w:val="List"/>
      </w:pPr>
      <w:r>
        <w:tab/>
      </w:r>
      <w:r w:rsidR="006819BE" w:rsidRPr="006819BE">
        <w:t xml:space="preserve">In some jurisdictions larger networks may also have an obligation to have current, and/or </w:t>
      </w:r>
      <w:proofErr w:type="gramStart"/>
      <w:r w:rsidR="006819BE" w:rsidRPr="006819BE">
        <w:t>maintain,</w:t>
      </w:r>
      <w:proofErr w:type="gramEnd"/>
      <w:r w:rsidR="006819BE" w:rsidRPr="006819BE">
        <w:t xml:space="preserve"> a safety management plan or similar, with a competent safety authority or regulatory agency within that jurisdiction. You must obey these local safety requirements. </w:t>
      </w:r>
    </w:p>
    <w:p w:rsidR="006819BE" w:rsidRPr="006819BE" w:rsidRDefault="00292D04" w:rsidP="00292D04">
      <w:pPr>
        <w:pStyle w:val="List"/>
      </w:pPr>
      <w:r>
        <w:tab/>
      </w:r>
      <w:r w:rsidR="006819BE" w:rsidRPr="006819BE">
        <w:t xml:space="preserve">All owners and operators of private networks must comply with the reasonable requests of a local Distribution Network Service Provider (DNSP) for demand forecasting data, relevant details of the physical network infrastructure and assets and any other data relevant to the control, operation or maintenance of the network. </w:t>
      </w:r>
    </w:p>
    <w:p w:rsidR="006819BE" w:rsidRPr="006819BE" w:rsidRDefault="00292D04" w:rsidP="00292D04">
      <w:pPr>
        <w:pStyle w:val="List"/>
      </w:pPr>
      <w:r>
        <w:lastRenderedPageBreak/>
        <w:tab/>
      </w:r>
      <w:r w:rsidR="006819BE" w:rsidRPr="006819BE">
        <w:t>Electrical networks may be subject to mandatory load shedding requirements in emergency situations, in accordance with the NER. This requirement will generally be specified by the local DNSP in the connection agreement for the connection to the NEM system.</w:t>
      </w:r>
    </w:p>
    <w:p w:rsidR="006819BE" w:rsidRPr="00292D04" w:rsidRDefault="00292D04" w:rsidP="00292D04">
      <w:pPr>
        <w:pStyle w:val="List"/>
        <w:rPr>
          <w:rStyle w:val="Emphasis"/>
        </w:rPr>
      </w:pPr>
      <w:r>
        <w:tab/>
      </w:r>
      <w:r w:rsidR="006819BE" w:rsidRPr="00292D04">
        <w:rPr>
          <w:rStyle w:val="Emphasis"/>
        </w:rPr>
        <w:t>There are no exceptions to these safety requirements.</w:t>
      </w:r>
    </w:p>
    <w:p w:rsidR="006819BE" w:rsidRPr="006819BE" w:rsidRDefault="006819BE" w:rsidP="00292D04">
      <w:pPr>
        <w:pStyle w:val="ListNumber"/>
      </w:pPr>
      <w:r w:rsidRPr="006819BE">
        <w:t xml:space="preserve">Any generation source located within a NSP’s private network must be designed in the event of a loss of supply from the local DNSP’s network to either: </w:t>
      </w:r>
    </w:p>
    <w:p w:rsidR="006819BE" w:rsidRPr="00B62063" w:rsidRDefault="006819BE" w:rsidP="00B62063">
      <w:pPr>
        <w:pStyle w:val="Listalphabet3"/>
      </w:pPr>
      <w:r w:rsidRPr="00B62063">
        <w:t xml:space="preserve">shutdown entirely or </w:t>
      </w:r>
    </w:p>
    <w:p w:rsidR="006819BE" w:rsidRPr="00B62063" w:rsidRDefault="006819BE" w:rsidP="00B62063">
      <w:pPr>
        <w:pStyle w:val="Listalphabet3"/>
      </w:pPr>
      <w:proofErr w:type="gramStart"/>
      <w:r w:rsidRPr="00B62063">
        <w:t>disconnect</w:t>
      </w:r>
      <w:proofErr w:type="gramEnd"/>
      <w:r w:rsidRPr="00B62063">
        <w:t xml:space="preserve"> from that other network (i.e. ‘island’) and not reconnect except in accordance with arrangements approved by the relevant NEM registered network service provider.</w:t>
      </w:r>
    </w:p>
    <w:p w:rsidR="006819BE" w:rsidRPr="00292D04" w:rsidRDefault="00292D04" w:rsidP="00292D04">
      <w:pPr>
        <w:pStyle w:val="List"/>
        <w:rPr>
          <w:rStyle w:val="Emphasis"/>
        </w:rPr>
      </w:pPr>
      <w:r>
        <w:tab/>
      </w:r>
      <w:r w:rsidR="006819BE" w:rsidRPr="00292D04">
        <w:rPr>
          <w:rStyle w:val="Emphasis"/>
        </w:rPr>
        <w:t xml:space="preserve">Applies whenever a private network contains a generation </w:t>
      </w:r>
      <w:r w:rsidR="000408CE">
        <w:rPr>
          <w:rStyle w:val="Emphasis"/>
        </w:rPr>
        <w:t xml:space="preserve">or inverter </w:t>
      </w:r>
      <w:r w:rsidR="006819BE" w:rsidRPr="00292D04">
        <w:rPr>
          <w:rStyle w:val="Emphasis"/>
        </w:rPr>
        <w:t>source of any kind.</w:t>
      </w:r>
    </w:p>
    <w:p w:rsidR="006819BE" w:rsidRPr="006819BE" w:rsidRDefault="006819BE" w:rsidP="00292D04">
      <w:pPr>
        <w:pStyle w:val="ListNumber"/>
      </w:pPr>
      <w:r w:rsidRPr="006819BE">
        <w:t>All selling of electricity conducted within a private network must be undertaken by:</w:t>
      </w:r>
    </w:p>
    <w:p w:rsidR="006819BE" w:rsidRPr="006819BE" w:rsidRDefault="006D4C02">
      <w:pPr>
        <w:pStyle w:val="Listalphabet2"/>
        <w:numPr>
          <w:ilvl w:val="0"/>
          <w:numId w:val="23"/>
        </w:numPr>
      </w:pPr>
      <w:r w:rsidRPr="006D4C02">
        <w:t xml:space="preserve">where the National Electricity Retail Law applies, </w:t>
      </w:r>
      <w:r>
        <w:t xml:space="preserve">a person authorised to </w:t>
      </w:r>
      <w:r w:rsidRPr="006D4C02">
        <w:t xml:space="preserve">sell electricity in accordance with </w:t>
      </w:r>
      <w:r>
        <w:t>that Law,</w:t>
      </w:r>
      <w:r w:rsidRPr="006D4C02">
        <w:t xml:space="preserve"> </w:t>
      </w:r>
      <w:r w:rsidR="006819BE" w:rsidRPr="006819BE">
        <w:t xml:space="preserve">or </w:t>
      </w:r>
    </w:p>
    <w:p w:rsidR="006819BE" w:rsidRPr="006819BE" w:rsidRDefault="006D4C02" w:rsidP="007A0AE0">
      <w:pPr>
        <w:pStyle w:val="Listalphabet2"/>
        <w:numPr>
          <w:ilvl w:val="0"/>
          <w:numId w:val="23"/>
        </w:numPr>
      </w:pPr>
      <w:proofErr w:type="gramStart"/>
      <w:r w:rsidRPr="006819BE">
        <w:t>where</w:t>
      </w:r>
      <w:proofErr w:type="gramEnd"/>
      <w:r w:rsidRPr="006819BE">
        <w:t xml:space="preserve"> the National Electricity Retail Law does not apply</w:t>
      </w:r>
      <w:r>
        <w:t>,</w:t>
      </w:r>
      <w:r w:rsidRPr="006D4C02">
        <w:t xml:space="preserve"> </w:t>
      </w:r>
      <w:r w:rsidR="00F51936">
        <w:t xml:space="preserve">a person authorised to </w:t>
      </w:r>
      <w:r w:rsidR="006819BE" w:rsidRPr="006819BE">
        <w:t xml:space="preserve">sell electricity in accordance with regulations in force in </w:t>
      </w:r>
      <w:r>
        <w:t xml:space="preserve">that </w:t>
      </w:r>
      <w:r w:rsidR="006819BE" w:rsidRPr="006819BE">
        <w:t>jurisdiction.</w:t>
      </w:r>
    </w:p>
    <w:p w:rsidR="006819BE" w:rsidRPr="00B62063" w:rsidRDefault="00B62063" w:rsidP="00292D04">
      <w:pPr>
        <w:pStyle w:val="List"/>
        <w:rPr>
          <w:rStyle w:val="Emphasis"/>
        </w:rPr>
      </w:pPr>
      <w:r>
        <w:rPr>
          <w:rStyle w:val="Emphasis"/>
        </w:rPr>
        <w:tab/>
      </w:r>
      <w:r w:rsidR="006819BE" w:rsidRPr="00B62063">
        <w:rPr>
          <w:rStyle w:val="Emphasis"/>
        </w:rPr>
        <w:t>Applies whenever energy is exchanged for money across a private network.</w:t>
      </w:r>
    </w:p>
    <w:p w:rsidR="00BE5CE5" w:rsidRPr="00BE5CE5" w:rsidRDefault="00BE5CE5" w:rsidP="00BE5CE5">
      <w:pPr>
        <w:pStyle w:val="ListNumber"/>
      </w:pPr>
      <w:r>
        <w:t>Where charges are to apply for services provided by, or in connection with, an embedded network, a private network must have in place dispute resolution procedures.</w:t>
      </w:r>
      <w:r w:rsidRPr="00BE5CE5">
        <w:rPr>
          <w:rStyle w:val="FootnoteReference"/>
        </w:rPr>
        <w:footnoteReference w:id="32"/>
      </w:r>
      <w:r w:rsidRPr="00BE5CE5">
        <w:t xml:space="preserve"> To fulfil this condition, the exempt embedded network service provider must:</w:t>
      </w:r>
    </w:p>
    <w:p w:rsidR="00BE5CE5" w:rsidRPr="00BE5CE5" w:rsidRDefault="00BE5CE5" w:rsidP="00E65EE4">
      <w:pPr>
        <w:pStyle w:val="Listalphabet2"/>
        <w:numPr>
          <w:ilvl w:val="0"/>
          <w:numId w:val="42"/>
        </w:numPr>
      </w:pPr>
      <w:r>
        <w:t xml:space="preserve">Inform a </w:t>
      </w:r>
      <w:r w:rsidRPr="00BE5CE5">
        <w:t>customer who has a dispute of the availability of a specific external dispute resolution body where an external dispute resolution mechanism or Tribunal exists under non-energy specific legislation</w:t>
      </w:r>
      <w:r w:rsidRPr="00BE5CE5">
        <w:rPr>
          <w:rStyle w:val="FootnoteReference"/>
        </w:rPr>
        <w:footnoteReference w:id="33"/>
      </w:r>
      <w:r w:rsidRPr="00BE5CE5">
        <w:t xml:space="preserve"> with authority to make determinations on disputes which include energy matters.</w:t>
      </w:r>
    </w:p>
    <w:p w:rsidR="00BE5CE5" w:rsidRPr="00BE5CE5" w:rsidRDefault="00BE5CE5" w:rsidP="00BE5CE5">
      <w:pPr>
        <w:pStyle w:val="Listalphabet2"/>
      </w:pPr>
      <w:r>
        <w:t xml:space="preserve">If </w:t>
      </w:r>
      <w:r w:rsidRPr="00BE5CE5">
        <w:t>6(a) does not apply and an Energy Ombudsman</w:t>
      </w:r>
      <w:r w:rsidRPr="00BE5CE5">
        <w:rPr>
          <w:rStyle w:val="FootnoteReference"/>
        </w:rPr>
        <w:footnoteReference w:id="34"/>
      </w:r>
      <w:r w:rsidRPr="00BE5CE5">
        <w:t xml:space="preserve"> in a State or Territory advises that an exempt embedded network service provider is eligible to join an Ombudsman scheme, the exempt embedded network service provider must join that scheme and inform a customer who has a dispute of the availability of the specific Ombudsman scheme.</w:t>
      </w:r>
    </w:p>
    <w:p w:rsidR="00BE5CE5" w:rsidRPr="00BE5CE5" w:rsidRDefault="00BE5CE5" w:rsidP="00BE5CE5">
      <w:pPr>
        <w:pStyle w:val="Listalphabet2"/>
      </w:pPr>
      <w:r>
        <w:t>I</w:t>
      </w:r>
      <w:r w:rsidRPr="00BE5CE5">
        <w:t xml:space="preserve">f 6(a) or 6(b) </w:t>
      </w:r>
      <w:proofErr w:type="gramStart"/>
      <w:r w:rsidRPr="00BE5CE5">
        <w:t>do</w:t>
      </w:r>
      <w:proofErr w:type="gramEnd"/>
      <w:r w:rsidRPr="00BE5CE5">
        <w:t xml:space="preserve"> not apply, a suitable dispute resolution mechanism must be specified in the formal agreements between the network owner or its appointed agent and the end–use customer. These procedures must allow a customer to request, and be provided with, written details of all charges applicable to that customer. In addition:</w:t>
      </w:r>
    </w:p>
    <w:p w:rsidR="00BE5CE5" w:rsidRPr="00BE5CE5" w:rsidRDefault="00BE5CE5" w:rsidP="00BE5CE5">
      <w:pPr>
        <w:pStyle w:val="ListLegal3"/>
      </w:pPr>
      <w:r>
        <w:lastRenderedPageBreak/>
        <w:t>In the event of a dispute concerning the sale of energy to an exempt customer, and in the absence of a determination of the relevant tenancy tribunal if the customer is a tenant, the exempt embedded network service provider must:</w:t>
      </w:r>
    </w:p>
    <w:p w:rsidR="00BE5CE5" w:rsidRPr="00BE5CE5" w:rsidRDefault="00BE5CE5" w:rsidP="00CB3ADB">
      <w:pPr>
        <w:pStyle w:val="ListBullet5"/>
      </w:pPr>
      <w:r>
        <w:t>make reasonable endeavours to resolve the dispute, and</w:t>
      </w:r>
    </w:p>
    <w:p w:rsidR="00BE5CE5" w:rsidRPr="00BE5CE5" w:rsidRDefault="00BE5CE5" w:rsidP="00CB3ADB">
      <w:pPr>
        <w:pStyle w:val="ListBullet5"/>
      </w:pPr>
      <w:r>
        <w:t>advise the exempt customer of any right that the exempt customer has to access the energy Ombudsman scheme or any other relevant external dispute resolution body in the State or Territory in which the exempt customer is located, if applicable.</w:t>
      </w:r>
    </w:p>
    <w:p w:rsidR="00BE5CE5" w:rsidRPr="00BE5CE5" w:rsidRDefault="00BE5CE5" w:rsidP="00BE5CE5">
      <w:pPr>
        <w:pStyle w:val="ListLegal3"/>
      </w:pPr>
      <w:r>
        <w:t>The exempt person’s dispute resolution process must meet, at a minimum, Australian Standards: AS/NZS 10002:2014 Guidelines for complaint management in organisations.</w:t>
      </w:r>
    </w:p>
    <w:p w:rsidR="006819BE" w:rsidRPr="006819BE" w:rsidRDefault="00191C56" w:rsidP="00191C56">
      <w:pPr>
        <w:pStyle w:val="List"/>
      </w:pPr>
      <w:r>
        <w:tab/>
      </w:r>
      <w:r w:rsidR="006819BE" w:rsidRPr="006819BE">
        <w:t xml:space="preserve">A dispute resolution mechanism does not require approval by the AER, but must be of a type ordinarily applicable to disputes of the kind, be reasonably accessible, timely, binding on the parties to the dispute and not subject to excessive or unnecessary costs nor to costs disproportionate to the amount in dispute. </w:t>
      </w:r>
    </w:p>
    <w:p w:rsidR="006819BE" w:rsidRPr="00B62063" w:rsidRDefault="00B62063" w:rsidP="00292D04">
      <w:pPr>
        <w:pStyle w:val="List"/>
        <w:rPr>
          <w:rStyle w:val="Emphasis"/>
        </w:rPr>
      </w:pPr>
      <w:r w:rsidRPr="00B62063">
        <w:rPr>
          <w:rStyle w:val="Emphasis"/>
        </w:rPr>
        <w:tab/>
      </w:r>
      <w:r w:rsidR="006819BE" w:rsidRPr="00B62063">
        <w:rPr>
          <w:rStyle w:val="Emphasis"/>
        </w:rPr>
        <w:t>Where a network owner or operator appoints an agent they, as the principal, remain responsible for ensuring this condition is satisfied.</w:t>
      </w:r>
    </w:p>
    <w:p w:rsidR="006819BE" w:rsidRPr="00191C56" w:rsidRDefault="006819BE" w:rsidP="00191C56">
      <w:pPr>
        <w:pStyle w:val="ListNumber"/>
      </w:pPr>
      <w:r w:rsidRPr="00191C56">
        <w:t xml:space="preserve">Where a single customer has energy delivered to adjoining sites or to multiple exempt sites within a jurisdiction and the sites are subject to a common supply arrangement and suitable metering is installed, meter readings for that customer may be aggregated for corresponding time periods. </w:t>
      </w:r>
    </w:p>
    <w:p w:rsidR="006819BE" w:rsidRPr="006819BE" w:rsidRDefault="00150DE5" w:rsidP="006F72AA">
      <w:pPr>
        <w:pStyle w:val="List"/>
        <w:ind w:firstLine="0"/>
      </w:pPr>
      <w:r>
        <w:t>'</w:t>
      </w:r>
      <w:r w:rsidR="006819BE" w:rsidRPr="006819BE">
        <w:t xml:space="preserve">Suitable metering’ means meters that record energy to the same accuracy class and equivalent time intervals, but not necessarily meters of identical design. ‘Exempt sites’ refers to private networks. </w:t>
      </w:r>
    </w:p>
    <w:p w:rsidR="006819BE" w:rsidRPr="00B62063" w:rsidRDefault="00B62063" w:rsidP="00292D04">
      <w:pPr>
        <w:pStyle w:val="List"/>
        <w:rPr>
          <w:rStyle w:val="Emphasis"/>
        </w:rPr>
      </w:pPr>
      <w:r>
        <w:rPr>
          <w:rStyle w:val="Emphasis"/>
        </w:rPr>
        <w:tab/>
      </w:r>
      <w:r w:rsidR="006819BE" w:rsidRPr="00B62063">
        <w:rPr>
          <w:rStyle w:val="Emphasis"/>
        </w:rPr>
        <w:t>This condition is permissive in its operation: it allows a proprietor or customer of one or more private networks to negotiate a bulk pricing arrangement with a willing retailer. This condition does not require that meter readings must be aggregated: it only permits them to be aggregated if a commercial agreement exists to do so. Note also that this condition does not require any NEM service provider or AEMO to modify its systems or procedures to facilitate aggregation.</w:t>
      </w:r>
    </w:p>
    <w:p w:rsidR="006819BE" w:rsidRPr="006819BE" w:rsidRDefault="006819BE" w:rsidP="00191C56">
      <w:pPr>
        <w:pStyle w:val="ListNumber"/>
      </w:pPr>
      <w:r w:rsidRPr="006819BE">
        <w:t xml:space="preserve">An application for registration </w:t>
      </w:r>
      <w:r w:rsidR="00150DE5">
        <w:t xml:space="preserve">of an exempt network </w:t>
      </w:r>
      <w:r w:rsidRPr="006819BE">
        <w:t>is to be made within 20 business days of acquiring a requirement to register.</w:t>
      </w:r>
      <w:r w:rsidR="001D28C3">
        <w:t xml:space="preserve"> </w:t>
      </w:r>
      <w:r w:rsidRPr="006819BE">
        <w:t xml:space="preserve">Applications for exemption are personal to the applicant. They are not transferable. </w:t>
      </w:r>
    </w:p>
    <w:p w:rsidR="006819BE" w:rsidRPr="00B62063" w:rsidRDefault="00191C56" w:rsidP="00292D04">
      <w:pPr>
        <w:pStyle w:val="List"/>
        <w:rPr>
          <w:rStyle w:val="Emphasis"/>
        </w:rPr>
      </w:pPr>
      <w:r>
        <w:rPr>
          <w:rStyle w:val="Emphasis"/>
        </w:rPr>
        <w:tab/>
      </w:r>
      <w:r w:rsidR="006819BE" w:rsidRPr="00B62063">
        <w:rPr>
          <w:rStyle w:val="Emphasis"/>
        </w:rPr>
        <w:t>Note that registrable exemptions require minimal effort for the new proprietor of an existing registered exempt network to obtain</w:t>
      </w:r>
      <w:r w:rsidR="00150DE5">
        <w:rPr>
          <w:rStyle w:val="Emphasis"/>
        </w:rPr>
        <w:t>. T</w:t>
      </w:r>
      <w:r w:rsidR="006819BE" w:rsidRPr="00B62063">
        <w:rPr>
          <w:rStyle w:val="Emphasis"/>
        </w:rPr>
        <w:t>herefore, there is no practical impact in requiring a new application. Note also that no application is required for a deemed exemption category.</w:t>
      </w:r>
    </w:p>
    <w:p w:rsidR="006819BE" w:rsidRPr="006819BE" w:rsidRDefault="006819BE" w:rsidP="00191C56">
      <w:pPr>
        <w:pStyle w:val="ListNumber"/>
      </w:pPr>
      <w:bookmarkStart w:id="75" w:name="_Ref459819554"/>
      <w:r w:rsidRPr="006819BE">
        <w:t xml:space="preserve">The AER may revoke or amend an exemption at any time or may vary the conditions </w:t>
      </w:r>
      <w:r w:rsidR="00196DE9">
        <w:t xml:space="preserve">applicable to an exemption </w:t>
      </w:r>
      <w:r w:rsidRPr="006819BE">
        <w:t>from time to time.</w:t>
      </w:r>
      <w:bookmarkEnd w:id="75"/>
      <w:r w:rsidRPr="006819BE">
        <w:t xml:space="preserve"> </w:t>
      </w:r>
    </w:p>
    <w:p w:rsidR="006819BE" w:rsidRPr="00B62063" w:rsidRDefault="00B62063" w:rsidP="00292D04">
      <w:pPr>
        <w:pStyle w:val="List"/>
        <w:rPr>
          <w:rStyle w:val="Emphasis"/>
        </w:rPr>
      </w:pPr>
      <w:r w:rsidRPr="00B62063">
        <w:rPr>
          <w:rStyle w:val="Emphasis"/>
        </w:rPr>
        <w:tab/>
      </w:r>
      <w:r w:rsidR="006819BE" w:rsidRPr="00B62063">
        <w:rPr>
          <w:rStyle w:val="Emphasis"/>
        </w:rPr>
        <w:t xml:space="preserve">If the AER does so it will notify a registered applicant using the registered contact details or otherwise, in accordance with the procedures set out in this </w:t>
      </w:r>
      <w:r w:rsidR="000E7EEA" w:rsidRPr="000E7EEA">
        <w:rPr>
          <w:rStyle w:val="Emphasis"/>
        </w:rPr>
        <w:t xml:space="preserve">Network </w:t>
      </w:r>
      <w:r w:rsidR="006819BE" w:rsidRPr="00B62063">
        <w:rPr>
          <w:rStyle w:val="Emphasis"/>
        </w:rPr>
        <w:t>Guideline and the NER. There are no exceptions to this requirement.</w:t>
      </w:r>
    </w:p>
    <w:p w:rsidR="00DE11AF" w:rsidRDefault="006819BE" w:rsidP="00191C56">
      <w:pPr>
        <w:pStyle w:val="ListNumber"/>
      </w:pPr>
      <w:r w:rsidRPr="006819BE">
        <w:lastRenderedPageBreak/>
        <w:t xml:space="preserve">Where notified by a customer (‘life support customer’) of the existence of a requirement to maintain supply for life support equipment, the </w:t>
      </w:r>
      <w:r w:rsidR="00150DE5">
        <w:t xml:space="preserve">exempt embedded network service provider </w:t>
      </w:r>
      <w:r w:rsidRPr="006819BE">
        <w:t>must, without undue delay, promptly notify</w:t>
      </w:r>
      <w:r w:rsidR="00DE11AF">
        <w:t>:</w:t>
      </w:r>
    </w:p>
    <w:p w:rsidR="006819BE" w:rsidRDefault="00DE11AF" w:rsidP="00E65EE4">
      <w:pPr>
        <w:pStyle w:val="Listalphabet2"/>
        <w:numPr>
          <w:ilvl w:val="0"/>
          <w:numId w:val="26"/>
        </w:numPr>
      </w:pPr>
      <w:r>
        <w:t>before 1 December 2017:</w:t>
      </w:r>
      <w:r w:rsidR="006819BE" w:rsidRPr="006819BE">
        <w:t xml:space="preserve"> the local DNSP of the existence of a life support requirement in accordance with the reasonable requirements of the local DNSP</w:t>
      </w:r>
      <w:r>
        <w:t>; and</w:t>
      </w:r>
      <w:r w:rsidR="006819BE" w:rsidRPr="006819BE">
        <w:t xml:space="preserve"> </w:t>
      </w:r>
    </w:p>
    <w:p w:rsidR="00DE11AF" w:rsidRPr="006819BE" w:rsidRDefault="00DE11AF" w:rsidP="00150DE5">
      <w:pPr>
        <w:pStyle w:val="Listalphabet2"/>
      </w:pPr>
      <w:proofErr w:type="gramStart"/>
      <w:r>
        <w:t>from</w:t>
      </w:r>
      <w:proofErr w:type="gramEnd"/>
      <w:r>
        <w:t xml:space="preserve"> </w:t>
      </w:r>
      <w:r w:rsidRPr="00DE11AF">
        <w:t>1 December 2017: the parent connection point retailer of the existence of a life support requirement in accordance with the reasonable requirements of the parent connection point retailer.</w:t>
      </w:r>
      <w:r w:rsidR="00150DE5">
        <w:t xml:space="preserve"> In addition the exempt embedded network service provider </w:t>
      </w:r>
      <w:r w:rsidR="00150DE5" w:rsidRPr="006819BE">
        <w:t>must, without undue delay, promptly notify</w:t>
      </w:r>
      <w:r w:rsidR="00150DE5" w:rsidRPr="00150DE5">
        <w:t xml:space="preserve"> the child connection point retailer when they are informed of life support requirements at a child connection point</w:t>
      </w:r>
      <w:r w:rsidR="00150DE5">
        <w:t>.</w:t>
      </w:r>
    </w:p>
    <w:p w:rsidR="006819BE" w:rsidRPr="00B62063" w:rsidRDefault="00F02EB9" w:rsidP="00F02EB9">
      <w:pPr>
        <w:pStyle w:val="List"/>
        <w:rPr>
          <w:rStyle w:val="Emphasis"/>
        </w:rPr>
      </w:pPr>
      <w:r>
        <w:rPr>
          <w:rStyle w:val="Emphasis"/>
        </w:rPr>
        <w:tab/>
      </w:r>
      <w:r w:rsidR="006819BE" w:rsidRPr="00B62063">
        <w:rPr>
          <w:rStyle w:val="Emphasis"/>
        </w:rPr>
        <w:t>Applies whenever electricity is provided across a private network to an eligible retail customer.</w:t>
      </w:r>
    </w:p>
    <w:p w:rsidR="006819BE" w:rsidRPr="006819BE" w:rsidRDefault="006819BE" w:rsidP="00150DE5">
      <w:pPr>
        <w:pStyle w:val="ListNumber"/>
      </w:pPr>
      <w:r w:rsidRPr="006819BE">
        <w:t>A</w:t>
      </w:r>
      <w:r w:rsidR="003A62F6">
        <w:t>n</w:t>
      </w:r>
      <w:r w:rsidRPr="006819BE">
        <w:t xml:space="preserve"> </w:t>
      </w:r>
      <w:r w:rsidR="00CD2BCC">
        <w:t xml:space="preserve">exempt embedded network service provider </w:t>
      </w:r>
      <w:r w:rsidRPr="006819BE">
        <w:t>must not disconnect supply to a life support customer without making arrangements for the safety of a life support customer.</w:t>
      </w:r>
      <w:r w:rsidR="00150DE5" w:rsidRPr="00150DE5">
        <w:t xml:space="preserve"> </w:t>
      </w:r>
    </w:p>
    <w:p w:rsidR="006819BE" w:rsidRPr="00B62063" w:rsidRDefault="00B62063" w:rsidP="00292D04">
      <w:pPr>
        <w:pStyle w:val="List"/>
        <w:rPr>
          <w:rStyle w:val="Emphasis"/>
        </w:rPr>
      </w:pPr>
      <w:r>
        <w:tab/>
      </w:r>
      <w:r w:rsidR="006819BE" w:rsidRPr="00B62063">
        <w:rPr>
          <w:rStyle w:val="Emphasis"/>
        </w:rPr>
        <w:t>Applies whenever electricity is provided across a private network to an eligible retail customer.</w:t>
      </w:r>
    </w:p>
    <w:p w:rsidR="006819BE" w:rsidRPr="006819BE" w:rsidRDefault="00C94CB5" w:rsidP="00B62063">
      <w:pPr>
        <w:pStyle w:val="ListNumber"/>
      </w:pPr>
      <w:bookmarkStart w:id="76" w:name="_Ref457320069"/>
      <w:r>
        <w:t>Whe</w:t>
      </w:r>
      <w:r w:rsidR="00052B6D">
        <w:t>re</w:t>
      </w:r>
      <w:r>
        <w:t xml:space="preserve"> </w:t>
      </w:r>
      <w:r w:rsidR="00052B6D">
        <w:t>an exempt embedded network service provider must appoint an embedded network manager (i.e.</w:t>
      </w:r>
      <w:r w:rsidR="00934A4F">
        <w:t xml:space="preserve"> an</w:t>
      </w:r>
      <w:r w:rsidR="00052B6D">
        <w:t xml:space="preserve"> ENM as defined</w:t>
      </w:r>
      <w:r w:rsidR="008E440D">
        <w:t xml:space="preserve"> above</w:t>
      </w:r>
      <w:r w:rsidR="00052B6D">
        <w:t xml:space="preserve">) to comply with condition </w:t>
      </w:r>
      <w:r w:rsidR="00A87CF2">
        <w:fldChar w:fldCharType="begin"/>
      </w:r>
      <w:r w:rsidR="00A87CF2">
        <w:instrText xml:space="preserve"> REF _Ref361906960 \r \h </w:instrText>
      </w:r>
      <w:r w:rsidR="00A87CF2">
        <w:fldChar w:fldCharType="separate"/>
      </w:r>
      <w:r w:rsidR="00D30DD5">
        <w:t>4.4</w:t>
      </w:r>
      <w:r w:rsidR="00A87CF2">
        <w:fldChar w:fldCharType="end"/>
      </w:r>
      <w:r>
        <w:t xml:space="preserve">, </w:t>
      </w:r>
      <w:r w:rsidR="00934A4F">
        <w:t xml:space="preserve">the appointment must also comply with condition </w:t>
      </w:r>
      <w:r>
        <w:fldChar w:fldCharType="begin"/>
      </w:r>
      <w:r>
        <w:instrText xml:space="preserve"> REF _Ref456777324 \r \h </w:instrText>
      </w:r>
      <w:r>
        <w:fldChar w:fldCharType="separate"/>
      </w:r>
      <w:r w:rsidR="00D30DD5">
        <w:t>4.7</w:t>
      </w:r>
      <w:r>
        <w:fldChar w:fldCharType="end"/>
      </w:r>
      <w:r>
        <w:t>.</w:t>
      </w:r>
      <w:bookmarkStart w:id="77" w:name="_Ref362011716"/>
      <w:bookmarkEnd w:id="76"/>
      <w:r w:rsidRPr="00C94CB5">
        <w:t xml:space="preserve"> </w:t>
      </w:r>
      <w:bookmarkEnd w:id="77"/>
    </w:p>
    <w:p w:rsidR="00196DE9" w:rsidRPr="00196DE9" w:rsidRDefault="00934A4F" w:rsidP="00934A4F">
      <w:pPr>
        <w:pStyle w:val="List2"/>
      </w:pPr>
      <w:r>
        <w:t>1.</w:t>
      </w:r>
      <w:r>
        <w:tab/>
      </w:r>
      <w:r w:rsidR="00196DE9" w:rsidRPr="00196DE9">
        <w:t>Where an exe</w:t>
      </w:r>
      <w:r w:rsidR="00C4588D">
        <w:t>mpt customer is eligible under S</w:t>
      </w:r>
      <w:r w:rsidR="00196DE9" w:rsidRPr="00196DE9">
        <w:t xml:space="preserve">tate or </w:t>
      </w:r>
      <w:r w:rsidR="00C4588D">
        <w:t>T</w:t>
      </w:r>
      <w:r w:rsidR="00196DE9" w:rsidRPr="00196DE9">
        <w:t xml:space="preserve">erritory legislation to purchase energy from a retailer of their choice, the </w:t>
      </w:r>
      <w:r w:rsidR="003B7E70">
        <w:t xml:space="preserve">exempt embedded network service provider </w:t>
      </w:r>
      <w:r w:rsidR="00196DE9" w:rsidRPr="00196DE9">
        <w:t>must not do anything to discourage or prevent them from exercising this choice, whether by:</w:t>
      </w:r>
    </w:p>
    <w:p w:rsidR="00196DE9" w:rsidRPr="00196DE9" w:rsidRDefault="00196DE9" w:rsidP="006A1D5F">
      <w:pPr>
        <w:pStyle w:val="Listalphabet"/>
      </w:pPr>
      <w:r w:rsidRPr="00196DE9">
        <w:t>requiring the exempt customer to waive their ability to choose a retailer;</w:t>
      </w:r>
      <w:r w:rsidR="003B7E70">
        <w:t xml:space="preserve"> or</w:t>
      </w:r>
    </w:p>
    <w:p w:rsidR="00F05135" w:rsidRDefault="00196DE9" w:rsidP="006A1D5F">
      <w:pPr>
        <w:pStyle w:val="Listalphabet"/>
      </w:pPr>
      <w:r w:rsidRPr="00196DE9">
        <w:t>unreasonably hindering their efforts to find another retailer</w:t>
      </w:r>
      <w:r w:rsidR="00F05135">
        <w:t>;</w:t>
      </w:r>
      <w:r w:rsidR="006A1D5F">
        <w:t xml:space="preserve"> or</w:t>
      </w:r>
    </w:p>
    <w:p w:rsidR="00196DE9" w:rsidRDefault="006A1D5F" w:rsidP="006A1D5F">
      <w:pPr>
        <w:pStyle w:val="Listalphabet"/>
      </w:pPr>
      <w:r>
        <w:t xml:space="preserve">imposing </w:t>
      </w:r>
      <w:r w:rsidR="00F05135">
        <w:t xml:space="preserve">a requirement for compensation for </w:t>
      </w:r>
      <w:r>
        <w:t xml:space="preserve">lost capital, income or profit </w:t>
      </w:r>
      <w:r w:rsidR="003B7E70">
        <w:t>by a</w:t>
      </w:r>
      <w:r>
        <w:t xml:space="preserve"> customer exercising the right to access a market retail offer</w:t>
      </w:r>
      <w:r w:rsidR="00905048">
        <w:t>;</w:t>
      </w:r>
      <w:r w:rsidR="006352A2">
        <w:rPr>
          <w:rStyle w:val="FootnoteReference"/>
        </w:rPr>
        <w:footnoteReference w:id="35"/>
      </w:r>
      <w:r w:rsidR="003B7E70">
        <w:t xml:space="preserve"> or</w:t>
      </w:r>
    </w:p>
    <w:p w:rsidR="003B7E70" w:rsidRPr="00196DE9" w:rsidRDefault="003B7E70" w:rsidP="006A1D5F">
      <w:pPr>
        <w:pStyle w:val="Listalphabet"/>
      </w:pPr>
      <w:r>
        <w:t>allowing, causing or permitting any other person to do any of the things mentioned in (a), (b) or (c) above;</w:t>
      </w:r>
    </w:p>
    <w:p w:rsidR="00905048" w:rsidRDefault="00C97E3C" w:rsidP="00905048">
      <w:pPr>
        <w:pStyle w:val="List2"/>
      </w:pPr>
      <w:r>
        <w:tab/>
      </w:r>
      <w:r w:rsidR="00905048">
        <w:t xml:space="preserve">and, except where the requirements of section </w:t>
      </w:r>
      <w:r w:rsidR="00E0510F">
        <w:fldChar w:fldCharType="begin"/>
      </w:r>
      <w:r w:rsidR="00E0510F">
        <w:instrText xml:space="preserve"> REF _Ref468362649 \r \h </w:instrText>
      </w:r>
      <w:r w:rsidR="00E0510F">
        <w:fldChar w:fldCharType="separate"/>
      </w:r>
      <w:r w:rsidR="00E0510F">
        <w:t>4.9</w:t>
      </w:r>
      <w:r w:rsidR="00E0510F">
        <w:fldChar w:fldCharType="end"/>
      </w:r>
      <w:r w:rsidR="007E1059">
        <w:t xml:space="preserve"> </w:t>
      </w:r>
      <w:r w:rsidR="00905048">
        <w:t>have been met:</w:t>
      </w:r>
    </w:p>
    <w:p w:rsidR="00905048" w:rsidRPr="00905048" w:rsidRDefault="00905048" w:rsidP="00905048">
      <w:pPr>
        <w:pStyle w:val="Listalphabet"/>
      </w:pPr>
      <w:bookmarkStart w:id="78" w:name="_Ref457320089"/>
      <w:r w:rsidRPr="00905048">
        <w:t>an exempt embedded network service provider or agent must not alter the electrical supply arrangement to a customer or tenant in a private network directly connected to a registered distributor without the written consent of that customer</w:t>
      </w:r>
      <w:r w:rsidR="00A80AEC">
        <w:t xml:space="preserve">, resident or </w:t>
      </w:r>
      <w:r w:rsidRPr="00905048">
        <w:t>tenant, freely given; and</w:t>
      </w:r>
      <w:bookmarkEnd w:id="78"/>
      <w:r w:rsidR="00453FBF">
        <w:rPr>
          <w:rStyle w:val="FootnoteReference"/>
        </w:rPr>
        <w:footnoteReference w:id="36"/>
      </w:r>
    </w:p>
    <w:p w:rsidR="00905048" w:rsidRDefault="00905048" w:rsidP="00905048">
      <w:pPr>
        <w:pStyle w:val="Listalphabet"/>
      </w:pPr>
      <w:bookmarkStart w:id="79" w:name="_Ref457320033"/>
      <w:proofErr w:type="gramStart"/>
      <w:r>
        <w:t>a</w:t>
      </w:r>
      <w:proofErr w:type="gramEnd"/>
      <w:r w:rsidRPr="005B5C4D">
        <w:t xml:space="preserve"> customer</w:t>
      </w:r>
      <w:r>
        <w:t>, resident</w:t>
      </w:r>
      <w:r w:rsidRPr="005B5C4D">
        <w:t xml:space="preserve"> or tenant of commercial, industrial or residential premises </w:t>
      </w:r>
      <w:r>
        <w:t xml:space="preserve">must not </w:t>
      </w:r>
      <w:r w:rsidRPr="005B5C4D">
        <w:t xml:space="preserve">be compelled to become part of a private network or subject to an </w:t>
      </w:r>
      <w:r w:rsidRPr="005B5C4D">
        <w:lastRenderedPageBreak/>
        <w:t>exempt selling regime without the express written consent of that customer</w:t>
      </w:r>
      <w:r>
        <w:t>, resident</w:t>
      </w:r>
      <w:r w:rsidRPr="005B5C4D">
        <w:t xml:space="preserve"> or tenant.</w:t>
      </w:r>
      <w:bookmarkEnd w:id="79"/>
      <w:r w:rsidRPr="005B5C4D">
        <w:t xml:space="preserve"> </w:t>
      </w:r>
    </w:p>
    <w:p w:rsidR="00DB148F" w:rsidRDefault="00934A4F" w:rsidP="00934A4F">
      <w:pPr>
        <w:pStyle w:val="List2"/>
      </w:pPr>
      <w:r>
        <w:t>2.</w:t>
      </w:r>
      <w:r>
        <w:tab/>
      </w:r>
      <w:r w:rsidR="00DB148F" w:rsidRPr="00934A4F">
        <w:t>Where</w:t>
      </w:r>
      <w:r w:rsidR="00DB148F">
        <w:t xml:space="preserve"> condition </w:t>
      </w:r>
      <w:r w:rsidR="006A1D5F">
        <w:t>4.1.</w:t>
      </w:r>
      <w:r w:rsidR="00DB148F">
        <w:t xml:space="preserve">12.1 does not </w:t>
      </w:r>
      <w:r w:rsidR="00DB148F" w:rsidRPr="00934A4F">
        <w:t>apply</w:t>
      </w:r>
      <w:r w:rsidR="00DB148F">
        <w:t xml:space="preserve">, an embedded network owner must not prevent or unreasonably impede a </w:t>
      </w:r>
      <w:r w:rsidR="00A80AEC" w:rsidRPr="00A80AEC">
        <w:t xml:space="preserve">customer, resident or tenant </w:t>
      </w:r>
      <w:r w:rsidR="00DB148F">
        <w:t>within the embedded network from obtaining, at their own cost, a direct connection to the local distributor.</w:t>
      </w:r>
    </w:p>
    <w:p w:rsidR="006819BE" w:rsidRDefault="000127FB" w:rsidP="006819BE">
      <w:pPr>
        <w:pStyle w:val="Heading3"/>
      </w:pPr>
      <w:bookmarkStart w:id="80" w:name="_Toc468276082"/>
      <w:r>
        <w:t>Exemption Class condition table</w:t>
      </w:r>
      <w:r w:rsidR="00A31F4D">
        <w:t>s</w:t>
      </w:r>
      <w:bookmarkEnd w:id="80"/>
    </w:p>
    <w:p w:rsidR="00A31F4D" w:rsidRDefault="00A31F4D" w:rsidP="000127FB">
      <w:r>
        <w:t>The tables are set out on the following pages.</w:t>
      </w:r>
    </w:p>
    <w:p w:rsidR="00A31F4D" w:rsidRPr="000127FB" w:rsidRDefault="00A31F4D" w:rsidP="000127FB">
      <w:pPr>
        <w:sectPr w:rsidR="00A31F4D" w:rsidRPr="000127FB" w:rsidSect="00A04D10">
          <w:pgSz w:w="11906" w:h="16838"/>
          <w:pgMar w:top="1440" w:right="1440" w:bottom="993" w:left="1440" w:header="113" w:footer="113" w:gutter="0"/>
          <w:cols w:space="708"/>
          <w:docGrid w:linePitch="360"/>
        </w:sectPr>
      </w:pPr>
    </w:p>
    <w:p w:rsidR="006819BE" w:rsidRPr="006819BE" w:rsidRDefault="006819BE" w:rsidP="00AA2745">
      <w:pPr>
        <w:pStyle w:val="Caption"/>
      </w:pPr>
      <w:r w:rsidRPr="006819BE">
        <w:lastRenderedPageBreak/>
        <w:t xml:space="preserve">Table 6 </w:t>
      </w:r>
      <w:r w:rsidR="00BF5F61">
        <w:t>–</w:t>
      </w:r>
      <w:r w:rsidRPr="006819BE">
        <w:t xml:space="preserve"> Deemed classes of exemption </w:t>
      </w:r>
      <w:r w:rsidR="00BF5F61">
        <w:t>–</w:t>
      </w:r>
      <w:r w:rsidRPr="006819BE">
        <w:t xml:space="preserve"> energy selling</w:t>
      </w:r>
      <w:r w:rsidR="0064144F">
        <w:t xml:space="preserve"> </w:t>
      </w:r>
      <w:r w:rsidR="002E75DE">
        <w:t xml:space="preserve">or </w:t>
      </w:r>
      <w:r w:rsidR="0064144F">
        <w:t>supply</w:t>
      </w:r>
    </w:p>
    <w:tbl>
      <w:tblPr>
        <w:tblStyle w:val="AERTable-Text"/>
        <w:tblW w:w="0" w:type="auto"/>
        <w:tblLayout w:type="fixed"/>
        <w:tblLook w:val="04A0" w:firstRow="1" w:lastRow="0" w:firstColumn="1" w:lastColumn="0" w:noHBand="0" w:noVBand="1"/>
      </w:tblPr>
      <w:tblGrid>
        <w:gridCol w:w="972"/>
        <w:gridCol w:w="50"/>
        <w:gridCol w:w="910"/>
        <w:gridCol w:w="112"/>
        <w:gridCol w:w="848"/>
        <w:gridCol w:w="175"/>
        <w:gridCol w:w="785"/>
        <w:gridCol w:w="237"/>
        <w:gridCol w:w="723"/>
        <w:gridCol w:w="299"/>
        <w:gridCol w:w="661"/>
        <w:gridCol w:w="362"/>
        <w:gridCol w:w="1022"/>
        <w:gridCol w:w="182"/>
        <w:gridCol w:w="759"/>
        <w:gridCol w:w="82"/>
        <w:gridCol w:w="878"/>
        <w:gridCol w:w="144"/>
        <w:gridCol w:w="816"/>
        <w:gridCol w:w="206"/>
        <w:gridCol w:w="754"/>
        <w:gridCol w:w="269"/>
        <w:gridCol w:w="691"/>
        <w:gridCol w:w="331"/>
        <w:gridCol w:w="1023"/>
      </w:tblGrid>
      <w:tr w:rsidR="00AA2745" w:rsidRPr="00AC35B7" w:rsidTr="00AA2745">
        <w:trPr>
          <w:cnfStyle w:val="100000000000" w:firstRow="1" w:lastRow="0" w:firstColumn="0" w:lastColumn="0" w:oddVBand="0" w:evenVBand="0" w:oddHBand="0" w:evenHBand="0" w:firstRowFirstColumn="0" w:firstRowLastColumn="0" w:lastRowFirstColumn="0" w:lastRowLastColumn="0"/>
          <w:trHeight w:val="567"/>
        </w:trPr>
        <w:tc>
          <w:tcPr>
            <w:tcW w:w="972" w:type="dxa"/>
            <w:noWrap/>
            <w:hideMark/>
          </w:tcPr>
          <w:p w:rsidR="006819BE" w:rsidRPr="006819BE" w:rsidRDefault="006819BE" w:rsidP="00793504">
            <w:r w:rsidRPr="006819BE">
              <w:t> </w:t>
            </w:r>
          </w:p>
        </w:tc>
        <w:tc>
          <w:tcPr>
            <w:tcW w:w="960" w:type="dxa"/>
            <w:gridSpan w:val="2"/>
            <w:noWrap/>
            <w:hideMark/>
          </w:tcPr>
          <w:p w:rsidR="006819BE" w:rsidRPr="006819BE" w:rsidRDefault="006819BE" w:rsidP="00793504"/>
        </w:tc>
        <w:tc>
          <w:tcPr>
            <w:tcW w:w="960" w:type="dxa"/>
            <w:gridSpan w:val="2"/>
            <w:noWrap/>
            <w:hideMark/>
          </w:tcPr>
          <w:p w:rsidR="006819BE" w:rsidRPr="006819BE" w:rsidRDefault="006819BE" w:rsidP="00793504"/>
        </w:tc>
        <w:tc>
          <w:tcPr>
            <w:tcW w:w="960" w:type="dxa"/>
            <w:gridSpan w:val="2"/>
            <w:noWrap/>
            <w:hideMark/>
          </w:tcPr>
          <w:p w:rsidR="006819BE" w:rsidRPr="006819BE" w:rsidRDefault="006819BE" w:rsidP="00793504"/>
        </w:tc>
        <w:tc>
          <w:tcPr>
            <w:tcW w:w="960" w:type="dxa"/>
            <w:gridSpan w:val="2"/>
            <w:noWrap/>
            <w:hideMark/>
          </w:tcPr>
          <w:p w:rsidR="006819BE" w:rsidRPr="006819BE" w:rsidRDefault="006819BE" w:rsidP="00793504"/>
        </w:tc>
        <w:tc>
          <w:tcPr>
            <w:tcW w:w="960" w:type="dxa"/>
            <w:gridSpan w:val="2"/>
            <w:noWrap/>
            <w:hideMark/>
          </w:tcPr>
          <w:p w:rsidR="006819BE" w:rsidRPr="006819BE" w:rsidRDefault="006819BE" w:rsidP="00793504"/>
        </w:tc>
        <w:tc>
          <w:tcPr>
            <w:tcW w:w="1566" w:type="dxa"/>
            <w:gridSpan w:val="3"/>
            <w:noWrap/>
            <w:hideMark/>
          </w:tcPr>
          <w:p w:rsidR="006819BE" w:rsidRPr="006819BE" w:rsidRDefault="006819BE" w:rsidP="00793504">
            <w:r w:rsidRPr="006819BE">
              <w:t>Conditions</w:t>
            </w:r>
          </w:p>
        </w:tc>
        <w:tc>
          <w:tcPr>
            <w:tcW w:w="759" w:type="dxa"/>
            <w:noWrap/>
            <w:hideMark/>
          </w:tcPr>
          <w:p w:rsidR="006819BE" w:rsidRPr="006819BE" w:rsidRDefault="006819BE" w:rsidP="00793504"/>
        </w:tc>
        <w:tc>
          <w:tcPr>
            <w:tcW w:w="960" w:type="dxa"/>
            <w:gridSpan w:val="2"/>
            <w:noWrap/>
            <w:hideMark/>
          </w:tcPr>
          <w:p w:rsidR="006819BE" w:rsidRPr="006819BE" w:rsidRDefault="006819BE" w:rsidP="00793504"/>
        </w:tc>
        <w:tc>
          <w:tcPr>
            <w:tcW w:w="960" w:type="dxa"/>
            <w:gridSpan w:val="2"/>
            <w:noWrap/>
            <w:hideMark/>
          </w:tcPr>
          <w:p w:rsidR="006819BE" w:rsidRPr="006819BE" w:rsidRDefault="006819BE" w:rsidP="00793504"/>
        </w:tc>
        <w:tc>
          <w:tcPr>
            <w:tcW w:w="960" w:type="dxa"/>
            <w:gridSpan w:val="2"/>
            <w:noWrap/>
            <w:hideMark/>
          </w:tcPr>
          <w:p w:rsidR="006819BE" w:rsidRPr="006819BE" w:rsidRDefault="006819BE" w:rsidP="00793504"/>
        </w:tc>
        <w:tc>
          <w:tcPr>
            <w:tcW w:w="960" w:type="dxa"/>
            <w:gridSpan w:val="2"/>
            <w:noWrap/>
            <w:hideMark/>
          </w:tcPr>
          <w:p w:rsidR="006819BE" w:rsidRPr="006819BE" w:rsidRDefault="006819BE" w:rsidP="00793504"/>
        </w:tc>
        <w:tc>
          <w:tcPr>
            <w:tcW w:w="1354" w:type="dxa"/>
            <w:gridSpan w:val="2"/>
            <w:noWrap/>
            <w:hideMark/>
          </w:tcPr>
          <w:p w:rsidR="006819BE" w:rsidRPr="006819BE" w:rsidRDefault="006819BE" w:rsidP="00793504"/>
        </w:tc>
      </w:tr>
      <w:tr w:rsidR="006819BE" w:rsidRPr="00AC35B7" w:rsidTr="00AA2745">
        <w:trPr>
          <w:trHeight w:val="580"/>
        </w:trPr>
        <w:tc>
          <w:tcPr>
            <w:tcW w:w="1022" w:type="dxa"/>
            <w:gridSpan w:val="2"/>
            <w:hideMark/>
          </w:tcPr>
          <w:p w:rsidR="006819BE" w:rsidRPr="006819BE" w:rsidRDefault="006819BE" w:rsidP="00AA2745">
            <w:pPr>
              <w:pStyle w:val="Caption"/>
            </w:pPr>
            <w:r w:rsidRPr="006819BE">
              <w:t>Class</w:t>
            </w:r>
          </w:p>
        </w:tc>
        <w:tc>
          <w:tcPr>
            <w:tcW w:w="1022" w:type="dxa"/>
            <w:gridSpan w:val="2"/>
            <w:noWrap/>
            <w:hideMark/>
          </w:tcPr>
          <w:p w:rsidR="006819BE" w:rsidRPr="006819BE" w:rsidRDefault="006819BE" w:rsidP="00AA2745">
            <w:pPr>
              <w:pStyle w:val="Caption"/>
            </w:pPr>
            <w:r w:rsidRPr="006819BE">
              <w:t>1</w:t>
            </w:r>
          </w:p>
        </w:tc>
        <w:tc>
          <w:tcPr>
            <w:tcW w:w="1023" w:type="dxa"/>
            <w:gridSpan w:val="2"/>
            <w:noWrap/>
            <w:hideMark/>
          </w:tcPr>
          <w:p w:rsidR="006819BE" w:rsidRPr="006819BE" w:rsidRDefault="006819BE" w:rsidP="00AA2745">
            <w:pPr>
              <w:pStyle w:val="Caption"/>
            </w:pPr>
            <w:r w:rsidRPr="006819BE">
              <w:t>2</w:t>
            </w:r>
          </w:p>
        </w:tc>
        <w:tc>
          <w:tcPr>
            <w:tcW w:w="1022" w:type="dxa"/>
            <w:gridSpan w:val="2"/>
            <w:noWrap/>
            <w:hideMark/>
          </w:tcPr>
          <w:p w:rsidR="006819BE" w:rsidRPr="006819BE" w:rsidRDefault="006819BE" w:rsidP="00AA2745">
            <w:pPr>
              <w:pStyle w:val="Caption"/>
            </w:pPr>
            <w:r w:rsidRPr="006819BE">
              <w:t>3</w:t>
            </w:r>
          </w:p>
        </w:tc>
        <w:tc>
          <w:tcPr>
            <w:tcW w:w="1022" w:type="dxa"/>
            <w:gridSpan w:val="2"/>
            <w:noWrap/>
            <w:hideMark/>
          </w:tcPr>
          <w:p w:rsidR="006819BE" w:rsidRPr="006819BE" w:rsidRDefault="006819BE" w:rsidP="00AA2745">
            <w:pPr>
              <w:pStyle w:val="Caption"/>
            </w:pPr>
            <w:r w:rsidRPr="006819BE">
              <w:t>4</w:t>
            </w:r>
          </w:p>
        </w:tc>
        <w:tc>
          <w:tcPr>
            <w:tcW w:w="1023" w:type="dxa"/>
            <w:gridSpan w:val="2"/>
            <w:noWrap/>
            <w:hideMark/>
          </w:tcPr>
          <w:p w:rsidR="006819BE" w:rsidRPr="006819BE" w:rsidRDefault="006819BE" w:rsidP="00AA2745">
            <w:pPr>
              <w:pStyle w:val="Caption"/>
            </w:pPr>
            <w:r w:rsidRPr="006819BE">
              <w:t>5</w:t>
            </w:r>
          </w:p>
        </w:tc>
        <w:tc>
          <w:tcPr>
            <w:tcW w:w="1022" w:type="dxa"/>
            <w:noWrap/>
            <w:hideMark/>
          </w:tcPr>
          <w:p w:rsidR="006819BE" w:rsidRPr="006819BE" w:rsidRDefault="006819BE" w:rsidP="00AA2745">
            <w:pPr>
              <w:pStyle w:val="Caption"/>
            </w:pPr>
            <w:r w:rsidRPr="006819BE">
              <w:t>6</w:t>
            </w:r>
          </w:p>
        </w:tc>
        <w:tc>
          <w:tcPr>
            <w:tcW w:w="1023" w:type="dxa"/>
            <w:gridSpan w:val="3"/>
            <w:noWrap/>
            <w:hideMark/>
          </w:tcPr>
          <w:p w:rsidR="006819BE" w:rsidRPr="006819BE" w:rsidRDefault="006819BE" w:rsidP="00AA2745">
            <w:pPr>
              <w:pStyle w:val="Caption"/>
            </w:pPr>
            <w:r w:rsidRPr="006819BE">
              <w:t>7</w:t>
            </w:r>
          </w:p>
        </w:tc>
        <w:tc>
          <w:tcPr>
            <w:tcW w:w="1022" w:type="dxa"/>
            <w:gridSpan w:val="2"/>
            <w:noWrap/>
            <w:hideMark/>
          </w:tcPr>
          <w:p w:rsidR="006819BE" w:rsidRPr="006819BE" w:rsidRDefault="006819BE" w:rsidP="00AA2745">
            <w:pPr>
              <w:pStyle w:val="Caption"/>
            </w:pPr>
            <w:r w:rsidRPr="006819BE">
              <w:t>8</w:t>
            </w:r>
          </w:p>
        </w:tc>
        <w:tc>
          <w:tcPr>
            <w:tcW w:w="1022" w:type="dxa"/>
            <w:gridSpan w:val="2"/>
            <w:noWrap/>
            <w:hideMark/>
          </w:tcPr>
          <w:p w:rsidR="006819BE" w:rsidRPr="006819BE" w:rsidRDefault="006819BE" w:rsidP="00AA2745">
            <w:pPr>
              <w:pStyle w:val="Caption"/>
            </w:pPr>
            <w:r w:rsidRPr="006819BE">
              <w:t>9</w:t>
            </w:r>
          </w:p>
        </w:tc>
        <w:tc>
          <w:tcPr>
            <w:tcW w:w="1023" w:type="dxa"/>
            <w:gridSpan w:val="2"/>
            <w:noWrap/>
            <w:hideMark/>
          </w:tcPr>
          <w:p w:rsidR="006819BE" w:rsidRPr="006819BE" w:rsidRDefault="006819BE" w:rsidP="00AA2745">
            <w:pPr>
              <w:pStyle w:val="Caption"/>
            </w:pPr>
            <w:r w:rsidRPr="006819BE">
              <w:t>10</w:t>
            </w:r>
          </w:p>
        </w:tc>
        <w:tc>
          <w:tcPr>
            <w:tcW w:w="1022" w:type="dxa"/>
            <w:gridSpan w:val="2"/>
            <w:noWrap/>
            <w:hideMark/>
          </w:tcPr>
          <w:p w:rsidR="006819BE" w:rsidRPr="006819BE" w:rsidRDefault="006819BE" w:rsidP="00AA2745">
            <w:pPr>
              <w:pStyle w:val="Caption"/>
            </w:pPr>
            <w:r w:rsidRPr="006819BE">
              <w:t>11</w:t>
            </w:r>
          </w:p>
        </w:tc>
        <w:tc>
          <w:tcPr>
            <w:tcW w:w="1023" w:type="dxa"/>
            <w:noWrap/>
            <w:hideMark/>
          </w:tcPr>
          <w:p w:rsidR="006819BE" w:rsidRPr="006819BE" w:rsidRDefault="006819BE" w:rsidP="00AA2745">
            <w:pPr>
              <w:pStyle w:val="Caption"/>
            </w:pPr>
            <w:r w:rsidRPr="006819BE">
              <w:t>12</w:t>
            </w:r>
          </w:p>
        </w:tc>
      </w:tr>
      <w:tr w:rsidR="00AA2745" w:rsidRPr="00AC35B7" w:rsidTr="00AA2745">
        <w:trPr>
          <w:cnfStyle w:val="000000010000" w:firstRow="0" w:lastRow="0" w:firstColumn="0" w:lastColumn="0" w:oddVBand="0" w:evenVBand="0" w:oddHBand="0" w:evenHBand="1" w:firstRowFirstColumn="0" w:firstRowLastColumn="0" w:lastRowFirstColumn="0" w:lastRowLastColumn="0"/>
          <w:trHeight w:val="526"/>
        </w:trPr>
        <w:tc>
          <w:tcPr>
            <w:tcW w:w="1022" w:type="dxa"/>
            <w:gridSpan w:val="2"/>
            <w:hideMark/>
          </w:tcPr>
          <w:p w:rsidR="006819BE" w:rsidRPr="006819BE" w:rsidRDefault="006819BE" w:rsidP="00793504">
            <w:r w:rsidRPr="006819BE">
              <w:t>ND1</w:t>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6819BE" w:rsidP="00793504">
            <w:r w:rsidRPr="006819BE">
              <w:sym w:font="Wingdings 2" w:char="0050"/>
            </w:r>
          </w:p>
        </w:tc>
        <w:tc>
          <w:tcPr>
            <w:tcW w:w="1022" w:type="dxa"/>
            <w:noWrap/>
            <w:hideMark/>
          </w:tcPr>
          <w:p w:rsidR="006819BE" w:rsidRPr="006819BE" w:rsidRDefault="006819BE" w:rsidP="00793504">
            <w:r w:rsidRPr="006819BE">
              <w:sym w:font="Wingdings 2" w:char="0050"/>
            </w:r>
          </w:p>
        </w:tc>
        <w:tc>
          <w:tcPr>
            <w:tcW w:w="1023" w:type="dxa"/>
            <w:gridSpan w:val="3"/>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rPr>
                <w:rStyle w:val="AERtextsize8"/>
              </w:rPr>
              <w:t>Not applicable</w:t>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sym w:font="Wingdings 2" w:char="0050"/>
            </w:r>
          </w:p>
        </w:tc>
        <w:tc>
          <w:tcPr>
            <w:tcW w:w="1023" w:type="dxa"/>
            <w:noWrap/>
            <w:hideMark/>
          </w:tcPr>
          <w:p w:rsidR="006819BE" w:rsidRPr="006819BE" w:rsidRDefault="006819BE" w:rsidP="00793504">
            <w:r w:rsidRPr="006819BE">
              <w:sym w:font="Wingdings 2" w:char="0050"/>
            </w:r>
          </w:p>
        </w:tc>
      </w:tr>
      <w:tr w:rsidR="006819BE" w:rsidRPr="00AC35B7" w:rsidTr="00AA2745">
        <w:trPr>
          <w:trHeight w:val="534"/>
        </w:trPr>
        <w:tc>
          <w:tcPr>
            <w:tcW w:w="1022" w:type="dxa"/>
            <w:gridSpan w:val="2"/>
            <w:hideMark/>
          </w:tcPr>
          <w:p w:rsidR="006819BE" w:rsidRPr="006819BE" w:rsidRDefault="006819BE" w:rsidP="00793504">
            <w:r w:rsidRPr="006819BE">
              <w:t>ND2</w:t>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6819BE" w:rsidP="00793504">
            <w:r w:rsidRPr="006819BE">
              <w:sym w:font="Wingdings 2" w:char="0050"/>
            </w:r>
          </w:p>
        </w:tc>
        <w:tc>
          <w:tcPr>
            <w:tcW w:w="1022" w:type="dxa"/>
            <w:noWrap/>
            <w:hideMark/>
          </w:tcPr>
          <w:p w:rsidR="006819BE" w:rsidRPr="006819BE" w:rsidRDefault="006819BE" w:rsidP="00793504">
            <w:r w:rsidRPr="006819BE">
              <w:sym w:font="Wingdings 2" w:char="0050"/>
            </w:r>
          </w:p>
        </w:tc>
        <w:tc>
          <w:tcPr>
            <w:tcW w:w="1023" w:type="dxa"/>
            <w:gridSpan w:val="3"/>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rPr>
                <w:rStyle w:val="AERtextsize8"/>
              </w:rPr>
              <w:t>Not applicable</w:t>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sym w:font="Wingdings 2" w:char="0050"/>
            </w:r>
          </w:p>
        </w:tc>
        <w:tc>
          <w:tcPr>
            <w:tcW w:w="1023" w:type="dxa"/>
            <w:noWrap/>
            <w:hideMark/>
          </w:tcPr>
          <w:p w:rsidR="006819BE" w:rsidRPr="006819BE" w:rsidRDefault="006819BE" w:rsidP="00793504">
            <w:r w:rsidRPr="006819BE">
              <w:sym w:font="Wingdings 2" w:char="0050"/>
            </w:r>
          </w:p>
        </w:tc>
      </w:tr>
      <w:tr w:rsidR="00AA2745" w:rsidRPr="00AC35B7" w:rsidTr="00AA2745">
        <w:trPr>
          <w:cnfStyle w:val="000000010000" w:firstRow="0" w:lastRow="0" w:firstColumn="0" w:lastColumn="0" w:oddVBand="0" w:evenVBand="0" w:oddHBand="0" w:evenHBand="1" w:firstRowFirstColumn="0" w:firstRowLastColumn="0" w:lastRowFirstColumn="0" w:lastRowLastColumn="0"/>
          <w:trHeight w:val="570"/>
        </w:trPr>
        <w:tc>
          <w:tcPr>
            <w:tcW w:w="1022" w:type="dxa"/>
            <w:gridSpan w:val="2"/>
            <w:hideMark/>
          </w:tcPr>
          <w:p w:rsidR="006819BE" w:rsidRPr="006819BE" w:rsidRDefault="006819BE" w:rsidP="00793504">
            <w:r w:rsidRPr="006819BE">
              <w:t>ND3</w:t>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6819BE" w:rsidP="00793504">
            <w:r w:rsidRPr="006819BE">
              <w:sym w:font="Wingdings 2" w:char="0050"/>
            </w:r>
          </w:p>
        </w:tc>
        <w:tc>
          <w:tcPr>
            <w:tcW w:w="1022" w:type="dxa"/>
            <w:noWrap/>
            <w:hideMark/>
          </w:tcPr>
          <w:p w:rsidR="006819BE" w:rsidRPr="006819BE" w:rsidRDefault="006819BE" w:rsidP="00793504">
            <w:r w:rsidRPr="006819BE">
              <w:sym w:font="Wingdings 2" w:char="0050"/>
            </w:r>
          </w:p>
        </w:tc>
        <w:tc>
          <w:tcPr>
            <w:tcW w:w="1023" w:type="dxa"/>
            <w:gridSpan w:val="3"/>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rPr>
                <w:rStyle w:val="AERtextsize8"/>
              </w:rPr>
              <w:t>Not applicable</w:t>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sym w:font="Wingdings 2" w:char="0050"/>
            </w:r>
          </w:p>
        </w:tc>
        <w:tc>
          <w:tcPr>
            <w:tcW w:w="1023" w:type="dxa"/>
            <w:noWrap/>
            <w:hideMark/>
          </w:tcPr>
          <w:p w:rsidR="006819BE" w:rsidRPr="006819BE" w:rsidRDefault="006819BE" w:rsidP="00793504">
            <w:r w:rsidRPr="006819BE">
              <w:sym w:font="Wingdings 2" w:char="0050"/>
            </w:r>
          </w:p>
        </w:tc>
      </w:tr>
      <w:tr w:rsidR="006819BE" w:rsidRPr="00AC35B7" w:rsidTr="00AA2745">
        <w:trPr>
          <w:trHeight w:val="394"/>
        </w:trPr>
        <w:tc>
          <w:tcPr>
            <w:tcW w:w="1022" w:type="dxa"/>
            <w:gridSpan w:val="2"/>
            <w:hideMark/>
          </w:tcPr>
          <w:p w:rsidR="006819BE" w:rsidRPr="006819BE" w:rsidRDefault="006819BE" w:rsidP="00793504">
            <w:r w:rsidRPr="006819BE">
              <w:t>ND4</w:t>
            </w:r>
          </w:p>
        </w:tc>
        <w:tc>
          <w:tcPr>
            <w:tcW w:w="1022" w:type="dxa"/>
            <w:gridSpan w:val="2"/>
            <w:noWrap/>
            <w:hideMark/>
          </w:tcPr>
          <w:p w:rsidR="006819BE" w:rsidRPr="006819BE" w:rsidRDefault="000940B5" w:rsidP="00793504">
            <w:pPr>
              <w:rPr>
                <w:rStyle w:val="AERtextsize8"/>
              </w:rPr>
            </w:pPr>
            <w:r>
              <w:rPr>
                <w:rStyle w:val="AERtextsize8"/>
              </w:rPr>
              <w:t>Not applicable</w:t>
            </w:r>
          </w:p>
        </w:tc>
        <w:tc>
          <w:tcPr>
            <w:tcW w:w="1023" w:type="dxa"/>
            <w:gridSpan w:val="2"/>
            <w:noWrap/>
            <w:hideMark/>
          </w:tcPr>
          <w:p w:rsidR="006819BE" w:rsidRPr="006819BE" w:rsidRDefault="000940B5" w:rsidP="00793504">
            <w:r>
              <w:rPr>
                <w:rStyle w:val="AERtextsize8"/>
              </w:rPr>
              <w:t>Not applicable</w:t>
            </w:r>
          </w:p>
        </w:tc>
        <w:tc>
          <w:tcPr>
            <w:tcW w:w="1022" w:type="dxa"/>
            <w:gridSpan w:val="2"/>
            <w:noWrap/>
            <w:hideMark/>
          </w:tcPr>
          <w:p w:rsidR="006819BE" w:rsidRPr="006819BE" w:rsidRDefault="008E4BE3" w:rsidP="00793504">
            <w:r w:rsidRPr="008E4BE3">
              <w:sym w:font="Wingdings 2" w:char="0050"/>
            </w:r>
          </w:p>
        </w:tc>
        <w:tc>
          <w:tcPr>
            <w:tcW w:w="1022" w:type="dxa"/>
            <w:gridSpan w:val="2"/>
            <w:noWrap/>
            <w:hideMark/>
          </w:tcPr>
          <w:p w:rsidR="006819BE" w:rsidRPr="006819BE" w:rsidRDefault="000940B5" w:rsidP="00793504">
            <w:r>
              <w:rPr>
                <w:rStyle w:val="AERtextsize8"/>
              </w:rPr>
              <w:t>Not applicable</w:t>
            </w:r>
          </w:p>
        </w:tc>
        <w:tc>
          <w:tcPr>
            <w:tcW w:w="1023" w:type="dxa"/>
            <w:gridSpan w:val="2"/>
            <w:noWrap/>
            <w:hideMark/>
          </w:tcPr>
          <w:p w:rsidR="006819BE" w:rsidRPr="006819BE" w:rsidRDefault="000940B5" w:rsidP="00793504">
            <w:r>
              <w:rPr>
                <w:rStyle w:val="AERtextsize8"/>
              </w:rPr>
              <w:t>Not applicable</w:t>
            </w:r>
          </w:p>
        </w:tc>
        <w:tc>
          <w:tcPr>
            <w:tcW w:w="1022" w:type="dxa"/>
            <w:noWrap/>
            <w:hideMark/>
          </w:tcPr>
          <w:p w:rsidR="006819BE" w:rsidRPr="006819BE" w:rsidRDefault="000940B5" w:rsidP="00793504">
            <w:r>
              <w:rPr>
                <w:rStyle w:val="AERtextsize8"/>
              </w:rPr>
              <w:t>Not applicable</w:t>
            </w:r>
          </w:p>
        </w:tc>
        <w:tc>
          <w:tcPr>
            <w:tcW w:w="1023" w:type="dxa"/>
            <w:gridSpan w:val="3"/>
            <w:noWrap/>
            <w:hideMark/>
          </w:tcPr>
          <w:p w:rsidR="006819BE" w:rsidRPr="006819BE" w:rsidRDefault="000940B5" w:rsidP="00793504">
            <w:r>
              <w:rPr>
                <w:rStyle w:val="AERtextsize8"/>
              </w:rPr>
              <w:t>Not applicable</w:t>
            </w:r>
          </w:p>
        </w:tc>
        <w:tc>
          <w:tcPr>
            <w:tcW w:w="1022" w:type="dxa"/>
            <w:gridSpan w:val="2"/>
            <w:noWrap/>
            <w:hideMark/>
          </w:tcPr>
          <w:p w:rsidR="006819BE" w:rsidRPr="006819BE" w:rsidRDefault="000940B5" w:rsidP="00793504">
            <w:r>
              <w:rPr>
                <w:rStyle w:val="AERtextsize8"/>
              </w:rPr>
              <w:t>Not applicable</w:t>
            </w:r>
          </w:p>
        </w:tc>
        <w:tc>
          <w:tcPr>
            <w:tcW w:w="1022" w:type="dxa"/>
            <w:gridSpan w:val="2"/>
            <w:noWrap/>
            <w:hideMark/>
          </w:tcPr>
          <w:p w:rsidR="006819BE" w:rsidRPr="006819BE" w:rsidRDefault="007A56DD" w:rsidP="00793504">
            <w:r w:rsidRPr="007A56DD">
              <w:sym w:font="Wingdings 2" w:char="0050"/>
            </w:r>
          </w:p>
        </w:tc>
        <w:tc>
          <w:tcPr>
            <w:tcW w:w="1023" w:type="dxa"/>
            <w:gridSpan w:val="2"/>
            <w:noWrap/>
            <w:hideMark/>
          </w:tcPr>
          <w:p w:rsidR="006819BE" w:rsidRPr="006819BE" w:rsidRDefault="000940B5" w:rsidP="00793504">
            <w:r>
              <w:rPr>
                <w:rStyle w:val="AERtextsize8"/>
              </w:rPr>
              <w:t>Not applicable</w:t>
            </w:r>
          </w:p>
        </w:tc>
        <w:tc>
          <w:tcPr>
            <w:tcW w:w="1022" w:type="dxa"/>
            <w:gridSpan w:val="2"/>
            <w:noWrap/>
            <w:hideMark/>
          </w:tcPr>
          <w:p w:rsidR="006819BE" w:rsidRPr="006819BE" w:rsidRDefault="000940B5" w:rsidP="00793504">
            <w:r>
              <w:rPr>
                <w:rStyle w:val="AERtextsize8"/>
              </w:rPr>
              <w:t>Not applicable</w:t>
            </w:r>
          </w:p>
        </w:tc>
        <w:tc>
          <w:tcPr>
            <w:tcW w:w="1023" w:type="dxa"/>
            <w:noWrap/>
            <w:hideMark/>
          </w:tcPr>
          <w:p w:rsidR="006819BE" w:rsidRPr="006819BE" w:rsidRDefault="000940B5" w:rsidP="00793504">
            <w:r>
              <w:rPr>
                <w:rStyle w:val="AERtextsize8"/>
              </w:rPr>
              <w:t>Not applicable</w:t>
            </w:r>
          </w:p>
        </w:tc>
      </w:tr>
      <w:tr w:rsidR="00AA2745" w:rsidRPr="00AC35B7" w:rsidTr="00AA2745">
        <w:trPr>
          <w:cnfStyle w:val="000000010000" w:firstRow="0" w:lastRow="0" w:firstColumn="0" w:lastColumn="0" w:oddVBand="0" w:evenVBand="0" w:oddHBand="0" w:evenHBand="1" w:firstRowFirstColumn="0" w:firstRowLastColumn="0" w:lastRowFirstColumn="0" w:lastRowLastColumn="0"/>
          <w:trHeight w:val="556"/>
        </w:trPr>
        <w:tc>
          <w:tcPr>
            <w:tcW w:w="1022" w:type="dxa"/>
            <w:gridSpan w:val="2"/>
            <w:hideMark/>
          </w:tcPr>
          <w:p w:rsidR="006819BE" w:rsidRPr="006819BE" w:rsidRDefault="006819BE" w:rsidP="00793504">
            <w:r w:rsidRPr="006819BE">
              <w:t>ND5</w:t>
            </w:r>
          </w:p>
        </w:tc>
        <w:tc>
          <w:tcPr>
            <w:tcW w:w="1022" w:type="dxa"/>
            <w:gridSpan w:val="2"/>
            <w:noWrap/>
            <w:hideMark/>
          </w:tcPr>
          <w:p w:rsidR="006819BE" w:rsidRPr="006819BE" w:rsidRDefault="006819BE" w:rsidP="00793504">
            <w:r w:rsidRPr="006819BE">
              <w:rPr>
                <w:rStyle w:val="AERtextsize8"/>
              </w:rPr>
              <w:t>Not applicable</w:t>
            </w:r>
          </w:p>
        </w:tc>
        <w:tc>
          <w:tcPr>
            <w:tcW w:w="1023" w:type="dxa"/>
            <w:gridSpan w:val="2"/>
            <w:noWrap/>
            <w:hideMark/>
          </w:tcPr>
          <w:p w:rsidR="006819BE" w:rsidRPr="006819BE" w:rsidRDefault="006819BE" w:rsidP="00793504">
            <w:r w:rsidRPr="006819BE">
              <w:rPr>
                <w:rStyle w:val="AERtextsize8"/>
              </w:rPr>
              <w:t>Not applicable</w:t>
            </w:r>
          </w:p>
        </w:tc>
        <w:tc>
          <w:tcPr>
            <w:tcW w:w="1022" w:type="dxa"/>
            <w:gridSpan w:val="2"/>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rPr>
                <w:rStyle w:val="AERtextsize8"/>
              </w:rPr>
              <w:t>Not applicable</w:t>
            </w:r>
          </w:p>
        </w:tc>
        <w:tc>
          <w:tcPr>
            <w:tcW w:w="1023" w:type="dxa"/>
            <w:gridSpan w:val="2"/>
            <w:noWrap/>
            <w:hideMark/>
          </w:tcPr>
          <w:p w:rsidR="006819BE" w:rsidRPr="006819BE" w:rsidRDefault="006819BE" w:rsidP="00793504">
            <w:r w:rsidRPr="006819BE">
              <w:rPr>
                <w:rStyle w:val="AERtextsize8"/>
              </w:rPr>
              <w:t>Not applicable</w:t>
            </w:r>
          </w:p>
        </w:tc>
        <w:tc>
          <w:tcPr>
            <w:tcW w:w="1022" w:type="dxa"/>
            <w:noWrap/>
            <w:hideMark/>
          </w:tcPr>
          <w:p w:rsidR="006819BE" w:rsidRPr="006819BE" w:rsidRDefault="006819BE" w:rsidP="00793504">
            <w:r w:rsidRPr="006819BE">
              <w:rPr>
                <w:rStyle w:val="AERtextsize8"/>
              </w:rPr>
              <w:t>Not applicable</w:t>
            </w:r>
          </w:p>
        </w:tc>
        <w:tc>
          <w:tcPr>
            <w:tcW w:w="1023" w:type="dxa"/>
            <w:gridSpan w:val="3"/>
            <w:noWrap/>
            <w:hideMark/>
          </w:tcPr>
          <w:p w:rsidR="006819BE" w:rsidRPr="006819BE" w:rsidRDefault="006819BE" w:rsidP="00793504">
            <w:r w:rsidRPr="006819BE">
              <w:rPr>
                <w:rStyle w:val="AERtextsize8"/>
              </w:rPr>
              <w:t>Not applicable</w:t>
            </w:r>
          </w:p>
        </w:tc>
        <w:tc>
          <w:tcPr>
            <w:tcW w:w="1022" w:type="dxa"/>
            <w:gridSpan w:val="2"/>
            <w:noWrap/>
            <w:hideMark/>
          </w:tcPr>
          <w:p w:rsidR="006819BE" w:rsidRPr="006819BE" w:rsidRDefault="006819BE" w:rsidP="00793504">
            <w:r w:rsidRPr="006819BE">
              <w:rPr>
                <w:rStyle w:val="AERtextsize8"/>
              </w:rPr>
              <w:t>Not applicable</w:t>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6819BE" w:rsidP="00793504">
            <w:r w:rsidRPr="006819BE">
              <w:rPr>
                <w:rStyle w:val="AERtextsize8"/>
              </w:rPr>
              <w:t>Not applicable</w:t>
            </w:r>
          </w:p>
        </w:tc>
        <w:tc>
          <w:tcPr>
            <w:tcW w:w="1022" w:type="dxa"/>
            <w:gridSpan w:val="2"/>
            <w:noWrap/>
            <w:hideMark/>
          </w:tcPr>
          <w:p w:rsidR="006819BE" w:rsidRPr="006819BE" w:rsidRDefault="006819BE" w:rsidP="00793504">
            <w:r w:rsidRPr="006819BE">
              <w:rPr>
                <w:rStyle w:val="AERtextsize8"/>
              </w:rPr>
              <w:t>Not applicable</w:t>
            </w:r>
          </w:p>
        </w:tc>
        <w:tc>
          <w:tcPr>
            <w:tcW w:w="1023" w:type="dxa"/>
            <w:noWrap/>
            <w:hideMark/>
          </w:tcPr>
          <w:p w:rsidR="006819BE" w:rsidRPr="006819BE" w:rsidRDefault="006819BE" w:rsidP="00793504">
            <w:r w:rsidRPr="006819BE">
              <w:rPr>
                <w:rStyle w:val="AERtextsize8"/>
              </w:rPr>
              <w:t>Not applicable</w:t>
            </w:r>
          </w:p>
        </w:tc>
      </w:tr>
      <w:tr w:rsidR="006819BE" w:rsidRPr="00AC35B7" w:rsidTr="00AA2745">
        <w:trPr>
          <w:trHeight w:val="536"/>
        </w:trPr>
        <w:tc>
          <w:tcPr>
            <w:tcW w:w="1022" w:type="dxa"/>
            <w:gridSpan w:val="2"/>
            <w:hideMark/>
          </w:tcPr>
          <w:p w:rsidR="006819BE" w:rsidRPr="006819BE" w:rsidRDefault="006819BE" w:rsidP="00793504">
            <w:r w:rsidRPr="006819BE">
              <w:t>ND6</w:t>
            </w:r>
          </w:p>
        </w:tc>
        <w:tc>
          <w:tcPr>
            <w:tcW w:w="1022" w:type="dxa"/>
            <w:gridSpan w:val="2"/>
            <w:noWrap/>
            <w:hideMark/>
          </w:tcPr>
          <w:p w:rsidR="006819BE" w:rsidRPr="006819BE" w:rsidRDefault="006819BE" w:rsidP="00793504">
            <w:pPr>
              <w:rPr>
                <w:rStyle w:val="AERtextsize8"/>
              </w:rPr>
            </w:pPr>
            <w:r w:rsidRPr="006819BE">
              <w:rPr>
                <w:rStyle w:val="AERtextsize8"/>
              </w:rPr>
              <w:t>Not applicable</w:t>
            </w:r>
          </w:p>
        </w:tc>
        <w:tc>
          <w:tcPr>
            <w:tcW w:w="1023" w:type="dxa"/>
            <w:gridSpan w:val="2"/>
            <w:noWrap/>
            <w:hideMark/>
          </w:tcPr>
          <w:p w:rsidR="006819BE" w:rsidRPr="006819BE" w:rsidRDefault="006819BE" w:rsidP="00793504">
            <w:r w:rsidRPr="006819BE">
              <w:rPr>
                <w:rStyle w:val="AERtextsize8"/>
              </w:rPr>
              <w:t>Not applicable</w:t>
            </w:r>
          </w:p>
        </w:tc>
        <w:tc>
          <w:tcPr>
            <w:tcW w:w="1022" w:type="dxa"/>
            <w:gridSpan w:val="2"/>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6819BE" w:rsidP="00793504">
            <w:r w:rsidRPr="006819BE">
              <w:sym w:font="Wingdings 2" w:char="0050"/>
            </w:r>
          </w:p>
        </w:tc>
        <w:tc>
          <w:tcPr>
            <w:tcW w:w="1022" w:type="dxa"/>
            <w:noWrap/>
            <w:hideMark/>
          </w:tcPr>
          <w:p w:rsidR="006819BE" w:rsidRPr="006819BE" w:rsidRDefault="006819BE" w:rsidP="00793504">
            <w:r w:rsidRPr="006819BE">
              <w:sym w:font="Wingdings 2" w:char="0050"/>
            </w:r>
          </w:p>
        </w:tc>
        <w:tc>
          <w:tcPr>
            <w:tcW w:w="1023" w:type="dxa"/>
            <w:gridSpan w:val="3"/>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rPr>
                <w:rStyle w:val="AERtextsize8"/>
              </w:rPr>
              <w:t>Not applicable</w:t>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sym w:font="Wingdings 2" w:char="0050"/>
            </w:r>
          </w:p>
        </w:tc>
        <w:tc>
          <w:tcPr>
            <w:tcW w:w="1023" w:type="dxa"/>
            <w:noWrap/>
            <w:hideMark/>
          </w:tcPr>
          <w:p w:rsidR="006819BE" w:rsidRPr="006819BE" w:rsidRDefault="006819BE" w:rsidP="00793504">
            <w:r w:rsidRPr="006819BE">
              <w:sym w:font="Wingdings 2" w:char="0050"/>
            </w:r>
          </w:p>
        </w:tc>
      </w:tr>
      <w:tr w:rsidR="00AA2745" w:rsidRPr="00AC35B7" w:rsidTr="00AA2745">
        <w:trPr>
          <w:cnfStyle w:val="000000010000" w:firstRow="0" w:lastRow="0" w:firstColumn="0" w:lastColumn="0" w:oddVBand="0" w:evenVBand="0" w:oddHBand="0" w:evenHBand="1" w:firstRowFirstColumn="0" w:firstRowLastColumn="0" w:lastRowFirstColumn="0" w:lastRowLastColumn="0"/>
          <w:trHeight w:val="403"/>
        </w:trPr>
        <w:tc>
          <w:tcPr>
            <w:tcW w:w="1022" w:type="dxa"/>
            <w:gridSpan w:val="2"/>
            <w:hideMark/>
          </w:tcPr>
          <w:p w:rsidR="006819BE" w:rsidRPr="006819BE" w:rsidRDefault="006819BE" w:rsidP="00793504">
            <w:r w:rsidRPr="006819BE">
              <w:t>ND7</w:t>
            </w:r>
          </w:p>
        </w:tc>
        <w:tc>
          <w:tcPr>
            <w:tcW w:w="1022" w:type="dxa"/>
            <w:gridSpan w:val="2"/>
            <w:noWrap/>
            <w:hideMark/>
          </w:tcPr>
          <w:p w:rsidR="006819BE" w:rsidRPr="006819BE" w:rsidRDefault="000940B5" w:rsidP="00793504">
            <w:r>
              <w:rPr>
                <w:rStyle w:val="AERtextsize8"/>
              </w:rPr>
              <w:t>Not applicable</w:t>
            </w:r>
          </w:p>
        </w:tc>
        <w:tc>
          <w:tcPr>
            <w:tcW w:w="1023" w:type="dxa"/>
            <w:gridSpan w:val="2"/>
            <w:noWrap/>
            <w:hideMark/>
          </w:tcPr>
          <w:p w:rsidR="006819BE" w:rsidRPr="006819BE" w:rsidRDefault="000940B5" w:rsidP="00793504">
            <w:r>
              <w:rPr>
                <w:rStyle w:val="AERtextsize8"/>
              </w:rPr>
              <w:t>Not applicable</w:t>
            </w:r>
          </w:p>
        </w:tc>
        <w:tc>
          <w:tcPr>
            <w:tcW w:w="1022" w:type="dxa"/>
            <w:gridSpan w:val="2"/>
            <w:noWrap/>
            <w:hideMark/>
          </w:tcPr>
          <w:p w:rsidR="006819BE" w:rsidRPr="006819BE" w:rsidRDefault="000940B5" w:rsidP="00793504">
            <w:r>
              <w:rPr>
                <w:rStyle w:val="AERtextsize8"/>
              </w:rPr>
              <w:t>Not applicable</w:t>
            </w:r>
          </w:p>
        </w:tc>
        <w:tc>
          <w:tcPr>
            <w:tcW w:w="1022" w:type="dxa"/>
            <w:gridSpan w:val="2"/>
            <w:noWrap/>
            <w:hideMark/>
          </w:tcPr>
          <w:p w:rsidR="006819BE" w:rsidRPr="006819BE" w:rsidRDefault="000940B5" w:rsidP="00793504">
            <w:r>
              <w:rPr>
                <w:rStyle w:val="AERtextsize8"/>
              </w:rPr>
              <w:t>Not applicable</w:t>
            </w:r>
          </w:p>
        </w:tc>
        <w:tc>
          <w:tcPr>
            <w:tcW w:w="1023" w:type="dxa"/>
            <w:gridSpan w:val="2"/>
            <w:noWrap/>
            <w:hideMark/>
          </w:tcPr>
          <w:p w:rsidR="006819BE" w:rsidRPr="006819BE" w:rsidRDefault="000940B5" w:rsidP="00793504">
            <w:r>
              <w:rPr>
                <w:rStyle w:val="AERtextsize8"/>
              </w:rPr>
              <w:t>Not applicable</w:t>
            </w:r>
          </w:p>
        </w:tc>
        <w:tc>
          <w:tcPr>
            <w:tcW w:w="1022" w:type="dxa"/>
            <w:noWrap/>
            <w:hideMark/>
          </w:tcPr>
          <w:p w:rsidR="006819BE" w:rsidRPr="006819BE" w:rsidRDefault="000940B5" w:rsidP="00793504">
            <w:r>
              <w:rPr>
                <w:rStyle w:val="AERtextsize8"/>
              </w:rPr>
              <w:t>Not applicable</w:t>
            </w:r>
          </w:p>
        </w:tc>
        <w:tc>
          <w:tcPr>
            <w:tcW w:w="1023" w:type="dxa"/>
            <w:gridSpan w:val="3"/>
            <w:noWrap/>
            <w:hideMark/>
          </w:tcPr>
          <w:p w:rsidR="006819BE" w:rsidRPr="006819BE" w:rsidRDefault="000940B5" w:rsidP="00793504">
            <w:r>
              <w:rPr>
                <w:rStyle w:val="AERtextsize8"/>
              </w:rPr>
              <w:t>Not applicable</w:t>
            </w:r>
          </w:p>
        </w:tc>
        <w:tc>
          <w:tcPr>
            <w:tcW w:w="1022" w:type="dxa"/>
            <w:gridSpan w:val="2"/>
            <w:noWrap/>
            <w:hideMark/>
          </w:tcPr>
          <w:p w:rsidR="006819BE" w:rsidRPr="006819BE" w:rsidRDefault="000940B5" w:rsidP="00793504">
            <w:r>
              <w:rPr>
                <w:rStyle w:val="AERtextsize8"/>
              </w:rPr>
              <w:t>Not applicable</w:t>
            </w:r>
          </w:p>
        </w:tc>
        <w:tc>
          <w:tcPr>
            <w:tcW w:w="1022" w:type="dxa"/>
            <w:gridSpan w:val="2"/>
            <w:noWrap/>
            <w:hideMark/>
          </w:tcPr>
          <w:p w:rsidR="006819BE" w:rsidRPr="006819BE" w:rsidRDefault="000940B5" w:rsidP="00793504">
            <w:r>
              <w:rPr>
                <w:rStyle w:val="AERtextsize8"/>
              </w:rPr>
              <w:t>Not applicable</w:t>
            </w:r>
          </w:p>
        </w:tc>
        <w:tc>
          <w:tcPr>
            <w:tcW w:w="1023" w:type="dxa"/>
            <w:gridSpan w:val="2"/>
            <w:noWrap/>
            <w:hideMark/>
          </w:tcPr>
          <w:p w:rsidR="006819BE" w:rsidRPr="006819BE" w:rsidRDefault="000940B5" w:rsidP="00793504">
            <w:r>
              <w:rPr>
                <w:rStyle w:val="AERtextsize8"/>
              </w:rPr>
              <w:t>Not applicable</w:t>
            </w:r>
          </w:p>
        </w:tc>
        <w:tc>
          <w:tcPr>
            <w:tcW w:w="1022" w:type="dxa"/>
            <w:gridSpan w:val="2"/>
            <w:noWrap/>
            <w:hideMark/>
          </w:tcPr>
          <w:p w:rsidR="006819BE" w:rsidRPr="006819BE" w:rsidRDefault="000940B5" w:rsidP="00793504">
            <w:r>
              <w:rPr>
                <w:rStyle w:val="AERtextsize8"/>
              </w:rPr>
              <w:t>Not applicable</w:t>
            </w:r>
          </w:p>
        </w:tc>
        <w:tc>
          <w:tcPr>
            <w:tcW w:w="1023" w:type="dxa"/>
            <w:noWrap/>
            <w:hideMark/>
          </w:tcPr>
          <w:p w:rsidR="006819BE" w:rsidRPr="006819BE" w:rsidRDefault="000940B5" w:rsidP="00793504">
            <w:r>
              <w:rPr>
                <w:rStyle w:val="AERtextsize8"/>
              </w:rPr>
              <w:t>Not applicable</w:t>
            </w:r>
          </w:p>
        </w:tc>
      </w:tr>
      <w:tr w:rsidR="000940B5" w:rsidRPr="00AC35B7" w:rsidTr="00AA2745">
        <w:trPr>
          <w:trHeight w:val="551"/>
        </w:trPr>
        <w:tc>
          <w:tcPr>
            <w:tcW w:w="1022" w:type="dxa"/>
            <w:gridSpan w:val="2"/>
            <w:hideMark/>
          </w:tcPr>
          <w:p w:rsidR="000940B5" w:rsidRPr="006819BE" w:rsidRDefault="000940B5" w:rsidP="000940B5">
            <w:r w:rsidRPr="006819BE">
              <w:t>ND8</w:t>
            </w:r>
          </w:p>
        </w:tc>
        <w:tc>
          <w:tcPr>
            <w:tcW w:w="1022" w:type="dxa"/>
            <w:gridSpan w:val="2"/>
            <w:noWrap/>
            <w:hideMark/>
          </w:tcPr>
          <w:p w:rsidR="000940B5" w:rsidRPr="000940B5" w:rsidRDefault="000940B5" w:rsidP="000940B5">
            <w:r w:rsidRPr="000940B5">
              <w:sym w:font="Wingdings 2" w:char="0050"/>
            </w:r>
          </w:p>
        </w:tc>
        <w:tc>
          <w:tcPr>
            <w:tcW w:w="1023" w:type="dxa"/>
            <w:gridSpan w:val="2"/>
            <w:noWrap/>
            <w:hideMark/>
          </w:tcPr>
          <w:p w:rsidR="000940B5" w:rsidRPr="000940B5" w:rsidRDefault="000940B5" w:rsidP="000940B5">
            <w:r w:rsidRPr="000940B5">
              <w:sym w:font="Wingdings 2" w:char="0050"/>
            </w:r>
          </w:p>
        </w:tc>
        <w:tc>
          <w:tcPr>
            <w:tcW w:w="1022" w:type="dxa"/>
            <w:gridSpan w:val="2"/>
            <w:noWrap/>
            <w:hideMark/>
          </w:tcPr>
          <w:p w:rsidR="000940B5" w:rsidRPr="000940B5" w:rsidRDefault="000940B5" w:rsidP="000940B5">
            <w:r w:rsidRPr="000940B5">
              <w:sym w:font="Wingdings 2" w:char="0050"/>
            </w:r>
          </w:p>
        </w:tc>
        <w:tc>
          <w:tcPr>
            <w:tcW w:w="1022" w:type="dxa"/>
            <w:gridSpan w:val="2"/>
            <w:noWrap/>
            <w:hideMark/>
          </w:tcPr>
          <w:p w:rsidR="000940B5" w:rsidRPr="000940B5" w:rsidRDefault="000940B5" w:rsidP="000940B5">
            <w:r w:rsidRPr="000940B5">
              <w:sym w:font="Wingdings 2" w:char="0050"/>
            </w:r>
          </w:p>
        </w:tc>
        <w:tc>
          <w:tcPr>
            <w:tcW w:w="1023" w:type="dxa"/>
            <w:gridSpan w:val="2"/>
            <w:noWrap/>
            <w:hideMark/>
          </w:tcPr>
          <w:p w:rsidR="000940B5" w:rsidRPr="000940B5" w:rsidRDefault="000940B5" w:rsidP="000940B5">
            <w:r w:rsidRPr="000940B5">
              <w:sym w:font="Wingdings 2" w:char="0050"/>
            </w:r>
          </w:p>
        </w:tc>
        <w:tc>
          <w:tcPr>
            <w:tcW w:w="1022" w:type="dxa"/>
            <w:noWrap/>
            <w:hideMark/>
          </w:tcPr>
          <w:p w:rsidR="000940B5" w:rsidRPr="000940B5" w:rsidRDefault="000940B5" w:rsidP="000940B5">
            <w:r w:rsidRPr="000940B5">
              <w:sym w:font="Wingdings 2" w:char="0050"/>
            </w:r>
          </w:p>
        </w:tc>
        <w:tc>
          <w:tcPr>
            <w:tcW w:w="1023" w:type="dxa"/>
            <w:gridSpan w:val="3"/>
            <w:noWrap/>
            <w:hideMark/>
          </w:tcPr>
          <w:p w:rsidR="000940B5" w:rsidRPr="000940B5" w:rsidRDefault="000940B5" w:rsidP="000940B5">
            <w:r w:rsidRPr="000940B5">
              <w:sym w:font="Wingdings 2" w:char="0050"/>
            </w:r>
          </w:p>
        </w:tc>
        <w:tc>
          <w:tcPr>
            <w:tcW w:w="1022" w:type="dxa"/>
            <w:gridSpan w:val="2"/>
            <w:noWrap/>
            <w:hideMark/>
          </w:tcPr>
          <w:p w:rsidR="000940B5" w:rsidRPr="000940B5" w:rsidRDefault="000940B5" w:rsidP="000940B5">
            <w:r w:rsidRPr="006819BE">
              <w:rPr>
                <w:rStyle w:val="AERtextsize8"/>
              </w:rPr>
              <w:t>Not applicable</w:t>
            </w:r>
          </w:p>
        </w:tc>
        <w:tc>
          <w:tcPr>
            <w:tcW w:w="1022" w:type="dxa"/>
            <w:gridSpan w:val="2"/>
            <w:noWrap/>
            <w:hideMark/>
          </w:tcPr>
          <w:p w:rsidR="000940B5" w:rsidRPr="000940B5" w:rsidRDefault="000940B5" w:rsidP="000940B5">
            <w:r w:rsidRPr="000940B5">
              <w:sym w:font="Wingdings 2" w:char="0050"/>
            </w:r>
          </w:p>
        </w:tc>
        <w:tc>
          <w:tcPr>
            <w:tcW w:w="1023" w:type="dxa"/>
            <w:gridSpan w:val="2"/>
            <w:noWrap/>
            <w:hideMark/>
          </w:tcPr>
          <w:p w:rsidR="000940B5" w:rsidRPr="000940B5" w:rsidRDefault="000940B5" w:rsidP="000940B5">
            <w:r w:rsidRPr="006819BE">
              <w:rPr>
                <w:rStyle w:val="AERtextsize8"/>
              </w:rPr>
              <w:t>Not applicable</w:t>
            </w:r>
          </w:p>
        </w:tc>
        <w:tc>
          <w:tcPr>
            <w:tcW w:w="1022" w:type="dxa"/>
            <w:gridSpan w:val="2"/>
            <w:noWrap/>
            <w:hideMark/>
          </w:tcPr>
          <w:p w:rsidR="000940B5" w:rsidRPr="000940B5" w:rsidRDefault="000940B5" w:rsidP="000940B5">
            <w:r w:rsidRPr="006819BE">
              <w:rPr>
                <w:rStyle w:val="AERtextsize8"/>
              </w:rPr>
              <w:t>Not applicable</w:t>
            </w:r>
          </w:p>
        </w:tc>
        <w:tc>
          <w:tcPr>
            <w:tcW w:w="1023" w:type="dxa"/>
            <w:noWrap/>
            <w:hideMark/>
          </w:tcPr>
          <w:p w:rsidR="000940B5" w:rsidRPr="000940B5" w:rsidRDefault="000940B5" w:rsidP="000940B5">
            <w:r w:rsidRPr="006819BE">
              <w:rPr>
                <w:rStyle w:val="AERtextsize8"/>
              </w:rPr>
              <w:t>Not applicable</w:t>
            </w:r>
          </w:p>
        </w:tc>
      </w:tr>
      <w:tr w:rsidR="00AA2745" w:rsidRPr="00AC35B7" w:rsidTr="00AA2745">
        <w:trPr>
          <w:cnfStyle w:val="000000010000" w:firstRow="0" w:lastRow="0" w:firstColumn="0" w:lastColumn="0" w:oddVBand="0" w:evenVBand="0" w:oddHBand="0" w:evenHBand="1" w:firstRowFirstColumn="0" w:firstRowLastColumn="0" w:lastRowFirstColumn="0" w:lastRowLastColumn="0"/>
          <w:trHeight w:val="545"/>
        </w:trPr>
        <w:tc>
          <w:tcPr>
            <w:tcW w:w="1022" w:type="dxa"/>
            <w:gridSpan w:val="2"/>
            <w:hideMark/>
          </w:tcPr>
          <w:p w:rsidR="006819BE" w:rsidRPr="006819BE" w:rsidRDefault="006819BE" w:rsidP="00793504">
            <w:r w:rsidRPr="006819BE">
              <w:t>ND9</w:t>
            </w:r>
          </w:p>
        </w:tc>
        <w:tc>
          <w:tcPr>
            <w:tcW w:w="1022" w:type="dxa"/>
            <w:gridSpan w:val="2"/>
            <w:noWrap/>
            <w:hideMark/>
          </w:tcPr>
          <w:p w:rsidR="006819BE" w:rsidRPr="006819BE" w:rsidRDefault="006819BE" w:rsidP="00793504">
            <w:r w:rsidRPr="006819BE">
              <w:rPr>
                <w:rStyle w:val="AERtextsize8"/>
              </w:rPr>
              <w:t>Not applicable</w:t>
            </w:r>
          </w:p>
        </w:tc>
        <w:tc>
          <w:tcPr>
            <w:tcW w:w="1023" w:type="dxa"/>
            <w:gridSpan w:val="2"/>
            <w:noWrap/>
            <w:hideMark/>
          </w:tcPr>
          <w:p w:rsidR="006819BE" w:rsidRPr="006819BE" w:rsidRDefault="006819BE" w:rsidP="00793504">
            <w:r w:rsidRPr="006819BE">
              <w:rPr>
                <w:rStyle w:val="AERtextsize8"/>
              </w:rPr>
              <w:t>Not applicable</w:t>
            </w:r>
          </w:p>
        </w:tc>
        <w:tc>
          <w:tcPr>
            <w:tcW w:w="1022" w:type="dxa"/>
            <w:gridSpan w:val="2"/>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6819BE" w:rsidP="00793504">
            <w:r w:rsidRPr="006819BE">
              <w:rPr>
                <w:rStyle w:val="AERtextsize8"/>
              </w:rPr>
              <w:t>Not applicable</w:t>
            </w:r>
          </w:p>
        </w:tc>
        <w:tc>
          <w:tcPr>
            <w:tcW w:w="1022" w:type="dxa"/>
            <w:noWrap/>
            <w:hideMark/>
          </w:tcPr>
          <w:p w:rsidR="006819BE" w:rsidRPr="006819BE" w:rsidRDefault="006819BE" w:rsidP="00793504">
            <w:r w:rsidRPr="006819BE">
              <w:sym w:font="Wingdings 2" w:char="0050"/>
            </w:r>
          </w:p>
        </w:tc>
        <w:tc>
          <w:tcPr>
            <w:tcW w:w="1023" w:type="dxa"/>
            <w:gridSpan w:val="3"/>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rPr>
                <w:rStyle w:val="AERtextsize8"/>
              </w:rPr>
              <w:t>Not applicable</w:t>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6819BE" w:rsidP="00793504">
            <w:r w:rsidRPr="006819BE">
              <w:rPr>
                <w:rStyle w:val="AERtextsize8"/>
              </w:rPr>
              <w:t>Not applicable</w:t>
            </w:r>
          </w:p>
        </w:tc>
        <w:tc>
          <w:tcPr>
            <w:tcW w:w="1022" w:type="dxa"/>
            <w:gridSpan w:val="2"/>
            <w:noWrap/>
            <w:hideMark/>
          </w:tcPr>
          <w:p w:rsidR="006819BE" w:rsidRPr="006819BE" w:rsidRDefault="006819BE" w:rsidP="00793504">
            <w:r w:rsidRPr="006819BE">
              <w:rPr>
                <w:rStyle w:val="AERtextsize8"/>
              </w:rPr>
              <w:t>Not applicable</w:t>
            </w:r>
          </w:p>
        </w:tc>
        <w:tc>
          <w:tcPr>
            <w:tcW w:w="1023" w:type="dxa"/>
            <w:noWrap/>
            <w:hideMark/>
          </w:tcPr>
          <w:p w:rsidR="006819BE" w:rsidRPr="006819BE" w:rsidRDefault="006819BE" w:rsidP="00793504">
            <w:r w:rsidRPr="006819BE">
              <w:rPr>
                <w:rStyle w:val="AERtextsize8"/>
              </w:rPr>
              <w:t>Not applicable</w:t>
            </w:r>
          </w:p>
        </w:tc>
      </w:tr>
      <w:tr w:rsidR="006819BE" w:rsidRPr="00AC35B7" w:rsidTr="00AA2745">
        <w:trPr>
          <w:trHeight w:val="426"/>
        </w:trPr>
        <w:tc>
          <w:tcPr>
            <w:tcW w:w="1022" w:type="dxa"/>
            <w:gridSpan w:val="2"/>
            <w:noWrap/>
            <w:hideMark/>
          </w:tcPr>
          <w:p w:rsidR="006819BE" w:rsidRPr="006819BE" w:rsidRDefault="006819BE" w:rsidP="00793504">
            <w:r w:rsidRPr="006819BE">
              <w:t>ND10</w:t>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6819BE" w:rsidP="00793504">
            <w:r w:rsidRPr="006819BE">
              <w:sym w:font="Wingdings 2" w:char="0050"/>
            </w:r>
          </w:p>
        </w:tc>
        <w:tc>
          <w:tcPr>
            <w:tcW w:w="1022" w:type="dxa"/>
            <w:noWrap/>
            <w:hideMark/>
          </w:tcPr>
          <w:p w:rsidR="006819BE" w:rsidRPr="006819BE" w:rsidRDefault="006819BE" w:rsidP="00793504">
            <w:r w:rsidRPr="006819BE">
              <w:sym w:font="Wingdings 2" w:char="0050"/>
            </w:r>
          </w:p>
        </w:tc>
        <w:tc>
          <w:tcPr>
            <w:tcW w:w="1023" w:type="dxa"/>
            <w:gridSpan w:val="3"/>
            <w:noWrap/>
            <w:hideMark/>
          </w:tcPr>
          <w:p w:rsidR="006819BE" w:rsidRPr="006819BE" w:rsidRDefault="006819BE" w:rsidP="00793504">
            <w:pPr>
              <w:rPr>
                <w:rStyle w:val="AERtextsize8"/>
              </w:rPr>
            </w:pPr>
            <w:r w:rsidRPr="006819BE">
              <w:sym w:font="Wingdings 2" w:char="0050"/>
            </w:r>
          </w:p>
        </w:tc>
        <w:tc>
          <w:tcPr>
            <w:tcW w:w="1022" w:type="dxa"/>
            <w:gridSpan w:val="2"/>
            <w:noWrap/>
            <w:hideMark/>
          </w:tcPr>
          <w:p w:rsidR="006819BE" w:rsidRPr="006819BE" w:rsidRDefault="006819BE" w:rsidP="00793504">
            <w:r w:rsidRPr="006819BE">
              <w:rPr>
                <w:rStyle w:val="AERtextsize8"/>
              </w:rPr>
              <w:t>Not applicable</w:t>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0127FB" w:rsidP="000127FB">
            <w:pPr>
              <w:rPr>
                <w:rStyle w:val="AERtextsize8"/>
              </w:rPr>
            </w:pPr>
            <w:r w:rsidRPr="006819BE">
              <w:rPr>
                <w:rStyle w:val="AERtextsize8"/>
              </w:rPr>
              <w:t>Not applicable</w:t>
            </w:r>
            <w:r w:rsidRPr="000127FB">
              <w:t xml:space="preserve"> </w:t>
            </w:r>
          </w:p>
        </w:tc>
        <w:tc>
          <w:tcPr>
            <w:tcW w:w="1022" w:type="dxa"/>
            <w:gridSpan w:val="2"/>
            <w:noWrap/>
            <w:hideMark/>
          </w:tcPr>
          <w:p w:rsidR="006819BE" w:rsidRPr="006819BE" w:rsidRDefault="000940B5" w:rsidP="00793504">
            <w:pPr>
              <w:rPr>
                <w:rStyle w:val="AERtextsize8"/>
              </w:rPr>
            </w:pPr>
            <w:r w:rsidRPr="006819BE">
              <w:rPr>
                <w:rStyle w:val="AERtextsize8"/>
              </w:rPr>
              <w:t>Not applicable</w:t>
            </w:r>
          </w:p>
        </w:tc>
        <w:tc>
          <w:tcPr>
            <w:tcW w:w="1023" w:type="dxa"/>
            <w:noWrap/>
            <w:hideMark/>
          </w:tcPr>
          <w:p w:rsidR="006819BE" w:rsidRPr="006819BE" w:rsidRDefault="006819BE" w:rsidP="00793504">
            <w:pPr>
              <w:rPr>
                <w:rStyle w:val="AERtextsize8"/>
              </w:rPr>
            </w:pPr>
            <w:r w:rsidRPr="006819BE">
              <w:sym w:font="Wingdings 2" w:char="0050"/>
            </w:r>
          </w:p>
        </w:tc>
      </w:tr>
    </w:tbl>
    <w:p w:rsidR="006819BE" w:rsidRPr="006819BE" w:rsidRDefault="006819BE" w:rsidP="006819BE"/>
    <w:p w:rsidR="006819BE" w:rsidRPr="006819BE" w:rsidRDefault="006819BE" w:rsidP="00AA2745">
      <w:pPr>
        <w:pStyle w:val="Caption"/>
      </w:pPr>
      <w:r w:rsidRPr="006819BE">
        <w:t xml:space="preserve">Table 7 </w:t>
      </w:r>
      <w:r w:rsidR="00BF5F61">
        <w:t>–</w:t>
      </w:r>
      <w:r w:rsidRPr="006819BE">
        <w:t xml:space="preserve"> Deemed classes of exemption </w:t>
      </w:r>
      <w:r w:rsidR="00BF5F61">
        <w:t>–</w:t>
      </w:r>
      <w:r w:rsidRPr="006819BE">
        <w:t xml:space="preserve"> other situations</w:t>
      </w:r>
    </w:p>
    <w:tbl>
      <w:tblPr>
        <w:tblStyle w:val="AERTable-Text"/>
        <w:tblW w:w="0" w:type="auto"/>
        <w:tblLayout w:type="fixed"/>
        <w:tblLook w:val="04A0" w:firstRow="1" w:lastRow="0" w:firstColumn="1" w:lastColumn="0" w:noHBand="0" w:noVBand="1"/>
      </w:tblPr>
      <w:tblGrid>
        <w:gridCol w:w="960"/>
        <w:gridCol w:w="39"/>
        <w:gridCol w:w="921"/>
        <w:gridCol w:w="78"/>
        <w:gridCol w:w="882"/>
        <w:gridCol w:w="117"/>
        <w:gridCol w:w="843"/>
        <w:gridCol w:w="156"/>
        <w:gridCol w:w="804"/>
        <w:gridCol w:w="196"/>
        <w:gridCol w:w="764"/>
        <w:gridCol w:w="235"/>
        <w:gridCol w:w="999"/>
        <w:gridCol w:w="236"/>
        <w:gridCol w:w="763"/>
        <w:gridCol w:w="197"/>
        <w:gridCol w:w="803"/>
        <w:gridCol w:w="157"/>
        <w:gridCol w:w="842"/>
        <w:gridCol w:w="118"/>
        <w:gridCol w:w="881"/>
        <w:gridCol w:w="79"/>
        <w:gridCol w:w="920"/>
        <w:gridCol w:w="40"/>
        <w:gridCol w:w="960"/>
      </w:tblGrid>
      <w:tr w:rsidR="006819BE" w:rsidRPr="00AC35B7" w:rsidTr="00A31F4D">
        <w:trPr>
          <w:cnfStyle w:val="100000000000" w:firstRow="1" w:lastRow="0" w:firstColumn="0" w:lastColumn="0" w:oddVBand="0" w:evenVBand="0" w:oddHBand="0" w:evenHBand="0" w:firstRowFirstColumn="0" w:firstRowLastColumn="0" w:lastRowFirstColumn="0" w:lastRowLastColumn="0"/>
          <w:trHeight w:val="315"/>
        </w:trPr>
        <w:tc>
          <w:tcPr>
            <w:tcW w:w="960" w:type="dxa"/>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1470" w:type="dxa"/>
            <w:gridSpan w:val="3"/>
            <w:noWrap/>
            <w:hideMark/>
          </w:tcPr>
          <w:p w:rsidR="006819BE" w:rsidRPr="006819BE" w:rsidRDefault="006819BE" w:rsidP="00793504">
            <w:r w:rsidRPr="006819BE">
              <w:t>Conditions</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noWrap/>
            <w:hideMark/>
          </w:tcPr>
          <w:p w:rsidR="006819BE" w:rsidRPr="006819BE" w:rsidRDefault="006819BE" w:rsidP="00793504">
            <w:r w:rsidRPr="006819BE">
              <w:t> </w:t>
            </w:r>
          </w:p>
        </w:tc>
      </w:tr>
      <w:tr w:rsidR="006819BE" w:rsidRPr="00AC35B7" w:rsidTr="00A31F4D">
        <w:trPr>
          <w:trHeight w:val="681"/>
        </w:trPr>
        <w:tc>
          <w:tcPr>
            <w:tcW w:w="999" w:type="dxa"/>
            <w:gridSpan w:val="2"/>
            <w:noWrap/>
          </w:tcPr>
          <w:p w:rsidR="006819BE" w:rsidRPr="006819BE" w:rsidRDefault="006819BE" w:rsidP="00AA2745">
            <w:pPr>
              <w:pStyle w:val="Caption"/>
            </w:pPr>
            <w:r w:rsidRPr="006819BE">
              <w:t>Class</w:t>
            </w:r>
          </w:p>
        </w:tc>
        <w:tc>
          <w:tcPr>
            <w:tcW w:w="999" w:type="dxa"/>
            <w:gridSpan w:val="2"/>
            <w:noWrap/>
            <w:hideMark/>
          </w:tcPr>
          <w:p w:rsidR="006819BE" w:rsidRPr="006819BE" w:rsidRDefault="006819BE" w:rsidP="00AA2745">
            <w:pPr>
              <w:pStyle w:val="Caption"/>
            </w:pPr>
            <w:r w:rsidRPr="006819BE">
              <w:t>1</w:t>
            </w:r>
          </w:p>
        </w:tc>
        <w:tc>
          <w:tcPr>
            <w:tcW w:w="999" w:type="dxa"/>
            <w:gridSpan w:val="2"/>
            <w:noWrap/>
            <w:hideMark/>
          </w:tcPr>
          <w:p w:rsidR="006819BE" w:rsidRPr="006819BE" w:rsidRDefault="006819BE" w:rsidP="00AA2745">
            <w:pPr>
              <w:pStyle w:val="Caption"/>
            </w:pPr>
            <w:r w:rsidRPr="006819BE">
              <w:t>2</w:t>
            </w:r>
          </w:p>
        </w:tc>
        <w:tc>
          <w:tcPr>
            <w:tcW w:w="999" w:type="dxa"/>
            <w:gridSpan w:val="2"/>
            <w:noWrap/>
            <w:hideMark/>
          </w:tcPr>
          <w:p w:rsidR="006819BE" w:rsidRPr="006819BE" w:rsidRDefault="006819BE" w:rsidP="00AA2745">
            <w:pPr>
              <w:pStyle w:val="Caption"/>
            </w:pPr>
            <w:r w:rsidRPr="006819BE">
              <w:t>3</w:t>
            </w:r>
          </w:p>
        </w:tc>
        <w:tc>
          <w:tcPr>
            <w:tcW w:w="1000" w:type="dxa"/>
            <w:gridSpan w:val="2"/>
            <w:noWrap/>
            <w:hideMark/>
          </w:tcPr>
          <w:p w:rsidR="006819BE" w:rsidRPr="006819BE" w:rsidRDefault="006819BE" w:rsidP="00AA2745">
            <w:pPr>
              <w:pStyle w:val="Caption"/>
            </w:pPr>
            <w:r w:rsidRPr="006819BE">
              <w:t>4</w:t>
            </w:r>
          </w:p>
        </w:tc>
        <w:tc>
          <w:tcPr>
            <w:tcW w:w="999" w:type="dxa"/>
            <w:gridSpan w:val="2"/>
            <w:noWrap/>
            <w:hideMark/>
          </w:tcPr>
          <w:p w:rsidR="006819BE" w:rsidRPr="006819BE" w:rsidRDefault="006819BE" w:rsidP="00AA2745">
            <w:pPr>
              <w:pStyle w:val="Caption"/>
            </w:pPr>
            <w:r w:rsidRPr="006819BE">
              <w:t>5</w:t>
            </w:r>
          </w:p>
        </w:tc>
        <w:tc>
          <w:tcPr>
            <w:tcW w:w="999" w:type="dxa"/>
            <w:noWrap/>
            <w:hideMark/>
          </w:tcPr>
          <w:p w:rsidR="006819BE" w:rsidRPr="006819BE" w:rsidRDefault="006819BE" w:rsidP="00AA2745">
            <w:pPr>
              <w:pStyle w:val="Caption"/>
            </w:pPr>
            <w:r w:rsidRPr="006819BE">
              <w:t>6</w:t>
            </w:r>
          </w:p>
        </w:tc>
        <w:tc>
          <w:tcPr>
            <w:tcW w:w="999" w:type="dxa"/>
            <w:gridSpan w:val="2"/>
            <w:noWrap/>
            <w:hideMark/>
          </w:tcPr>
          <w:p w:rsidR="006819BE" w:rsidRPr="006819BE" w:rsidRDefault="006819BE" w:rsidP="00AA2745">
            <w:pPr>
              <w:pStyle w:val="Caption"/>
            </w:pPr>
            <w:r w:rsidRPr="006819BE">
              <w:t>7</w:t>
            </w:r>
          </w:p>
        </w:tc>
        <w:tc>
          <w:tcPr>
            <w:tcW w:w="1000" w:type="dxa"/>
            <w:gridSpan w:val="2"/>
            <w:noWrap/>
            <w:hideMark/>
          </w:tcPr>
          <w:p w:rsidR="006819BE" w:rsidRPr="006819BE" w:rsidRDefault="006819BE" w:rsidP="00AA2745">
            <w:pPr>
              <w:pStyle w:val="Caption"/>
            </w:pPr>
            <w:r w:rsidRPr="006819BE">
              <w:t>8</w:t>
            </w:r>
          </w:p>
        </w:tc>
        <w:tc>
          <w:tcPr>
            <w:tcW w:w="999" w:type="dxa"/>
            <w:gridSpan w:val="2"/>
            <w:noWrap/>
            <w:hideMark/>
          </w:tcPr>
          <w:p w:rsidR="006819BE" w:rsidRPr="006819BE" w:rsidRDefault="006819BE" w:rsidP="00AA2745">
            <w:pPr>
              <w:pStyle w:val="Caption"/>
            </w:pPr>
            <w:r w:rsidRPr="006819BE">
              <w:t>9</w:t>
            </w:r>
          </w:p>
        </w:tc>
        <w:tc>
          <w:tcPr>
            <w:tcW w:w="999" w:type="dxa"/>
            <w:gridSpan w:val="2"/>
            <w:noWrap/>
            <w:hideMark/>
          </w:tcPr>
          <w:p w:rsidR="006819BE" w:rsidRPr="006819BE" w:rsidRDefault="006819BE" w:rsidP="00AA2745">
            <w:pPr>
              <w:pStyle w:val="Caption"/>
            </w:pPr>
            <w:r w:rsidRPr="006819BE">
              <w:t>10</w:t>
            </w:r>
          </w:p>
        </w:tc>
        <w:tc>
          <w:tcPr>
            <w:tcW w:w="999" w:type="dxa"/>
            <w:gridSpan w:val="2"/>
            <w:noWrap/>
            <w:hideMark/>
          </w:tcPr>
          <w:p w:rsidR="006819BE" w:rsidRPr="006819BE" w:rsidRDefault="006819BE" w:rsidP="00AA2745">
            <w:pPr>
              <w:pStyle w:val="Caption"/>
            </w:pPr>
            <w:r w:rsidRPr="006819BE">
              <w:t>11</w:t>
            </w:r>
          </w:p>
        </w:tc>
        <w:tc>
          <w:tcPr>
            <w:tcW w:w="1000" w:type="dxa"/>
            <w:gridSpan w:val="2"/>
            <w:noWrap/>
            <w:hideMark/>
          </w:tcPr>
          <w:p w:rsidR="006819BE" w:rsidRPr="006819BE" w:rsidRDefault="006819BE" w:rsidP="00AA2745">
            <w:pPr>
              <w:pStyle w:val="Caption"/>
            </w:pPr>
            <w:r w:rsidRPr="006819BE">
              <w:t>12</w:t>
            </w:r>
          </w:p>
        </w:tc>
      </w:tr>
      <w:tr w:rsidR="006819BE" w:rsidRPr="00AC35B7" w:rsidTr="00A31F4D">
        <w:trPr>
          <w:cnfStyle w:val="000000010000" w:firstRow="0" w:lastRow="0" w:firstColumn="0" w:lastColumn="0" w:oddVBand="0" w:evenVBand="0" w:oddHBand="0" w:evenHBand="1" w:firstRowFirstColumn="0" w:firstRowLastColumn="0" w:lastRowFirstColumn="0" w:lastRowLastColumn="0"/>
          <w:trHeight w:val="681"/>
        </w:trPr>
        <w:tc>
          <w:tcPr>
            <w:tcW w:w="999" w:type="dxa"/>
            <w:gridSpan w:val="2"/>
            <w:hideMark/>
          </w:tcPr>
          <w:p w:rsidR="006819BE" w:rsidRPr="006819BE" w:rsidRDefault="006819BE" w:rsidP="000940B5">
            <w:pPr>
              <w:pStyle w:val="Tabletext"/>
            </w:pPr>
            <w:r w:rsidRPr="006819BE">
              <w:t>NDO1</w:t>
            </w:r>
          </w:p>
        </w:tc>
        <w:tc>
          <w:tcPr>
            <w:tcW w:w="999" w:type="dxa"/>
            <w:gridSpan w:val="2"/>
            <w:noWrap/>
            <w:hideMark/>
          </w:tcPr>
          <w:p w:rsidR="006819BE" w:rsidRPr="006819BE" w:rsidRDefault="006819BE" w:rsidP="000940B5">
            <w:pPr>
              <w:pStyle w:val="Tabletext"/>
            </w:pPr>
            <w:r w:rsidRPr="006819BE">
              <w:sym w:font="Wingdings 2" w:char="0050"/>
            </w:r>
          </w:p>
        </w:tc>
        <w:tc>
          <w:tcPr>
            <w:tcW w:w="999" w:type="dxa"/>
            <w:gridSpan w:val="2"/>
            <w:noWrap/>
            <w:hideMark/>
          </w:tcPr>
          <w:p w:rsidR="006819BE" w:rsidRPr="006819BE" w:rsidRDefault="006819BE" w:rsidP="000940B5">
            <w:pPr>
              <w:pStyle w:val="Tabletext"/>
            </w:pPr>
            <w:r w:rsidRPr="006819BE">
              <w:sym w:font="Wingdings 2" w:char="0050"/>
            </w:r>
          </w:p>
        </w:tc>
        <w:tc>
          <w:tcPr>
            <w:tcW w:w="999" w:type="dxa"/>
            <w:gridSpan w:val="2"/>
            <w:noWrap/>
            <w:hideMark/>
          </w:tcPr>
          <w:p w:rsidR="006819BE" w:rsidRPr="006819BE" w:rsidRDefault="006819BE" w:rsidP="000940B5">
            <w:pPr>
              <w:pStyle w:val="Tabletext"/>
            </w:pPr>
            <w:r w:rsidRPr="006819BE">
              <w:sym w:font="Wingdings 2" w:char="0050"/>
            </w:r>
          </w:p>
        </w:tc>
        <w:tc>
          <w:tcPr>
            <w:tcW w:w="1000" w:type="dxa"/>
            <w:gridSpan w:val="2"/>
            <w:noWrap/>
            <w:hideMark/>
          </w:tcPr>
          <w:p w:rsidR="006819BE" w:rsidRPr="006819BE" w:rsidRDefault="006819BE" w:rsidP="000940B5">
            <w:pPr>
              <w:pStyle w:val="Tabletext"/>
            </w:pPr>
            <w:r w:rsidRPr="006819BE">
              <w:sym w:font="Wingdings 2" w:char="0050"/>
            </w:r>
          </w:p>
        </w:tc>
        <w:tc>
          <w:tcPr>
            <w:tcW w:w="999" w:type="dxa"/>
            <w:gridSpan w:val="2"/>
            <w:noWrap/>
            <w:hideMark/>
          </w:tcPr>
          <w:p w:rsidR="006819BE" w:rsidRPr="006819BE" w:rsidRDefault="006819BE" w:rsidP="000940B5">
            <w:pPr>
              <w:pStyle w:val="Tabletext"/>
            </w:pPr>
            <w:r w:rsidRPr="006819BE">
              <w:sym w:font="Wingdings 2" w:char="0050"/>
            </w:r>
          </w:p>
        </w:tc>
        <w:tc>
          <w:tcPr>
            <w:tcW w:w="999" w:type="dxa"/>
            <w:noWrap/>
            <w:hideMark/>
          </w:tcPr>
          <w:p w:rsidR="006819BE" w:rsidRPr="006819BE" w:rsidRDefault="006819BE" w:rsidP="000940B5">
            <w:pPr>
              <w:pStyle w:val="Tabletext"/>
            </w:pPr>
            <w:r w:rsidRPr="006819BE">
              <w:sym w:font="Wingdings 2" w:char="0050"/>
            </w:r>
          </w:p>
        </w:tc>
        <w:tc>
          <w:tcPr>
            <w:tcW w:w="999" w:type="dxa"/>
            <w:gridSpan w:val="2"/>
            <w:noWrap/>
            <w:hideMark/>
          </w:tcPr>
          <w:p w:rsidR="006819BE" w:rsidRPr="006819BE" w:rsidRDefault="006819BE" w:rsidP="000940B5">
            <w:pPr>
              <w:pStyle w:val="Tabletext"/>
            </w:pPr>
            <w:r w:rsidRPr="006819BE">
              <w:sym w:font="Wingdings 2" w:char="0050"/>
            </w:r>
          </w:p>
        </w:tc>
        <w:tc>
          <w:tcPr>
            <w:tcW w:w="1000"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sym w:font="Wingdings 2" w:char="0050"/>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1000" w:type="dxa"/>
            <w:gridSpan w:val="2"/>
            <w:noWrap/>
            <w:hideMark/>
          </w:tcPr>
          <w:p w:rsidR="006819BE" w:rsidRPr="006819BE" w:rsidRDefault="006819BE" w:rsidP="000940B5">
            <w:pPr>
              <w:pStyle w:val="Tabletext"/>
            </w:pPr>
            <w:r w:rsidRPr="006819BE">
              <w:rPr>
                <w:rStyle w:val="AERtextsize8"/>
              </w:rPr>
              <w:t>Not applicable</w:t>
            </w:r>
          </w:p>
        </w:tc>
      </w:tr>
      <w:tr w:rsidR="006819BE" w:rsidRPr="00AC35B7" w:rsidTr="00A31F4D">
        <w:trPr>
          <w:trHeight w:val="681"/>
        </w:trPr>
        <w:tc>
          <w:tcPr>
            <w:tcW w:w="999" w:type="dxa"/>
            <w:gridSpan w:val="2"/>
            <w:hideMark/>
          </w:tcPr>
          <w:p w:rsidR="006819BE" w:rsidRPr="006819BE" w:rsidRDefault="006819BE" w:rsidP="000940B5">
            <w:pPr>
              <w:pStyle w:val="Tabletext"/>
            </w:pPr>
            <w:r w:rsidRPr="006819BE">
              <w:t>NDO2</w:t>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sym w:font="Wingdings 2" w:char="0050"/>
            </w:r>
          </w:p>
        </w:tc>
        <w:tc>
          <w:tcPr>
            <w:tcW w:w="1000"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999" w:type="dxa"/>
            <w:noWrap/>
            <w:hideMark/>
          </w:tcPr>
          <w:p w:rsidR="006819BE" w:rsidRPr="006819BE" w:rsidRDefault="006819BE" w:rsidP="000940B5">
            <w:pPr>
              <w:pStyle w:val="Tabletext"/>
            </w:pPr>
            <w:r w:rsidRPr="006819BE">
              <w:sym w:font="Wingdings 2" w:char="0050"/>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1000"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sym w:font="Wingdings 2" w:char="0050"/>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1000" w:type="dxa"/>
            <w:gridSpan w:val="2"/>
            <w:noWrap/>
            <w:hideMark/>
          </w:tcPr>
          <w:p w:rsidR="006819BE" w:rsidRPr="006819BE" w:rsidRDefault="006819BE" w:rsidP="000940B5">
            <w:pPr>
              <w:pStyle w:val="Tabletext"/>
            </w:pPr>
            <w:r w:rsidRPr="006819BE">
              <w:sym w:font="Wingdings 2" w:char="0050"/>
            </w:r>
          </w:p>
        </w:tc>
      </w:tr>
      <w:tr w:rsidR="006819BE" w:rsidRPr="00AC35B7" w:rsidTr="00A31F4D">
        <w:trPr>
          <w:cnfStyle w:val="000000010000" w:firstRow="0" w:lastRow="0" w:firstColumn="0" w:lastColumn="0" w:oddVBand="0" w:evenVBand="0" w:oddHBand="0" w:evenHBand="1" w:firstRowFirstColumn="0" w:firstRowLastColumn="0" w:lastRowFirstColumn="0" w:lastRowLastColumn="0"/>
          <w:trHeight w:val="681"/>
        </w:trPr>
        <w:tc>
          <w:tcPr>
            <w:tcW w:w="999" w:type="dxa"/>
            <w:gridSpan w:val="2"/>
            <w:hideMark/>
          </w:tcPr>
          <w:p w:rsidR="006819BE" w:rsidRPr="006819BE" w:rsidRDefault="006819BE" w:rsidP="000940B5">
            <w:pPr>
              <w:pStyle w:val="Tabletext"/>
            </w:pPr>
            <w:r w:rsidRPr="006819BE">
              <w:t>NDO3</w:t>
            </w:r>
          </w:p>
        </w:tc>
        <w:tc>
          <w:tcPr>
            <w:tcW w:w="999" w:type="dxa"/>
            <w:gridSpan w:val="2"/>
            <w:noWrap/>
            <w:hideMark/>
          </w:tcPr>
          <w:p w:rsidR="006819BE" w:rsidRPr="006819BE" w:rsidRDefault="006819BE" w:rsidP="000940B5">
            <w:pPr>
              <w:pStyle w:val="Tabletext"/>
            </w:pPr>
            <w:r w:rsidRPr="006819BE">
              <w:sym w:font="Wingdings 2" w:char="0050"/>
            </w:r>
          </w:p>
        </w:tc>
        <w:tc>
          <w:tcPr>
            <w:tcW w:w="999" w:type="dxa"/>
            <w:gridSpan w:val="2"/>
            <w:noWrap/>
            <w:hideMark/>
          </w:tcPr>
          <w:p w:rsidR="006819BE" w:rsidRPr="006819BE" w:rsidRDefault="006819BE" w:rsidP="000940B5">
            <w:pPr>
              <w:pStyle w:val="Tabletext"/>
            </w:pPr>
            <w:r w:rsidRPr="006819BE">
              <w:sym w:font="Wingdings 2" w:char="0050"/>
            </w:r>
          </w:p>
        </w:tc>
        <w:tc>
          <w:tcPr>
            <w:tcW w:w="999" w:type="dxa"/>
            <w:gridSpan w:val="2"/>
            <w:noWrap/>
            <w:hideMark/>
          </w:tcPr>
          <w:p w:rsidR="006819BE" w:rsidRPr="006819BE" w:rsidRDefault="006819BE" w:rsidP="000940B5">
            <w:pPr>
              <w:pStyle w:val="Tabletext"/>
            </w:pPr>
            <w:r w:rsidRPr="006819BE">
              <w:sym w:font="Wingdings 2" w:char="0050"/>
            </w:r>
          </w:p>
        </w:tc>
        <w:tc>
          <w:tcPr>
            <w:tcW w:w="1000" w:type="dxa"/>
            <w:gridSpan w:val="2"/>
            <w:noWrap/>
            <w:hideMark/>
          </w:tcPr>
          <w:p w:rsidR="006819BE" w:rsidRPr="006819BE" w:rsidRDefault="006819BE" w:rsidP="000940B5">
            <w:pPr>
              <w:pStyle w:val="Tabletext"/>
            </w:pPr>
            <w:r w:rsidRPr="006819BE">
              <w:sym w:font="Wingdings 2" w:char="0050"/>
            </w:r>
          </w:p>
        </w:tc>
        <w:tc>
          <w:tcPr>
            <w:tcW w:w="999" w:type="dxa"/>
            <w:gridSpan w:val="2"/>
            <w:noWrap/>
            <w:hideMark/>
          </w:tcPr>
          <w:p w:rsidR="006819BE" w:rsidRPr="006819BE" w:rsidRDefault="006819BE" w:rsidP="000940B5">
            <w:pPr>
              <w:pStyle w:val="Tabletext"/>
            </w:pPr>
            <w:r w:rsidRPr="006819BE">
              <w:sym w:font="Wingdings 2" w:char="0050"/>
            </w:r>
          </w:p>
        </w:tc>
        <w:tc>
          <w:tcPr>
            <w:tcW w:w="999" w:type="dxa"/>
            <w:noWrap/>
            <w:hideMark/>
          </w:tcPr>
          <w:p w:rsidR="006819BE" w:rsidRPr="006819BE" w:rsidRDefault="006819BE" w:rsidP="000940B5">
            <w:pPr>
              <w:pStyle w:val="Tabletext"/>
            </w:pPr>
            <w:r w:rsidRPr="006819BE">
              <w:sym w:font="Wingdings 2" w:char="0050"/>
            </w:r>
          </w:p>
        </w:tc>
        <w:tc>
          <w:tcPr>
            <w:tcW w:w="999" w:type="dxa"/>
            <w:gridSpan w:val="2"/>
            <w:noWrap/>
            <w:hideMark/>
          </w:tcPr>
          <w:p w:rsidR="006819BE" w:rsidRPr="006819BE" w:rsidRDefault="006819BE" w:rsidP="000940B5">
            <w:pPr>
              <w:pStyle w:val="Tabletext"/>
            </w:pPr>
            <w:r w:rsidRPr="006819BE">
              <w:sym w:font="Wingdings 2" w:char="0050"/>
            </w:r>
          </w:p>
        </w:tc>
        <w:tc>
          <w:tcPr>
            <w:tcW w:w="1000"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sym w:font="Wingdings 2" w:char="0050"/>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1000" w:type="dxa"/>
            <w:gridSpan w:val="2"/>
            <w:noWrap/>
            <w:hideMark/>
          </w:tcPr>
          <w:p w:rsidR="006819BE" w:rsidRPr="006819BE" w:rsidRDefault="006819BE" w:rsidP="000940B5">
            <w:pPr>
              <w:pStyle w:val="Tabletext"/>
            </w:pPr>
            <w:r w:rsidRPr="006819BE">
              <w:sym w:font="Wingdings 2" w:char="0050"/>
            </w:r>
          </w:p>
        </w:tc>
      </w:tr>
      <w:tr w:rsidR="006819BE" w:rsidRPr="00AC35B7" w:rsidTr="00A31F4D">
        <w:trPr>
          <w:trHeight w:val="681"/>
        </w:trPr>
        <w:tc>
          <w:tcPr>
            <w:tcW w:w="999" w:type="dxa"/>
            <w:gridSpan w:val="2"/>
            <w:hideMark/>
          </w:tcPr>
          <w:p w:rsidR="006819BE" w:rsidRPr="006819BE" w:rsidRDefault="006819BE" w:rsidP="000940B5">
            <w:pPr>
              <w:pStyle w:val="Tabletext"/>
            </w:pPr>
            <w:r w:rsidRPr="006819BE">
              <w:t>NDO4</w:t>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sym w:font="Wingdings 2" w:char="0050"/>
            </w:r>
          </w:p>
        </w:tc>
        <w:tc>
          <w:tcPr>
            <w:tcW w:w="1000" w:type="dxa"/>
            <w:gridSpan w:val="2"/>
            <w:noWrap/>
            <w:hideMark/>
          </w:tcPr>
          <w:p w:rsidR="006819BE" w:rsidRPr="006819BE" w:rsidRDefault="006819BE" w:rsidP="000940B5">
            <w:pPr>
              <w:pStyle w:val="Tabletext"/>
            </w:pPr>
            <w:r w:rsidRPr="006819BE">
              <w:rPr>
                <w:rStyle w:val="AERtextsize8"/>
              </w:rPr>
              <w:t>Not applicable</w:t>
            </w:r>
            <w:r w:rsidRPr="006819BE">
              <w:t xml:space="preserve"> </w:t>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999" w:type="dxa"/>
            <w:noWrap/>
            <w:hideMark/>
          </w:tcPr>
          <w:p w:rsidR="006819BE" w:rsidRPr="006819BE" w:rsidRDefault="006819BE" w:rsidP="000940B5">
            <w:pPr>
              <w:pStyle w:val="Tabletext"/>
            </w:pPr>
            <w:r w:rsidRPr="006819BE">
              <w:sym w:font="Wingdings 2" w:char="0050"/>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1000"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sym w:font="Wingdings 2" w:char="0050"/>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1000" w:type="dxa"/>
            <w:gridSpan w:val="2"/>
            <w:noWrap/>
            <w:hideMark/>
          </w:tcPr>
          <w:p w:rsidR="006819BE" w:rsidRPr="006819BE" w:rsidRDefault="006819BE" w:rsidP="000940B5">
            <w:pPr>
              <w:pStyle w:val="Tabletext"/>
            </w:pPr>
            <w:r w:rsidRPr="006819BE">
              <w:rPr>
                <w:rStyle w:val="AERtextsize8"/>
              </w:rPr>
              <w:t>Not applicable</w:t>
            </w:r>
          </w:p>
        </w:tc>
      </w:tr>
      <w:tr w:rsidR="006819BE" w:rsidRPr="00AC35B7" w:rsidTr="00A31F4D">
        <w:trPr>
          <w:cnfStyle w:val="000000010000" w:firstRow="0" w:lastRow="0" w:firstColumn="0" w:lastColumn="0" w:oddVBand="0" w:evenVBand="0" w:oddHBand="0" w:evenHBand="1" w:firstRowFirstColumn="0" w:firstRowLastColumn="0" w:lastRowFirstColumn="0" w:lastRowLastColumn="0"/>
          <w:trHeight w:val="681"/>
        </w:trPr>
        <w:tc>
          <w:tcPr>
            <w:tcW w:w="999" w:type="dxa"/>
            <w:gridSpan w:val="2"/>
            <w:hideMark/>
          </w:tcPr>
          <w:p w:rsidR="006819BE" w:rsidRPr="006819BE" w:rsidRDefault="006819BE" w:rsidP="000940B5">
            <w:pPr>
              <w:pStyle w:val="Tabletext"/>
            </w:pPr>
            <w:r w:rsidRPr="006819BE">
              <w:t>NDO5</w:t>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sym w:font="Wingdings 2" w:char="0050"/>
            </w:r>
          </w:p>
        </w:tc>
        <w:tc>
          <w:tcPr>
            <w:tcW w:w="1000"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999" w:type="dxa"/>
            <w:noWrap/>
            <w:hideMark/>
          </w:tcPr>
          <w:p w:rsidR="006819BE" w:rsidRPr="006819BE" w:rsidRDefault="006819BE" w:rsidP="000940B5">
            <w:pPr>
              <w:pStyle w:val="Tabletext"/>
            </w:pPr>
            <w:r w:rsidRPr="006819BE">
              <w:sym w:font="Wingdings 2" w:char="0050"/>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1000"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sym w:font="Wingdings 2" w:char="0050"/>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1000" w:type="dxa"/>
            <w:gridSpan w:val="2"/>
            <w:noWrap/>
            <w:hideMark/>
          </w:tcPr>
          <w:p w:rsidR="006819BE" w:rsidRPr="006819BE" w:rsidRDefault="006819BE" w:rsidP="000940B5">
            <w:pPr>
              <w:pStyle w:val="Tabletext"/>
            </w:pPr>
            <w:r w:rsidRPr="006819BE">
              <w:rPr>
                <w:rStyle w:val="AERtextsize8"/>
              </w:rPr>
              <w:t>Not applicable</w:t>
            </w:r>
          </w:p>
        </w:tc>
      </w:tr>
      <w:tr w:rsidR="00C92900" w:rsidRPr="00AC35B7" w:rsidTr="00A31F4D">
        <w:trPr>
          <w:trHeight w:val="681"/>
        </w:trPr>
        <w:tc>
          <w:tcPr>
            <w:tcW w:w="999" w:type="dxa"/>
            <w:gridSpan w:val="2"/>
            <w:hideMark/>
          </w:tcPr>
          <w:p w:rsidR="00C92900" w:rsidRPr="00C92900" w:rsidRDefault="00C92900" w:rsidP="00C92900">
            <w:pPr>
              <w:pStyle w:val="Tabletext"/>
            </w:pPr>
            <w:r w:rsidRPr="00C92900">
              <w:t>NDO6</w:t>
            </w:r>
          </w:p>
        </w:tc>
        <w:tc>
          <w:tcPr>
            <w:tcW w:w="999" w:type="dxa"/>
            <w:gridSpan w:val="2"/>
            <w:noWrap/>
            <w:hideMark/>
          </w:tcPr>
          <w:p w:rsidR="00C92900" w:rsidRPr="00C92900" w:rsidRDefault="00C92900" w:rsidP="00C92900">
            <w:pPr>
              <w:pStyle w:val="Tabletext"/>
            </w:pPr>
            <w:r w:rsidRPr="00C92900">
              <w:sym w:font="Wingdings 2" w:char="0050"/>
            </w:r>
          </w:p>
        </w:tc>
        <w:tc>
          <w:tcPr>
            <w:tcW w:w="999" w:type="dxa"/>
            <w:gridSpan w:val="2"/>
            <w:noWrap/>
            <w:hideMark/>
          </w:tcPr>
          <w:p w:rsidR="00C92900" w:rsidRPr="00C92900" w:rsidRDefault="00C92900" w:rsidP="00C92900">
            <w:pPr>
              <w:pStyle w:val="Tabletext"/>
            </w:pPr>
            <w:r w:rsidRPr="00C92900">
              <w:sym w:font="Wingdings 2" w:char="0050"/>
            </w:r>
          </w:p>
        </w:tc>
        <w:tc>
          <w:tcPr>
            <w:tcW w:w="999" w:type="dxa"/>
            <w:gridSpan w:val="2"/>
            <w:noWrap/>
            <w:hideMark/>
          </w:tcPr>
          <w:p w:rsidR="00C92900" w:rsidRPr="00C92900" w:rsidRDefault="00C92900" w:rsidP="00C92900">
            <w:pPr>
              <w:pStyle w:val="Tabletext"/>
            </w:pPr>
            <w:r w:rsidRPr="00C92900">
              <w:sym w:font="Wingdings 2" w:char="0050"/>
            </w:r>
          </w:p>
        </w:tc>
        <w:tc>
          <w:tcPr>
            <w:tcW w:w="1000" w:type="dxa"/>
            <w:gridSpan w:val="2"/>
            <w:noWrap/>
            <w:hideMark/>
          </w:tcPr>
          <w:p w:rsidR="00C92900" w:rsidRPr="00C92900" w:rsidRDefault="00C92900" w:rsidP="00C92900">
            <w:pPr>
              <w:pStyle w:val="Tabletext"/>
            </w:pPr>
            <w:r w:rsidRPr="00C92900">
              <w:rPr>
                <w:rStyle w:val="AERtextsize8"/>
              </w:rPr>
              <w:t>Not applicable</w:t>
            </w:r>
          </w:p>
        </w:tc>
        <w:tc>
          <w:tcPr>
            <w:tcW w:w="999" w:type="dxa"/>
            <w:gridSpan w:val="2"/>
            <w:noWrap/>
            <w:hideMark/>
          </w:tcPr>
          <w:p w:rsidR="00C92900" w:rsidRPr="00C92900" w:rsidRDefault="00C92900" w:rsidP="00C92900">
            <w:pPr>
              <w:pStyle w:val="Tabletext"/>
            </w:pPr>
            <w:r w:rsidRPr="00C92900">
              <w:rPr>
                <w:rStyle w:val="AERtextsize8"/>
              </w:rPr>
              <w:t>Not applicable</w:t>
            </w:r>
          </w:p>
        </w:tc>
        <w:tc>
          <w:tcPr>
            <w:tcW w:w="999" w:type="dxa"/>
            <w:noWrap/>
            <w:hideMark/>
          </w:tcPr>
          <w:p w:rsidR="00C92900" w:rsidRPr="00C92900" w:rsidRDefault="00C92900" w:rsidP="00C92900">
            <w:pPr>
              <w:pStyle w:val="Tabletext"/>
            </w:pPr>
            <w:r w:rsidRPr="00C92900">
              <w:rPr>
                <w:rStyle w:val="AERtextsize8"/>
              </w:rPr>
              <w:t>Not applicable</w:t>
            </w:r>
          </w:p>
        </w:tc>
        <w:tc>
          <w:tcPr>
            <w:tcW w:w="999" w:type="dxa"/>
            <w:gridSpan w:val="2"/>
            <w:noWrap/>
            <w:hideMark/>
          </w:tcPr>
          <w:p w:rsidR="00C92900" w:rsidRPr="00C92900" w:rsidRDefault="00C92900" w:rsidP="00C92900">
            <w:pPr>
              <w:pStyle w:val="Tabletext"/>
            </w:pPr>
            <w:r w:rsidRPr="00C92900">
              <w:rPr>
                <w:rStyle w:val="AERtextsize8"/>
              </w:rPr>
              <w:t>Not applicable</w:t>
            </w:r>
          </w:p>
        </w:tc>
        <w:tc>
          <w:tcPr>
            <w:tcW w:w="1000" w:type="dxa"/>
            <w:gridSpan w:val="2"/>
            <w:noWrap/>
            <w:hideMark/>
          </w:tcPr>
          <w:p w:rsidR="00C92900" w:rsidRPr="00C92900" w:rsidRDefault="00C92900" w:rsidP="00C92900">
            <w:pPr>
              <w:pStyle w:val="Tabletext"/>
            </w:pPr>
            <w:r w:rsidRPr="00C92900">
              <w:rPr>
                <w:rStyle w:val="AERtextsize8"/>
              </w:rPr>
              <w:t>Not applicable</w:t>
            </w:r>
          </w:p>
        </w:tc>
        <w:tc>
          <w:tcPr>
            <w:tcW w:w="999" w:type="dxa"/>
            <w:gridSpan w:val="2"/>
            <w:noWrap/>
            <w:hideMark/>
          </w:tcPr>
          <w:p w:rsidR="00C92900" w:rsidRPr="00C92900" w:rsidRDefault="00C92900" w:rsidP="00C92900">
            <w:pPr>
              <w:pStyle w:val="Tabletext"/>
            </w:pPr>
            <w:r w:rsidRPr="00C92900">
              <w:sym w:font="Wingdings 2" w:char="0050"/>
            </w:r>
          </w:p>
        </w:tc>
        <w:tc>
          <w:tcPr>
            <w:tcW w:w="999" w:type="dxa"/>
            <w:gridSpan w:val="2"/>
            <w:noWrap/>
            <w:hideMark/>
          </w:tcPr>
          <w:p w:rsidR="00C92900" w:rsidRPr="00C92900" w:rsidRDefault="00C92900" w:rsidP="00C92900">
            <w:pPr>
              <w:pStyle w:val="Tabletext"/>
            </w:pPr>
            <w:r w:rsidRPr="00C92900">
              <w:rPr>
                <w:rStyle w:val="AERtextsize8"/>
              </w:rPr>
              <w:t>Not applicable</w:t>
            </w:r>
          </w:p>
        </w:tc>
        <w:tc>
          <w:tcPr>
            <w:tcW w:w="999" w:type="dxa"/>
            <w:gridSpan w:val="2"/>
            <w:noWrap/>
            <w:hideMark/>
          </w:tcPr>
          <w:p w:rsidR="00C92900" w:rsidRPr="00C92900" w:rsidRDefault="00C92900" w:rsidP="00C92900">
            <w:pPr>
              <w:pStyle w:val="Tabletext"/>
            </w:pPr>
            <w:r w:rsidRPr="00C92900">
              <w:rPr>
                <w:rStyle w:val="AERtextsize8"/>
              </w:rPr>
              <w:t>Not applicable</w:t>
            </w:r>
          </w:p>
        </w:tc>
        <w:tc>
          <w:tcPr>
            <w:tcW w:w="1000" w:type="dxa"/>
            <w:gridSpan w:val="2"/>
            <w:noWrap/>
            <w:hideMark/>
          </w:tcPr>
          <w:p w:rsidR="00C92900" w:rsidRPr="00C92900" w:rsidRDefault="00C92900" w:rsidP="00C92900">
            <w:pPr>
              <w:pStyle w:val="Tabletext"/>
            </w:pPr>
            <w:r w:rsidRPr="00C92900">
              <w:rPr>
                <w:rStyle w:val="AERtextsize8"/>
              </w:rPr>
              <w:t>Not applicable</w:t>
            </w:r>
          </w:p>
        </w:tc>
      </w:tr>
      <w:tr w:rsidR="00C92900" w:rsidRPr="00AC35B7" w:rsidTr="00A31F4D">
        <w:trPr>
          <w:cnfStyle w:val="000000010000" w:firstRow="0" w:lastRow="0" w:firstColumn="0" w:lastColumn="0" w:oddVBand="0" w:evenVBand="0" w:oddHBand="0" w:evenHBand="1" w:firstRowFirstColumn="0" w:firstRowLastColumn="0" w:lastRowFirstColumn="0" w:lastRowLastColumn="0"/>
          <w:trHeight w:val="681"/>
        </w:trPr>
        <w:tc>
          <w:tcPr>
            <w:tcW w:w="999" w:type="dxa"/>
            <w:gridSpan w:val="2"/>
            <w:hideMark/>
          </w:tcPr>
          <w:p w:rsidR="00C92900" w:rsidRPr="00C92900" w:rsidRDefault="00C92900" w:rsidP="00C92900">
            <w:pPr>
              <w:pStyle w:val="Tabletext"/>
            </w:pPr>
            <w:r w:rsidRPr="00C92900">
              <w:t>NDO7</w:t>
            </w:r>
          </w:p>
        </w:tc>
        <w:tc>
          <w:tcPr>
            <w:tcW w:w="999" w:type="dxa"/>
            <w:gridSpan w:val="2"/>
            <w:noWrap/>
            <w:hideMark/>
          </w:tcPr>
          <w:p w:rsidR="00C92900" w:rsidRPr="00C92900" w:rsidRDefault="00C92900" w:rsidP="00C92900">
            <w:pPr>
              <w:pStyle w:val="Tabletext"/>
            </w:pPr>
            <w:r w:rsidRPr="00C92900">
              <w:sym w:font="Wingdings 2" w:char="0050"/>
            </w:r>
          </w:p>
        </w:tc>
        <w:tc>
          <w:tcPr>
            <w:tcW w:w="999" w:type="dxa"/>
            <w:gridSpan w:val="2"/>
            <w:noWrap/>
            <w:hideMark/>
          </w:tcPr>
          <w:p w:rsidR="00C92900" w:rsidRPr="00C92900" w:rsidRDefault="00C92900" w:rsidP="00C92900">
            <w:pPr>
              <w:pStyle w:val="Tabletext"/>
            </w:pPr>
            <w:r w:rsidRPr="00C92900">
              <w:sym w:font="Wingdings 2" w:char="0050"/>
            </w:r>
          </w:p>
        </w:tc>
        <w:tc>
          <w:tcPr>
            <w:tcW w:w="999" w:type="dxa"/>
            <w:gridSpan w:val="2"/>
            <w:noWrap/>
            <w:hideMark/>
          </w:tcPr>
          <w:p w:rsidR="00C92900" w:rsidRPr="00C92900" w:rsidRDefault="00C92900" w:rsidP="00C92900">
            <w:pPr>
              <w:pStyle w:val="Tabletext"/>
            </w:pPr>
            <w:r w:rsidRPr="00C92900">
              <w:sym w:font="Wingdings 2" w:char="0050"/>
            </w:r>
          </w:p>
        </w:tc>
        <w:tc>
          <w:tcPr>
            <w:tcW w:w="1000" w:type="dxa"/>
            <w:gridSpan w:val="2"/>
            <w:noWrap/>
            <w:hideMark/>
          </w:tcPr>
          <w:p w:rsidR="00C92900" w:rsidRPr="00C92900" w:rsidRDefault="00C92900" w:rsidP="00C92900">
            <w:pPr>
              <w:pStyle w:val="Tabletext"/>
            </w:pPr>
            <w:r w:rsidRPr="00C92900">
              <w:sym w:font="Wingdings 2" w:char="0050"/>
            </w:r>
          </w:p>
        </w:tc>
        <w:tc>
          <w:tcPr>
            <w:tcW w:w="999" w:type="dxa"/>
            <w:gridSpan w:val="2"/>
            <w:noWrap/>
            <w:hideMark/>
          </w:tcPr>
          <w:p w:rsidR="00C92900" w:rsidRPr="00C92900" w:rsidRDefault="00C92900" w:rsidP="00C92900">
            <w:pPr>
              <w:pStyle w:val="Tabletext"/>
              <w:rPr>
                <w:rStyle w:val="AERtextsize8"/>
              </w:rPr>
            </w:pPr>
            <w:r w:rsidRPr="00C92900">
              <w:sym w:font="Wingdings 2" w:char="0050"/>
            </w:r>
          </w:p>
        </w:tc>
        <w:tc>
          <w:tcPr>
            <w:tcW w:w="999" w:type="dxa"/>
            <w:noWrap/>
            <w:hideMark/>
          </w:tcPr>
          <w:p w:rsidR="00C92900" w:rsidRPr="00C92900" w:rsidRDefault="00C92900" w:rsidP="00C92900">
            <w:pPr>
              <w:pStyle w:val="Tabletext"/>
              <w:rPr>
                <w:rStyle w:val="AERtextsize8"/>
              </w:rPr>
            </w:pPr>
            <w:r w:rsidRPr="00C92900">
              <w:sym w:font="Wingdings 2" w:char="0050"/>
            </w:r>
          </w:p>
        </w:tc>
        <w:tc>
          <w:tcPr>
            <w:tcW w:w="999" w:type="dxa"/>
            <w:gridSpan w:val="2"/>
            <w:noWrap/>
            <w:hideMark/>
          </w:tcPr>
          <w:p w:rsidR="00C92900" w:rsidRPr="00C92900" w:rsidRDefault="00C92900" w:rsidP="00C92900">
            <w:pPr>
              <w:pStyle w:val="Tabletext"/>
              <w:rPr>
                <w:rStyle w:val="AERtextsize8"/>
              </w:rPr>
            </w:pPr>
            <w:r w:rsidRPr="00C92900">
              <w:sym w:font="Wingdings 2" w:char="0050"/>
            </w:r>
          </w:p>
        </w:tc>
        <w:tc>
          <w:tcPr>
            <w:tcW w:w="1000" w:type="dxa"/>
            <w:gridSpan w:val="2"/>
            <w:noWrap/>
            <w:hideMark/>
          </w:tcPr>
          <w:p w:rsidR="00C92900" w:rsidRPr="00C92900" w:rsidRDefault="00C92900" w:rsidP="00C92900">
            <w:pPr>
              <w:pStyle w:val="Tabletext"/>
            </w:pPr>
            <w:r w:rsidRPr="00C92900">
              <w:rPr>
                <w:rStyle w:val="AERtextsize8"/>
              </w:rPr>
              <w:t>Not applicable</w:t>
            </w:r>
          </w:p>
        </w:tc>
        <w:tc>
          <w:tcPr>
            <w:tcW w:w="999" w:type="dxa"/>
            <w:gridSpan w:val="2"/>
            <w:noWrap/>
            <w:hideMark/>
          </w:tcPr>
          <w:p w:rsidR="00C92900" w:rsidRPr="00C92900" w:rsidRDefault="00C92900" w:rsidP="00C92900">
            <w:pPr>
              <w:pStyle w:val="Tabletext"/>
            </w:pPr>
            <w:r w:rsidRPr="00C92900">
              <w:sym w:font="Wingdings 2" w:char="0050"/>
            </w:r>
          </w:p>
        </w:tc>
        <w:tc>
          <w:tcPr>
            <w:tcW w:w="999" w:type="dxa"/>
            <w:gridSpan w:val="2"/>
            <w:noWrap/>
            <w:hideMark/>
          </w:tcPr>
          <w:p w:rsidR="00C92900" w:rsidRPr="00C92900" w:rsidRDefault="00C92900" w:rsidP="00C92900">
            <w:pPr>
              <w:pStyle w:val="Tabletext"/>
            </w:pPr>
            <w:r w:rsidRPr="00C92900">
              <w:rPr>
                <w:rStyle w:val="AERtextsize8"/>
              </w:rPr>
              <w:t>Not applicable</w:t>
            </w:r>
          </w:p>
        </w:tc>
        <w:tc>
          <w:tcPr>
            <w:tcW w:w="999" w:type="dxa"/>
            <w:gridSpan w:val="2"/>
            <w:noWrap/>
            <w:hideMark/>
          </w:tcPr>
          <w:p w:rsidR="00C92900" w:rsidRPr="00C92900" w:rsidRDefault="00C92900" w:rsidP="00C92900">
            <w:pPr>
              <w:pStyle w:val="Tabletext"/>
            </w:pPr>
            <w:r w:rsidRPr="00C92900">
              <w:rPr>
                <w:rStyle w:val="AERtextsize8"/>
              </w:rPr>
              <w:t>Not applicable</w:t>
            </w:r>
          </w:p>
        </w:tc>
        <w:tc>
          <w:tcPr>
            <w:tcW w:w="1000" w:type="dxa"/>
            <w:gridSpan w:val="2"/>
            <w:noWrap/>
            <w:hideMark/>
          </w:tcPr>
          <w:p w:rsidR="00C92900" w:rsidRPr="00C92900" w:rsidRDefault="00C92900" w:rsidP="00C92900">
            <w:pPr>
              <w:pStyle w:val="Tabletext"/>
            </w:pPr>
            <w:r w:rsidRPr="00C92900">
              <w:sym w:font="Wingdings 2" w:char="0050"/>
            </w:r>
          </w:p>
        </w:tc>
      </w:tr>
    </w:tbl>
    <w:p w:rsidR="006819BE" w:rsidRPr="006819BE" w:rsidRDefault="006819BE" w:rsidP="006819BE"/>
    <w:p w:rsidR="006819BE" w:rsidRPr="006819BE" w:rsidRDefault="006819BE" w:rsidP="00A31F4D">
      <w:pPr>
        <w:pStyle w:val="Caption"/>
      </w:pPr>
      <w:r w:rsidRPr="006819BE">
        <w:br w:type="column"/>
      </w:r>
      <w:r w:rsidRPr="006819BE">
        <w:lastRenderedPageBreak/>
        <w:t xml:space="preserve">Table 8 </w:t>
      </w:r>
      <w:r w:rsidR="00BF5F61">
        <w:t>–</w:t>
      </w:r>
      <w:r w:rsidRPr="006819BE">
        <w:t xml:space="preserve"> Registrable classes of exemption </w:t>
      </w:r>
      <w:r w:rsidR="00BF5F61">
        <w:t>–</w:t>
      </w:r>
      <w:r w:rsidRPr="006819BE">
        <w:t xml:space="preserve"> energy selling</w:t>
      </w:r>
      <w:r w:rsidR="00C70F7F">
        <w:t xml:space="preserve"> or supply</w:t>
      </w:r>
    </w:p>
    <w:tbl>
      <w:tblPr>
        <w:tblStyle w:val="AERTable-Text"/>
        <w:tblW w:w="12990" w:type="dxa"/>
        <w:tblLayout w:type="fixed"/>
        <w:tblLook w:val="04A0" w:firstRow="1" w:lastRow="0" w:firstColumn="1" w:lastColumn="0" w:noHBand="0" w:noVBand="1"/>
      </w:tblPr>
      <w:tblGrid>
        <w:gridCol w:w="960"/>
        <w:gridCol w:w="39"/>
        <w:gridCol w:w="921"/>
        <w:gridCol w:w="78"/>
        <w:gridCol w:w="882"/>
        <w:gridCol w:w="117"/>
        <w:gridCol w:w="843"/>
        <w:gridCol w:w="156"/>
        <w:gridCol w:w="804"/>
        <w:gridCol w:w="196"/>
        <w:gridCol w:w="764"/>
        <w:gridCol w:w="235"/>
        <w:gridCol w:w="999"/>
        <w:gridCol w:w="236"/>
        <w:gridCol w:w="763"/>
        <w:gridCol w:w="197"/>
        <w:gridCol w:w="803"/>
        <w:gridCol w:w="157"/>
        <w:gridCol w:w="842"/>
        <w:gridCol w:w="118"/>
        <w:gridCol w:w="881"/>
        <w:gridCol w:w="79"/>
        <w:gridCol w:w="920"/>
        <w:gridCol w:w="40"/>
        <w:gridCol w:w="960"/>
      </w:tblGrid>
      <w:tr w:rsidR="006819BE" w:rsidRPr="00AC35B7" w:rsidTr="00A31F4D">
        <w:trPr>
          <w:cnfStyle w:val="100000000000" w:firstRow="1" w:lastRow="0" w:firstColumn="0" w:lastColumn="0" w:oddVBand="0" w:evenVBand="0" w:oddHBand="0" w:evenHBand="0" w:firstRowFirstColumn="0" w:firstRowLastColumn="0" w:lastRowFirstColumn="0" w:lastRowLastColumn="0"/>
          <w:trHeight w:val="315"/>
        </w:trPr>
        <w:tc>
          <w:tcPr>
            <w:tcW w:w="960" w:type="dxa"/>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1470" w:type="dxa"/>
            <w:gridSpan w:val="3"/>
            <w:noWrap/>
            <w:hideMark/>
          </w:tcPr>
          <w:p w:rsidR="006819BE" w:rsidRPr="006819BE" w:rsidRDefault="006819BE" w:rsidP="00793504">
            <w:r w:rsidRPr="006819BE">
              <w:t>Conditions</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noWrap/>
            <w:hideMark/>
          </w:tcPr>
          <w:p w:rsidR="006819BE" w:rsidRPr="006819BE" w:rsidRDefault="006819BE" w:rsidP="00793504">
            <w:r w:rsidRPr="006819BE">
              <w:t> </w:t>
            </w:r>
          </w:p>
        </w:tc>
      </w:tr>
      <w:tr w:rsidR="006819BE" w:rsidRPr="00AC35B7" w:rsidTr="00A31F4D">
        <w:trPr>
          <w:trHeight w:val="681"/>
        </w:trPr>
        <w:tc>
          <w:tcPr>
            <w:tcW w:w="999" w:type="dxa"/>
            <w:gridSpan w:val="2"/>
            <w:hideMark/>
          </w:tcPr>
          <w:p w:rsidR="006819BE" w:rsidRPr="006819BE" w:rsidRDefault="006819BE" w:rsidP="00191C56">
            <w:pPr>
              <w:pStyle w:val="Tabletitle"/>
            </w:pPr>
            <w:r w:rsidRPr="006819BE">
              <w:t>Class</w:t>
            </w:r>
          </w:p>
        </w:tc>
        <w:tc>
          <w:tcPr>
            <w:tcW w:w="999" w:type="dxa"/>
            <w:gridSpan w:val="2"/>
            <w:noWrap/>
            <w:hideMark/>
          </w:tcPr>
          <w:p w:rsidR="006819BE" w:rsidRPr="006819BE" w:rsidRDefault="006819BE" w:rsidP="00191C56">
            <w:pPr>
              <w:pStyle w:val="Tabletitle"/>
            </w:pPr>
            <w:r w:rsidRPr="006819BE">
              <w:t>1</w:t>
            </w:r>
          </w:p>
        </w:tc>
        <w:tc>
          <w:tcPr>
            <w:tcW w:w="999" w:type="dxa"/>
            <w:gridSpan w:val="2"/>
            <w:noWrap/>
            <w:hideMark/>
          </w:tcPr>
          <w:p w:rsidR="006819BE" w:rsidRPr="006819BE" w:rsidRDefault="006819BE" w:rsidP="00191C56">
            <w:pPr>
              <w:pStyle w:val="Tabletitle"/>
            </w:pPr>
            <w:r w:rsidRPr="006819BE">
              <w:t>2</w:t>
            </w:r>
          </w:p>
        </w:tc>
        <w:tc>
          <w:tcPr>
            <w:tcW w:w="999" w:type="dxa"/>
            <w:gridSpan w:val="2"/>
            <w:noWrap/>
            <w:hideMark/>
          </w:tcPr>
          <w:p w:rsidR="006819BE" w:rsidRPr="006819BE" w:rsidRDefault="006819BE" w:rsidP="00191C56">
            <w:pPr>
              <w:pStyle w:val="Tabletitle"/>
            </w:pPr>
            <w:r w:rsidRPr="006819BE">
              <w:t>3</w:t>
            </w:r>
          </w:p>
        </w:tc>
        <w:tc>
          <w:tcPr>
            <w:tcW w:w="1000" w:type="dxa"/>
            <w:gridSpan w:val="2"/>
            <w:noWrap/>
            <w:hideMark/>
          </w:tcPr>
          <w:p w:rsidR="006819BE" w:rsidRPr="006819BE" w:rsidRDefault="006819BE" w:rsidP="00191C56">
            <w:pPr>
              <w:pStyle w:val="Tabletitle"/>
            </w:pPr>
            <w:r w:rsidRPr="006819BE">
              <w:t>4</w:t>
            </w:r>
          </w:p>
        </w:tc>
        <w:tc>
          <w:tcPr>
            <w:tcW w:w="999" w:type="dxa"/>
            <w:gridSpan w:val="2"/>
            <w:noWrap/>
            <w:hideMark/>
          </w:tcPr>
          <w:p w:rsidR="006819BE" w:rsidRPr="006819BE" w:rsidRDefault="006819BE" w:rsidP="00191C56">
            <w:pPr>
              <w:pStyle w:val="Tabletitle"/>
            </w:pPr>
            <w:r w:rsidRPr="006819BE">
              <w:t>5</w:t>
            </w:r>
          </w:p>
        </w:tc>
        <w:tc>
          <w:tcPr>
            <w:tcW w:w="999" w:type="dxa"/>
            <w:noWrap/>
            <w:hideMark/>
          </w:tcPr>
          <w:p w:rsidR="006819BE" w:rsidRPr="006819BE" w:rsidRDefault="006819BE" w:rsidP="00191C56">
            <w:pPr>
              <w:pStyle w:val="Tabletitle"/>
            </w:pPr>
            <w:r w:rsidRPr="006819BE">
              <w:t>6</w:t>
            </w:r>
          </w:p>
        </w:tc>
        <w:tc>
          <w:tcPr>
            <w:tcW w:w="999" w:type="dxa"/>
            <w:gridSpan w:val="2"/>
            <w:noWrap/>
            <w:hideMark/>
          </w:tcPr>
          <w:p w:rsidR="006819BE" w:rsidRPr="006819BE" w:rsidRDefault="006819BE" w:rsidP="00191C56">
            <w:pPr>
              <w:pStyle w:val="Tabletitle"/>
            </w:pPr>
            <w:r w:rsidRPr="006819BE">
              <w:t>7</w:t>
            </w:r>
          </w:p>
        </w:tc>
        <w:tc>
          <w:tcPr>
            <w:tcW w:w="1000" w:type="dxa"/>
            <w:gridSpan w:val="2"/>
            <w:noWrap/>
            <w:hideMark/>
          </w:tcPr>
          <w:p w:rsidR="006819BE" w:rsidRPr="006819BE" w:rsidRDefault="006819BE" w:rsidP="00191C56">
            <w:pPr>
              <w:pStyle w:val="Tabletitle"/>
            </w:pPr>
            <w:r w:rsidRPr="006819BE">
              <w:t>8</w:t>
            </w:r>
          </w:p>
        </w:tc>
        <w:tc>
          <w:tcPr>
            <w:tcW w:w="999" w:type="dxa"/>
            <w:gridSpan w:val="2"/>
            <w:noWrap/>
            <w:hideMark/>
          </w:tcPr>
          <w:p w:rsidR="006819BE" w:rsidRPr="006819BE" w:rsidRDefault="006819BE" w:rsidP="00191C56">
            <w:pPr>
              <w:pStyle w:val="Tabletitle"/>
            </w:pPr>
            <w:r w:rsidRPr="006819BE">
              <w:t>9</w:t>
            </w:r>
          </w:p>
        </w:tc>
        <w:tc>
          <w:tcPr>
            <w:tcW w:w="999" w:type="dxa"/>
            <w:gridSpan w:val="2"/>
            <w:noWrap/>
            <w:hideMark/>
          </w:tcPr>
          <w:p w:rsidR="006819BE" w:rsidRPr="006819BE" w:rsidRDefault="006819BE" w:rsidP="00191C56">
            <w:pPr>
              <w:pStyle w:val="Tabletitle"/>
            </w:pPr>
            <w:r w:rsidRPr="006819BE">
              <w:t>10</w:t>
            </w:r>
          </w:p>
        </w:tc>
        <w:tc>
          <w:tcPr>
            <w:tcW w:w="999" w:type="dxa"/>
            <w:gridSpan w:val="2"/>
            <w:noWrap/>
            <w:hideMark/>
          </w:tcPr>
          <w:p w:rsidR="006819BE" w:rsidRPr="006819BE" w:rsidRDefault="006819BE" w:rsidP="00191C56">
            <w:pPr>
              <w:pStyle w:val="Tabletitle"/>
            </w:pPr>
            <w:r w:rsidRPr="006819BE">
              <w:t>11</w:t>
            </w:r>
          </w:p>
        </w:tc>
        <w:tc>
          <w:tcPr>
            <w:tcW w:w="1000" w:type="dxa"/>
            <w:gridSpan w:val="2"/>
            <w:noWrap/>
            <w:hideMark/>
          </w:tcPr>
          <w:p w:rsidR="006819BE" w:rsidRPr="006819BE" w:rsidRDefault="006819BE" w:rsidP="00191C56">
            <w:pPr>
              <w:pStyle w:val="Tabletitle"/>
            </w:pPr>
            <w:r w:rsidRPr="006819BE">
              <w:t>12</w:t>
            </w:r>
          </w:p>
        </w:tc>
      </w:tr>
      <w:tr w:rsidR="006819BE" w:rsidRPr="00AC35B7" w:rsidTr="00A31F4D">
        <w:trPr>
          <w:cnfStyle w:val="000000010000" w:firstRow="0" w:lastRow="0" w:firstColumn="0" w:lastColumn="0" w:oddVBand="0" w:evenVBand="0" w:oddHBand="0" w:evenHBand="1" w:firstRowFirstColumn="0" w:firstRowLastColumn="0" w:lastRowFirstColumn="0" w:lastRowLastColumn="0"/>
          <w:trHeight w:val="681"/>
        </w:trPr>
        <w:tc>
          <w:tcPr>
            <w:tcW w:w="999" w:type="dxa"/>
            <w:gridSpan w:val="2"/>
            <w:hideMark/>
          </w:tcPr>
          <w:p w:rsidR="006819BE" w:rsidRPr="006819BE" w:rsidRDefault="006819BE" w:rsidP="00793504">
            <w:r w:rsidRPr="006819BE">
              <w:t>NR1</w:t>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rPr>
                <w:rStyle w:val="AERtextsize8"/>
              </w:rPr>
              <w:t>Not applicable</w:t>
            </w:r>
          </w:p>
        </w:tc>
        <w:tc>
          <w:tcPr>
            <w:tcW w:w="999" w:type="dxa"/>
            <w:gridSpan w:val="2"/>
            <w:noWrap/>
            <w:hideMark/>
          </w:tcPr>
          <w:p w:rsidR="006819BE" w:rsidRPr="006819BE" w:rsidRDefault="006819BE" w:rsidP="00793504">
            <w:r w:rsidRPr="006819BE">
              <w:rPr>
                <w:rStyle w:val="AERtextsize8"/>
              </w:rPr>
              <w:t>Not applicable</w:t>
            </w:r>
          </w:p>
        </w:tc>
        <w:tc>
          <w:tcPr>
            <w:tcW w:w="1000" w:type="dxa"/>
            <w:gridSpan w:val="2"/>
            <w:noWrap/>
            <w:hideMark/>
          </w:tcPr>
          <w:p w:rsidR="006819BE" w:rsidRPr="006819BE" w:rsidRDefault="006819BE" w:rsidP="00793504">
            <w:r w:rsidRPr="006819BE">
              <w:sym w:font="Wingdings 2" w:char="0050"/>
            </w:r>
          </w:p>
        </w:tc>
      </w:tr>
      <w:tr w:rsidR="006819BE" w:rsidRPr="00AC35B7" w:rsidTr="00A31F4D">
        <w:trPr>
          <w:trHeight w:val="681"/>
        </w:trPr>
        <w:tc>
          <w:tcPr>
            <w:tcW w:w="999" w:type="dxa"/>
            <w:gridSpan w:val="2"/>
            <w:hideMark/>
          </w:tcPr>
          <w:p w:rsidR="006819BE" w:rsidRPr="006819BE" w:rsidRDefault="006819BE" w:rsidP="00793504">
            <w:r w:rsidRPr="006819BE">
              <w:t>NR2</w:t>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r>
      <w:tr w:rsidR="006819BE" w:rsidRPr="00AC35B7" w:rsidTr="00A31F4D">
        <w:trPr>
          <w:cnfStyle w:val="000000010000" w:firstRow="0" w:lastRow="0" w:firstColumn="0" w:lastColumn="0" w:oddVBand="0" w:evenVBand="0" w:oddHBand="0" w:evenHBand="1" w:firstRowFirstColumn="0" w:firstRowLastColumn="0" w:lastRowFirstColumn="0" w:lastRowLastColumn="0"/>
          <w:trHeight w:val="681"/>
        </w:trPr>
        <w:tc>
          <w:tcPr>
            <w:tcW w:w="999" w:type="dxa"/>
            <w:gridSpan w:val="2"/>
            <w:hideMark/>
          </w:tcPr>
          <w:p w:rsidR="006819BE" w:rsidRPr="006819BE" w:rsidRDefault="006819BE" w:rsidP="00793504">
            <w:r w:rsidRPr="006819BE">
              <w:t>NR3</w:t>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pPr>
              <w:rPr>
                <w:rStyle w:val="AERtextsize8"/>
              </w:rPr>
            </w:pPr>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r>
      <w:tr w:rsidR="006819BE" w:rsidRPr="00AC35B7" w:rsidTr="00A31F4D">
        <w:trPr>
          <w:trHeight w:val="681"/>
        </w:trPr>
        <w:tc>
          <w:tcPr>
            <w:tcW w:w="999" w:type="dxa"/>
            <w:gridSpan w:val="2"/>
            <w:hideMark/>
          </w:tcPr>
          <w:p w:rsidR="006819BE" w:rsidRPr="006819BE" w:rsidRDefault="006819BE" w:rsidP="00793504">
            <w:r w:rsidRPr="006819BE">
              <w:t>NR4</w:t>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r>
      <w:tr w:rsidR="006819BE" w:rsidRPr="00AC35B7" w:rsidTr="00AC094D">
        <w:trPr>
          <w:cnfStyle w:val="000000010000" w:firstRow="0" w:lastRow="0" w:firstColumn="0" w:lastColumn="0" w:oddVBand="0" w:evenVBand="0" w:oddHBand="0" w:evenHBand="1" w:firstRowFirstColumn="0" w:firstRowLastColumn="0" w:lastRowFirstColumn="0" w:lastRowLastColumn="0"/>
          <w:trHeight w:val="681"/>
        </w:trPr>
        <w:tc>
          <w:tcPr>
            <w:tcW w:w="999" w:type="dxa"/>
            <w:gridSpan w:val="2"/>
            <w:hideMark/>
          </w:tcPr>
          <w:p w:rsidR="006819BE" w:rsidRPr="006819BE" w:rsidRDefault="006819BE" w:rsidP="00793504">
            <w:r w:rsidRPr="006819BE">
              <w:t>NR5</w:t>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tcPr>
          <w:p w:rsidR="006819BE" w:rsidRPr="006819BE" w:rsidRDefault="00AC094D" w:rsidP="00793504">
            <w:r w:rsidRPr="00AC094D">
              <w:sym w:font="Wingdings 2" w:char="0050"/>
            </w:r>
          </w:p>
        </w:tc>
        <w:tc>
          <w:tcPr>
            <w:tcW w:w="999" w:type="dxa"/>
            <w:gridSpan w:val="2"/>
            <w:noWrap/>
            <w:hideMark/>
          </w:tcPr>
          <w:p w:rsidR="006819BE" w:rsidRPr="006819BE" w:rsidRDefault="00AC094D" w:rsidP="00793504">
            <w:r w:rsidRPr="00AC094D">
              <w:sym w:font="Wingdings 2" w:char="0050"/>
            </w:r>
          </w:p>
        </w:tc>
        <w:tc>
          <w:tcPr>
            <w:tcW w:w="1000" w:type="dxa"/>
            <w:gridSpan w:val="2"/>
            <w:noWrap/>
            <w:hideMark/>
          </w:tcPr>
          <w:p w:rsidR="006819BE" w:rsidRPr="006819BE" w:rsidRDefault="006819BE" w:rsidP="00793504">
            <w:r w:rsidRPr="006819BE">
              <w:sym w:font="Wingdings 2" w:char="0050"/>
            </w:r>
          </w:p>
        </w:tc>
      </w:tr>
      <w:tr w:rsidR="006819BE" w:rsidRPr="00AC35B7" w:rsidTr="00A31F4D">
        <w:trPr>
          <w:trHeight w:val="681"/>
        </w:trPr>
        <w:tc>
          <w:tcPr>
            <w:tcW w:w="999" w:type="dxa"/>
            <w:gridSpan w:val="2"/>
            <w:hideMark/>
          </w:tcPr>
          <w:p w:rsidR="006819BE" w:rsidRPr="006819BE" w:rsidRDefault="006819BE" w:rsidP="00793504">
            <w:r w:rsidRPr="006819BE">
              <w:t>NR6</w:t>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r>
      <w:tr w:rsidR="006819BE" w:rsidRPr="00AC35B7" w:rsidTr="00A31F4D">
        <w:trPr>
          <w:cnfStyle w:val="000000010000" w:firstRow="0" w:lastRow="0" w:firstColumn="0" w:lastColumn="0" w:oddVBand="0" w:evenVBand="0" w:oddHBand="0" w:evenHBand="1" w:firstRowFirstColumn="0" w:firstRowLastColumn="0" w:lastRowFirstColumn="0" w:lastRowLastColumn="0"/>
          <w:trHeight w:val="681"/>
        </w:trPr>
        <w:tc>
          <w:tcPr>
            <w:tcW w:w="999" w:type="dxa"/>
            <w:gridSpan w:val="2"/>
            <w:hideMark/>
          </w:tcPr>
          <w:p w:rsidR="006819BE" w:rsidRPr="006819BE" w:rsidRDefault="006819BE" w:rsidP="00793504">
            <w:r w:rsidRPr="006819BE">
              <w:t>NR7</w:t>
            </w:r>
          </w:p>
        </w:tc>
        <w:tc>
          <w:tcPr>
            <w:tcW w:w="999" w:type="dxa"/>
            <w:gridSpan w:val="2"/>
            <w:noWrap/>
            <w:hideMark/>
          </w:tcPr>
          <w:p w:rsidR="006819BE" w:rsidRPr="006819BE" w:rsidRDefault="006819BE" w:rsidP="00793504">
            <w:r w:rsidRPr="006819BE">
              <w:rPr>
                <w:rStyle w:val="AERtextsize8"/>
              </w:rPr>
              <w:t>Not applicable</w:t>
            </w:r>
          </w:p>
        </w:tc>
        <w:tc>
          <w:tcPr>
            <w:tcW w:w="999" w:type="dxa"/>
            <w:gridSpan w:val="2"/>
            <w:noWrap/>
            <w:hideMark/>
          </w:tcPr>
          <w:p w:rsidR="006819BE" w:rsidRPr="006819BE" w:rsidRDefault="006819BE" w:rsidP="00793504">
            <w:r w:rsidRPr="006819BE">
              <w:rPr>
                <w:rStyle w:val="AERtextsize8"/>
              </w:rPr>
              <w:t>Not applicable</w:t>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rPr>
                <w:rStyle w:val="AERtextsize8"/>
              </w:rPr>
              <w:t>Not applicable</w:t>
            </w:r>
          </w:p>
        </w:tc>
        <w:tc>
          <w:tcPr>
            <w:tcW w:w="999" w:type="dxa"/>
            <w:gridSpan w:val="2"/>
            <w:noWrap/>
            <w:hideMark/>
          </w:tcPr>
          <w:p w:rsidR="006819BE" w:rsidRPr="006819BE" w:rsidRDefault="006819BE" w:rsidP="00793504">
            <w:r w:rsidRPr="006819BE">
              <w:rPr>
                <w:rStyle w:val="AERtextsize8"/>
              </w:rPr>
              <w:t>Not applicable</w:t>
            </w:r>
          </w:p>
        </w:tc>
        <w:tc>
          <w:tcPr>
            <w:tcW w:w="1000" w:type="dxa"/>
            <w:gridSpan w:val="2"/>
            <w:noWrap/>
            <w:hideMark/>
          </w:tcPr>
          <w:p w:rsidR="006819BE" w:rsidRPr="006819BE" w:rsidRDefault="006819BE" w:rsidP="00793504">
            <w:r w:rsidRPr="006819BE">
              <w:sym w:font="Wingdings 2" w:char="0050"/>
            </w:r>
          </w:p>
        </w:tc>
      </w:tr>
    </w:tbl>
    <w:p w:rsidR="006819BE" w:rsidRPr="006819BE" w:rsidRDefault="006819BE" w:rsidP="006819BE"/>
    <w:p w:rsidR="006819BE" w:rsidRPr="006819BE" w:rsidRDefault="006819BE" w:rsidP="001408F6">
      <w:pPr>
        <w:pStyle w:val="Caption"/>
      </w:pPr>
      <w:r w:rsidRPr="006819BE">
        <w:br w:type="column"/>
      </w:r>
      <w:r w:rsidRPr="006819BE">
        <w:lastRenderedPageBreak/>
        <w:t xml:space="preserve">Table 9 </w:t>
      </w:r>
      <w:r w:rsidR="00BF5F61">
        <w:t>–</w:t>
      </w:r>
      <w:r w:rsidRPr="006819BE">
        <w:t xml:space="preserve"> Registrable classes of exemption </w:t>
      </w:r>
      <w:r w:rsidR="00BF5F61">
        <w:t>–</w:t>
      </w:r>
      <w:r w:rsidRPr="006819BE">
        <w:t xml:space="preserve"> other situations</w:t>
      </w:r>
    </w:p>
    <w:tbl>
      <w:tblPr>
        <w:tblStyle w:val="AERTable-Text"/>
        <w:tblW w:w="12572" w:type="dxa"/>
        <w:tblLook w:val="04A0" w:firstRow="1" w:lastRow="0" w:firstColumn="1" w:lastColumn="0" w:noHBand="0" w:noVBand="1"/>
      </w:tblPr>
      <w:tblGrid>
        <w:gridCol w:w="960"/>
        <w:gridCol w:w="960"/>
        <w:gridCol w:w="960"/>
        <w:gridCol w:w="960"/>
        <w:gridCol w:w="960"/>
        <w:gridCol w:w="960"/>
        <w:gridCol w:w="1470"/>
        <w:gridCol w:w="960"/>
        <w:gridCol w:w="960"/>
        <w:gridCol w:w="960"/>
        <w:gridCol w:w="960"/>
        <w:gridCol w:w="960"/>
        <w:gridCol w:w="960"/>
      </w:tblGrid>
      <w:tr w:rsidR="006819BE" w:rsidRPr="00AC35B7" w:rsidTr="00191C56">
        <w:trPr>
          <w:cnfStyle w:val="100000000000" w:firstRow="1" w:lastRow="0" w:firstColumn="0" w:lastColumn="0" w:oddVBand="0" w:evenVBand="0" w:oddHBand="0" w:evenHBand="0" w:firstRowFirstColumn="0" w:firstRowLastColumn="0" w:lastRowFirstColumn="0" w:lastRowLastColumn="0"/>
          <w:trHeight w:val="567"/>
        </w:trPr>
        <w:tc>
          <w:tcPr>
            <w:tcW w:w="960" w:type="dxa"/>
            <w:noWrap/>
            <w:hideMark/>
          </w:tcPr>
          <w:p w:rsidR="006819BE" w:rsidRPr="006819BE" w:rsidRDefault="006819BE" w:rsidP="00793504">
            <w:r w:rsidRPr="006819BE">
              <w:t> </w:t>
            </w:r>
          </w:p>
        </w:tc>
        <w:tc>
          <w:tcPr>
            <w:tcW w:w="960" w:type="dxa"/>
            <w:noWrap/>
            <w:hideMark/>
          </w:tcPr>
          <w:p w:rsidR="006819BE" w:rsidRPr="006819BE" w:rsidRDefault="006819BE" w:rsidP="00793504">
            <w:r w:rsidRPr="006819BE">
              <w:t> </w:t>
            </w:r>
          </w:p>
        </w:tc>
        <w:tc>
          <w:tcPr>
            <w:tcW w:w="960" w:type="dxa"/>
            <w:noWrap/>
            <w:hideMark/>
          </w:tcPr>
          <w:p w:rsidR="006819BE" w:rsidRPr="006819BE" w:rsidRDefault="006819BE" w:rsidP="00793504">
            <w:r w:rsidRPr="006819BE">
              <w:t> </w:t>
            </w:r>
          </w:p>
        </w:tc>
        <w:tc>
          <w:tcPr>
            <w:tcW w:w="960" w:type="dxa"/>
            <w:noWrap/>
            <w:hideMark/>
          </w:tcPr>
          <w:p w:rsidR="006819BE" w:rsidRPr="006819BE" w:rsidRDefault="006819BE" w:rsidP="00793504">
            <w:r w:rsidRPr="006819BE">
              <w:t> </w:t>
            </w:r>
          </w:p>
        </w:tc>
        <w:tc>
          <w:tcPr>
            <w:tcW w:w="960" w:type="dxa"/>
            <w:noWrap/>
            <w:hideMark/>
          </w:tcPr>
          <w:p w:rsidR="006819BE" w:rsidRPr="006819BE" w:rsidRDefault="006819BE" w:rsidP="00793504">
            <w:r w:rsidRPr="006819BE">
              <w:t> </w:t>
            </w:r>
          </w:p>
        </w:tc>
        <w:tc>
          <w:tcPr>
            <w:tcW w:w="960" w:type="dxa"/>
            <w:noWrap/>
            <w:hideMark/>
          </w:tcPr>
          <w:p w:rsidR="006819BE" w:rsidRPr="006819BE" w:rsidRDefault="006819BE" w:rsidP="00793504">
            <w:r w:rsidRPr="006819BE">
              <w:t> </w:t>
            </w:r>
          </w:p>
        </w:tc>
        <w:tc>
          <w:tcPr>
            <w:tcW w:w="1052" w:type="dxa"/>
            <w:noWrap/>
            <w:hideMark/>
          </w:tcPr>
          <w:p w:rsidR="006819BE" w:rsidRPr="006819BE" w:rsidRDefault="006819BE" w:rsidP="00793504">
            <w:r w:rsidRPr="006819BE">
              <w:t>Conditions</w:t>
            </w:r>
          </w:p>
        </w:tc>
        <w:tc>
          <w:tcPr>
            <w:tcW w:w="960" w:type="dxa"/>
            <w:noWrap/>
            <w:hideMark/>
          </w:tcPr>
          <w:p w:rsidR="006819BE" w:rsidRPr="006819BE" w:rsidRDefault="006819BE" w:rsidP="00793504">
            <w:r w:rsidRPr="006819BE">
              <w:t> </w:t>
            </w:r>
          </w:p>
        </w:tc>
        <w:tc>
          <w:tcPr>
            <w:tcW w:w="960" w:type="dxa"/>
            <w:noWrap/>
            <w:hideMark/>
          </w:tcPr>
          <w:p w:rsidR="006819BE" w:rsidRPr="006819BE" w:rsidRDefault="006819BE" w:rsidP="00793504">
            <w:r w:rsidRPr="006819BE">
              <w:t> </w:t>
            </w:r>
          </w:p>
        </w:tc>
        <w:tc>
          <w:tcPr>
            <w:tcW w:w="960" w:type="dxa"/>
            <w:noWrap/>
            <w:hideMark/>
          </w:tcPr>
          <w:p w:rsidR="006819BE" w:rsidRPr="006819BE" w:rsidRDefault="006819BE" w:rsidP="00793504">
            <w:r w:rsidRPr="006819BE">
              <w:t> </w:t>
            </w:r>
          </w:p>
        </w:tc>
        <w:tc>
          <w:tcPr>
            <w:tcW w:w="960" w:type="dxa"/>
            <w:noWrap/>
            <w:hideMark/>
          </w:tcPr>
          <w:p w:rsidR="006819BE" w:rsidRPr="006819BE" w:rsidRDefault="006819BE" w:rsidP="00793504">
            <w:r w:rsidRPr="006819BE">
              <w:t> </w:t>
            </w:r>
          </w:p>
        </w:tc>
        <w:tc>
          <w:tcPr>
            <w:tcW w:w="960" w:type="dxa"/>
            <w:noWrap/>
            <w:hideMark/>
          </w:tcPr>
          <w:p w:rsidR="006819BE" w:rsidRPr="006819BE" w:rsidRDefault="006819BE" w:rsidP="00793504">
            <w:r w:rsidRPr="006819BE">
              <w:t> </w:t>
            </w:r>
          </w:p>
        </w:tc>
        <w:tc>
          <w:tcPr>
            <w:tcW w:w="960" w:type="dxa"/>
            <w:noWrap/>
            <w:hideMark/>
          </w:tcPr>
          <w:p w:rsidR="006819BE" w:rsidRPr="006819BE" w:rsidRDefault="006819BE" w:rsidP="00793504">
            <w:r w:rsidRPr="006819BE">
              <w:t> </w:t>
            </w:r>
          </w:p>
        </w:tc>
      </w:tr>
      <w:tr w:rsidR="006819BE" w:rsidRPr="00AC35B7" w:rsidTr="00191C56">
        <w:trPr>
          <w:trHeight w:val="567"/>
        </w:trPr>
        <w:tc>
          <w:tcPr>
            <w:tcW w:w="960" w:type="dxa"/>
            <w:noWrap/>
            <w:hideMark/>
          </w:tcPr>
          <w:p w:rsidR="006819BE" w:rsidRPr="006819BE" w:rsidRDefault="006819BE" w:rsidP="00191C56">
            <w:pPr>
              <w:pStyle w:val="Tabletitle"/>
            </w:pPr>
            <w:r w:rsidRPr="006819BE">
              <w:t>Class</w:t>
            </w:r>
          </w:p>
        </w:tc>
        <w:tc>
          <w:tcPr>
            <w:tcW w:w="960" w:type="dxa"/>
            <w:noWrap/>
            <w:hideMark/>
          </w:tcPr>
          <w:p w:rsidR="006819BE" w:rsidRPr="006819BE" w:rsidRDefault="006819BE" w:rsidP="00191C56">
            <w:pPr>
              <w:pStyle w:val="Tabletitle"/>
            </w:pPr>
            <w:r w:rsidRPr="006819BE">
              <w:t>1</w:t>
            </w:r>
          </w:p>
        </w:tc>
        <w:tc>
          <w:tcPr>
            <w:tcW w:w="960" w:type="dxa"/>
            <w:noWrap/>
            <w:hideMark/>
          </w:tcPr>
          <w:p w:rsidR="006819BE" w:rsidRPr="006819BE" w:rsidRDefault="006819BE" w:rsidP="00191C56">
            <w:pPr>
              <w:pStyle w:val="Tabletitle"/>
            </w:pPr>
            <w:r w:rsidRPr="006819BE">
              <w:t>2</w:t>
            </w:r>
          </w:p>
        </w:tc>
        <w:tc>
          <w:tcPr>
            <w:tcW w:w="960" w:type="dxa"/>
            <w:noWrap/>
            <w:hideMark/>
          </w:tcPr>
          <w:p w:rsidR="006819BE" w:rsidRPr="006819BE" w:rsidRDefault="006819BE" w:rsidP="00191C56">
            <w:pPr>
              <w:pStyle w:val="Tabletitle"/>
            </w:pPr>
            <w:r w:rsidRPr="006819BE">
              <w:t>3</w:t>
            </w:r>
          </w:p>
        </w:tc>
        <w:tc>
          <w:tcPr>
            <w:tcW w:w="960" w:type="dxa"/>
            <w:noWrap/>
            <w:hideMark/>
          </w:tcPr>
          <w:p w:rsidR="006819BE" w:rsidRPr="006819BE" w:rsidRDefault="006819BE" w:rsidP="00191C56">
            <w:pPr>
              <w:pStyle w:val="Tabletitle"/>
            </w:pPr>
            <w:r w:rsidRPr="006819BE">
              <w:t>4</w:t>
            </w:r>
          </w:p>
        </w:tc>
        <w:tc>
          <w:tcPr>
            <w:tcW w:w="960" w:type="dxa"/>
            <w:noWrap/>
            <w:hideMark/>
          </w:tcPr>
          <w:p w:rsidR="006819BE" w:rsidRPr="006819BE" w:rsidRDefault="006819BE" w:rsidP="00191C56">
            <w:pPr>
              <w:pStyle w:val="Tabletitle"/>
            </w:pPr>
            <w:r w:rsidRPr="006819BE">
              <w:t>5</w:t>
            </w:r>
          </w:p>
        </w:tc>
        <w:tc>
          <w:tcPr>
            <w:tcW w:w="1052" w:type="dxa"/>
            <w:noWrap/>
            <w:hideMark/>
          </w:tcPr>
          <w:p w:rsidR="006819BE" w:rsidRPr="006819BE" w:rsidRDefault="006819BE" w:rsidP="00191C56">
            <w:pPr>
              <w:pStyle w:val="Tabletitle"/>
            </w:pPr>
            <w:r w:rsidRPr="006819BE">
              <w:t>6</w:t>
            </w:r>
          </w:p>
        </w:tc>
        <w:tc>
          <w:tcPr>
            <w:tcW w:w="960" w:type="dxa"/>
            <w:noWrap/>
            <w:hideMark/>
          </w:tcPr>
          <w:p w:rsidR="006819BE" w:rsidRPr="006819BE" w:rsidRDefault="006819BE" w:rsidP="00191C56">
            <w:pPr>
              <w:pStyle w:val="Tabletitle"/>
            </w:pPr>
            <w:r w:rsidRPr="006819BE">
              <w:t>7</w:t>
            </w:r>
          </w:p>
        </w:tc>
        <w:tc>
          <w:tcPr>
            <w:tcW w:w="960" w:type="dxa"/>
            <w:noWrap/>
            <w:hideMark/>
          </w:tcPr>
          <w:p w:rsidR="006819BE" w:rsidRPr="006819BE" w:rsidRDefault="006819BE" w:rsidP="00191C56">
            <w:pPr>
              <w:pStyle w:val="Tabletitle"/>
            </w:pPr>
            <w:r w:rsidRPr="006819BE">
              <w:t>8</w:t>
            </w:r>
          </w:p>
        </w:tc>
        <w:tc>
          <w:tcPr>
            <w:tcW w:w="960" w:type="dxa"/>
            <w:noWrap/>
            <w:hideMark/>
          </w:tcPr>
          <w:p w:rsidR="006819BE" w:rsidRPr="006819BE" w:rsidRDefault="006819BE" w:rsidP="00191C56">
            <w:pPr>
              <w:pStyle w:val="Tabletitle"/>
            </w:pPr>
            <w:r w:rsidRPr="006819BE">
              <w:t>9</w:t>
            </w:r>
          </w:p>
        </w:tc>
        <w:tc>
          <w:tcPr>
            <w:tcW w:w="960" w:type="dxa"/>
            <w:noWrap/>
            <w:hideMark/>
          </w:tcPr>
          <w:p w:rsidR="006819BE" w:rsidRPr="006819BE" w:rsidRDefault="006819BE" w:rsidP="00191C56">
            <w:pPr>
              <w:pStyle w:val="Tabletitle"/>
            </w:pPr>
            <w:r w:rsidRPr="006819BE">
              <w:t>10</w:t>
            </w:r>
          </w:p>
        </w:tc>
        <w:tc>
          <w:tcPr>
            <w:tcW w:w="960" w:type="dxa"/>
            <w:noWrap/>
            <w:hideMark/>
          </w:tcPr>
          <w:p w:rsidR="006819BE" w:rsidRPr="006819BE" w:rsidRDefault="006819BE" w:rsidP="00191C56">
            <w:pPr>
              <w:pStyle w:val="Tabletitle"/>
            </w:pPr>
            <w:r w:rsidRPr="006819BE">
              <w:t>11</w:t>
            </w:r>
          </w:p>
        </w:tc>
        <w:tc>
          <w:tcPr>
            <w:tcW w:w="960" w:type="dxa"/>
            <w:noWrap/>
            <w:hideMark/>
          </w:tcPr>
          <w:p w:rsidR="006819BE" w:rsidRPr="006819BE" w:rsidRDefault="006819BE" w:rsidP="00191C56">
            <w:pPr>
              <w:pStyle w:val="Tabletitle"/>
            </w:pPr>
            <w:r w:rsidRPr="006819BE">
              <w:t>12</w:t>
            </w:r>
          </w:p>
        </w:tc>
      </w:tr>
      <w:tr w:rsidR="006819BE" w:rsidRPr="00AC35B7" w:rsidTr="00191C56">
        <w:trPr>
          <w:cnfStyle w:val="000000010000" w:firstRow="0" w:lastRow="0" w:firstColumn="0" w:lastColumn="0" w:oddVBand="0" w:evenVBand="0" w:oddHBand="0" w:evenHBand="1" w:firstRowFirstColumn="0" w:firstRowLastColumn="0" w:lastRowFirstColumn="0" w:lastRowLastColumn="0"/>
          <w:trHeight w:val="540"/>
        </w:trPr>
        <w:tc>
          <w:tcPr>
            <w:tcW w:w="960" w:type="dxa"/>
            <w:hideMark/>
          </w:tcPr>
          <w:p w:rsidR="006819BE" w:rsidRPr="006819BE" w:rsidRDefault="006819BE" w:rsidP="00793504">
            <w:r w:rsidRPr="006819BE">
              <w:t>NRO1</w:t>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1052"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rPr>
                <w:rStyle w:val="AERtextsize8"/>
              </w:rPr>
              <w:t>Not applicable</w:t>
            </w:r>
          </w:p>
        </w:tc>
        <w:tc>
          <w:tcPr>
            <w:tcW w:w="960" w:type="dxa"/>
            <w:noWrap/>
            <w:hideMark/>
          </w:tcPr>
          <w:p w:rsidR="006819BE" w:rsidRPr="006819BE" w:rsidRDefault="006819BE" w:rsidP="00793504">
            <w:r w:rsidRPr="006819BE">
              <w:rPr>
                <w:rStyle w:val="AERtextsize8"/>
              </w:rPr>
              <w:t>Not applicable</w:t>
            </w:r>
          </w:p>
        </w:tc>
        <w:tc>
          <w:tcPr>
            <w:tcW w:w="960" w:type="dxa"/>
            <w:noWrap/>
            <w:hideMark/>
          </w:tcPr>
          <w:p w:rsidR="006819BE" w:rsidRPr="006819BE" w:rsidRDefault="006819BE" w:rsidP="00793504">
            <w:r w:rsidRPr="006819BE">
              <w:rPr>
                <w:rStyle w:val="AERtextsize8"/>
              </w:rPr>
              <w:t>Not applicable</w:t>
            </w:r>
          </w:p>
        </w:tc>
      </w:tr>
      <w:tr w:rsidR="006819BE" w:rsidRPr="00AC35B7" w:rsidTr="00191C56">
        <w:trPr>
          <w:trHeight w:val="300"/>
        </w:trPr>
        <w:tc>
          <w:tcPr>
            <w:tcW w:w="960" w:type="dxa"/>
            <w:hideMark/>
          </w:tcPr>
          <w:p w:rsidR="006819BE" w:rsidRPr="006819BE" w:rsidRDefault="006819BE" w:rsidP="00793504">
            <w:r w:rsidRPr="006819BE">
              <w:t>NRO2</w:t>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1052"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rPr>
                <w:rStyle w:val="AERtextsize8"/>
              </w:rPr>
              <w:t>Not applicable</w:t>
            </w:r>
          </w:p>
        </w:tc>
        <w:tc>
          <w:tcPr>
            <w:tcW w:w="960" w:type="dxa"/>
            <w:noWrap/>
            <w:hideMark/>
          </w:tcPr>
          <w:p w:rsidR="006819BE" w:rsidRPr="006819BE" w:rsidRDefault="006819BE" w:rsidP="00793504">
            <w:r w:rsidRPr="006819BE">
              <w:rPr>
                <w:rStyle w:val="AERtextsize8"/>
              </w:rPr>
              <w:t>Not applicable</w:t>
            </w:r>
          </w:p>
        </w:tc>
        <w:tc>
          <w:tcPr>
            <w:tcW w:w="960" w:type="dxa"/>
            <w:noWrap/>
            <w:hideMark/>
          </w:tcPr>
          <w:p w:rsidR="006819BE" w:rsidRPr="006819BE" w:rsidRDefault="006819BE" w:rsidP="00793504">
            <w:r w:rsidRPr="006819BE">
              <w:rPr>
                <w:rStyle w:val="AERtextsize8"/>
              </w:rPr>
              <w:t>Not applicable</w:t>
            </w:r>
          </w:p>
        </w:tc>
      </w:tr>
      <w:tr w:rsidR="006819BE" w:rsidRPr="00AC35B7" w:rsidTr="00191C56">
        <w:trPr>
          <w:cnfStyle w:val="000000010000" w:firstRow="0" w:lastRow="0" w:firstColumn="0" w:lastColumn="0" w:oddVBand="0" w:evenVBand="0" w:oddHBand="0" w:evenHBand="1" w:firstRowFirstColumn="0" w:firstRowLastColumn="0" w:lastRowFirstColumn="0" w:lastRowLastColumn="0"/>
          <w:trHeight w:val="300"/>
        </w:trPr>
        <w:tc>
          <w:tcPr>
            <w:tcW w:w="960" w:type="dxa"/>
            <w:hideMark/>
          </w:tcPr>
          <w:p w:rsidR="006819BE" w:rsidRPr="006819BE" w:rsidRDefault="006819BE" w:rsidP="00793504">
            <w:r w:rsidRPr="006819BE">
              <w:t>NRO3</w:t>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1052"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rPr>
                <w:rStyle w:val="AERtextsize8"/>
              </w:rPr>
              <w:t>Not applicable</w:t>
            </w:r>
          </w:p>
        </w:tc>
        <w:tc>
          <w:tcPr>
            <w:tcW w:w="960" w:type="dxa"/>
            <w:noWrap/>
            <w:hideMark/>
          </w:tcPr>
          <w:p w:rsidR="006819BE" w:rsidRPr="006819BE" w:rsidRDefault="006819BE" w:rsidP="00793504">
            <w:r w:rsidRPr="006819BE">
              <w:rPr>
                <w:rStyle w:val="AERtextsize8"/>
              </w:rPr>
              <w:t>Not applicable</w:t>
            </w:r>
          </w:p>
        </w:tc>
        <w:tc>
          <w:tcPr>
            <w:tcW w:w="960" w:type="dxa"/>
            <w:noWrap/>
            <w:hideMark/>
          </w:tcPr>
          <w:p w:rsidR="006819BE" w:rsidRPr="006819BE" w:rsidRDefault="006819BE" w:rsidP="00793504">
            <w:r w:rsidRPr="006819BE">
              <w:rPr>
                <w:rStyle w:val="AERtextsize8"/>
              </w:rPr>
              <w:t>Not applicable</w:t>
            </w:r>
          </w:p>
        </w:tc>
      </w:tr>
      <w:tr w:rsidR="006819BE" w:rsidRPr="00AC35B7" w:rsidTr="00191C56">
        <w:trPr>
          <w:trHeight w:val="300"/>
        </w:trPr>
        <w:tc>
          <w:tcPr>
            <w:tcW w:w="960" w:type="dxa"/>
            <w:hideMark/>
          </w:tcPr>
          <w:p w:rsidR="006819BE" w:rsidRPr="006819BE" w:rsidRDefault="006819BE" w:rsidP="00793504">
            <w:r w:rsidRPr="006819BE">
              <w:t>NRO4</w:t>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191A8C" w:rsidRDefault="000E1ADB" w:rsidP="00E97A4B">
            <w:pPr>
              <w:rPr>
                <w:rStyle w:val="AERtextsize8"/>
              </w:rPr>
            </w:pPr>
            <w:r w:rsidRPr="00191A8C">
              <w:rPr>
                <w:rStyle w:val="AERtextsize8"/>
              </w:rPr>
              <w:t>Not applicable</w:t>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1052"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rPr>
                <w:rStyle w:val="AERtextsize8"/>
              </w:rPr>
              <w:t>Not applicable</w:t>
            </w:r>
          </w:p>
        </w:tc>
        <w:tc>
          <w:tcPr>
            <w:tcW w:w="960" w:type="dxa"/>
            <w:noWrap/>
            <w:hideMark/>
          </w:tcPr>
          <w:p w:rsidR="006819BE" w:rsidRPr="006819BE" w:rsidRDefault="006819BE" w:rsidP="00793504">
            <w:r w:rsidRPr="006819BE">
              <w:rPr>
                <w:rStyle w:val="AERtextsize8"/>
              </w:rPr>
              <w:t>Not applicable</w:t>
            </w:r>
          </w:p>
        </w:tc>
        <w:tc>
          <w:tcPr>
            <w:tcW w:w="960" w:type="dxa"/>
            <w:noWrap/>
            <w:hideMark/>
          </w:tcPr>
          <w:p w:rsidR="006819BE" w:rsidRPr="006819BE" w:rsidRDefault="006819BE" w:rsidP="00793504">
            <w:r w:rsidRPr="006819BE">
              <w:sym w:font="Wingdings 2" w:char="0050"/>
            </w:r>
          </w:p>
        </w:tc>
      </w:tr>
      <w:tr w:rsidR="006819BE" w:rsidRPr="00AC35B7" w:rsidTr="00191C56">
        <w:trPr>
          <w:cnfStyle w:val="000000010000" w:firstRow="0" w:lastRow="0" w:firstColumn="0" w:lastColumn="0" w:oddVBand="0" w:evenVBand="0" w:oddHBand="0" w:evenHBand="1" w:firstRowFirstColumn="0" w:firstRowLastColumn="0" w:lastRowFirstColumn="0" w:lastRowLastColumn="0"/>
          <w:trHeight w:val="300"/>
        </w:trPr>
        <w:tc>
          <w:tcPr>
            <w:tcW w:w="960" w:type="dxa"/>
            <w:hideMark/>
          </w:tcPr>
          <w:p w:rsidR="006819BE" w:rsidRPr="006819BE" w:rsidRDefault="006819BE" w:rsidP="00793504">
            <w:r w:rsidRPr="006819BE">
              <w:t>NRO5</w:t>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1052"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r>
    </w:tbl>
    <w:p w:rsidR="006819BE" w:rsidRPr="006819BE" w:rsidRDefault="006819BE" w:rsidP="006819BE"/>
    <w:p w:rsidR="006819BE" w:rsidRPr="006819BE" w:rsidRDefault="006819BE" w:rsidP="00A31F4D">
      <w:pPr>
        <w:pStyle w:val="Caption"/>
      </w:pPr>
      <w:r w:rsidRPr="006819BE">
        <w:t xml:space="preserve">Table 10 </w:t>
      </w:r>
      <w:r w:rsidR="00BF5F61">
        <w:t>–</w:t>
      </w:r>
      <w:r w:rsidRPr="006819BE">
        <w:t xml:space="preserve"> Individual network exemption class </w:t>
      </w:r>
    </w:p>
    <w:tbl>
      <w:tblPr>
        <w:tblStyle w:val="AERTable-Text"/>
        <w:tblW w:w="13002" w:type="dxa"/>
        <w:tblLayout w:type="fixed"/>
        <w:tblLook w:val="04A0" w:firstRow="1" w:lastRow="0" w:firstColumn="1" w:lastColumn="0" w:noHBand="0" w:noVBand="1"/>
      </w:tblPr>
      <w:tblGrid>
        <w:gridCol w:w="972"/>
        <w:gridCol w:w="28"/>
        <w:gridCol w:w="932"/>
        <w:gridCol w:w="68"/>
        <w:gridCol w:w="892"/>
        <w:gridCol w:w="108"/>
        <w:gridCol w:w="852"/>
        <w:gridCol w:w="148"/>
        <w:gridCol w:w="812"/>
        <w:gridCol w:w="188"/>
        <w:gridCol w:w="772"/>
        <w:gridCol w:w="228"/>
        <w:gridCol w:w="1001"/>
        <w:gridCol w:w="241"/>
        <w:gridCol w:w="759"/>
        <w:gridCol w:w="201"/>
        <w:gridCol w:w="799"/>
        <w:gridCol w:w="161"/>
        <w:gridCol w:w="839"/>
        <w:gridCol w:w="121"/>
        <w:gridCol w:w="879"/>
        <w:gridCol w:w="81"/>
        <w:gridCol w:w="919"/>
        <w:gridCol w:w="41"/>
        <w:gridCol w:w="960"/>
      </w:tblGrid>
      <w:tr w:rsidR="006819BE" w:rsidRPr="00AC35B7" w:rsidTr="00A31F4D">
        <w:trPr>
          <w:cnfStyle w:val="100000000000" w:firstRow="1" w:lastRow="0" w:firstColumn="0" w:lastColumn="0" w:oddVBand="0" w:evenVBand="0" w:oddHBand="0" w:evenHBand="0" w:firstRowFirstColumn="0" w:firstRowLastColumn="0" w:lastRowFirstColumn="0" w:lastRowLastColumn="0"/>
          <w:trHeight w:val="567"/>
        </w:trPr>
        <w:tc>
          <w:tcPr>
            <w:tcW w:w="972" w:type="dxa"/>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1470" w:type="dxa"/>
            <w:gridSpan w:val="3"/>
            <w:noWrap/>
            <w:hideMark/>
          </w:tcPr>
          <w:p w:rsidR="006819BE" w:rsidRPr="006819BE" w:rsidRDefault="006819BE" w:rsidP="00793504">
            <w:r w:rsidRPr="006819BE">
              <w:t>Conditions</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noWrap/>
            <w:hideMark/>
          </w:tcPr>
          <w:p w:rsidR="006819BE" w:rsidRPr="006819BE" w:rsidRDefault="006819BE" w:rsidP="00793504">
            <w:r w:rsidRPr="006819BE">
              <w:t> </w:t>
            </w:r>
          </w:p>
        </w:tc>
      </w:tr>
      <w:tr w:rsidR="006819BE" w:rsidRPr="00AC35B7" w:rsidTr="00A31F4D">
        <w:trPr>
          <w:trHeight w:val="567"/>
        </w:trPr>
        <w:tc>
          <w:tcPr>
            <w:tcW w:w="1000" w:type="dxa"/>
            <w:gridSpan w:val="2"/>
            <w:noWrap/>
          </w:tcPr>
          <w:p w:rsidR="006819BE" w:rsidRPr="006819BE" w:rsidRDefault="006819BE" w:rsidP="00191C56">
            <w:pPr>
              <w:pStyle w:val="Tabletitle"/>
            </w:pPr>
            <w:r w:rsidRPr="006819BE">
              <w:t>Class</w:t>
            </w:r>
          </w:p>
        </w:tc>
        <w:tc>
          <w:tcPr>
            <w:tcW w:w="1000" w:type="dxa"/>
            <w:gridSpan w:val="2"/>
            <w:noWrap/>
          </w:tcPr>
          <w:p w:rsidR="006819BE" w:rsidRPr="006819BE" w:rsidRDefault="006819BE" w:rsidP="00191C56">
            <w:pPr>
              <w:pStyle w:val="Tabletitle"/>
            </w:pPr>
            <w:r w:rsidRPr="006819BE">
              <w:t>1</w:t>
            </w:r>
          </w:p>
        </w:tc>
        <w:tc>
          <w:tcPr>
            <w:tcW w:w="1000" w:type="dxa"/>
            <w:gridSpan w:val="2"/>
            <w:noWrap/>
          </w:tcPr>
          <w:p w:rsidR="006819BE" w:rsidRPr="006819BE" w:rsidRDefault="006819BE" w:rsidP="00191C56">
            <w:pPr>
              <w:pStyle w:val="Tabletitle"/>
            </w:pPr>
            <w:r w:rsidRPr="006819BE">
              <w:t>2</w:t>
            </w:r>
          </w:p>
        </w:tc>
        <w:tc>
          <w:tcPr>
            <w:tcW w:w="1000" w:type="dxa"/>
            <w:gridSpan w:val="2"/>
            <w:noWrap/>
          </w:tcPr>
          <w:p w:rsidR="006819BE" w:rsidRPr="006819BE" w:rsidRDefault="006819BE" w:rsidP="00191C56">
            <w:pPr>
              <w:pStyle w:val="Tabletitle"/>
            </w:pPr>
            <w:r w:rsidRPr="006819BE">
              <w:t>3</w:t>
            </w:r>
          </w:p>
        </w:tc>
        <w:tc>
          <w:tcPr>
            <w:tcW w:w="1000" w:type="dxa"/>
            <w:gridSpan w:val="2"/>
            <w:noWrap/>
          </w:tcPr>
          <w:p w:rsidR="006819BE" w:rsidRPr="006819BE" w:rsidRDefault="006819BE" w:rsidP="00191C56">
            <w:pPr>
              <w:pStyle w:val="Tabletitle"/>
            </w:pPr>
            <w:r w:rsidRPr="006819BE">
              <w:t>4</w:t>
            </w:r>
          </w:p>
        </w:tc>
        <w:tc>
          <w:tcPr>
            <w:tcW w:w="1000" w:type="dxa"/>
            <w:gridSpan w:val="2"/>
            <w:noWrap/>
          </w:tcPr>
          <w:p w:rsidR="006819BE" w:rsidRPr="006819BE" w:rsidRDefault="006819BE" w:rsidP="00191C56">
            <w:pPr>
              <w:pStyle w:val="Tabletitle"/>
            </w:pPr>
            <w:r w:rsidRPr="006819BE">
              <w:t>5</w:t>
            </w:r>
          </w:p>
        </w:tc>
        <w:tc>
          <w:tcPr>
            <w:tcW w:w="1001" w:type="dxa"/>
            <w:noWrap/>
          </w:tcPr>
          <w:p w:rsidR="006819BE" w:rsidRPr="006819BE" w:rsidRDefault="006819BE" w:rsidP="00191C56">
            <w:pPr>
              <w:pStyle w:val="Tabletitle"/>
            </w:pPr>
            <w:r w:rsidRPr="006819BE">
              <w:t>6</w:t>
            </w:r>
          </w:p>
        </w:tc>
        <w:tc>
          <w:tcPr>
            <w:tcW w:w="1000" w:type="dxa"/>
            <w:gridSpan w:val="2"/>
            <w:noWrap/>
          </w:tcPr>
          <w:p w:rsidR="006819BE" w:rsidRPr="006819BE" w:rsidRDefault="006819BE" w:rsidP="00191C56">
            <w:pPr>
              <w:pStyle w:val="Tabletitle"/>
            </w:pPr>
            <w:r w:rsidRPr="006819BE">
              <w:t>7</w:t>
            </w:r>
          </w:p>
        </w:tc>
        <w:tc>
          <w:tcPr>
            <w:tcW w:w="1000" w:type="dxa"/>
            <w:gridSpan w:val="2"/>
            <w:noWrap/>
          </w:tcPr>
          <w:p w:rsidR="006819BE" w:rsidRPr="006819BE" w:rsidRDefault="006819BE" w:rsidP="00191C56">
            <w:pPr>
              <w:pStyle w:val="Tabletitle"/>
            </w:pPr>
            <w:r w:rsidRPr="006819BE">
              <w:t>8</w:t>
            </w:r>
          </w:p>
        </w:tc>
        <w:tc>
          <w:tcPr>
            <w:tcW w:w="1000" w:type="dxa"/>
            <w:gridSpan w:val="2"/>
            <w:noWrap/>
          </w:tcPr>
          <w:p w:rsidR="006819BE" w:rsidRPr="006819BE" w:rsidRDefault="006819BE" w:rsidP="00191C56">
            <w:pPr>
              <w:pStyle w:val="Tabletitle"/>
            </w:pPr>
            <w:r w:rsidRPr="006819BE">
              <w:t>9</w:t>
            </w:r>
          </w:p>
        </w:tc>
        <w:tc>
          <w:tcPr>
            <w:tcW w:w="1000" w:type="dxa"/>
            <w:gridSpan w:val="2"/>
            <w:noWrap/>
          </w:tcPr>
          <w:p w:rsidR="006819BE" w:rsidRPr="006819BE" w:rsidRDefault="006819BE" w:rsidP="00191C56">
            <w:pPr>
              <w:pStyle w:val="Tabletitle"/>
            </w:pPr>
            <w:r w:rsidRPr="006819BE">
              <w:t>10</w:t>
            </w:r>
          </w:p>
        </w:tc>
        <w:tc>
          <w:tcPr>
            <w:tcW w:w="1000" w:type="dxa"/>
            <w:gridSpan w:val="2"/>
            <w:noWrap/>
          </w:tcPr>
          <w:p w:rsidR="006819BE" w:rsidRPr="006819BE" w:rsidRDefault="006819BE" w:rsidP="00191C56">
            <w:pPr>
              <w:pStyle w:val="Tabletitle"/>
            </w:pPr>
            <w:r w:rsidRPr="006819BE">
              <w:t>11</w:t>
            </w:r>
          </w:p>
        </w:tc>
        <w:tc>
          <w:tcPr>
            <w:tcW w:w="1001" w:type="dxa"/>
            <w:gridSpan w:val="2"/>
            <w:noWrap/>
          </w:tcPr>
          <w:p w:rsidR="006819BE" w:rsidRPr="006819BE" w:rsidRDefault="006819BE" w:rsidP="00191C56">
            <w:pPr>
              <w:pStyle w:val="Tabletitle"/>
            </w:pPr>
            <w:r w:rsidRPr="006819BE">
              <w:t>12</w:t>
            </w:r>
          </w:p>
        </w:tc>
      </w:tr>
      <w:tr w:rsidR="006819BE" w:rsidRPr="00AC35B7" w:rsidTr="00A31F4D">
        <w:trPr>
          <w:cnfStyle w:val="000000010000" w:firstRow="0" w:lastRow="0" w:firstColumn="0" w:lastColumn="0" w:oddVBand="0" w:evenVBand="0" w:oddHBand="0" w:evenHBand="1" w:firstRowFirstColumn="0" w:firstRowLastColumn="0" w:lastRowFirstColumn="0" w:lastRowLastColumn="0"/>
          <w:trHeight w:val="540"/>
        </w:trPr>
        <w:tc>
          <w:tcPr>
            <w:tcW w:w="1000" w:type="dxa"/>
            <w:gridSpan w:val="2"/>
            <w:hideMark/>
          </w:tcPr>
          <w:p w:rsidR="006819BE" w:rsidRPr="006819BE" w:rsidRDefault="006819BE" w:rsidP="00793504">
            <w:r w:rsidRPr="006819BE">
              <w:t>NRI</w:t>
            </w:r>
          </w:p>
        </w:tc>
        <w:tc>
          <w:tcPr>
            <w:tcW w:w="1000"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1001" w:type="dxa"/>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1001" w:type="dxa"/>
            <w:gridSpan w:val="2"/>
            <w:noWrap/>
            <w:hideMark/>
          </w:tcPr>
          <w:p w:rsidR="006819BE" w:rsidRPr="006819BE" w:rsidRDefault="006819BE" w:rsidP="00793504">
            <w:r w:rsidRPr="006819BE">
              <w:sym w:font="Wingdings 2" w:char="0050"/>
            </w:r>
          </w:p>
        </w:tc>
      </w:tr>
    </w:tbl>
    <w:p w:rsidR="006819BE" w:rsidRPr="006819BE" w:rsidRDefault="006819BE" w:rsidP="006819BE"/>
    <w:p w:rsidR="006819BE" w:rsidRPr="006819BE" w:rsidRDefault="006819BE" w:rsidP="006819BE">
      <w:pPr>
        <w:sectPr w:rsidR="006819BE" w:rsidRPr="006819BE" w:rsidSect="00793504">
          <w:pgSz w:w="16838" w:h="11906" w:orient="landscape"/>
          <w:pgMar w:top="1440" w:right="1440" w:bottom="1440" w:left="1440" w:header="709" w:footer="709" w:gutter="0"/>
          <w:cols w:space="708"/>
          <w:docGrid w:linePitch="360"/>
        </w:sectPr>
      </w:pPr>
    </w:p>
    <w:p w:rsidR="006819BE" w:rsidRPr="006819BE" w:rsidRDefault="006819BE" w:rsidP="006819BE">
      <w:pPr>
        <w:pStyle w:val="Heading2"/>
      </w:pPr>
      <w:bookmarkStart w:id="81" w:name="_Ref361906955"/>
      <w:bookmarkStart w:id="82" w:name="_Ref361906984"/>
      <w:bookmarkStart w:id="83" w:name="_Ref361908101"/>
      <w:bookmarkStart w:id="84" w:name="_Toc365299421"/>
      <w:bookmarkStart w:id="85" w:name="_Ref456784810"/>
      <w:bookmarkStart w:id="86" w:name="_Toc468276083"/>
      <w:bookmarkEnd w:id="6"/>
      <w:bookmarkEnd w:id="7"/>
      <w:r w:rsidRPr="006819BE">
        <w:lastRenderedPageBreak/>
        <w:t>Metering installation</w:t>
      </w:r>
      <w:bookmarkEnd w:id="81"/>
      <w:bookmarkEnd w:id="82"/>
      <w:bookmarkEnd w:id="83"/>
      <w:bookmarkEnd w:id="84"/>
      <w:r w:rsidR="003A62F6">
        <w:t xml:space="preserve"> and </w:t>
      </w:r>
      <w:r w:rsidR="003C51AE">
        <w:t>NEM</w:t>
      </w:r>
      <w:r w:rsidR="003A62F6">
        <w:t xml:space="preserve"> requirements</w:t>
      </w:r>
      <w:bookmarkEnd w:id="85"/>
      <w:bookmarkEnd w:id="86"/>
    </w:p>
    <w:p w:rsidR="006819BE" w:rsidRPr="006819BE" w:rsidRDefault="006819BE" w:rsidP="006819BE">
      <w:r w:rsidRPr="006819BE">
        <w:t xml:space="preserve">The following requirements </w:t>
      </w:r>
      <w:r w:rsidR="003A62F6">
        <w:t>apply</w:t>
      </w:r>
      <w:r w:rsidRPr="006819BE">
        <w:t xml:space="preserve"> to all new </w:t>
      </w:r>
      <w:r w:rsidR="003A62F6">
        <w:t xml:space="preserve">metering </w:t>
      </w:r>
      <w:r w:rsidRPr="006819BE">
        <w:t>installations and to any reconfiguration of a</w:t>
      </w:r>
      <w:r w:rsidR="003A62F6">
        <w:t xml:space="preserve">n existing </w:t>
      </w:r>
      <w:r w:rsidRPr="006819BE">
        <w:t xml:space="preserve">metering installation within an existing </w:t>
      </w:r>
      <w:r w:rsidR="00717C47">
        <w:t>embedded network</w:t>
      </w:r>
      <w:r w:rsidRPr="006819BE">
        <w:t xml:space="preserve">. This clause </w:t>
      </w:r>
      <w:r w:rsidR="00FA3483">
        <w:t xml:space="preserve">also </w:t>
      </w:r>
      <w:r w:rsidRPr="006819BE">
        <w:t xml:space="preserve">applies to </w:t>
      </w:r>
      <w:r w:rsidR="003A62F6">
        <w:t>an</w:t>
      </w:r>
      <w:r w:rsidRPr="006819BE">
        <w:t xml:space="preserve"> activity class where condition 4.1</w:t>
      </w:r>
      <w:r w:rsidR="00CD2BCC">
        <w:t>.</w:t>
      </w:r>
      <w:r w:rsidRPr="006819BE">
        <w:fldChar w:fldCharType="begin"/>
      </w:r>
      <w:r w:rsidRPr="006819BE">
        <w:instrText xml:space="preserve"> REF _Ref362011716 \r \h  \* MERGEFORMAT </w:instrText>
      </w:r>
      <w:r w:rsidRPr="006819BE">
        <w:fldChar w:fldCharType="separate"/>
      </w:r>
      <w:r w:rsidR="00D30DD5">
        <w:t>12</w:t>
      </w:r>
      <w:r w:rsidRPr="006819BE">
        <w:fldChar w:fldCharType="end"/>
      </w:r>
      <w:r w:rsidRPr="006819BE">
        <w:t xml:space="preserve"> </w:t>
      </w:r>
      <w:proofErr w:type="gramStart"/>
      <w:r w:rsidRPr="006819BE">
        <w:t>applies</w:t>
      </w:r>
      <w:proofErr w:type="gramEnd"/>
      <w:r w:rsidRPr="006819BE">
        <w:t>, as set out in tables 6, 7, 8, 9 &amp; 10.</w:t>
      </w:r>
    </w:p>
    <w:p w:rsidR="006819BE" w:rsidRDefault="006819BE" w:rsidP="006819BE">
      <w:r w:rsidRPr="006819BE">
        <w:t xml:space="preserve">Metering at the </w:t>
      </w:r>
      <w:r w:rsidR="00717C47">
        <w:t xml:space="preserve">parent </w:t>
      </w:r>
      <w:r w:rsidRPr="006819BE">
        <w:t>connection point</w:t>
      </w:r>
      <w:r w:rsidR="001A1B66">
        <w:t xml:space="preserve"> of an embedded network </w:t>
      </w:r>
      <w:r w:rsidRPr="006819BE">
        <w:t>is to be determined in conjunction with the relevant transmission or distribution network service provider’s requirements for connection of a customer.</w:t>
      </w:r>
      <w:r w:rsidR="001D28C3">
        <w:t xml:space="preserve"> </w:t>
      </w:r>
      <w:r w:rsidR="00FF6CC7">
        <w:t xml:space="preserve">Metering requirements for child </w:t>
      </w:r>
      <w:r w:rsidR="000C20C9">
        <w:t>connections</w:t>
      </w:r>
      <w:r w:rsidR="00FF6CC7">
        <w:t xml:space="preserve"> in </w:t>
      </w:r>
      <w:proofErr w:type="gramStart"/>
      <w:r w:rsidR="00FF6CC7">
        <w:t>a</w:t>
      </w:r>
      <w:proofErr w:type="gramEnd"/>
      <w:r w:rsidR="00FF6CC7">
        <w:t xml:space="preserve"> </w:t>
      </w:r>
      <w:r w:rsidR="006D3CDD">
        <w:t xml:space="preserve">exempt embedded network, including a requirement to appoint an ENM, </w:t>
      </w:r>
      <w:r w:rsidR="00FF6CC7">
        <w:t xml:space="preserve">are set out in section </w:t>
      </w:r>
      <w:r w:rsidR="00FA3483">
        <w:fldChar w:fldCharType="begin"/>
      </w:r>
      <w:r w:rsidR="00FA3483">
        <w:instrText xml:space="preserve"> REF _Ref361908606 \r \h </w:instrText>
      </w:r>
      <w:r w:rsidR="00FA3483">
        <w:fldChar w:fldCharType="separate"/>
      </w:r>
      <w:r w:rsidR="00D30DD5">
        <w:t>4.2.2</w:t>
      </w:r>
      <w:r w:rsidR="00FA3483">
        <w:fldChar w:fldCharType="end"/>
      </w:r>
      <w:r w:rsidR="00FA3483">
        <w:t>.</w:t>
      </w:r>
      <w:r w:rsidR="00D970CE">
        <w:t xml:space="preserve"> A metering installation is non–compliant if the metering installation does not conform to current standards for NEM metering in any material respect</w:t>
      </w:r>
      <w:r w:rsidR="001D11F2">
        <w:t xml:space="preserve"> - see condition </w:t>
      </w:r>
      <w:r w:rsidR="001D11F2">
        <w:fldChar w:fldCharType="begin"/>
      </w:r>
      <w:r w:rsidR="001D11F2">
        <w:instrText xml:space="preserve"> REF _Ref466303288 \r \h </w:instrText>
      </w:r>
      <w:r w:rsidR="001D11F2">
        <w:fldChar w:fldCharType="separate"/>
      </w:r>
      <w:r w:rsidR="001D11F2">
        <w:t>4.2.2.5</w:t>
      </w:r>
      <w:r w:rsidR="001D11F2">
        <w:fldChar w:fldCharType="end"/>
      </w:r>
      <w:r w:rsidR="00D970CE">
        <w:t xml:space="preserve">. </w:t>
      </w:r>
    </w:p>
    <w:p w:rsidR="00BC44DA" w:rsidRDefault="00BC44DA" w:rsidP="006819BE">
      <w:r>
        <w:t>A</w:t>
      </w:r>
      <w:r w:rsidR="000C20C9">
        <w:t>n existing</w:t>
      </w:r>
      <w:r>
        <w:t xml:space="preserve"> </w:t>
      </w:r>
      <w:r w:rsidR="00DD7744">
        <w:t>non</w:t>
      </w:r>
      <w:r w:rsidR="00BF5F61">
        <w:t>–</w:t>
      </w:r>
      <w:r w:rsidR="00DD7744">
        <w:t xml:space="preserve">compliant </w:t>
      </w:r>
      <w:r>
        <w:t xml:space="preserve">metering installation </w:t>
      </w:r>
      <w:r w:rsidR="000C20C9">
        <w:t xml:space="preserve">for a child customer in an embedded network </w:t>
      </w:r>
      <w:r w:rsidR="00DD7744">
        <w:t>must be upgraded at the cost of the exempt embedded network service provider except where</w:t>
      </w:r>
      <w:r>
        <w:t>:</w:t>
      </w:r>
      <w:r w:rsidR="00693E29">
        <w:t xml:space="preserve"> </w:t>
      </w:r>
    </w:p>
    <w:p w:rsidR="00BC44DA" w:rsidRPr="00A80AEC" w:rsidRDefault="00615F1C" w:rsidP="00E65EE4">
      <w:pPr>
        <w:pStyle w:val="Listalphabet"/>
        <w:numPr>
          <w:ilvl w:val="0"/>
          <w:numId w:val="31"/>
        </w:numPr>
      </w:pPr>
      <w:r>
        <w:t>the</w:t>
      </w:r>
      <w:r w:rsidR="000C20C9" w:rsidRPr="00A80AEC">
        <w:t xml:space="preserve"> child </w:t>
      </w:r>
      <w:r w:rsidR="007A2A12" w:rsidRPr="00A80AEC">
        <w:t xml:space="preserve">embedded network customer has </w:t>
      </w:r>
      <w:r>
        <w:t xml:space="preserve">not </w:t>
      </w:r>
      <w:r w:rsidR="007A2A12" w:rsidRPr="00A80AEC">
        <w:t>sought to take advantage of a market retail offer</w:t>
      </w:r>
      <w:r w:rsidR="00BC44DA" w:rsidRPr="00A80AEC">
        <w:t>;</w:t>
      </w:r>
      <w:r>
        <w:t xml:space="preserve"> or</w:t>
      </w:r>
    </w:p>
    <w:p w:rsidR="00BC44DA" w:rsidRPr="00A80AEC" w:rsidRDefault="000C20C9" w:rsidP="00E65EE4">
      <w:pPr>
        <w:pStyle w:val="Listalphabet"/>
        <w:numPr>
          <w:ilvl w:val="0"/>
          <w:numId w:val="31"/>
        </w:numPr>
      </w:pPr>
      <w:r w:rsidRPr="00A80AEC">
        <w:t>the</w:t>
      </w:r>
      <w:r w:rsidR="00BC44DA" w:rsidRPr="00A80AEC">
        <w:t xml:space="preserve"> metering installation was in existence on 1 January 2012</w:t>
      </w:r>
      <w:r w:rsidRPr="00A80AEC">
        <w:t xml:space="preserve"> and was not altered after that date</w:t>
      </w:r>
      <w:r w:rsidR="00BC44DA" w:rsidRPr="00A80AEC">
        <w:t xml:space="preserve">; </w:t>
      </w:r>
      <w:r w:rsidR="00DD7744" w:rsidRPr="00A80AEC">
        <w:t>or</w:t>
      </w:r>
    </w:p>
    <w:p w:rsidR="0007103E" w:rsidRDefault="00BC44DA" w:rsidP="00E65EE4">
      <w:pPr>
        <w:pStyle w:val="Listalphabet"/>
        <w:numPr>
          <w:ilvl w:val="0"/>
          <w:numId w:val="31"/>
        </w:numPr>
      </w:pPr>
      <w:r w:rsidRPr="00A80AEC">
        <w:t xml:space="preserve">a metering installation </w:t>
      </w:r>
      <w:r w:rsidR="00D970CE">
        <w:t xml:space="preserve">was </w:t>
      </w:r>
      <w:r w:rsidRPr="00A80AEC">
        <w:t xml:space="preserve">installed on or after 1 January 2012 </w:t>
      </w:r>
      <w:r w:rsidR="00DD7744" w:rsidRPr="00A80AEC">
        <w:t xml:space="preserve">and that installation </w:t>
      </w:r>
      <w:r w:rsidRPr="00A80AEC">
        <w:t xml:space="preserve">complied with the requirements of this </w:t>
      </w:r>
      <w:r w:rsidR="00A80AEC">
        <w:t xml:space="preserve">guideline in force on </w:t>
      </w:r>
      <w:r w:rsidR="00D970CE">
        <w:t>the date of commissioning or first use of the installation</w:t>
      </w:r>
      <w:r w:rsidR="0007103E">
        <w:t>; or</w:t>
      </w:r>
    </w:p>
    <w:p w:rsidR="00FF6CC7" w:rsidRPr="00A80AEC" w:rsidRDefault="0007103E" w:rsidP="00E65EE4">
      <w:pPr>
        <w:pStyle w:val="Listalphabet"/>
        <w:numPr>
          <w:ilvl w:val="0"/>
          <w:numId w:val="31"/>
        </w:numPr>
      </w:pPr>
      <w:proofErr w:type="gramStart"/>
      <w:r>
        <w:t>a</w:t>
      </w:r>
      <w:proofErr w:type="gramEnd"/>
      <w:r>
        <w:t xml:space="preserve"> </w:t>
      </w:r>
      <w:r w:rsidR="00D970CE">
        <w:t xml:space="preserve">customer, </w:t>
      </w:r>
      <w:r>
        <w:t>market retailer or other person provides a replacement metering installation</w:t>
      </w:r>
      <w:r w:rsidR="009028A6">
        <w:t xml:space="preserve"> of their own volition</w:t>
      </w:r>
      <w:r w:rsidR="003148C7" w:rsidRPr="003148C7">
        <w:t xml:space="preserve"> </w:t>
      </w:r>
      <w:r w:rsidR="003148C7">
        <w:t xml:space="preserve">and </w:t>
      </w:r>
      <w:r w:rsidR="003148C7" w:rsidRPr="003148C7">
        <w:t>at their own cost</w:t>
      </w:r>
      <w:r w:rsidR="00BC44DA" w:rsidRPr="00A80AEC">
        <w:t>.</w:t>
      </w:r>
    </w:p>
    <w:p w:rsidR="006819BE" w:rsidRPr="006819BE" w:rsidRDefault="006819BE" w:rsidP="006819BE">
      <w:pPr>
        <w:pStyle w:val="Heading3"/>
      </w:pPr>
      <w:bookmarkStart w:id="87" w:name="_Toc468276084"/>
      <w:r w:rsidRPr="006819BE">
        <w:t>Transmission networks</w:t>
      </w:r>
      <w:bookmarkEnd w:id="87"/>
    </w:p>
    <w:p w:rsidR="00DC0A70" w:rsidRDefault="006819BE" w:rsidP="006819BE">
      <w:r w:rsidRPr="006819BE">
        <w:t xml:space="preserve">Regardless of whether a </w:t>
      </w:r>
      <w:r w:rsidR="00DC0A70">
        <w:t xml:space="preserve">transmission </w:t>
      </w:r>
      <w:r w:rsidRPr="006819BE">
        <w:t>network is registered with AEMO or exempted from registration by the AER, all metering in electricity transmission networks must be installed in accordance with all reasonable requirements of AEMO and additionally, in accordance with the requirements specified in a connection agreement with a network service provider.</w:t>
      </w:r>
      <w:r w:rsidRPr="006819BE">
        <w:rPr>
          <w:rStyle w:val="FootnoteReference"/>
        </w:rPr>
        <w:footnoteReference w:id="37"/>
      </w:r>
      <w:r w:rsidR="001A1B66">
        <w:t xml:space="preserve"> </w:t>
      </w:r>
    </w:p>
    <w:p w:rsidR="005654EA" w:rsidRPr="005654EA" w:rsidRDefault="00B26AD2" w:rsidP="005654EA">
      <w:r w:rsidRPr="00B26AD2">
        <w:t>An exempt embedded network service provider must consult AEMO on AEMO requirements for the safe, reliable or secure operation of an exempt network.</w:t>
      </w:r>
      <w:r>
        <w:t xml:space="preserve"> </w:t>
      </w:r>
      <w:r w:rsidR="008B16C9" w:rsidRPr="008B16C9">
        <w:t xml:space="preserve">Where AEMO advises that an exempt </w:t>
      </w:r>
      <w:r w:rsidR="008B16C9">
        <w:t xml:space="preserve">transmission </w:t>
      </w:r>
      <w:r w:rsidR="008B16C9" w:rsidRPr="008B16C9">
        <w:t xml:space="preserve">network is likely to affect the safe, reliable or secure operation of the National Electricity Market, </w:t>
      </w:r>
      <w:r w:rsidR="008B16C9">
        <w:t>a</w:t>
      </w:r>
      <w:r w:rsidR="005654EA">
        <w:t xml:space="preserve">n exempt embedded network service provider </w:t>
      </w:r>
      <w:r w:rsidR="005654EA" w:rsidRPr="005654EA">
        <w:t>must maintain and operate (or ensure their authorised representatives maintain and operate) all equipment that is part of their facilities in accordance with:</w:t>
      </w:r>
    </w:p>
    <w:p w:rsidR="005654EA" w:rsidRPr="00A80AEC" w:rsidRDefault="005654EA" w:rsidP="00E65EE4">
      <w:pPr>
        <w:pStyle w:val="Listalphabet"/>
        <w:numPr>
          <w:ilvl w:val="0"/>
          <w:numId w:val="29"/>
        </w:numPr>
      </w:pPr>
      <w:r w:rsidRPr="00A80AEC">
        <w:lastRenderedPageBreak/>
        <w:t>relevant laws;</w:t>
      </w:r>
    </w:p>
    <w:p w:rsidR="005654EA" w:rsidRPr="00A80AEC" w:rsidRDefault="005654EA" w:rsidP="00E65EE4">
      <w:pPr>
        <w:pStyle w:val="Listalphabet"/>
        <w:numPr>
          <w:ilvl w:val="0"/>
          <w:numId w:val="29"/>
        </w:numPr>
      </w:pPr>
      <w:r w:rsidRPr="00A80AEC">
        <w:t>the requirements of the National Electricity Rules</w:t>
      </w:r>
      <w:r w:rsidR="006D73CF" w:rsidRPr="00A80AEC">
        <w:t xml:space="preserve"> as apply to the safe, reliable and secure operation of the National Electricity Market as advised by AEMO</w:t>
      </w:r>
      <w:r w:rsidRPr="00A80AEC">
        <w:t>; and</w:t>
      </w:r>
    </w:p>
    <w:p w:rsidR="005654EA" w:rsidRPr="00A80AEC" w:rsidRDefault="005654EA" w:rsidP="00E65EE4">
      <w:pPr>
        <w:pStyle w:val="Listalphabet"/>
        <w:numPr>
          <w:ilvl w:val="0"/>
          <w:numId w:val="29"/>
        </w:numPr>
      </w:pPr>
      <w:proofErr w:type="gramStart"/>
      <w:r w:rsidRPr="00A80AEC">
        <w:t>good</w:t>
      </w:r>
      <w:proofErr w:type="gramEnd"/>
      <w:r w:rsidRPr="00A80AEC">
        <w:t xml:space="preserve"> electricity industry practice and relevant Australian Standards.</w:t>
      </w:r>
    </w:p>
    <w:p w:rsidR="006D73CF" w:rsidRPr="006D73CF" w:rsidRDefault="006D73CF" w:rsidP="006D73CF">
      <w:r>
        <w:t>When requested</w:t>
      </w:r>
      <w:r w:rsidR="00040B27">
        <w:t xml:space="preserve"> to do so</w:t>
      </w:r>
      <w:r>
        <w:t>, an exempt embedded network service provider must negotiate in good faith to permit access to an exempt electricity transmission network on reasonable commercial terms</w:t>
      </w:r>
      <w:r w:rsidR="00040B27">
        <w:t>.</w:t>
      </w:r>
      <w:r w:rsidR="001009A0">
        <w:t xml:space="preserve"> </w:t>
      </w:r>
      <w:r w:rsidR="00BC44DA">
        <w:t xml:space="preserve">This condition does not require an exempt </w:t>
      </w:r>
      <w:r w:rsidR="00BC44DA" w:rsidRPr="00BC44DA">
        <w:t>embedded network service provider</w:t>
      </w:r>
      <w:r w:rsidR="00BC44DA">
        <w:t xml:space="preserve"> to offer firm access to the exempt network. </w:t>
      </w:r>
    </w:p>
    <w:p w:rsidR="006819BE" w:rsidRPr="006819BE" w:rsidRDefault="006819BE" w:rsidP="006819BE">
      <w:pPr>
        <w:pStyle w:val="Heading3"/>
      </w:pPr>
      <w:bookmarkStart w:id="88" w:name="_Ref361908606"/>
      <w:bookmarkStart w:id="89" w:name="_Toc468276085"/>
      <w:r w:rsidRPr="006819BE">
        <w:t>Distribution networks</w:t>
      </w:r>
      <w:bookmarkEnd w:id="88"/>
      <w:bookmarkEnd w:id="89"/>
    </w:p>
    <w:p w:rsidR="00040B27" w:rsidRPr="005654EA" w:rsidRDefault="00B26AD2" w:rsidP="00040B27">
      <w:r w:rsidRPr="00B26AD2">
        <w:t>An exempt embedded network service provider must consult AEMO on AEMO requirements for the safe, reliable or secure operation of an exempt</w:t>
      </w:r>
      <w:r>
        <w:t xml:space="preserve"> distribution</w:t>
      </w:r>
      <w:r w:rsidRPr="00B26AD2">
        <w:t xml:space="preserve"> network operating at a nominal voltage of 66kV</w:t>
      </w:r>
      <w:r w:rsidR="003878A2">
        <w:t xml:space="preserve"> or more</w:t>
      </w:r>
      <w:r w:rsidRPr="00B26AD2">
        <w:t>.</w:t>
      </w:r>
      <w:r>
        <w:t xml:space="preserve"> </w:t>
      </w:r>
      <w:r w:rsidR="00040B27">
        <w:t xml:space="preserve">Where AEMO advises that an exempt distribution network </w:t>
      </w:r>
      <w:r w:rsidR="002C2602">
        <w:t xml:space="preserve">operating at a nominal voltage </w:t>
      </w:r>
      <w:r w:rsidR="006C74C7">
        <w:t>of 66</w:t>
      </w:r>
      <w:r w:rsidR="002C2602">
        <w:t xml:space="preserve">kV </w:t>
      </w:r>
      <w:r w:rsidR="006C74C7">
        <w:t xml:space="preserve">or more </w:t>
      </w:r>
      <w:r w:rsidR="00040B27">
        <w:t xml:space="preserve">is likely to affect the </w:t>
      </w:r>
      <w:r w:rsidR="00040B27" w:rsidRPr="00040B27">
        <w:t xml:space="preserve">safe, reliable </w:t>
      </w:r>
      <w:r w:rsidR="00040B27">
        <w:t xml:space="preserve">or </w:t>
      </w:r>
      <w:r w:rsidR="00040B27" w:rsidRPr="00040B27">
        <w:t>secure operation of the National Electricity Market</w:t>
      </w:r>
      <w:r w:rsidR="00040B27">
        <w:t xml:space="preserve">, an exempt embedded network service provider </w:t>
      </w:r>
      <w:r w:rsidR="00040B27" w:rsidRPr="006819BE">
        <w:t xml:space="preserve">must </w:t>
      </w:r>
      <w:r w:rsidR="00040B27" w:rsidRPr="005654EA">
        <w:t>maintain and operate (or ensure their authorised representatives maintain and operate) all equipment that is part of their facilities in accordance with:</w:t>
      </w:r>
    </w:p>
    <w:p w:rsidR="00040B27" w:rsidRPr="00A80AEC" w:rsidRDefault="00040B27" w:rsidP="00E65EE4">
      <w:pPr>
        <w:pStyle w:val="Listalphabet"/>
        <w:numPr>
          <w:ilvl w:val="0"/>
          <w:numId w:val="30"/>
        </w:numPr>
      </w:pPr>
      <w:r w:rsidRPr="00A80AEC">
        <w:t>relevant laws;</w:t>
      </w:r>
    </w:p>
    <w:p w:rsidR="00040B27" w:rsidRPr="00A80AEC" w:rsidRDefault="00040B27" w:rsidP="00E65EE4">
      <w:pPr>
        <w:pStyle w:val="Listalphabet"/>
        <w:numPr>
          <w:ilvl w:val="0"/>
          <w:numId w:val="30"/>
        </w:numPr>
      </w:pPr>
      <w:r w:rsidRPr="00A80AEC">
        <w:t>the requirements of the National Electricity Rules as apply to the safe, reliable and secure operation of the National Electricity Market as advised by AEMO; and</w:t>
      </w:r>
    </w:p>
    <w:p w:rsidR="00040B27" w:rsidRPr="00A80AEC" w:rsidRDefault="00040B27" w:rsidP="00E65EE4">
      <w:pPr>
        <w:pStyle w:val="Listalphabet"/>
        <w:numPr>
          <w:ilvl w:val="0"/>
          <w:numId w:val="30"/>
        </w:numPr>
      </w:pPr>
      <w:proofErr w:type="gramStart"/>
      <w:r w:rsidRPr="00A80AEC">
        <w:t>good</w:t>
      </w:r>
      <w:proofErr w:type="gramEnd"/>
      <w:r w:rsidRPr="00A80AEC">
        <w:t xml:space="preserve"> electricity industry practice and relevant Australian Standards.</w:t>
      </w:r>
    </w:p>
    <w:p w:rsidR="00AE22D1" w:rsidRPr="00AE22D1" w:rsidRDefault="00AE22D1" w:rsidP="006F72AA">
      <w:r w:rsidRPr="00AE22D1">
        <w:t xml:space="preserve">When requested to do so, an exempt embedded network service provider must negotiate in good faith to permit access to an exempt electricity </w:t>
      </w:r>
      <w:r>
        <w:t xml:space="preserve">distribution </w:t>
      </w:r>
      <w:r w:rsidRPr="00AE22D1">
        <w:t xml:space="preserve">network on reasonable commercial terms. This condition does not require an exempt embedded network service provider to offer firm access to the exempt network. </w:t>
      </w:r>
    </w:p>
    <w:p w:rsidR="008A2A3D" w:rsidRDefault="008A2A3D" w:rsidP="008A2A3D">
      <w:pPr>
        <w:pStyle w:val="Heading4"/>
      </w:pPr>
      <w:r>
        <w:t>Basic metering requirements</w:t>
      </w:r>
    </w:p>
    <w:p w:rsidR="00040B27" w:rsidRDefault="0018168C" w:rsidP="00040B27">
      <w:r>
        <w:t>A</w:t>
      </w:r>
      <w:r w:rsidR="00AE22D1">
        <w:t>s provided for in condition 4.1.1, a</w:t>
      </w:r>
      <w:r>
        <w:t xml:space="preserve">n exempt embedded network service provider must </w:t>
      </w:r>
      <w:r w:rsidR="00040B27" w:rsidRPr="006819BE">
        <w:t xml:space="preserve">ensure that all metering installations used in </w:t>
      </w:r>
      <w:r>
        <w:t xml:space="preserve">a </w:t>
      </w:r>
      <w:r w:rsidR="00040B27" w:rsidRPr="006819BE">
        <w:t xml:space="preserve">private network are fit for purpose and compliant with the requirements of the National Measurement Act, which </w:t>
      </w:r>
      <w:r w:rsidR="00040B27">
        <w:t xml:space="preserve">Act </w:t>
      </w:r>
      <w:r w:rsidR="00040B27" w:rsidRPr="006819BE">
        <w:t xml:space="preserve">is administered by the National Measurement Institute and the regulations in force under that Act. </w:t>
      </w:r>
    </w:p>
    <w:p w:rsidR="00F205C6" w:rsidRDefault="00F205C6" w:rsidP="00F205C6">
      <w:r>
        <w:t xml:space="preserve">An embedded network metering installation </w:t>
      </w:r>
      <w:r w:rsidR="00357065">
        <w:t xml:space="preserve">for which an ENM must be appointed </w:t>
      </w:r>
      <w:r w:rsidRPr="006819BE">
        <w:t>must be installed</w:t>
      </w:r>
      <w:r w:rsidR="00357065">
        <w:t xml:space="preserve"> and operated</w:t>
      </w:r>
      <w:r w:rsidRPr="006819BE">
        <w:t xml:space="preserve"> consistent with the AEMO Metrology Procedure: Part </w:t>
      </w:r>
      <w:proofErr w:type="gramStart"/>
      <w:r w:rsidRPr="006819BE">
        <w:t>A</w:t>
      </w:r>
      <w:proofErr w:type="gramEnd"/>
      <w:r w:rsidRPr="006819BE">
        <w:t xml:space="preserve"> National Electricity Market. The metrology procedure and technical standards applicable to a metering installation remain subject to the laws of the jurisdiction in which the installation resides.</w:t>
      </w:r>
      <w:r w:rsidR="006A3591">
        <w:t xml:space="preserve"> This requirement includes compliance with any applicable service installation rules in the jurisdiction in which the meter is installed.</w:t>
      </w:r>
    </w:p>
    <w:p w:rsidR="00F205C6" w:rsidRDefault="00F205C6" w:rsidP="00F205C6">
      <w:r w:rsidRPr="006819BE">
        <w:t xml:space="preserve">In </w:t>
      </w:r>
      <w:r>
        <w:t xml:space="preserve">addition to any other requirement under the NER and/or jurisdictional requirements for a metering installation, </w:t>
      </w:r>
      <w:r w:rsidRPr="006819BE">
        <w:t xml:space="preserve">all meters installed </w:t>
      </w:r>
      <w:r>
        <w:t xml:space="preserve">in an exempt </w:t>
      </w:r>
      <w:r w:rsidRPr="006819BE">
        <w:t>distribution network must</w:t>
      </w:r>
      <w:r>
        <w:t xml:space="preserve"> </w:t>
      </w:r>
      <w:r w:rsidRPr="006819BE">
        <w:t>be in a</w:t>
      </w:r>
      <w:r>
        <w:t>n</w:t>
      </w:r>
      <w:r w:rsidRPr="006819BE">
        <w:t xml:space="preserve"> accessible location with safe, convenient access </w:t>
      </w:r>
      <w:r>
        <w:t xml:space="preserve">at no cost </w:t>
      </w:r>
      <w:r w:rsidRPr="006819BE">
        <w:t xml:space="preserve">to </w:t>
      </w:r>
      <w:r>
        <w:t xml:space="preserve">the customer to </w:t>
      </w:r>
      <w:r w:rsidRPr="006819BE">
        <w:t xml:space="preserve">facilitate </w:t>
      </w:r>
      <w:r w:rsidRPr="006819BE">
        <w:lastRenderedPageBreak/>
        <w:t>meter reading by the network operator and the custo</w:t>
      </w:r>
      <w:r>
        <w:t xml:space="preserve">mer or their respective agents and, where relevant, to permit </w:t>
      </w:r>
      <w:r w:rsidRPr="006819BE">
        <w:t>meter testing and maintenance</w:t>
      </w:r>
      <w:r>
        <w:t>.</w:t>
      </w:r>
    </w:p>
    <w:p w:rsidR="00F205C6" w:rsidRDefault="008A2A3D" w:rsidP="00F205C6">
      <w:r w:rsidRPr="006819BE">
        <w:t xml:space="preserve">Where security or safety considerations result in limited access to metering, local arrangements must be made that allow customers or their </w:t>
      </w:r>
      <w:proofErr w:type="gramStart"/>
      <w:r w:rsidRPr="006819BE">
        <w:t>agents</w:t>
      </w:r>
      <w:proofErr w:type="gramEnd"/>
      <w:r w:rsidRPr="006819BE">
        <w:t xml:space="preserve"> ready access to metering on request</w:t>
      </w:r>
      <w:r>
        <w:t xml:space="preserve"> and at no cost to the customer</w:t>
      </w:r>
      <w:r w:rsidRPr="006819BE">
        <w:t>.</w:t>
      </w:r>
      <w:r>
        <w:t xml:space="preserve"> </w:t>
      </w:r>
      <w:r w:rsidR="00F205C6">
        <w:t>The use of a web portal or other electronic means of providing customer access to metering data is permitted</w:t>
      </w:r>
      <w:r>
        <w:t>. T</w:t>
      </w:r>
      <w:r w:rsidR="00F205C6">
        <w:t>h</w:t>
      </w:r>
      <w:r w:rsidR="00682B61">
        <w:t>e</w:t>
      </w:r>
      <w:r w:rsidR="00F205C6">
        <w:t xml:space="preserve"> provision </w:t>
      </w:r>
      <w:r w:rsidR="00682B61">
        <w:t xml:space="preserve">of an alternative access option </w:t>
      </w:r>
      <w:r w:rsidR="00F205C6">
        <w:t xml:space="preserve">does not replace the </w:t>
      </w:r>
      <w:r>
        <w:t>right</w:t>
      </w:r>
      <w:r w:rsidR="00F205C6">
        <w:t xml:space="preserve"> of the customer </w:t>
      </w:r>
      <w:r w:rsidR="00682B61">
        <w:t xml:space="preserve">under this condition </w:t>
      </w:r>
      <w:r w:rsidR="00F205C6">
        <w:t xml:space="preserve">to physically </w:t>
      </w:r>
      <w:r>
        <w:t xml:space="preserve">inspect </w:t>
      </w:r>
      <w:r w:rsidR="00F205C6">
        <w:t xml:space="preserve">a meter </w:t>
      </w:r>
      <w:r w:rsidR="000C20C9">
        <w:t xml:space="preserve">at no cost </w:t>
      </w:r>
      <w:r w:rsidR="00F205C6">
        <w:t>at least once every month during business hours or at another mutually agreed time.</w:t>
      </w:r>
      <w:r w:rsidR="00F205C6" w:rsidRPr="006819BE">
        <w:t xml:space="preserve"> </w:t>
      </w:r>
    </w:p>
    <w:p w:rsidR="008A2A3D" w:rsidRPr="006819BE" w:rsidRDefault="008A2A3D" w:rsidP="008A2A3D">
      <w:pPr>
        <w:pStyle w:val="Heading4"/>
      </w:pPr>
      <w:r>
        <w:t>Competition in metering rule change</w:t>
      </w:r>
    </w:p>
    <w:p w:rsidR="00E7695F" w:rsidRDefault="00E7695F" w:rsidP="006819BE">
      <w:r>
        <w:t xml:space="preserve">From 1 December 2017, the Competition in Metering rule change </w:t>
      </w:r>
      <w:r w:rsidR="00357189">
        <w:t>applies</w:t>
      </w:r>
      <w:r>
        <w:t xml:space="preserve"> to NEM metering installation</w:t>
      </w:r>
      <w:r w:rsidR="00B24DC7">
        <w:t>s</w:t>
      </w:r>
      <w:r>
        <w:t xml:space="preserve">. </w:t>
      </w:r>
      <w:r w:rsidR="009A6CFD">
        <w:t xml:space="preserve">Where an </w:t>
      </w:r>
      <w:r w:rsidR="00357065">
        <w:t>ENM</w:t>
      </w:r>
      <w:r w:rsidR="009A6CFD">
        <w:t xml:space="preserve"> must be appointed </w:t>
      </w:r>
      <w:r w:rsidR="00402BA3">
        <w:t xml:space="preserve">in a </w:t>
      </w:r>
      <w:r w:rsidR="00494E21">
        <w:t xml:space="preserve">State </w:t>
      </w:r>
      <w:r w:rsidR="00402BA3">
        <w:t xml:space="preserve">or </w:t>
      </w:r>
      <w:r w:rsidR="00494E21">
        <w:t xml:space="preserve">Territory </w:t>
      </w:r>
      <w:r w:rsidR="009A6CFD">
        <w:t>under this guideline, the</w:t>
      </w:r>
      <w:r>
        <w:t xml:space="preserve"> </w:t>
      </w:r>
      <w:r w:rsidR="00B3311A">
        <w:t xml:space="preserve">current </w:t>
      </w:r>
      <w:r w:rsidR="00B24DC7">
        <w:t xml:space="preserve">functional specification for </w:t>
      </w:r>
      <w:r w:rsidR="00357189">
        <w:t xml:space="preserve">new or replacement </w:t>
      </w:r>
      <w:r>
        <w:t xml:space="preserve">metering </w:t>
      </w:r>
      <w:r w:rsidR="00B24DC7">
        <w:t xml:space="preserve">installations </w:t>
      </w:r>
      <w:r>
        <w:t>under th</w:t>
      </w:r>
      <w:r w:rsidR="00357189">
        <w:t>e NER</w:t>
      </w:r>
      <w:r w:rsidR="00B24DC7">
        <w:t xml:space="preserve"> </w:t>
      </w:r>
      <w:r>
        <w:t>appl</w:t>
      </w:r>
      <w:r w:rsidR="00357189">
        <w:t>ies</w:t>
      </w:r>
      <w:r>
        <w:t xml:space="preserve"> </w:t>
      </w:r>
      <w:r w:rsidR="00357189">
        <w:t>to</w:t>
      </w:r>
      <w:r>
        <w:t xml:space="preserve"> all </w:t>
      </w:r>
      <w:r w:rsidR="00357189">
        <w:t xml:space="preserve">new </w:t>
      </w:r>
      <w:r>
        <w:t>embedded networks</w:t>
      </w:r>
      <w:r w:rsidR="00F205C6">
        <w:t xml:space="preserve"> and </w:t>
      </w:r>
      <w:r w:rsidR="00B3311A">
        <w:t xml:space="preserve">to </w:t>
      </w:r>
      <w:r w:rsidR="00F205C6">
        <w:t>any rebuild of an existing network which involves a replacement of more than 50% of the then active metering installations.</w:t>
      </w:r>
    </w:p>
    <w:p w:rsidR="008A2A3D" w:rsidRDefault="0042285F" w:rsidP="008A2A3D">
      <w:pPr>
        <w:pStyle w:val="Heading4"/>
      </w:pPr>
      <w:bookmarkStart w:id="90" w:name="_Ref456716831"/>
      <w:r>
        <w:t xml:space="preserve">Retail competition </w:t>
      </w:r>
      <w:r w:rsidR="00BF5F61">
        <w:t>–</w:t>
      </w:r>
      <w:r>
        <w:t xml:space="preserve"> </w:t>
      </w:r>
      <w:r w:rsidR="00402BA3">
        <w:t xml:space="preserve">access </w:t>
      </w:r>
      <w:bookmarkEnd w:id="90"/>
      <w:r w:rsidR="00402BA3">
        <w:t>requirements</w:t>
      </w:r>
    </w:p>
    <w:p w:rsidR="001A1B66" w:rsidRPr="008A2A3D" w:rsidRDefault="001A1B66" w:rsidP="008A2A3D">
      <w:r w:rsidRPr="008A2A3D">
        <w:t xml:space="preserve">Where a market retailer accesses an existing embedded network child meter the </w:t>
      </w:r>
      <w:r w:rsidR="00D053CA">
        <w:t xml:space="preserve">market </w:t>
      </w:r>
      <w:r w:rsidRPr="008A2A3D">
        <w:t>retailer or the customer (as the case may be) may:</w:t>
      </w:r>
    </w:p>
    <w:p w:rsidR="001A1B66" w:rsidRPr="008A2A3D" w:rsidRDefault="001A1B66" w:rsidP="00E65EE4">
      <w:pPr>
        <w:pStyle w:val="Listalphabet"/>
        <w:numPr>
          <w:ilvl w:val="0"/>
          <w:numId w:val="48"/>
        </w:numPr>
      </w:pPr>
      <w:r w:rsidRPr="008A2A3D">
        <w:t>purchase or lease the existing meter from the owner of the meter;</w:t>
      </w:r>
      <w:r w:rsidR="001D28C3">
        <w:t xml:space="preserve"> </w:t>
      </w:r>
      <w:r w:rsidRPr="008A2A3D">
        <w:t>or</w:t>
      </w:r>
    </w:p>
    <w:p w:rsidR="001A1B66" w:rsidRPr="008A2A3D" w:rsidRDefault="007F1DA0" w:rsidP="00E65EE4">
      <w:pPr>
        <w:pStyle w:val="Listalphabet"/>
        <w:numPr>
          <w:ilvl w:val="0"/>
          <w:numId w:val="30"/>
        </w:numPr>
      </w:pPr>
      <w:proofErr w:type="gramStart"/>
      <w:r>
        <w:t>at</w:t>
      </w:r>
      <w:proofErr w:type="gramEnd"/>
      <w:r>
        <w:t xml:space="preserve"> their own cost, </w:t>
      </w:r>
      <w:r w:rsidR="001A1B66" w:rsidRPr="008A2A3D">
        <w:t>replace the meter with a meter of their own choosing.</w:t>
      </w:r>
    </w:p>
    <w:p w:rsidR="008A2A3D" w:rsidRDefault="001A1B66" w:rsidP="008A2A3D">
      <w:r w:rsidRPr="008A2A3D">
        <w:t xml:space="preserve">If option </w:t>
      </w:r>
      <w:r w:rsidR="008A2A3D">
        <w:t>(a)</w:t>
      </w:r>
      <w:r w:rsidRPr="008A2A3D">
        <w:t xml:space="preserve"> applies, the purchase or lease of the meter and the arrangements to access meter data are to be determined at the discretion of the retailer or, otherwise, by the customer. </w:t>
      </w:r>
    </w:p>
    <w:p w:rsidR="00402BA3" w:rsidRDefault="001A1B66" w:rsidP="00402BA3">
      <w:r w:rsidRPr="008A2A3D">
        <w:t xml:space="preserve">If option </w:t>
      </w:r>
      <w:r w:rsidR="008A2A3D">
        <w:t>(b)</w:t>
      </w:r>
      <w:r w:rsidRPr="008A2A3D">
        <w:t xml:space="preserve"> applies, no compensation is payable to the </w:t>
      </w:r>
      <w:r w:rsidR="008A2A3D">
        <w:t xml:space="preserve">exempt </w:t>
      </w:r>
      <w:r w:rsidR="008A2A3D" w:rsidRPr="008A2A3D">
        <w:t xml:space="preserve">embedded network service provider </w:t>
      </w:r>
      <w:r w:rsidRPr="008A2A3D">
        <w:t xml:space="preserve">for the unrecovered cost of the meter. </w:t>
      </w:r>
    </w:p>
    <w:p w:rsidR="00402BA3" w:rsidRDefault="00C4588D" w:rsidP="00402BA3">
      <w:r>
        <w:t>In all States and T</w:t>
      </w:r>
      <w:r w:rsidR="00402BA3">
        <w:t>erritories a</w:t>
      </w:r>
      <w:r w:rsidR="00402BA3" w:rsidRPr="008A2A3D">
        <w:t xml:space="preserve">n exempt embedded network service provider must provide access </w:t>
      </w:r>
      <w:r w:rsidR="00402BA3">
        <w:t xml:space="preserve">on </w:t>
      </w:r>
      <w:r w:rsidR="00402BA3" w:rsidRPr="008A2A3D">
        <w:t xml:space="preserve">reasonable </w:t>
      </w:r>
      <w:r w:rsidR="00402BA3">
        <w:t xml:space="preserve">terms </w:t>
      </w:r>
      <w:r w:rsidR="00402BA3" w:rsidRPr="008A2A3D">
        <w:t xml:space="preserve">to all necessary facilities to </w:t>
      </w:r>
      <w:r w:rsidR="00402BA3">
        <w:t xml:space="preserve">allow </w:t>
      </w:r>
      <w:r w:rsidR="00402BA3" w:rsidRPr="008A2A3D">
        <w:t xml:space="preserve">the metering of a customer obtaining supply from a market retailer. </w:t>
      </w:r>
      <w:r w:rsidR="00402BA3">
        <w:t xml:space="preserve">Where access to retail competition by parent/child metering is not available in a </w:t>
      </w:r>
      <w:r w:rsidR="007F1DA0">
        <w:t>S</w:t>
      </w:r>
      <w:r w:rsidR="00402BA3">
        <w:t xml:space="preserve">tate or </w:t>
      </w:r>
      <w:r w:rsidR="007F1DA0">
        <w:t>T</w:t>
      </w:r>
      <w:r w:rsidR="00402BA3">
        <w:t>erritory, an exempt embedded network service provider must not unreasonably prevent an embedded network customer from arranging at their own cost a direct connection to a local distributor.</w:t>
      </w:r>
    </w:p>
    <w:p w:rsidR="00EA66DC" w:rsidRDefault="00EA66DC" w:rsidP="00EA66DC">
      <w:pPr>
        <w:pStyle w:val="Heading4"/>
      </w:pPr>
      <w:r>
        <w:t>Prohibition of measures which impede competition</w:t>
      </w:r>
    </w:p>
    <w:p w:rsidR="00402BA3" w:rsidRDefault="00D053CA" w:rsidP="008A2A3D">
      <w:r>
        <w:t xml:space="preserve">The AER </w:t>
      </w:r>
      <w:r w:rsidR="0049074A">
        <w:t xml:space="preserve">does not permit an exempt embedded network service provider to impose any </w:t>
      </w:r>
      <w:r>
        <w:t xml:space="preserve">measures </w:t>
      </w:r>
      <w:r w:rsidR="0049074A">
        <w:t xml:space="preserve">on a customer either directly or indirectly, </w:t>
      </w:r>
      <w:r>
        <w:t xml:space="preserve">which </w:t>
      </w:r>
      <w:r w:rsidR="0049074A">
        <w:t xml:space="preserve">would </w:t>
      </w:r>
      <w:r>
        <w:t xml:space="preserve">impede </w:t>
      </w:r>
      <w:r w:rsidR="0049074A">
        <w:t xml:space="preserve">or penalise a customer seeking </w:t>
      </w:r>
      <w:r>
        <w:t xml:space="preserve">access to retail competition. The prohibited measures may be </w:t>
      </w:r>
      <w:proofErr w:type="gramStart"/>
      <w:r>
        <w:t>either physical</w:t>
      </w:r>
      <w:proofErr w:type="gramEnd"/>
      <w:r>
        <w:t xml:space="preserve">, financial or contractual. </w:t>
      </w:r>
    </w:p>
    <w:p w:rsidR="00B3311A" w:rsidRDefault="00AA4CD4" w:rsidP="008A2A3D">
      <w:r>
        <w:t>F</w:t>
      </w:r>
      <w:r w:rsidR="0042285F">
        <w:t xml:space="preserve">rom </w:t>
      </w:r>
      <w:r w:rsidR="0027041E">
        <w:t xml:space="preserve">the earlier of the effective date of this guideline and </w:t>
      </w:r>
      <w:r w:rsidR="0042285F">
        <w:t>1 December 2017</w:t>
      </w:r>
      <w:r w:rsidR="0027041E">
        <w:t>,</w:t>
      </w:r>
      <w:r w:rsidR="0042285F">
        <w:t xml:space="preserve"> a</w:t>
      </w:r>
      <w:r w:rsidR="008A2A3D">
        <w:t>n exempt</w:t>
      </w:r>
      <w:r w:rsidR="008A2A3D" w:rsidRPr="008A2A3D">
        <w:t xml:space="preserve"> </w:t>
      </w:r>
      <w:r w:rsidR="008A2A3D" w:rsidRPr="00357189">
        <w:t>embedded network service provider</w:t>
      </w:r>
      <w:r w:rsidR="008A2A3D">
        <w:t xml:space="preserve"> </w:t>
      </w:r>
      <w:r w:rsidR="0042285F">
        <w:t xml:space="preserve">is not entitled to receive and </w:t>
      </w:r>
      <w:r w:rsidR="008A2A3D">
        <w:t xml:space="preserve">must not </w:t>
      </w:r>
      <w:r w:rsidR="0042285F">
        <w:t xml:space="preserve">impose a requirement for compensation on a person, Owners Corporation, </w:t>
      </w:r>
      <w:r w:rsidR="00D97BB5">
        <w:t xml:space="preserve">body corporate, strata </w:t>
      </w:r>
      <w:r w:rsidR="00D97BB5">
        <w:lastRenderedPageBreak/>
        <w:t xml:space="preserve">corporation, </w:t>
      </w:r>
      <w:r w:rsidR="0042285F">
        <w:t>landlord, resident, tenant or trust for the loss of capital, income or profits however it arises resulting from the exercise of a customer of the right to access an alternative retail market electricity price offer.</w:t>
      </w:r>
      <w:r w:rsidR="00D97BB5">
        <w:t xml:space="preserve"> </w:t>
      </w:r>
    </w:p>
    <w:p w:rsidR="008A2A3D" w:rsidRDefault="00D97BB5" w:rsidP="008A2A3D">
      <w:r>
        <w:t>A supply contract must not include any charge for early termination of the supply agreement or any condition which unreasonably restricts the ability of a consumer to access an alternative retail market offer or that requires the exempt embedded network service provider to be the sole supplier of any metering related service.</w:t>
      </w:r>
    </w:p>
    <w:p w:rsidR="00357189" w:rsidRPr="00357189" w:rsidRDefault="00357189" w:rsidP="00357189">
      <w:pPr>
        <w:pStyle w:val="Heading4"/>
      </w:pPr>
      <w:bookmarkStart w:id="91" w:name="_Ref466303288"/>
      <w:r w:rsidRPr="00357189">
        <w:t>Meter accuracy testing and billing disputes</w:t>
      </w:r>
      <w:bookmarkEnd w:id="91"/>
    </w:p>
    <w:p w:rsidR="00357189" w:rsidRPr="00357189" w:rsidRDefault="00357189" w:rsidP="00357189">
      <w:r w:rsidRPr="00357189">
        <w:t xml:space="preserve">In the event of a billing dispute, an exempt embedded network service provider must inform a customer of the right to request a meter test. </w:t>
      </w:r>
      <w:r w:rsidR="0027041E">
        <w:t xml:space="preserve">A copy of the notice must be retained by the exempt embedded network service provider and be available for inspection on request by the AER. </w:t>
      </w:r>
      <w:r w:rsidRPr="00357189">
        <w:t xml:space="preserve">If requested </w:t>
      </w:r>
      <w:r w:rsidR="00D86E97">
        <w:t xml:space="preserve">in writing </w:t>
      </w:r>
      <w:r w:rsidR="00D86E97" w:rsidRPr="00357189">
        <w:t xml:space="preserve">by a customer </w:t>
      </w:r>
      <w:r w:rsidRPr="00357189">
        <w:t xml:space="preserve">to </w:t>
      </w:r>
      <w:r w:rsidR="0027041E">
        <w:t>perform a metering test</w:t>
      </w:r>
      <w:r w:rsidRPr="00357189">
        <w:t>, the exempt embedded network service provider must demonstrate that the metering installation is accurate</w:t>
      </w:r>
      <w:r w:rsidR="0027041E" w:rsidRPr="0027041E">
        <w:t xml:space="preserve"> to the applicable standard specified in schedule 7.2 of the NER</w:t>
      </w:r>
      <w:r w:rsidRPr="00357189">
        <w:t xml:space="preserve">. If the customer does not request testing or waives the right to testing, the meter is </w:t>
      </w:r>
      <w:r w:rsidR="00D86E97">
        <w:t xml:space="preserve">deemed </w:t>
      </w:r>
      <w:r w:rsidRPr="00357189">
        <w:t xml:space="preserve">to be accurate. </w:t>
      </w:r>
    </w:p>
    <w:p w:rsidR="00357189" w:rsidRPr="00357189" w:rsidRDefault="00357189" w:rsidP="00357189">
      <w:r w:rsidRPr="00357189">
        <w:t>An offer to conduct a metering test must be in writing and</w:t>
      </w:r>
      <w:r w:rsidR="0049074A">
        <w:t>, if a cost may be incurred,</w:t>
      </w:r>
      <w:r w:rsidRPr="00357189">
        <w:t xml:space="preserve"> must declare the cost to be incurred by the customer if the meter is found to be accurate. The offer must also state the customer bears no cost if the metering installation is found to be deficient in any material respect. </w:t>
      </w:r>
      <w:r w:rsidR="00001C15">
        <w:t xml:space="preserve">For the purposes of this condition, a defect is not material if it does </w:t>
      </w:r>
      <w:r w:rsidR="0049074A">
        <w:t xml:space="preserve">not </w:t>
      </w:r>
      <w:r w:rsidR="00001C15">
        <w:t xml:space="preserve">affect the accuracy </w:t>
      </w:r>
      <w:r w:rsidR="00D86E97">
        <w:t xml:space="preserve">or timeliness </w:t>
      </w:r>
      <w:r w:rsidR="00001C15">
        <w:t>of metering data obtained from the metering installation.</w:t>
      </w:r>
      <w:r w:rsidRPr="00357189">
        <w:t xml:space="preserve"> </w:t>
      </w:r>
    </w:p>
    <w:p w:rsidR="00357189" w:rsidRPr="00357189" w:rsidRDefault="00357189" w:rsidP="00357189">
      <w:r w:rsidRPr="00357189">
        <w:t>If the meter has not been installed and maintained to an appropriate standard or is not accurate relative to the applicable standard specified in schedule 7.</w:t>
      </w:r>
      <w:r w:rsidR="003D073C">
        <w:t>2</w:t>
      </w:r>
      <w:r w:rsidRPr="00357189">
        <w:t xml:space="preserve"> of the NER, the cost of testing must be borne by the exempt embedded network service provider. The reasonable cost of testing may be recovered from </w:t>
      </w:r>
      <w:r>
        <w:t>a c</w:t>
      </w:r>
      <w:r w:rsidRPr="00357189">
        <w:t>ustomer if:</w:t>
      </w:r>
    </w:p>
    <w:p w:rsidR="00357189" w:rsidRPr="00357189" w:rsidRDefault="00357189" w:rsidP="003A3621">
      <w:pPr>
        <w:pStyle w:val="Listalphabet2"/>
        <w:numPr>
          <w:ilvl w:val="0"/>
          <w:numId w:val="34"/>
        </w:numPr>
      </w:pPr>
      <w:r w:rsidRPr="00357189">
        <w:t>the meter is tested and found to be accurate; and,</w:t>
      </w:r>
    </w:p>
    <w:p w:rsidR="00357189" w:rsidRPr="00357189" w:rsidRDefault="00357189" w:rsidP="003A3621">
      <w:pPr>
        <w:pStyle w:val="Listalphabet2"/>
        <w:numPr>
          <w:ilvl w:val="0"/>
          <w:numId w:val="34"/>
        </w:numPr>
      </w:pPr>
      <w:r w:rsidRPr="00357189">
        <w:t>the metering installation has been installed to an appropriate standard; and</w:t>
      </w:r>
    </w:p>
    <w:p w:rsidR="00357189" w:rsidRDefault="00357189" w:rsidP="003A3621">
      <w:pPr>
        <w:pStyle w:val="Listalphabet2"/>
        <w:numPr>
          <w:ilvl w:val="0"/>
          <w:numId w:val="34"/>
        </w:numPr>
      </w:pPr>
      <w:r w:rsidRPr="00357189">
        <w:t>the metering installation has been maintained to current NEM standards up until the time of testing; and</w:t>
      </w:r>
    </w:p>
    <w:p w:rsidR="00D86E97" w:rsidRPr="00357189" w:rsidRDefault="00D86E97" w:rsidP="003A3621">
      <w:pPr>
        <w:pStyle w:val="Listalphabet2"/>
        <w:numPr>
          <w:ilvl w:val="0"/>
          <w:numId w:val="34"/>
        </w:numPr>
      </w:pPr>
      <w:r w:rsidRPr="00D86E97">
        <w:t>there</w:t>
      </w:r>
      <w:r>
        <w:t xml:space="preserve"> is no evidence of a material defect as stipulated above; and</w:t>
      </w:r>
    </w:p>
    <w:p w:rsidR="00357189" w:rsidRPr="00357189" w:rsidRDefault="00357189" w:rsidP="003A3621">
      <w:pPr>
        <w:pStyle w:val="Listalphabet2"/>
        <w:numPr>
          <w:ilvl w:val="0"/>
          <w:numId w:val="34"/>
        </w:numPr>
      </w:pPr>
      <w:proofErr w:type="gramStart"/>
      <w:r w:rsidRPr="00357189">
        <w:t>the</w:t>
      </w:r>
      <w:proofErr w:type="gramEnd"/>
      <w:r w:rsidRPr="00357189">
        <w:t xml:space="preserve"> customer requested in writing that the meter be tested.</w:t>
      </w:r>
    </w:p>
    <w:p w:rsidR="00357189" w:rsidRDefault="00357189" w:rsidP="00357189">
      <w:r w:rsidRPr="00357189">
        <w:t>Testing may require that the exempt embedded network service provider arrange for a specialised electrical contractor to install a calibrated ‘check meter’ for a period to compare the readings of your metering with the check meter.</w:t>
      </w:r>
    </w:p>
    <w:p w:rsidR="006819BE" w:rsidRPr="006819BE" w:rsidRDefault="006819BE" w:rsidP="006819BE">
      <w:pPr>
        <w:pStyle w:val="Heading3"/>
      </w:pPr>
      <w:bookmarkStart w:id="92" w:name="_Ref362011595"/>
      <w:bookmarkStart w:id="93" w:name="_Toc468276086"/>
      <w:r w:rsidRPr="006819BE">
        <w:t>Off</w:t>
      </w:r>
      <w:r w:rsidR="00BF5F61">
        <w:t>–</w:t>
      </w:r>
      <w:r w:rsidRPr="006819BE">
        <w:t>market and on</w:t>
      </w:r>
      <w:r w:rsidR="00BF5F61">
        <w:t>–</w:t>
      </w:r>
      <w:r w:rsidRPr="006819BE">
        <w:t>market energy generation</w:t>
      </w:r>
      <w:bookmarkEnd w:id="92"/>
      <w:bookmarkEnd w:id="93"/>
    </w:p>
    <w:p w:rsidR="006819BE" w:rsidRPr="006819BE" w:rsidRDefault="006819BE" w:rsidP="006819BE">
      <w:r w:rsidRPr="006819BE">
        <w:t xml:space="preserve">All generation </w:t>
      </w:r>
      <w:r w:rsidR="003A00C2" w:rsidRPr="006819BE">
        <w:t xml:space="preserve">installations </w:t>
      </w:r>
      <w:r w:rsidRPr="006819BE">
        <w:t>(i.e. all off</w:t>
      </w:r>
      <w:r w:rsidR="00BF5F61">
        <w:t>–</w:t>
      </w:r>
      <w:r w:rsidRPr="006819BE">
        <w:t>market and on</w:t>
      </w:r>
      <w:r w:rsidR="00BF5F61">
        <w:t>–</w:t>
      </w:r>
      <w:r w:rsidRPr="006819BE">
        <w:t>market energy generation</w:t>
      </w:r>
      <w:r w:rsidR="003A00C2">
        <w:t xml:space="preserve">, </w:t>
      </w:r>
      <w:r w:rsidR="002511EF">
        <w:t>including inverter</w:t>
      </w:r>
      <w:r w:rsidR="003A00C2">
        <w:t xml:space="preserve"> systems</w:t>
      </w:r>
      <w:r w:rsidRPr="006819BE">
        <w:t>), whether connected directly or indirectly to a NEM distribution network, must be metered in accordance with the applicable requirements for connection to a NEM distribution or</w:t>
      </w:r>
      <w:r w:rsidR="001408F6">
        <w:t>,</w:t>
      </w:r>
      <w:r w:rsidRPr="006819BE">
        <w:t xml:space="preserve"> where applicable, transmission network. </w:t>
      </w:r>
    </w:p>
    <w:p w:rsidR="00EA736C" w:rsidRPr="006819BE" w:rsidRDefault="00EA736C" w:rsidP="00EA736C">
      <w:pPr>
        <w:pStyle w:val="Boxedtext"/>
      </w:pPr>
      <w:r>
        <w:lastRenderedPageBreak/>
        <w:t>C</w:t>
      </w:r>
      <w:r w:rsidRPr="006819BE">
        <w:t xml:space="preserve">aution: Generator </w:t>
      </w:r>
      <w:r>
        <w:t xml:space="preserve">and inverter </w:t>
      </w:r>
      <w:r w:rsidRPr="006819BE">
        <w:t xml:space="preserve">installations within private networks do not necessarily </w:t>
      </w:r>
      <w:r w:rsidR="0049074A">
        <w:t xml:space="preserve">have </w:t>
      </w:r>
      <w:r w:rsidRPr="006819BE">
        <w:t>access to government incentive schemes. A generator or solar PV inverter system not directly connected to the local distributor may have no access, or restricted access, to government or industry incentive programs. In particular, access to feed</w:t>
      </w:r>
      <w:r w:rsidR="00BF5F61">
        <w:t>–</w:t>
      </w:r>
      <w:r w:rsidRPr="006819BE">
        <w:t>in tariffs may not be available for such generators. This can be a</w:t>
      </w:r>
      <w:r w:rsidR="0049074A">
        <w:t>n issue</w:t>
      </w:r>
      <w:r w:rsidRPr="006819BE">
        <w:t xml:space="preserve"> for situations like retirement villages which install solar systems. You should consult your local energy authorities </w:t>
      </w:r>
      <w:r>
        <w:t xml:space="preserve">to determine if suitable arrangements can be made </w:t>
      </w:r>
      <w:r w:rsidRPr="006819BE">
        <w:t>before investing in such systems.</w:t>
      </w:r>
    </w:p>
    <w:p w:rsidR="006819BE" w:rsidRDefault="00EA736C" w:rsidP="006819BE">
      <w:r>
        <w:t xml:space="preserve">The AER </w:t>
      </w:r>
      <w:r w:rsidR="00DE2B0F">
        <w:t xml:space="preserve">considers that the </w:t>
      </w:r>
      <w:r w:rsidR="00DE2B0F" w:rsidRPr="006819BE">
        <w:t>metering requirements</w:t>
      </w:r>
      <w:r w:rsidR="00DE2B0F">
        <w:t xml:space="preserve"> imposed for</w:t>
      </w:r>
      <w:r w:rsidR="006819BE" w:rsidRPr="006819BE">
        <w:t xml:space="preserve"> small generator installations within private networks should be</w:t>
      </w:r>
      <w:r w:rsidR="00DE2B0F">
        <w:t xml:space="preserve"> proportional to the size of the installation</w:t>
      </w:r>
      <w:r w:rsidR="00296959">
        <w:t xml:space="preserve"> and kept to the minimum necessary to adequately record energy flows to and from the NEM</w:t>
      </w:r>
      <w:r w:rsidR="006819BE" w:rsidRPr="006819BE">
        <w:t xml:space="preserve">. For all generator </w:t>
      </w:r>
      <w:r>
        <w:t xml:space="preserve">and inverter </w:t>
      </w:r>
      <w:r w:rsidR="006819BE" w:rsidRPr="006819BE">
        <w:t xml:space="preserve">installations adequate metering must be determined in consultation with the relevant NEM registered service provider. For small installations this may involve a bidirectional meter installed at the connection point to the local distribution network. Further details of metering requirements must be obtained from the local electricity distribution or transmission network service provider. Additional requirements set by AEMO apply to generator </w:t>
      </w:r>
      <w:r w:rsidR="001408F6">
        <w:t xml:space="preserve">or inverter </w:t>
      </w:r>
      <w:r w:rsidR="006819BE" w:rsidRPr="006819BE">
        <w:t>installations larger than 30MW.</w:t>
      </w:r>
    </w:p>
    <w:p w:rsidR="00B3311A" w:rsidRDefault="003A210C" w:rsidP="00D73778">
      <w:pPr>
        <w:pStyle w:val="Boxedtext"/>
      </w:pPr>
      <w:r w:rsidRPr="003A210C">
        <w:t xml:space="preserve">Special note for generator and inverter installations: Simply owning a generator or solar inverter does not automatically mean an exemption is required for your network. Exemption of </w:t>
      </w:r>
      <w:r w:rsidR="00D73778">
        <w:t xml:space="preserve">a </w:t>
      </w:r>
      <w:r w:rsidRPr="003A210C">
        <w:t xml:space="preserve">network is required only where a third party is involved. </w:t>
      </w:r>
    </w:p>
    <w:p w:rsidR="003A210C" w:rsidRPr="003A210C" w:rsidRDefault="003A210C" w:rsidP="00D73778">
      <w:pPr>
        <w:pStyle w:val="Boxedtext"/>
      </w:pPr>
      <w:r w:rsidRPr="003A210C">
        <w:t xml:space="preserve">For example, a shopping centre will have tenants and often, a generator. </w:t>
      </w:r>
      <w:r w:rsidR="00EA736C">
        <w:t>In this example we assume</w:t>
      </w:r>
      <w:r w:rsidRPr="003A210C">
        <w:t xml:space="preserve"> </w:t>
      </w:r>
      <w:r w:rsidR="00EA736C">
        <w:t xml:space="preserve">the </w:t>
      </w:r>
      <w:r w:rsidRPr="003A210C">
        <w:t xml:space="preserve">tenants are </w:t>
      </w:r>
      <w:r w:rsidR="00EA736C">
        <w:t xml:space="preserve">being </w:t>
      </w:r>
      <w:r w:rsidRPr="003A210C">
        <w:t>supplied by the shopping centre through an embedded network</w:t>
      </w:r>
      <w:r w:rsidR="00EA736C">
        <w:t>.</w:t>
      </w:r>
      <w:r w:rsidR="001D28C3">
        <w:t xml:space="preserve"> </w:t>
      </w:r>
      <w:r w:rsidR="00EA736C">
        <w:t>The shopping centre</w:t>
      </w:r>
      <w:r w:rsidRPr="003A210C">
        <w:t xml:space="preserve"> network must be exempted because of the supply to third parties</w:t>
      </w:r>
      <w:r w:rsidR="00EA736C">
        <w:t xml:space="preserve"> (i.e. the tenants)</w:t>
      </w:r>
      <w:r w:rsidRPr="003A210C">
        <w:t xml:space="preserve">, not because it has a generator. However, </w:t>
      </w:r>
      <w:r w:rsidR="00EA736C">
        <w:t xml:space="preserve">the situation changes </w:t>
      </w:r>
      <w:r w:rsidRPr="003A210C">
        <w:t xml:space="preserve">if the generator belongs to someone else </w:t>
      </w:r>
      <w:r w:rsidR="00EA736C">
        <w:t xml:space="preserve">(a third person) </w:t>
      </w:r>
      <w:r w:rsidRPr="003A210C">
        <w:t>and is supplying electricity to the shopping centre or to the NEM</w:t>
      </w:r>
      <w:r w:rsidR="00EA736C">
        <w:t xml:space="preserve"> </w:t>
      </w:r>
      <w:r w:rsidR="00BF5F61">
        <w:t>–</w:t>
      </w:r>
      <w:r w:rsidRPr="003A210C">
        <w:t xml:space="preserve"> then the </w:t>
      </w:r>
      <w:r w:rsidR="00EA736C">
        <w:t xml:space="preserve">shopping centre </w:t>
      </w:r>
      <w:r w:rsidRPr="003A210C">
        <w:t>network must be exempted</w:t>
      </w:r>
      <w:r w:rsidR="00EA736C">
        <w:t xml:space="preserve"> because the shopping centre is supplying a distribution service to the generator</w:t>
      </w:r>
      <w:r w:rsidRPr="003A210C">
        <w:t xml:space="preserve">. </w:t>
      </w:r>
    </w:p>
    <w:p w:rsidR="003A210C" w:rsidRPr="006819BE" w:rsidRDefault="003A210C" w:rsidP="003A210C">
      <w:r w:rsidRPr="003A210C">
        <w:t xml:space="preserve">Also, </w:t>
      </w:r>
      <w:r w:rsidR="00001C15">
        <w:t xml:space="preserve">network users </w:t>
      </w:r>
      <w:r w:rsidR="003D073C">
        <w:t xml:space="preserve">should be aware that additional </w:t>
      </w:r>
      <w:r w:rsidRPr="003A210C">
        <w:t>jurisdiction specific regulations exist which impose additional requirements on the installation of generators and inverters (with or without batteries</w:t>
      </w:r>
      <w:r w:rsidR="00001C15">
        <w:t xml:space="preserve"> or other storage</w:t>
      </w:r>
      <w:r w:rsidRPr="003A210C">
        <w:t>). Even if it is your network and it is your equipment connected to the network</w:t>
      </w:r>
      <w:r w:rsidR="00A04364">
        <w:t>,</w:t>
      </w:r>
      <w:r w:rsidRPr="003A210C">
        <w:t xml:space="preserve"> you must still comply with the local safety requirements. Contact your local distributor for details.</w:t>
      </w:r>
    </w:p>
    <w:p w:rsidR="006819BE" w:rsidRPr="006819BE" w:rsidRDefault="006819BE" w:rsidP="006819BE">
      <w:pPr>
        <w:pStyle w:val="Heading3"/>
      </w:pPr>
      <w:bookmarkStart w:id="94" w:name="_Toc468276087"/>
      <w:r w:rsidRPr="006819BE">
        <w:t>Electric vehicle charging facilities</w:t>
      </w:r>
      <w:bookmarkEnd w:id="94"/>
    </w:p>
    <w:p w:rsidR="006819BE" w:rsidRPr="006819BE" w:rsidRDefault="006819BE" w:rsidP="006819BE">
      <w:r w:rsidRPr="006819BE">
        <w:t>As this is a deemed exemption category</w:t>
      </w:r>
      <w:r w:rsidR="003D073C">
        <w:t>, n</w:t>
      </w:r>
      <w:r w:rsidRPr="006819BE">
        <w:t xml:space="preserve">o application is required for </w:t>
      </w:r>
      <w:r w:rsidR="003A00C2">
        <w:t xml:space="preserve">this </w:t>
      </w:r>
      <w:r w:rsidRPr="006819BE">
        <w:t>exemption.</w:t>
      </w:r>
    </w:p>
    <w:p w:rsidR="006819BE" w:rsidRPr="006819BE" w:rsidRDefault="006819BE" w:rsidP="006819BE">
      <w:r w:rsidRPr="006819BE">
        <w:t xml:space="preserve">This classification applies to a private network with a vehicle charging facility owned by another party connected to </w:t>
      </w:r>
      <w:r w:rsidR="00282721">
        <w:t>the</w:t>
      </w:r>
      <w:r w:rsidRPr="006819BE">
        <w:t xml:space="preserve"> private network. An example might be a shopping centre which allows a vehicle leasing company to install a charging system that can be used by members of the public. An exemption is required by the </w:t>
      </w:r>
      <w:r w:rsidR="003D073C" w:rsidRPr="006819BE">
        <w:t>shopping centre</w:t>
      </w:r>
      <w:r w:rsidR="003D073C">
        <w:t xml:space="preserve"> </w:t>
      </w:r>
      <w:r w:rsidRPr="006819BE">
        <w:t xml:space="preserve">because their private network sits between the </w:t>
      </w:r>
      <w:r w:rsidR="003D073C">
        <w:t>distributor</w:t>
      </w:r>
      <w:r w:rsidRPr="006819BE">
        <w:t xml:space="preserve"> and the charging facility. </w:t>
      </w:r>
    </w:p>
    <w:p w:rsidR="006819BE" w:rsidRPr="006819BE" w:rsidRDefault="006819BE" w:rsidP="006819BE">
      <w:r w:rsidRPr="006819BE">
        <w:t xml:space="preserve">On the other hand, no network exemption is required if the vehicle charging facility is directly connected to the local distribution network. It will be directly metered by the local </w:t>
      </w:r>
      <w:r w:rsidR="003D073C">
        <w:t>distributor</w:t>
      </w:r>
      <w:r w:rsidRPr="006819BE">
        <w:t xml:space="preserve">. </w:t>
      </w:r>
      <w:r w:rsidRPr="006819BE">
        <w:lastRenderedPageBreak/>
        <w:t xml:space="preserve">This applies wherever there is a direct relationship between the </w:t>
      </w:r>
      <w:r w:rsidR="003D073C" w:rsidRPr="003D073C">
        <w:t xml:space="preserve">distributor </w:t>
      </w:r>
      <w:r w:rsidRPr="006819BE">
        <w:t xml:space="preserve">and the charging facility. </w:t>
      </w:r>
    </w:p>
    <w:p w:rsidR="006819BE" w:rsidRPr="006819BE" w:rsidRDefault="006819BE" w:rsidP="006819BE">
      <w:r w:rsidRPr="006819BE">
        <w:t>Note that the supply of electricity from a charging facility to a vehicle is a service to the transport sector, whi</w:t>
      </w:r>
      <w:r w:rsidR="00865C26">
        <w:t>ch is not regulated by the AER.</w:t>
      </w:r>
      <w:r w:rsidR="00865C26">
        <w:rPr>
          <w:rStyle w:val="FootnoteReference"/>
        </w:rPr>
        <w:footnoteReference w:id="38"/>
      </w:r>
    </w:p>
    <w:p w:rsidR="006819BE" w:rsidRPr="006819BE" w:rsidRDefault="006819BE" w:rsidP="006819BE">
      <w:r w:rsidRPr="006819BE">
        <w:t xml:space="preserve">Where the facility operates only as a load, metering and charging arrangements within the private network may be determined by agreement between the network owner/operator and the proprietor of the charging facility. Although the AER prefers all connections be metered, we permit </w:t>
      </w:r>
      <w:r w:rsidR="00D73778">
        <w:t xml:space="preserve">private </w:t>
      </w:r>
      <w:r w:rsidRPr="006819BE">
        <w:t>commercial and industrial (but not residential) vehicle charging arrangements which include an unmetered connection.</w:t>
      </w:r>
      <w:r w:rsidR="001D28C3">
        <w:t xml:space="preserve"> </w:t>
      </w:r>
    </w:p>
    <w:p w:rsidR="009C3D26" w:rsidRDefault="006819BE" w:rsidP="006819BE">
      <w:r w:rsidRPr="006819BE">
        <w:t>A vehicle charging facility which has a capacity to export electricity into the local distribution network must comply with the metering requirements in clause 4.2.3 for energy generation sources.</w:t>
      </w:r>
    </w:p>
    <w:p w:rsidR="009C3D26" w:rsidRDefault="009C3D26">
      <w:pPr>
        <w:spacing w:line="240" w:lineRule="auto"/>
      </w:pPr>
      <w:r>
        <w:br w:type="page"/>
      </w:r>
    </w:p>
    <w:p w:rsidR="006819BE" w:rsidRPr="006819BE" w:rsidRDefault="006819BE" w:rsidP="006819BE">
      <w:pPr>
        <w:pStyle w:val="Heading2"/>
      </w:pPr>
      <w:bookmarkStart w:id="95" w:name="_Toc466303914"/>
      <w:bookmarkStart w:id="96" w:name="_Ref361906958"/>
      <w:bookmarkStart w:id="97" w:name="_Ref361906986"/>
      <w:bookmarkStart w:id="98" w:name="_Toc365299422"/>
      <w:bookmarkStart w:id="99" w:name="_Ref466303469"/>
      <w:bookmarkStart w:id="100" w:name="_Toc468276088"/>
      <w:bookmarkEnd w:id="95"/>
      <w:r w:rsidRPr="006819BE">
        <w:lastRenderedPageBreak/>
        <w:t xml:space="preserve">Metering </w:t>
      </w:r>
      <w:bookmarkEnd w:id="96"/>
      <w:bookmarkEnd w:id="97"/>
      <w:bookmarkEnd w:id="98"/>
      <w:r w:rsidR="00402BA3">
        <w:t>operation and maintenance</w:t>
      </w:r>
      <w:bookmarkEnd w:id="99"/>
      <w:bookmarkEnd w:id="100"/>
    </w:p>
    <w:p w:rsidR="006819BE" w:rsidRDefault="006819BE" w:rsidP="006819BE">
      <w:r w:rsidRPr="006819BE">
        <w:t xml:space="preserve">This </w:t>
      </w:r>
      <w:r w:rsidR="00180DF2">
        <w:t xml:space="preserve">condition </w:t>
      </w:r>
      <w:r w:rsidRPr="006819BE">
        <w:t xml:space="preserve">applies wherever a meter is required to be installed. </w:t>
      </w:r>
    </w:p>
    <w:p w:rsidR="001D11F2" w:rsidRDefault="00402BA3" w:rsidP="00402BA3">
      <w:r w:rsidRPr="000A5BC1">
        <w:t xml:space="preserve">An </w:t>
      </w:r>
      <w:r>
        <w:t xml:space="preserve">exempt embedded network service provider </w:t>
      </w:r>
      <w:r w:rsidRPr="000A5BC1">
        <w:t>must</w:t>
      </w:r>
      <w:r>
        <w:t xml:space="preserve"> </w:t>
      </w:r>
      <w:r w:rsidRPr="000A5BC1">
        <w:t>operate and maintain a metering installation which they own, operate or control in accordance with the requirements of schedule 7.3 of the NER</w:t>
      </w:r>
      <w:r>
        <w:t>. For the purposes of this condition,</w:t>
      </w:r>
      <w:r w:rsidRPr="000A5BC1">
        <w:t xml:space="preserve"> the </w:t>
      </w:r>
      <w:r>
        <w:t>exempt embedded network service provider is deemed to be</w:t>
      </w:r>
      <w:r w:rsidRPr="000A5BC1">
        <w:t xml:space="preserve"> </w:t>
      </w:r>
      <w:r>
        <w:t xml:space="preserve">and must undertake the role of </w:t>
      </w:r>
      <w:r w:rsidRPr="000A5BC1">
        <w:t xml:space="preserve">the </w:t>
      </w:r>
      <w:r>
        <w:t>'</w:t>
      </w:r>
      <w:r w:rsidRPr="000A5BC1">
        <w:t>responsible person</w:t>
      </w:r>
      <w:r>
        <w:t>'</w:t>
      </w:r>
      <w:r w:rsidR="00494E21">
        <w:t xml:space="preserve"> </w:t>
      </w:r>
      <w:r>
        <w:t>where mentioned in</w:t>
      </w:r>
      <w:r w:rsidRPr="000A5BC1">
        <w:t xml:space="preserve"> schedule 7.3.</w:t>
      </w:r>
      <w:r w:rsidR="00EC548D" w:rsidRPr="00EC548D">
        <w:t xml:space="preserve"> </w:t>
      </w:r>
      <w:r w:rsidR="00821E13">
        <w:t>This requirement does not apply to market meters owned, operated or controlled by another party</w:t>
      </w:r>
      <w:r w:rsidR="00981DA2">
        <w:t>.</w:t>
      </w:r>
    </w:p>
    <w:p w:rsidR="001D11F2" w:rsidRPr="00463AA7" w:rsidRDefault="00EC548D" w:rsidP="00463AA7">
      <w:r>
        <w:t>I</w:t>
      </w:r>
      <w:r w:rsidRPr="00EC548D">
        <w:t>f</w:t>
      </w:r>
      <w:r>
        <w:t>,</w:t>
      </w:r>
      <w:r w:rsidRPr="00EC548D">
        <w:t xml:space="preserve"> for the purposes of schedule 7.3 the role of 'responsible person' is transferred to any other party under an amendment to the NER</w:t>
      </w:r>
      <w:r w:rsidR="001D11F2">
        <w:t xml:space="preserve"> while this version of the </w:t>
      </w:r>
      <w:r w:rsidR="000E7EEA" w:rsidRPr="000E7EEA">
        <w:t xml:space="preserve">Network </w:t>
      </w:r>
      <w:r w:rsidR="001D11F2">
        <w:t>Guideline is in force</w:t>
      </w:r>
      <w:r w:rsidRPr="00EC548D">
        <w:t>, the exempt embedded network service provider is deemed to be and must undertake the role of that other party</w:t>
      </w:r>
      <w:r>
        <w:t>.</w:t>
      </w:r>
      <w:r w:rsidR="001D11F2">
        <w:t xml:space="preserve"> </w:t>
      </w:r>
      <w:r w:rsidR="001D11F2" w:rsidRPr="0075558A">
        <w:t xml:space="preserve">Under the </w:t>
      </w:r>
      <w:r w:rsidR="001D11F2">
        <w:t xml:space="preserve">AEMC's </w:t>
      </w:r>
      <w:r w:rsidR="001D11F2" w:rsidRPr="0075558A">
        <w:t>Power of Choice</w:t>
      </w:r>
      <w:r w:rsidR="001D11F2" w:rsidRPr="00463AA7">
        <w:t xml:space="preserve"> Reforms, the </w:t>
      </w:r>
      <w:r w:rsidR="001D11F2">
        <w:t>'</w:t>
      </w:r>
      <w:r w:rsidR="001D11F2" w:rsidRPr="0075558A">
        <w:t>other par</w:t>
      </w:r>
      <w:r w:rsidR="001D11F2" w:rsidRPr="00463AA7">
        <w:t>ty</w:t>
      </w:r>
      <w:r w:rsidR="001D11F2">
        <w:t>'</w:t>
      </w:r>
      <w:r w:rsidR="001D11F2" w:rsidRPr="0075558A">
        <w:t xml:space="preserve"> is expected to be the 'Metering Coordinator'. </w:t>
      </w:r>
      <w:r w:rsidR="001D11F2">
        <w:t>I</w:t>
      </w:r>
      <w:r w:rsidR="001D11F2" w:rsidRPr="001D11F2">
        <w:t>f necessary</w:t>
      </w:r>
      <w:r w:rsidR="00981DA2">
        <w:t>,</w:t>
      </w:r>
      <w:r w:rsidR="001D11F2" w:rsidRPr="001D11F2">
        <w:t xml:space="preserve"> to confirm a change in this requirement</w:t>
      </w:r>
      <w:r w:rsidR="00981DA2">
        <w:t xml:space="preserve"> resulting from an amendment to the NER</w:t>
      </w:r>
      <w:r w:rsidR="001D11F2">
        <w:t>, t</w:t>
      </w:r>
      <w:r w:rsidR="001D11F2" w:rsidRPr="0075558A">
        <w:t xml:space="preserve">he AER will </w:t>
      </w:r>
      <w:r w:rsidR="001D11F2">
        <w:t xml:space="preserve">publish </w:t>
      </w:r>
      <w:r w:rsidR="001D11F2" w:rsidRPr="0075558A">
        <w:t xml:space="preserve">advice </w:t>
      </w:r>
      <w:r w:rsidR="001D11F2">
        <w:t xml:space="preserve">of </w:t>
      </w:r>
      <w:r w:rsidR="00C00402">
        <w:t xml:space="preserve">the </w:t>
      </w:r>
      <w:r w:rsidR="001D11F2">
        <w:t xml:space="preserve">change of party </w:t>
      </w:r>
      <w:r w:rsidR="001D11F2" w:rsidRPr="0075558A">
        <w:t>under this cond</w:t>
      </w:r>
      <w:r w:rsidR="001D11F2" w:rsidRPr="00463AA7">
        <w:t>ition</w:t>
      </w:r>
      <w:r w:rsidR="001D11F2">
        <w:t xml:space="preserve"> </w:t>
      </w:r>
      <w:r w:rsidR="001D11F2">
        <w:fldChar w:fldCharType="begin"/>
      </w:r>
      <w:r w:rsidR="001D11F2">
        <w:instrText xml:space="preserve"> REF _Ref466303469 \r \h </w:instrText>
      </w:r>
      <w:r w:rsidR="001D11F2">
        <w:fldChar w:fldCharType="separate"/>
      </w:r>
      <w:r w:rsidR="001D11F2">
        <w:t>4.3</w:t>
      </w:r>
      <w:r w:rsidR="001D11F2">
        <w:fldChar w:fldCharType="end"/>
      </w:r>
      <w:r w:rsidR="001D11F2" w:rsidRPr="0075558A">
        <w:t>.</w:t>
      </w:r>
    </w:p>
    <w:p w:rsidR="001D11F2" w:rsidRDefault="001D11F2" w:rsidP="00402BA3"/>
    <w:p w:rsidR="009C3D26" w:rsidRDefault="009C3D26">
      <w:pPr>
        <w:spacing w:line="240" w:lineRule="auto"/>
      </w:pPr>
      <w:r>
        <w:br w:type="page"/>
      </w:r>
    </w:p>
    <w:p w:rsidR="006819BE" w:rsidRPr="006819BE" w:rsidRDefault="006819BE" w:rsidP="006819BE">
      <w:pPr>
        <w:pStyle w:val="Heading2"/>
      </w:pPr>
      <w:bookmarkStart w:id="101" w:name="_Toc466303916"/>
      <w:bookmarkStart w:id="102" w:name="_Ref361906960"/>
      <w:bookmarkStart w:id="103" w:name="_Ref361906988"/>
      <w:bookmarkStart w:id="104" w:name="_Toc365299423"/>
      <w:bookmarkStart w:id="105" w:name="_Toc468276089"/>
      <w:bookmarkEnd w:id="101"/>
      <w:r w:rsidRPr="006819BE">
        <w:lastRenderedPageBreak/>
        <w:t xml:space="preserve">AEMO </w:t>
      </w:r>
      <w:r w:rsidR="008C75E4">
        <w:t>requirements for</w:t>
      </w:r>
      <w:r w:rsidRPr="006819BE">
        <w:t xml:space="preserve"> </w:t>
      </w:r>
      <w:r w:rsidR="008C75E4">
        <w:t xml:space="preserve">access to </w:t>
      </w:r>
      <w:r w:rsidRPr="006819BE">
        <w:t>retail competition</w:t>
      </w:r>
      <w:bookmarkEnd w:id="102"/>
      <w:bookmarkEnd w:id="103"/>
      <w:bookmarkEnd w:id="104"/>
      <w:bookmarkEnd w:id="105"/>
    </w:p>
    <w:p w:rsidR="009839BC" w:rsidRDefault="007E6D0A" w:rsidP="009839BC">
      <w:r>
        <w:t xml:space="preserve">This condition applies </w:t>
      </w:r>
      <w:r w:rsidR="005078E3">
        <w:t xml:space="preserve">in those regions of a State or Territory </w:t>
      </w:r>
      <w:r>
        <w:t>w</w:t>
      </w:r>
      <w:r w:rsidR="00A7459A" w:rsidRPr="00A7459A">
        <w:t xml:space="preserve">here an exempt customer is eligible under </w:t>
      </w:r>
      <w:r w:rsidR="00F66875" w:rsidRPr="00A7459A">
        <w:t xml:space="preserve">State </w:t>
      </w:r>
      <w:r w:rsidR="00A7459A" w:rsidRPr="00A7459A">
        <w:t xml:space="preserve">or </w:t>
      </w:r>
      <w:r w:rsidR="00F66875" w:rsidRPr="00A7459A">
        <w:t xml:space="preserve">Territory </w:t>
      </w:r>
      <w:r w:rsidR="00A7459A" w:rsidRPr="00A7459A">
        <w:t>legislation to purchase energy from a retailer of their choice</w:t>
      </w:r>
      <w:r w:rsidR="00A7459A">
        <w:t xml:space="preserve"> and</w:t>
      </w:r>
      <w:r w:rsidR="00A7459A" w:rsidRPr="006819BE">
        <w:t xml:space="preserve"> a customer </w:t>
      </w:r>
      <w:r>
        <w:t>must access</w:t>
      </w:r>
      <w:r w:rsidR="00A7459A" w:rsidRPr="006819BE">
        <w:t xml:space="preserve"> retail competition</w:t>
      </w:r>
      <w:r w:rsidR="00A7459A">
        <w:t xml:space="preserve"> through a parent metering installation serving an exempt embedded network service provider</w:t>
      </w:r>
      <w:r>
        <w:t>. This requirement includes any embedded network that would otherwise be deemed exempt.</w:t>
      </w:r>
      <w:r w:rsidR="00A7459A" w:rsidRPr="00A7459A">
        <w:t xml:space="preserve"> </w:t>
      </w:r>
      <w:r w:rsidR="005078E3">
        <w:t>It does not apply in any region of a State or Territory where access to retail competition is not mandated by that State or Territory.</w:t>
      </w:r>
    </w:p>
    <w:p w:rsidR="008C75E4" w:rsidRDefault="008C75E4" w:rsidP="008C75E4">
      <w:pPr>
        <w:pStyle w:val="Heading3"/>
      </w:pPr>
      <w:bookmarkStart w:id="106" w:name="_Toc468276090"/>
      <w:r>
        <w:t>Appointment of an ENM</w:t>
      </w:r>
      <w:bookmarkEnd w:id="106"/>
    </w:p>
    <w:p w:rsidR="00A7459A" w:rsidRDefault="007E6D0A" w:rsidP="006819BE">
      <w:r>
        <w:t xml:space="preserve">Subject to the further requirements </w:t>
      </w:r>
      <w:r w:rsidR="00A7459A">
        <w:t xml:space="preserve">specified in section </w:t>
      </w:r>
      <w:r w:rsidR="00A7459A">
        <w:fldChar w:fldCharType="begin"/>
      </w:r>
      <w:r w:rsidR="00A7459A">
        <w:instrText xml:space="preserve"> REF _Ref456777324 \r \h </w:instrText>
      </w:r>
      <w:r w:rsidR="00A7459A">
        <w:fldChar w:fldCharType="separate"/>
      </w:r>
      <w:r w:rsidR="00D30DD5">
        <w:t>4.7</w:t>
      </w:r>
      <w:r w:rsidR="00A7459A">
        <w:fldChar w:fldCharType="end"/>
      </w:r>
      <w:r w:rsidR="00A7459A">
        <w:t>, an embedded network manager must be appointed</w:t>
      </w:r>
      <w:r>
        <w:t xml:space="preserve"> </w:t>
      </w:r>
      <w:r w:rsidR="00B16156">
        <w:t xml:space="preserve">and an appointment maintained </w:t>
      </w:r>
      <w:r>
        <w:t xml:space="preserve">if the trigger conditions specified in </w:t>
      </w:r>
      <w:r w:rsidR="00BB1EFD">
        <w:t xml:space="preserve">condition </w:t>
      </w:r>
      <w:r w:rsidR="00A747D0">
        <w:fldChar w:fldCharType="begin"/>
      </w:r>
      <w:r w:rsidR="00A747D0">
        <w:instrText xml:space="preserve"> REF _Ref456863883 \r \h </w:instrText>
      </w:r>
      <w:r w:rsidR="00A747D0">
        <w:fldChar w:fldCharType="separate"/>
      </w:r>
      <w:r w:rsidR="00D30DD5">
        <w:t>4.4.2</w:t>
      </w:r>
      <w:r w:rsidR="00A747D0">
        <w:fldChar w:fldCharType="end"/>
      </w:r>
      <w:r w:rsidR="00A35D6F">
        <w:t xml:space="preserve"> </w:t>
      </w:r>
      <w:r>
        <w:t>are met</w:t>
      </w:r>
      <w:r w:rsidR="00432A71">
        <w:t xml:space="preserve">. </w:t>
      </w:r>
      <w:r w:rsidR="00891A5C">
        <w:t>It should be noted</w:t>
      </w:r>
      <w:r w:rsidR="00432A71">
        <w:t xml:space="preserve"> that if</w:t>
      </w:r>
      <w:r w:rsidR="00BB1EFD">
        <w:t xml:space="preserve"> the </w:t>
      </w:r>
      <w:r w:rsidR="00432A71">
        <w:t xml:space="preserve">requirements </w:t>
      </w:r>
      <w:r w:rsidR="00BB1EFD" w:rsidRPr="00BB1EFD">
        <w:t xml:space="preserve">specified in </w:t>
      </w:r>
      <w:r w:rsidR="00BB1EFD">
        <w:t>c</w:t>
      </w:r>
      <w:r w:rsidR="00ED514E">
        <w:t>ondition</w:t>
      </w:r>
      <w:r w:rsidR="00BB1EFD" w:rsidRPr="00BB1EFD">
        <w:t xml:space="preserve"> </w:t>
      </w:r>
      <w:r w:rsidR="009C1294">
        <w:fldChar w:fldCharType="begin"/>
      </w:r>
      <w:r w:rsidR="009C1294">
        <w:instrText xml:space="preserve"> REF _Ref456880845 \r \h </w:instrText>
      </w:r>
      <w:r w:rsidR="009C1294">
        <w:fldChar w:fldCharType="separate"/>
      </w:r>
      <w:r w:rsidR="00D30DD5">
        <w:t>4.7.2</w:t>
      </w:r>
      <w:r w:rsidR="009C1294">
        <w:fldChar w:fldCharType="end"/>
      </w:r>
      <w:r w:rsidR="009C1294">
        <w:t xml:space="preserve"> </w:t>
      </w:r>
      <w:r w:rsidR="00432A71">
        <w:t xml:space="preserve">for </w:t>
      </w:r>
      <w:r w:rsidR="00BB1EFD">
        <w:t>reversion to no ENM have been met</w:t>
      </w:r>
      <w:r w:rsidR="00432A71">
        <w:t>, this condition will not apply</w:t>
      </w:r>
      <w:r w:rsidR="00A7459A">
        <w:t xml:space="preserve">. </w:t>
      </w:r>
    </w:p>
    <w:p w:rsidR="00A1196A" w:rsidRDefault="009C1294" w:rsidP="00A1196A">
      <w:pPr>
        <w:pStyle w:val="Heading3"/>
      </w:pPr>
      <w:bookmarkStart w:id="107" w:name="_Ref456863883"/>
      <w:bookmarkStart w:id="108" w:name="_Toc468276091"/>
      <w:r>
        <w:t xml:space="preserve">ENM </w:t>
      </w:r>
      <w:r w:rsidR="00B16156">
        <w:t xml:space="preserve">appointment </w:t>
      </w:r>
      <w:r>
        <w:t xml:space="preserve">trigger </w:t>
      </w:r>
      <w:r w:rsidR="00A1196A">
        <w:t>conditions</w:t>
      </w:r>
      <w:bookmarkEnd w:id="107"/>
      <w:bookmarkEnd w:id="108"/>
    </w:p>
    <w:p w:rsidR="006C5D4B" w:rsidRDefault="006C5D4B" w:rsidP="00472014">
      <w:r>
        <w:t xml:space="preserve">The relevant activity classes which require the early appointment of an ENM are those involving small and large residential, commercial and industrial customers. </w:t>
      </w:r>
      <w:r w:rsidR="003B4B33">
        <w:t xml:space="preserve">Subject to the further requirements set out in this condition, the relevant </w:t>
      </w:r>
      <w:r w:rsidR="00985ACB">
        <w:t xml:space="preserve">exemption </w:t>
      </w:r>
      <w:r w:rsidR="003B4B33">
        <w:t xml:space="preserve">activity classes </w:t>
      </w:r>
      <w:r w:rsidR="001D07E8">
        <w:t xml:space="preserve">for </w:t>
      </w:r>
      <w:r w:rsidR="003B4B33">
        <w:t xml:space="preserve">which an ENM </w:t>
      </w:r>
      <w:r w:rsidR="001D07E8">
        <w:t>must be appointed</w:t>
      </w:r>
      <w:r w:rsidR="003B4B33">
        <w:t xml:space="preserve"> </w:t>
      </w:r>
      <w:r w:rsidR="00A1196A">
        <w:t xml:space="preserve">are ND10, NR1, NR2, NR3, NR5 </w:t>
      </w:r>
      <w:r w:rsidR="001C6AC9">
        <w:t xml:space="preserve">and </w:t>
      </w:r>
      <w:r w:rsidR="00A1196A">
        <w:t xml:space="preserve">NR6 </w:t>
      </w:r>
      <w:r w:rsidR="009C1294">
        <w:t>('relevant activity classes')</w:t>
      </w:r>
      <w:r w:rsidR="00A1196A">
        <w:t xml:space="preserve">. </w:t>
      </w:r>
    </w:p>
    <w:p w:rsidR="00A4458E" w:rsidRDefault="00686DDD" w:rsidP="00472014">
      <w:r>
        <w:t xml:space="preserve">This condition applies to </w:t>
      </w:r>
      <w:r w:rsidR="00680D69">
        <w:t>each</w:t>
      </w:r>
      <w:r>
        <w:t xml:space="preserve"> individual site. </w:t>
      </w:r>
      <w:r w:rsidR="008C2AFE">
        <w:t>A</w:t>
      </w:r>
      <w:r w:rsidR="00242E7E">
        <w:t>n exempt</w:t>
      </w:r>
      <w:r w:rsidR="00AA308D">
        <w:t xml:space="preserve"> embedded</w:t>
      </w:r>
      <w:r w:rsidR="00747E0B">
        <w:t xml:space="preserve"> network</w:t>
      </w:r>
      <w:r w:rsidR="009C1294">
        <w:t xml:space="preserve"> with 30 or more customers operating in a relevant activity class</w:t>
      </w:r>
      <w:r w:rsidR="00120F60">
        <w:t xml:space="preserve"> and not subject to </w:t>
      </w:r>
      <w:r w:rsidR="008C2AFE">
        <w:t xml:space="preserve">a </w:t>
      </w:r>
      <w:r w:rsidR="00DF1F2E">
        <w:t>non</w:t>
      </w:r>
      <w:r w:rsidR="00BF5F61">
        <w:t>–</w:t>
      </w:r>
      <w:r w:rsidR="00DF1F2E">
        <w:t xml:space="preserve">appointment or </w:t>
      </w:r>
      <w:r w:rsidR="00120F60">
        <w:t xml:space="preserve">reversion </w:t>
      </w:r>
      <w:r w:rsidR="008C2AFE">
        <w:t xml:space="preserve">entitlement </w:t>
      </w:r>
      <w:r w:rsidR="00120F60">
        <w:t xml:space="preserve">under condition </w:t>
      </w:r>
      <w:r w:rsidR="00120F60">
        <w:fldChar w:fldCharType="begin"/>
      </w:r>
      <w:r w:rsidR="00120F60">
        <w:instrText xml:space="preserve"> REF _Ref456880845 \r \h </w:instrText>
      </w:r>
      <w:r w:rsidR="00120F60">
        <w:fldChar w:fldCharType="separate"/>
      </w:r>
      <w:r w:rsidR="00D30DD5">
        <w:t>4.7.2</w:t>
      </w:r>
      <w:r w:rsidR="00120F60">
        <w:fldChar w:fldCharType="end"/>
      </w:r>
      <w:r w:rsidR="00747E0B">
        <w:t xml:space="preserve"> </w:t>
      </w:r>
      <w:r w:rsidR="008C2AFE">
        <w:t xml:space="preserve">must appoint </w:t>
      </w:r>
      <w:r w:rsidR="00747E0B">
        <w:t>an ENM by</w:t>
      </w:r>
      <w:r w:rsidR="00A4458E">
        <w:t xml:space="preserve">: </w:t>
      </w:r>
    </w:p>
    <w:p w:rsidR="00A4458E" w:rsidRDefault="00ED514E" w:rsidP="003A3621">
      <w:pPr>
        <w:pStyle w:val="Listalphabet2"/>
        <w:numPr>
          <w:ilvl w:val="0"/>
          <w:numId w:val="32"/>
        </w:numPr>
      </w:pPr>
      <w:r>
        <w:t>e</w:t>
      </w:r>
      <w:r w:rsidR="00A4458E">
        <w:t>xisting networks:</w:t>
      </w:r>
      <w:r w:rsidR="00747E0B">
        <w:t xml:space="preserve"> 1 December 2017</w:t>
      </w:r>
      <w:r w:rsidR="00A4458E">
        <w:t>; or</w:t>
      </w:r>
    </w:p>
    <w:p w:rsidR="00A4458E" w:rsidRDefault="00A176A8" w:rsidP="003A3621">
      <w:pPr>
        <w:pStyle w:val="Listalphabet2"/>
        <w:numPr>
          <w:ilvl w:val="0"/>
          <w:numId w:val="32"/>
        </w:numPr>
      </w:pPr>
      <w:proofErr w:type="gramStart"/>
      <w:r>
        <w:t>from</w:t>
      </w:r>
      <w:proofErr w:type="gramEnd"/>
      <w:r>
        <w:t xml:space="preserve"> 1 December 2017</w:t>
      </w:r>
      <w:r w:rsidR="00A4458E">
        <w:t>: immediately</w:t>
      </w:r>
      <w:r w:rsidR="00B16156">
        <w:t xml:space="preserve"> on the network commencing operation</w:t>
      </w:r>
      <w:r w:rsidR="00A4458E">
        <w:t>.</w:t>
      </w:r>
    </w:p>
    <w:p w:rsidR="007746DA" w:rsidRDefault="007746DA" w:rsidP="00A1196A">
      <w:r w:rsidRPr="007746DA">
        <w:t xml:space="preserve">For each activity class not listed </w:t>
      </w:r>
      <w:r w:rsidR="008C2AFE">
        <w:t xml:space="preserve">above </w:t>
      </w:r>
      <w:r w:rsidRPr="007746DA">
        <w:t xml:space="preserve">we have determined the costs will outweigh the benefits of the appointment of an ENM. </w:t>
      </w:r>
    </w:p>
    <w:p w:rsidR="00DF1F2E" w:rsidRDefault="00316E13" w:rsidP="00A1196A">
      <w:r w:rsidRPr="00316E13">
        <w:t>We have omitted classes ND</w:t>
      </w:r>
      <w:r>
        <w:t>1</w:t>
      </w:r>
      <w:r w:rsidRPr="00316E13">
        <w:t xml:space="preserve"> and N</w:t>
      </w:r>
      <w:r>
        <w:t>D2</w:t>
      </w:r>
      <w:r w:rsidRPr="00316E13">
        <w:t xml:space="preserve"> from the relevant activity classes. These classes </w:t>
      </w:r>
      <w:r>
        <w:t>have fewer than 30 customers.</w:t>
      </w:r>
      <w:r w:rsidRPr="00316E13">
        <w:t xml:space="preserve"> </w:t>
      </w:r>
      <w:r w:rsidR="00A35D6F" w:rsidRPr="00A35D6F">
        <w:t xml:space="preserve">We </w:t>
      </w:r>
      <w:r w:rsidR="00DF1F2E">
        <w:t xml:space="preserve">have </w:t>
      </w:r>
      <w:r w:rsidR="00A35D6F" w:rsidRPr="00A35D6F">
        <w:t>omit</w:t>
      </w:r>
      <w:r w:rsidR="00DF1F2E">
        <w:t>ted</w:t>
      </w:r>
      <w:r w:rsidR="00A35D6F" w:rsidRPr="00A35D6F">
        <w:t xml:space="preserve"> class</w:t>
      </w:r>
      <w:r w:rsidR="00E2267B">
        <w:t>es</w:t>
      </w:r>
      <w:r w:rsidR="00A35D6F" w:rsidRPr="00A35D6F">
        <w:t xml:space="preserve"> ND3</w:t>
      </w:r>
      <w:r w:rsidR="00E2267B">
        <w:t xml:space="preserve"> and NR4</w:t>
      </w:r>
      <w:r w:rsidR="002170D4">
        <w:t xml:space="preserve"> from the relevant activity classes</w:t>
      </w:r>
      <w:r w:rsidR="001D07E8">
        <w:t>. Th</w:t>
      </w:r>
      <w:r w:rsidR="00E2267B">
        <w:t>ese</w:t>
      </w:r>
      <w:r w:rsidR="00A35D6F" w:rsidRPr="00A35D6F">
        <w:t xml:space="preserve"> </w:t>
      </w:r>
      <w:r w:rsidR="002170D4">
        <w:t>class</w:t>
      </w:r>
      <w:r w:rsidR="00E2267B">
        <w:t>es</w:t>
      </w:r>
      <w:r w:rsidR="002170D4">
        <w:t xml:space="preserve"> </w:t>
      </w:r>
      <w:r w:rsidR="00A35D6F" w:rsidRPr="00A35D6F">
        <w:t>concern short</w:t>
      </w:r>
      <w:r w:rsidR="00BF5F61">
        <w:t>–</w:t>
      </w:r>
      <w:r w:rsidR="00A35D6F" w:rsidRPr="00A35D6F">
        <w:t>term rental accommodation</w:t>
      </w:r>
      <w:r w:rsidR="00A35D6F">
        <w:t xml:space="preserve"> </w:t>
      </w:r>
      <w:r w:rsidR="00DF1F2E">
        <w:t>(</w:t>
      </w:r>
      <w:r w:rsidR="00A35D6F">
        <w:t>as is common in tourism</w:t>
      </w:r>
      <w:r w:rsidR="00DF1F2E">
        <w:t>)</w:t>
      </w:r>
      <w:r w:rsidR="00E2267B">
        <w:t xml:space="preserve"> residential land lease and manufactured home sites</w:t>
      </w:r>
      <w:r w:rsidR="00A35D6F" w:rsidRPr="00A35D6F">
        <w:t xml:space="preserve">. </w:t>
      </w:r>
      <w:r w:rsidR="00E2267B">
        <w:t>For class ND3, w</w:t>
      </w:r>
      <w:r w:rsidR="00A35D6F" w:rsidRPr="00A35D6F">
        <w:t xml:space="preserve">e do </w:t>
      </w:r>
      <w:proofErr w:type="gramStart"/>
      <w:r w:rsidR="00A35D6F" w:rsidRPr="00A35D6F">
        <w:t>so on</w:t>
      </w:r>
      <w:proofErr w:type="gramEnd"/>
      <w:r w:rsidR="00A35D6F" w:rsidRPr="00A35D6F">
        <w:t xml:space="preserve"> the basis that the transient nature of those tenancies make</w:t>
      </w:r>
      <w:r w:rsidR="00A35D6F">
        <w:t>s</w:t>
      </w:r>
      <w:r w:rsidR="00A35D6F" w:rsidRPr="00A35D6F">
        <w:t xml:space="preserve"> it unlikely that there would be sufficient opportunity to offset the transaction costs of appointing an ENM.</w:t>
      </w:r>
      <w:r w:rsidR="0049375A">
        <w:t xml:space="preserve"> </w:t>
      </w:r>
      <w:r w:rsidR="00E2267B">
        <w:t>For class NR4,</w:t>
      </w:r>
      <w:r w:rsidR="00B12244">
        <w:t xml:space="preserve"> we are satisfied that the </w:t>
      </w:r>
      <w:r w:rsidR="002210E1">
        <w:t xml:space="preserve">price control </w:t>
      </w:r>
      <w:r w:rsidR="00B12244">
        <w:t xml:space="preserve">effect of State based legislation </w:t>
      </w:r>
      <w:r w:rsidR="002210E1">
        <w:t xml:space="preserve">(where it exists) </w:t>
      </w:r>
      <w:r w:rsidR="00B12244">
        <w:t>makes the costs of an immediate appointment of an ENM unlikely to outweigh the benefits of an early appointment.</w:t>
      </w:r>
    </w:p>
    <w:p w:rsidR="001A0C80" w:rsidRDefault="0049375A" w:rsidP="00A1196A">
      <w:r>
        <w:t xml:space="preserve">We also omit specific reference to the generation, industrial and commercial situations described in tables </w:t>
      </w:r>
      <w:r w:rsidR="0077033D">
        <w:t xml:space="preserve">2, 4 and 5 on the basis that </w:t>
      </w:r>
      <w:r w:rsidR="00472014">
        <w:t>these situations</w:t>
      </w:r>
      <w:r w:rsidR="0077033D">
        <w:t xml:space="preserve"> are likely to involve a direct arrangement with a market retailer with the necessary accreditation to correctly manage the metering installation. </w:t>
      </w:r>
      <w:r w:rsidR="00472014">
        <w:t>In these circumstances, the cost</w:t>
      </w:r>
      <w:r w:rsidR="00DF1F2E">
        <w:t>s</w:t>
      </w:r>
      <w:r w:rsidR="00472014">
        <w:t xml:space="preserve"> of appointing an ENM are likely to outweigh the benefit of an early appointment. </w:t>
      </w:r>
    </w:p>
    <w:p w:rsidR="003B4B33" w:rsidRDefault="001D07E8" w:rsidP="00A1196A">
      <w:r>
        <w:lastRenderedPageBreak/>
        <w:t>F</w:t>
      </w:r>
      <w:r w:rsidR="00472014">
        <w:t xml:space="preserve">or any of these situations </w:t>
      </w:r>
      <w:r>
        <w:t xml:space="preserve">though, if </w:t>
      </w:r>
      <w:r w:rsidR="00472014">
        <w:t xml:space="preserve">the appointment of an ENM </w:t>
      </w:r>
      <w:r w:rsidR="008C2AFE">
        <w:t xml:space="preserve">becomes </w:t>
      </w:r>
      <w:r w:rsidR="0077033D">
        <w:t>necessary</w:t>
      </w:r>
      <w:r>
        <w:t xml:space="preserve"> because an ENM conditions trigger has arisen as provided for in clause 2.5.1(d2) of the NER</w:t>
      </w:r>
      <w:r w:rsidR="0077033D">
        <w:t xml:space="preserve">, an accredited ENM </w:t>
      </w:r>
      <w:r w:rsidR="008C2AFE">
        <w:t>must</w:t>
      </w:r>
      <w:r w:rsidR="00985ACB">
        <w:t xml:space="preserve"> </w:t>
      </w:r>
      <w:r w:rsidR="0077033D">
        <w:t xml:space="preserve">be appointed </w:t>
      </w:r>
      <w:r w:rsidR="00CF32B3">
        <w:t xml:space="preserve">in accordance with rule </w:t>
      </w:r>
      <w:r w:rsidR="00472014">
        <w:t>2.5.1(d2).</w:t>
      </w:r>
    </w:p>
    <w:p w:rsidR="006C5D4B" w:rsidRPr="00747E0B" w:rsidRDefault="006C5D4B" w:rsidP="006C5D4B">
      <w:pPr>
        <w:pStyle w:val="Heading4"/>
      </w:pPr>
      <w:bookmarkStart w:id="109" w:name="_Ref456878460"/>
      <w:r>
        <w:t>Small size network threshold</w:t>
      </w:r>
      <w:bookmarkEnd w:id="109"/>
    </w:p>
    <w:p w:rsidR="007746DA" w:rsidRDefault="007746DA" w:rsidP="00A4458E">
      <w:r w:rsidRPr="007746DA">
        <w:t>Note that in</w:t>
      </w:r>
      <w:r>
        <w:t xml:space="preserve"> this</w:t>
      </w:r>
      <w:r w:rsidRPr="007746DA">
        <w:t xml:space="preserve"> condition 4.4.2.1 we use the term </w:t>
      </w:r>
      <w:r w:rsidR="008C2AFE">
        <w:t>'</w:t>
      </w:r>
      <w:r w:rsidRPr="007746DA">
        <w:t>ENM trigger event</w:t>
      </w:r>
      <w:r w:rsidR="008C2AFE">
        <w:t>'</w:t>
      </w:r>
      <w:r w:rsidRPr="007746DA">
        <w:t xml:space="preserve"> for convenience. It should not be mistaken for the similar term defined in the NER: </w:t>
      </w:r>
      <w:r w:rsidRPr="008C2AFE">
        <w:rPr>
          <w:rStyle w:val="Emphasis"/>
        </w:rPr>
        <w:t>ENM conditions trigger</w:t>
      </w:r>
      <w:r w:rsidRPr="007746DA">
        <w:t>.</w:t>
      </w:r>
      <w:r>
        <w:t xml:space="preserve"> </w:t>
      </w:r>
    </w:p>
    <w:p w:rsidR="007746DA" w:rsidRDefault="00170FDF" w:rsidP="00A4458E">
      <w:r>
        <w:t xml:space="preserve">We have </w:t>
      </w:r>
      <w:r w:rsidR="00A4458E">
        <w:t>determin</w:t>
      </w:r>
      <w:r>
        <w:t>ed</w:t>
      </w:r>
      <w:r w:rsidR="00A4458E">
        <w:t xml:space="preserve"> </w:t>
      </w:r>
      <w:r>
        <w:t xml:space="preserve">under clause 2.5.1(d2) of the NER that some network activity classes should be exempted on the basis of size from appointing an ENM immediately. </w:t>
      </w:r>
      <w:r w:rsidR="00A4458E" w:rsidRPr="00A4458E">
        <w:t>We consider that scale is an important consideration for these</w:t>
      </w:r>
      <w:r w:rsidR="006C5D4B">
        <w:t xml:space="preserve"> activities. </w:t>
      </w:r>
      <w:r w:rsidR="00316E13">
        <w:t xml:space="preserve">Consultation with stakeholders strongly supported a threshold of </w:t>
      </w:r>
      <w:r w:rsidR="00A4458E" w:rsidRPr="00A4458E">
        <w:t xml:space="preserve">fewer than 30 </w:t>
      </w:r>
      <w:r>
        <w:t xml:space="preserve">retail </w:t>
      </w:r>
      <w:r w:rsidR="00A4458E" w:rsidRPr="00A4458E">
        <w:t>customers</w:t>
      </w:r>
      <w:r w:rsidR="00316E13">
        <w:t xml:space="preserve"> on the basis these networks</w:t>
      </w:r>
      <w:r w:rsidR="00A4458E" w:rsidRPr="00A4458E">
        <w:t xml:space="preserve"> are less attractive than larger networks</w:t>
      </w:r>
      <w:r w:rsidR="006C5D4B">
        <w:t xml:space="preserve"> because of transaction costs</w:t>
      </w:r>
      <w:r w:rsidR="009C1294">
        <w:t xml:space="preserve">. </w:t>
      </w:r>
    </w:p>
    <w:p w:rsidR="00A4458E" w:rsidRPr="00A4458E" w:rsidRDefault="00A4458E" w:rsidP="00A4458E">
      <w:r w:rsidRPr="00A4458E">
        <w:t>For networks with fewer customers and/or smaller loads</w:t>
      </w:r>
      <w:r w:rsidR="00170FDF">
        <w:t xml:space="preserve"> we </w:t>
      </w:r>
      <w:r w:rsidR="00DF1F2E">
        <w:t xml:space="preserve">also </w:t>
      </w:r>
      <w:r w:rsidR="00170FDF">
        <w:t>consider</w:t>
      </w:r>
      <w:r w:rsidR="00DF1F2E">
        <w:t xml:space="preserve"> it possible that</w:t>
      </w:r>
      <w:r w:rsidRPr="00A4458E">
        <w:t xml:space="preserve"> the </w:t>
      </w:r>
      <w:r w:rsidR="00170FDF">
        <w:t xml:space="preserve">exempt embedded network service provider may be willing </w:t>
      </w:r>
      <w:r w:rsidRPr="00A4458E">
        <w:t xml:space="preserve">to match the prices proposed by the </w:t>
      </w:r>
      <w:r w:rsidR="00170FDF">
        <w:t xml:space="preserve">market </w:t>
      </w:r>
      <w:r w:rsidRPr="00A4458E">
        <w:t xml:space="preserve">retailer. This may result in a net saving for both the </w:t>
      </w:r>
      <w:r w:rsidR="00170FDF">
        <w:t xml:space="preserve">exempt embedded network service provider </w:t>
      </w:r>
      <w:r w:rsidRPr="00A4458E">
        <w:t>and the customer</w:t>
      </w:r>
      <w:r w:rsidR="00170FDF">
        <w:t xml:space="preserve"> or customers of the network</w:t>
      </w:r>
      <w:r w:rsidRPr="00A4458E">
        <w:t xml:space="preserve">. </w:t>
      </w:r>
      <w:r w:rsidR="00DF1F2E">
        <w:t xml:space="preserve">In condition </w:t>
      </w:r>
      <w:r w:rsidR="00DF1F2E">
        <w:fldChar w:fldCharType="begin"/>
      </w:r>
      <w:r w:rsidR="00DF1F2E">
        <w:instrText xml:space="preserve"> REF _Ref456880845 \r \h </w:instrText>
      </w:r>
      <w:r w:rsidR="00DF1F2E">
        <w:fldChar w:fldCharType="separate"/>
      </w:r>
      <w:r w:rsidR="00D30DD5">
        <w:t>4.7.2</w:t>
      </w:r>
      <w:r w:rsidR="00DF1F2E">
        <w:fldChar w:fldCharType="end"/>
      </w:r>
      <w:r w:rsidR="00DF1F2E">
        <w:t xml:space="preserve"> w</w:t>
      </w:r>
      <w:r w:rsidRPr="00A4458E">
        <w:t>e pro</w:t>
      </w:r>
      <w:r w:rsidR="00DF1F2E">
        <w:t xml:space="preserve">vide the exempt embedded network service provider </w:t>
      </w:r>
      <w:r w:rsidRPr="00A4458E">
        <w:t>a window of opportunity to make a counter</w:t>
      </w:r>
      <w:r w:rsidR="00BF5F61">
        <w:t>–</w:t>
      </w:r>
      <w:r w:rsidRPr="00A4458E">
        <w:t>offer</w:t>
      </w:r>
      <w:r w:rsidR="000E71AF">
        <w:t xml:space="preserve"> in some circumstances</w:t>
      </w:r>
      <w:r w:rsidRPr="00A4458E">
        <w:t>. If no counter</w:t>
      </w:r>
      <w:r w:rsidR="00BF5F61">
        <w:t>–</w:t>
      </w:r>
      <w:r w:rsidRPr="00A4458E">
        <w:t xml:space="preserve">offer is made or </w:t>
      </w:r>
      <w:r w:rsidR="000E71AF">
        <w:t>if a</w:t>
      </w:r>
      <w:r w:rsidRPr="00A4458E">
        <w:t xml:space="preserve"> counter</w:t>
      </w:r>
      <w:r w:rsidR="00BF5F61">
        <w:t>–</w:t>
      </w:r>
      <w:r w:rsidRPr="00A4458E">
        <w:t xml:space="preserve">offer is not accepted then the </w:t>
      </w:r>
      <w:r w:rsidR="00DF1F2E">
        <w:t xml:space="preserve">ENM </w:t>
      </w:r>
      <w:r w:rsidRPr="00A4458E">
        <w:t xml:space="preserve">trigger event </w:t>
      </w:r>
      <w:r w:rsidR="003E5584">
        <w:t>requirements are</w:t>
      </w:r>
      <w:r w:rsidRPr="00A4458E">
        <w:t xml:space="preserve"> satisfied</w:t>
      </w:r>
      <w:r w:rsidR="000E71AF">
        <w:t xml:space="preserve"> and an ENM must be appointed</w:t>
      </w:r>
      <w:r w:rsidRPr="00A4458E">
        <w:t xml:space="preserve">. </w:t>
      </w:r>
      <w:r w:rsidR="00706706">
        <w:t>Please note</w:t>
      </w:r>
      <w:r w:rsidR="001354E7">
        <w:t>:</w:t>
      </w:r>
      <w:r w:rsidR="00706706">
        <w:t xml:space="preserve"> this condition does not prevent a small network from appointing an ENM of its own volition.</w:t>
      </w:r>
    </w:p>
    <w:p w:rsidR="00170FDF" w:rsidRDefault="00296959" w:rsidP="00A4458E">
      <w:r>
        <w:t xml:space="preserve">As the timeframe for actions required </w:t>
      </w:r>
      <w:proofErr w:type="gramStart"/>
      <w:r>
        <w:t>to appoint</w:t>
      </w:r>
      <w:proofErr w:type="gramEnd"/>
      <w:r>
        <w:t xml:space="preserve"> an ENM is limited, we expect that </w:t>
      </w:r>
      <w:r w:rsidR="00A4458E" w:rsidRPr="00A4458E">
        <w:t xml:space="preserve">all parties </w:t>
      </w:r>
      <w:r w:rsidR="00985ACB" w:rsidRPr="00A4458E">
        <w:t>will communicate electronically</w:t>
      </w:r>
      <w:r w:rsidR="00D935B3">
        <w:t>,</w:t>
      </w:r>
      <w:r w:rsidR="00985ACB" w:rsidRPr="00A4458E">
        <w:t xml:space="preserve"> </w:t>
      </w:r>
      <w:r w:rsidR="00A4458E" w:rsidRPr="00A4458E">
        <w:t xml:space="preserve">either </w:t>
      </w:r>
      <w:r w:rsidR="00985ACB">
        <w:t>by</w:t>
      </w:r>
      <w:r w:rsidR="00A4458E" w:rsidRPr="00A4458E">
        <w:t xml:space="preserve"> email or SMS communication </w:t>
      </w:r>
      <w:r w:rsidR="00985ACB">
        <w:t>or other similar means</w:t>
      </w:r>
      <w:r w:rsidR="00706706">
        <w:t>, wherever possible</w:t>
      </w:r>
      <w:r w:rsidR="00A4458E" w:rsidRPr="00A4458E">
        <w:t>.</w:t>
      </w:r>
    </w:p>
    <w:p w:rsidR="00891A5C" w:rsidRDefault="003E5584" w:rsidP="00747E0B">
      <w:r>
        <w:t>This condition concerns</w:t>
      </w:r>
      <w:r w:rsidR="00ED514E">
        <w:t xml:space="preserve"> small</w:t>
      </w:r>
      <w:r>
        <w:t xml:space="preserve"> r</w:t>
      </w:r>
      <w:r w:rsidR="00747E0B" w:rsidRPr="00747E0B">
        <w:t>esidential customer</w:t>
      </w:r>
      <w:r>
        <w:t xml:space="preserve">s </w:t>
      </w:r>
      <w:r w:rsidR="0058411E">
        <w:t xml:space="preserve">in activity </w:t>
      </w:r>
      <w:r>
        <w:t xml:space="preserve">classes ND2, </w:t>
      </w:r>
      <w:r w:rsidR="00747E0B" w:rsidRPr="00747E0B">
        <w:t>NR2</w:t>
      </w:r>
      <w:r w:rsidR="00513FA5">
        <w:t xml:space="preserve">, </w:t>
      </w:r>
      <w:r w:rsidR="00186B10">
        <w:t>NR3</w:t>
      </w:r>
      <w:r w:rsidR="001C6AC9">
        <w:t xml:space="preserve"> and</w:t>
      </w:r>
      <w:r w:rsidR="00186B10">
        <w:t xml:space="preserve"> </w:t>
      </w:r>
      <w:r w:rsidR="00513FA5">
        <w:t>NR4</w:t>
      </w:r>
      <w:r w:rsidR="0058411E">
        <w:t xml:space="preserve"> and</w:t>
      </w:r>
      <w:r w:rsidR="00ED514E">
        <w:t xml:space="preserve"> small</w:t>
      </w:r>
      <w:r w:rsidR="0058411E">
        <w:t xml:space="preserve"> c</w:t>
      </w:r>
      <w:r w:rsidR="00747E0B" w:rsidRPr="00747E0B">
        <w:t xml:space="preserve">ommercial, retail and industrial customers governed by activity classes ND1, ND10, NR1 </w:t>
      </w:r>
      <w:r w:rsidR="001C6AC9" w:rsidRPr="00747E0B">
        <w:t xml:space="preserve">and </w:t>
      </w:r>
      <w:r w:rsidR="00747E0B" w:rsidRPr="00747E0B">
        <w:t>NR6.</w:t>
      </w:r>
      <w:r w:rsidR="0058411E">
        <w:t xml:space="preserve"> </w:t>
      </w:r>
      <w:r w:rsidR="00891A5C">
        <w:t>W</w:t>
      </w:r>
      <w:r w:rsidR="00186B10">
        <w:t>hen an ENM trigger event occurs</w:t>
      </w:r>
      <w:r w:rsidR="00891A5C">
        <w:t>, an ENM must be appointed.</w:t>
      </w:r>
    </w:p>
    <w:p w:rsidR="00747E0B" w:rsidRPr="00747E0B" w:rsidRDefault="00747E0B" w:rsidP="00747E0B">
      <w:r w:rsidRPr="00747E0B">
        <w:t xml:space="preserve">For </w:t>
      </w:r>
      <w:r w:rsidR="00186B10">
        <w:t>an exempt embedded network</w:t>
      </w:r>
      <w:r w:rsidRPr="00747E0B">
        <w:t xml:space="preserve"> with 29 or fewer </w:t>
      </w:r>
      <w:r w:rsidR="00186B10">
        <w:t xml:space="preserve">small </w:t>
      </w:r>
      <w:r w:rsidRPr="00747E0B">
        <w:t xml:space="preserve">customers, an ENM trigger event occurs when the following is satisfied: </w:t>
      </w:r>
    </w:p>
    <w:p w:rsidR="00747E0B" w:rsidRPr="00747E0B" w:rsidRDefault="003E5584" w:rsidP="003A3621">
      <w:pPr>
        <w:pStyle w:val="Listalphabet2"/>
        <w:numPr>
          <w:ilvl w:val="0"/>
          <w:numId w:val="33"/>
        </w:numPr>
      </w:pPr>
      <w:r w:rsidRPr="00747E0B">
        <w:t xml:space="preserve">a </w:t>
      </w:r>
      <w:r w:rsidR="00747E0B" w:rsidRPr="00747E0B">
        <w:t xml:space="preserve">customer or a retailer notifies the </w:t>
      </w:r>
      <w:r>
        <w:t xml:space="preserve">exempt embedded network service provider </w:t>
      </w:r>
      <w:r w:rsidR="00747E0B" w:rsidRPr="00747E0B">
        <w:t>of the desire of the customer to access retail competition; and</w:t>
      </w:r>
    </w:p>
    <w:p w:rsidR="00747E0B" w:rsidRPr="00747E0B" w:rsidRDefault="00DA481E" w:rsidP="003A3621">
      <w:pPr>
        <w:pStyle w:val="Listalphabet2"/>
        <w:numPr>
          <w:ilvl w:val="0"/>
          <w:numId w:val="33"/>
        </w:numPr>
      </w:pPr>
      <w:r>
        <w:t xml:space="preserve">where an eligible </w:t>
      </w:r>
      <w:r w:rsidR="00891A5C">
        <w:t>member of an eligible community</w:t>
      </w:r>
      <w:r>
        <w:t xml:space="preserve"> </w:t>
      </w:r>
      <w:r w:rsidR="002170D4" w:rsidRPr="00747E0B">
        <w:t xml:space="preserve">notifies the </w:t>
      </w:r>
      <w:r w:rsidR="002170D4" w:rsidRPr="002170D4">
        <w:t xml:space="preserve">exempt embedded network service provider </w:t>
      </w:r>
      <w:r w:rsidR="00891A5C">
        <w:t xml:space="preserve">as provided for in condition </w:t>
      </w:r>
      <w:r w:rsidR="00891A5C">
        <w:fldChar w:fldCharType="begin"/>
      </w:r>
      <w:r w:rsidR="00891A5C">
        <w:instrText xml:space="preserve"> REF _Ref456880845 \r \h </w:instrText>
      </w:r>
      <w:r w:rsidR="00891A5C">
        <w:fldChar w:fldCharType="separate"/>
      </w:r>
      <w:r w:rsidR="00D30DD5">
        <w:t>4.7.2</w:t>
      </w:r>
      <w:r w:rsidR="00891A5C">
        <w:fldChar w:fldCharType="end"/>
      </w:r>
      <w:r w:rsidR="00891A5C">
        <w:t xml:space="preserve"> </w:t>
      </w:r>
      <w:r w:rsidR="002170D4" w:rsidRPr="002170D4">
        <w:t>that the customer does not accept a binding written price counter</w:t>
      </w:r>
      <w:r w:rsidR="00BF5F61">
        <w:t>–</w:t>
      </w:r>
      <w:r w:rsidR="002170D4" w:rsidRPr="002170D4">
        <w:t>offer</w:t>
      </w:r>
      <w:r w:rsidR="00747E0B" w:rsidRPr="00747E0B">
        <w:t>; and</w:t>
      </w:r>
    </w:p>
    <w:p w:rsidR="00747E0B" w:rsidRPr="00747E0B" w:rsidRDefault="003E5584" w:rsidP="003A3621">
      <w:pPr>
        <w:pStyle w:val="Listalphabet2"/>
        <w:numPr>
          <w:ilvl w:val="0"/>
          <w:numId w:val="33"/>
        </w:numPr>
      </w:pPr>
      <w:proofErr w:type="gramStart"/>
      <w:r w:rsidRPr="00747E0B">
        <w:t>the</w:t>
      </w:r>
      <w:proofErr w:type="gramEnd"/>
      <w:r w:rsidR="002170D4" w:rsidRPr="002170D4">
        <w:t xml:space="preserve"> cooling off period for that market retail contract has expired</w:t>
      </w:r>
      <w:r w:rsidR="00747E0B" w:rsidRPr="00747E0B">
        <w:t xml:space="preserve">. </w:t>
      </w:r>
    </w:p>
    <w:p w:rsidR="00472014" w:rsidRDefault="00747E0B" w:rsidP="00747E0B">
      <w:r w:rsidRPr="00747E0B">
        <w:t xml:space="preserve">A notice under this </w:t>
      </w:r>
      <w:r w:rsidR="00186B10">
        <w:t xml:space="preserve">condition </w:t>
      </w:r>
      <w:r w:rsidRPr="00747E0B">
        <w:t xml:space="preserve">must be addressed to the </w:t>
      </w:r>
      <w:r w:rsidR="003E5584">
        <w:t xml:space="preserve">exempt embedded network service provider </w:t>
      </w:r>
      <w:r w:rsidRPr="00747E0B">
        <w:t>at the normal business address of the network. If the network is registered with the AER, the notice may be addressed to the address recorded in the public register of network exemptions. The notice may be in writing or delivered electronically by email or SMS.</w:t>
      </w:r>
    </w:p>
    <w:p w:rsidR="00057850" w:rsidRDefault="00057850" w:rsidP="00747E0B"/>
    <w:p w:rsidR="00A747D0" w:rsidRPr="006819BE" w:rsidRDefault="00A747D0" w:rsidP="00A747D0">
      <w:pPr>
        <w:pStyle w:val="Heading3"/>
      </w:pPr>
      <w:bookmarkStart w:id="110" w:name="_Ref456863774"/>
      <w:bookmarkStart w:id="111" w:name="_Toc468276092"/>
      <w:r>
        <w:lastRenderedPageBreak/>
        <w:t>Registration required when an ENM is appointed</w:t>
      </w:r>
      <w:bookmarkEnd w:id="110"/>
      <w:bookmarkEnd w:id="111"/>
    </w:p>
    <w:p w:rsidR="00472014" w:rsidRDefault="00472014" w:rsidP="00A747D0">
      <w:r>
        <w:t>C</w:t>
      </w:r>
      <w:r w:rsidRPr="00472014">
        <w:t xml:space="preserve">lass NRO5 was originally introduced to distinguish </w:t>
      </w:r>
      <w:r w:rsidR="002170D4">
        <w:t xml:space="preserve">embedded network </w:t>
      </w:r>
      <w:r w:rsidRPr="00472014">
        <w:t xml:space="preserve">metering systems which had been established specifically to support access to retail competition. Early registrations did not require the </w:t>
      </w:r>
      <w:proofErr w:type="spellStart"/>
      <w:r w:rsidRPr="00472014">
        <w:t>NDx</w:t>
      </w:r>
      <w:proofErr w:type="spellEnd"/>
      <w:r w:rsidRPr="00472014">
        <w:t xml:space="preserve"> or </w:t>
      </w:r>
      <w:proofErr w:type="spellStart"/>
      <w:r w:rsidRPr="00472014">
        <w:t>NRx</w:t>
      </w:r>
      <w:proofErr w:type="spellEnd"/>
      <w:r w:rsidRPr="00472014">
        <w:t xml:space="preserve"> activity class</w:t>
      </w:r>
      <w:r w:rsidR="00ED388F">
        <w:t>es</w:t>
      </w:r>
      <w:r w:rsidRPr="00472014">
        <w:t xml:space="preserve"> </w:t>
      </w:r>
      <w:r w:rsidR="002170D4">
        <w:t xml:space="preserve">of tables 1 or 3 </w:t>
      </w:r>
      <w:r w:rsidRPr="00472014">
        <w:t xml:space="preserve">to be recorded. With the introduction of the amended rules governing embedded networks, we </w:t>
      </w:r>
      <w:r w:rsidR="008C2AFE">
        <w:t xml:space="preserve">will cease to apply </w:t>
      </w:r>
      <w:r w:rsidR="008C2AFE" w:rsidRPr="00472014">
        <w:t>class NRO5</w:t>
      </w:r>
      <w:r w:rsidR="008C2AFE">
        <w:t>. This is on the basis that the default position is that in all NEM jurisdictions where access to competition is available, all metering installations will be required to be capable of facilitating that competition, either immediately or following additional metering works.</w:t>
      </w:r>
      <w:r w:rsidRPr="00472014">
        <w:t xml:space="preserve"> </w:t>
      </w:r>
    </w:p>
    <w:p w:rsidR="00A747D0" w:rsidRDefault="00A747D0" w:rsidP="00A747D0">
      <w:r>
        <w:t>For all embedded networks for which an ENM has been appointed, r</w:t>
      </w:r>
      <w:r w:rsidRPr="006819BE">
        <w:t xml:space="preserve">egistration in </w:t>
      </w:r>
      <w:r w:rsidR="005C54CB">
        <w:t xml:space="preserve">the relevant activity class or classes </w:t>
      </w:r>
      <w:r w:rsidRPr="006819BE">
        <w:t xml:space="preserve">is </w:t>
      </w:r>
      <w:r>
        <w:t>required. A</w:t>
      </w:r>
      <w:r w:rsidR="005C54CB">
        <w:t>n existing</w:t>
      </w:r>
      <w:r>
        <w:t xml:space="preserve"> registration must be updated or amended where necessary to record each relevant </w:t>
      </w:r>
      <w:proofErr w:type="spellStart"/>
      <w:r>
        <w:t>NDx</w:t>
      </w:r>
      <w:proofErr w:type="spellEnd"/>
      <w:r>
        <w:t xml:space="preserve"> or </w:t>
      </w:r>
      <w:proofErr w:type="spellStart"/>
      <w:r>
        <w:t>NRx</w:t>
      </w:r>
      <w:proofErr w:type="spellEnd"/>
      <w:r>
        <w:t xml:space="preserve"> activity class. An existing registration may </w:t>
      </w:r>
      <w:r w:rsidR="005C54CB">
        <w:t xml:space="preserve">also </w:t>
      </w:r>
      <w:r>
        <w:t xml:space="preserve">be amended to add </w:t>
      </w:r>
      <w:r w:rsidR="005C54CB">
        <w:t xml:space="preserve">or </w:t>
      </w:r>
      <w:r>
        <w:t>revise any other relevant activity classes.</w:t>
      </w:r>
      <w:r w:rsidRPr="006819BE">
        <w:t xml:space="preserve"> </w:t>
      </w:r>
      <w:r>
        <w:t>An amendment should be lodged with the AER within 20 business days of the appointment of the ENM.</w:t>
      </w:r>
    </w:p>
    <w:p w:rsidR="008C75E4" w:rsidRDefault="008C75E4" w:rsidP="008C75E4">
      <w:pPr>
        <w:pStyle w:val="Heading3"/>
      </w:pPr>
      <w:bookmarkStart w:id="112" w:name="_Toc468276093"/>
      <w:r>
        <w:t>AEMO metrology and guideline requirements</w:t>
      </w:r>
      <w:bookmarkEnd w:id="112"/>
    </w:p>
    <w:p w:rsidR="008C75E4" w:rsidRDefault="006819BE" w:rsidP="006819BE">
      <w:r w:rsidRPr="006819BE">
        <w:t xml:space="preserve">The metering arrangements for customers obtaining supply from a NEM registered retailer must comply with all applicable </w:t>
      </w:r>
      <w:r w:rsidR="0015766C">
        <w:t xml:space="preserve">current </w:t>
      </w:r>
      <w:r w:rsidR="004E0A28">
        <w:t xml:space="preserve">NER and </w:t>
      </w:r>
      <w:r w:rsidRPr="006819BE">
        <w:t xml:space="preserve">AEMO requirements for the installation and maintenance of a metering installation, the registration of meters, provision of metering data and, where necessary, the transfer of the customer to another retailer. These requirements are published by AEMO in </w:t>
      </w:r>
      <w:r w:rsidR="0015766C">
        <w:t xml:space="preserve">a range of relevant accreditation, </w:t>
      </w:r>
      <w:r w:rsidRPr="006819BE">
        <w:t xml:space="preserve">metrology </w:t>
      </w:r>
      <w:r w:rsidR="0015766C">
        <w:t>and service procedures</w:t>
      </w:r>
      <w:r w:rsidRPr="006819BE">
        <w:t xml:space="preserve"> </w:t>
      </w:r>
      <w:r w:rsidR="0015766C">
        <w:t xml:space="preserve">(which procedures are subject to amendment over time) </w:t>
      </w:r>
      <w:r w:rsidRPr="006819BE">
        <w:t xml:space="preserve">and </w:t>
      </w:r>
      <w:r w:rsidR="0015766C">
        <w:t xml:space="preserve">in </w:t>
      </w:r>
      <w:r w:rsidRPr="006819BE">
        <w:t xml:space="preserve">the AEMO </w:t>
      </w:r>
      <w:r w:rsidR="0015766C">
        <w:t>E</w:t>
      </w:r>
      <w:r w:rsidRPr="006819BE">
        <w:t xml:space="preserve">mbedded </w:t>
      </w:r>
      <w:r w:rsidR="00A51FD7" w:rsidRPr="006819BE">
        <w:t>Network Guideline</w:t>
      </w:r>
      <w:r w:rsidRPr="006819BE">
        <w:t>.</w:t>
      </w:r>
      <w:r w:rsidRPr="006819BE">
        <w:rPr>
          <w:rStyle w:val="FootnoteReference"/>
        </w:rPr>
        <w:footnoteReference w:id="39"/>
      </w:r>
      <w:r w:rsidR="001D28C3">
        <w:t xml:space="preserve"> </w:t>
      </w:r>
    </w:p>
    <w:p w:rsidR="00057850" w:rsidRPr="00F17714" w:rsidRDefault="003A62F6" w:rsidP="0003502A">
      <w:r w:rsidRPr="003878A2">
        <w:t>An exempt</w:t>
      </w:r>
      <w:r w:rsidR="00CD2BCC" w:rsidRPr="003878A2">
        <w:t xml:space="preserve"> embedded network service provider </w:t>
      </w:r>
      <w:r w:rsidR="006819BE" w:rsidRPr="00F17714">
        <w:t xml:space="preserve">is required to </w:t>
      </w:r>
      <w:r w:rsidR="006B5A64" w:rsidRPr="00F17714">
        <w:t xml:space="preserve">appoint an </w:t>
      </w:r>
      <w:r w:rsidR="008C75E4" w:rsidRPr="00F17714">
        <w:t xml:space="preserve">accredited </w:t>
      </w:r>
      <w:r w:rsidR="006B5A64" w:rsidRPr="00F17714">
        <w:t>ENM</w:t>
      </w:r>
      <w:r w:rsidR="008C75E4" w:rsidRPr="00F17714">
        <w:t xml:space="preserve"> to perform these tasks. These tasks may only be performed by an exempt embedded network service provider if that exempt embedded network service provider has obtained accreditation from AEMO and holds a current registration with AEMO</w:t>
      </w:r>
      <w:r w:rsidR="000E71AF" w:rsidRPr="00F17714">
        <w:t xml:space="preserve"> which has not been suspended or revoked</w:t>
      </w:r>
      <w:r w:rsidR="008C75E4" w:rsidRPr="00F17714">
        <w:t>.</w:t>
      </w:r>
    </w:p>
    <w:p w:rsidR="00057850" w:rsidRPr="00F17714" w:rsidRDefault="00057850" w:rsidP="003878A2">
      <w:r w:rsidRPr="00F17714">
        <w:br w:type="page"/>
      </w:r>
    </w:p>
    <w:p w:rsidR="006819BE" w:rsidRPr="006819BE" w:rsidRDefault="006819BE" w:rsidP="00463AA7">
      <w:pPr>
        <w:pStyle w:val="Heading2"/>
      </w:pPr>
      <w:bookmarkStart w:id="113" w:name="_Toc466303922"/>
      <w:bookmarkStart w:id="114" w:name="_Toc467161482"/>
      <w:bookmarkStart w:id="115" w:name="_Toc466303923"/>
      <w:bookmarkStart w:id="116" w:name="_Toc467161483"/>
      <w:bookmarkStart w:id="117" w:name="_Toc466303924"/>
      <w:bookmarkStart w:id="118" w:name="_Toc467161484"/>
      <w:bookmarkStart w:id="119" w:name="_Ref361906962"/>
      <w:bookmarkStart w:id="120" w:name="_Ref361906990"/>
      <w:bookmarkStart w:id="121" w:name="_Toc365299424"/>
      <w:bookmarkStart w:id="122" w:name="_Toc468276094"/>
      <w:bookmarkEnd w:id="113"/>
      <w:bookmarkEnd w:id="114"/>
      <w:bookmarkEnd w:id="115"/>
      <w:bookmarkEnd w:id="116"/>
      <w:bookmarkEnd w:id="117"/>
      <w:bookmarkEnd w:id="118"/>
      <w:r w:rsidRPr="006819BE">
        <w:lastRenderedPageBreak/>
        <w:t>Distribution loss factors</w:t>
      </w:r>
      <w:bookmarkEnd w:id="119"/>
      <w:bookmarkEnd w:id="120"/>
      <w:bookmarkEnd w:id="121"/>
      <w:bookmarkEnd w:id="122"/>
    </w:p>
    <w:p w:rsidR="006819BE" w:rsidRPr="006819BE" w:rsidRDefault="006819BE" w:rsidP="003A00C2">
      <w:pPr>
        <w:pStyle w:val="Boxedtext"/>
      </w:pPr>
      <w:r w:rsidRPr="006819BE">
        <w:t xml:space="preserve">Unless you are setting up a large private network, you own a large generator in a private network or you are very large load in a private network (think large factory) this section does not apply to you. Your distribution loss factor is the ‘standard loss factor </w:t>
      </w:r>
      <w:r w:rsidR="00587C01">
        <w:t xml:space="preserve">approach' as </w:t>
      </w:r>
      <w:r w:rsidRPr="006819BE">
        <w:t>applied by the local distributor to other customers similar to you. See sub</w:t>
      </w:r>
      <w:r w:rsidR="00BF5F61">
        <w:t>–</w:t>
      </w:r>
      <w:r w:rsidRPr="006819BE">
        <w:t>clause 4.5.1.</w:t>
      </w:r>
    </w:p>
    <w:p w:rsidR="002D142A" w:rsidRDefault="006819BE" w:rsidP="006819BE">
      <w:r w:rsidRPr="006819BE">
        <w:t xml:space="preserve">Network losses in a small private network will generally not be of sufficient magnitude to warrant calculating a distribution loss factor (DLF) for meters within that network. </w:t>
      </w:r>
      <w:r w:rsidR="009839BC">
        <w:t xml:space="preserve">To avoid imposing additional costs on private networks we apply a policy that the losses within the </w:t>
      </w:r>
      <w:r w:rsidR="00990868">
        <w:t xml:space="preserve">private </w:t>
      </w:r>
      <w:r w:rsidR="009839BC">
        <w:t xml:space="preserve">network </w:t>
      </w:r>
      <w:r w:rsidR="00990868">
        <w:t xml:space="preserve">can be ignored </w:t>
      </w:r>
      <w:r w:rsidR="009839BC">
        <w:t>for each individual</w:t>
      </w:r>
      <w:r w:rsidR="00990868">
        <w:t xml:space="preserve"> child</w:t>
      </w:r>
      <w:r w:rsidR="009839BC">
        <w:t xml:space="preserve"> meter. This policy means the exempt embedded network service provider must absorb the cost of losses </w:t>
      </w:r>
      <w:r w:rsidR="00990868">
        <w:t xml:space="preserve">in the private network </w:t>
      </w:r>
      <w:r w:rsidR="009839BC">
        <w:t xml:space="preserve">in their overheads. Offsetting this cost though, we </w:t>
      </w:r>
      <w:r w:rsidR="00990868">
        <w:t xml:space="preserve">also </w:t>
      </w:r>
      <w:r w:rsidR="009839BC">
        <w:t xml:space="preserve">note that we allow shadow pricing to apply to network charges. </w:t>
      </w:r>
      <w:r w:rsidR="00054B32">
        <w:t xml:space="preserve">This results in a differential between network costs paid by the exempt embedded network service provider and the sum of the costs paid by customers, which differential will normally favour the exempt embedded network service provider. </w:t>
      </w:r>
    </w:p>
    <w:p w:rsidR="00471846" w:rsidRDefault="00054B32" w:rsidP="006819BE">
      <w:r>
        <w:t xml:space="preserve">We consider this policy is balanced and fair as the profits made on the network charge </w:t>
      </w:r>
      <w:r w:rsidR="008308C9">
        <w:t xml:space="preserve">can </w:t>
      </w:r>
      <w:r>
        <w:t>compensate the exempt embedded network service provider for the electrical losses incurred</w:t>
      </w:r>
      <w:r w:rsidR="00B12244">
        <w:t>, in most circumstances</w:t>
      </w:r>
      <w:r>
        <w:t>.</w:t>
      </w:r>
      <w:r w:rsidR="009E34FF">
        <w:t xml:space="preserve"> We note</w:t>
      </w:r>
      <w:r w:rsidR="00B12244">
        <w:t>, however,</w:t>
      </w:r>
      <w:r w:rsidR="009E34FF">
        <w:t xml:space="preserve"> that some embedded networks </w:t>
      </w:r>
      <w:r w:rsidR="00B843E5">
        <w:t xml:space="preserve">are </w:t>
      </w:r>
      <w:r w:rsidR="009E34FF">
        <w:t xml:space="preserve">subject to </w:t>
      </w:r>
      <w:r w:rsidR="00B843E5">
        <w:t xml:space="preserve">additional </w:t>
      </w:r>
      <w:r w:rsidR="009E34FF">
        <w:t xml:space="preserve">price controls under State or Territory legislation </w:t>
      </w:r>
      <w:r w:rsidR="00B843E5">
        <w:t xml:space="preserve">and </w:t>
      </w:r>
      <w:r w:rsidR="009E34FF">
        <w:t xml:space="preserve">may not be able to recover this cost except through higher </w:t>
      </w:r>
      <w:r w:rsidR="00B843E5">
        <w:t>lease costs, general service or site charges, etc.</w:t>
      </w:r>
      <w:r w:rsidR="009E34FF">
        <w:t xml:space="preserve"> </w:t>
      </w:r>
    </w:p>
    <w:p w:rsidR="00471846" w:rsidRDefault="00471846" w:rsidP="00471846">
      <w:pPr>
        <w:pStyle w:val="Heading4notnumbered"/>
      </w:pPr>
      <w:r>
        <w:t>NER requirements</w:t>
      </w:r>
    </w:p>
    <w:p w:rsidR="00471846" w:rsidRDefault="00471846" w:rsidP="00471846">
      <w:r w:rsidRPr="006819BE">
        <w:t>DLFs are governed by clause 3.6.3 of the NER. Under clause 3.6.3(b)(2)(</w:t>
      </w:r>
      <w:proofErr w:type="spellStart"/>
      <w:r w:rsidRPr="006819BE">
        <w:t>i</w:t>
      </w:r>
      <w:proofErr w:type="spellEnd"/>
      <w:r w:rsidRPr="006819BE">
        <w:t>)(B) a ‘small load’ is any load or a collection of loads which, in total, is less than 10MW peak demand or 40 </w:t>
      </w:r>
      <w:proofErr w:type="spellStart"/>
      <w:r w:rsidRPr="006819BE">
        <w:t>GWh</w:t>
      </w:r>
      <w:proofErr w:type="spellEnd"/>
      <w:r w:rsidRPr="006819BE">
        <w:t xml:space="preserve"> per annum. It is rare for a private network to exceed this size.</w:t>
      </w:r>
      <w:r>
        <w:t xml:space="preserve"> </w:t>
      </w:r>
    </w:p>
    <w:p w:rsidR="00471846" w:rsidRDefault="00471846" w:rsidP="00471846">
      <w:r>
        <w:t>Clause 3.6.3(</w:t>
      </w:r>
      <w:proofErr w:type="spellStart"/>
      <w:r>
        <w:t>i</w:t>
      </w:r>
      <w:proofErr w:type="spellEnd"/>
      <w:r>
        <w:t xml:space="preserve">) </w:t>
      </w:r>
      <w:r w:rsidR="00B843E5">
        <w:t xml:space="preserve">of the NER </w:t>
      </w:r>
      <w:r>
        <w:t>requires that every distributor must submit DLF calculations to the AER for approval before the</w:t>
      </w:r>
      <w:r w:rsidR="00587C01">
        <w:t>ir</w:t>
      </w:r>
      <w:r>
        <w:t xml:space="preserve"> DLFs are published by AEMO. This process occurs every year in early March for publication by 1 April.</w:t>
      </w:r>
      <w:r w:rsidRPr="002D142A">
        <w:t xml:space="preserve"> </w:t>
      </w:r>
    </w:p>
    <w:p w:rsidR="000C0B06" w:rsidRDefault="00587C01" w:rsidP="006819BE">
      <w:r>
        <w:t xml:space="preserve">For historical reasons, </w:t>
      </w:r>
      <w:r w:rsidR="00471846">
        <w:t xml:space="preserve">DLF calculations are performed by </w:t>
      </w:r>
      <w:r>
        <w:t xml:space="preserve">each </w:t>
      </w:r>
      <w:r w:rsidR="00471846">
        <w:t xml:space="preserve">distributor using a methodology that </w:t>
      </w:r>
      <w:r>
        <w:t xml:space="preserve">the </w:t>
      </w:r>
      <w:r w:rsidR="00471846">
        <w:t xml:space="preserve">local distributor has developed for their own use in their network. </w:t>
      </w:r>
      <w:r w:rsidR="0028705C">
        <w:t>Although t</w:t>
      </w:r>
      <w:r w:rsidR="00471846">
        <w:t>here is no standard methodology which applies across the NEM</w:t>
      </w:r>
      <w:r w:rsidR="0028705C">
        <w:t>,</w:t>
      </w:r>
      <w:r>
        <w:t xml:space="preserve"> distributors in </w:t>
      </w:r>
      <w:r w:rsidR="000454DC">
        <w:t xml:space="preserve">a </w:t>
      </w:r>
      <w:r>
        <w:t xml:space="preserve">State </w:t>
      </w:r>
      <w:r w:rsidR="00B843E5">
        <w:t xml:space="preserve">generally </w:t>
      </w:r>
      <w:r>
        <w:t>share a common approach</w:t>
      </w:r>
      <w:r w:rsidR="00B843E5">
        <w:t xml:space="preserve"> in that State. However, States differ widely in their approaches</w:t>
      </w:r>
      <w:r w:rsidR="00471846">
        <w:t xml:space="preserve">. </w:t>
      </w:r>
      <w:r w:rsidR="0028705C">
        <w:t>Note that t</w:t>
      </w:r>
      <w:r w:rsidR="00471846">
        <w:t xml:space="preserve">he NER allows every distributor to have a different methodology, provided pre-defined criteria are met. </w:t>
      </w:r>
    </w:p>
    <w:p w:rsidR="002D142A" w:rsidRDefault="00471846" w:rsidP="006819BE">
      <w:r>
        <w:t xml:space="preserve">Calculating accurate DLFs is not a simple or easy task. Therefore, for small loads we allow the </w:t>
      </w:r>
      <w:r w:rsidR="00587C01">
        <w:t>'</w:t>
      </w:r>
      <w:r>
        <w:t>standard loss factor approach</w:t>
      </w:r>
      <w:r w:rsidR="00587C01">
        <w:t>'</w:t>
      </w:r>
      <w:r>
        <w:t xml:space="preserve"> to apply as it avoids imposing additional costs on embedded networks.</w:t>
      </w:r>
      <w:r w:rsidR="000C0B06">
        <w:t xml:space="preserve"> For large loads and generators a 'site–specific' loss factor may be required.</w:t>
      </w:r>
    </w:p>
    <w:p w:rsidR="00185C5D" w:rsidRPr="00185C5D" w:rsidRDefault="00185C5D" w:rsidP="00185C5D">
      <w:pPr>
        <w:pStyle w:val="Heading3"/>
      </w:pPr>
      <w:bookmarkStart w:id="123" w:name="_Toc466303926"/>
      <w:bookmarkStart w:id="124" w:name="_Toc468276095"/>
      <w:bookmarkEnd w:id="123"/>
      <w:r w:rsidRPr="00185C5D">
        <w:t>Standard loss factor</w:t>
      </w:r>
      <w:r w:rsidR="00471846">
        <w:t xml:space="preserve"> approach</w:t>
      </w:r>
      <w:bookmarkEnd w:id="124"/>
    </w:p>
    <w:p w:rsidR="00185C5D" w:rsidRPr="006819BE" w:rsidRDefault="00185C5D" w:rsidP="00185C5D">
      <w:r w:rsidRPr="006819BE">
        <w:t xml:space="preserve">In private networks which constitute a ‘small load’ and which serve a number of smaller loads (‘children’), </w:t>
      </w:r>
      <w:r>
        <w:t xml:space="preserve">the </w:t>
      </w:r>
      <w:r w:rsidRPr="006819BE">
        <w:t xml:space="preserve">DLF </w:t>
      </w:r>
      <w:r>
        <w:t xml:space="preserve">of each child meter </w:t>
      </w:r>
      <w:r w:rsidRPr="006819BE">
        <w:t xml:space="preserve">is the </w:t>
      </w:r>
      <w:r>
        <w:t xml:space="preserve">published </w:t>
      </w:r>
      <w:r w:rsidRPr="006819BE">
        <w:t xml:space="preserve">DLF that would be applied by </w:t>
      </w:r>
      <w:r w:rsidRPr="006819BE">
        <w:lastRenderedPageBreak/>
        <w:t>the local DNSP at the metered point of connection</w:t>
      </w:r>
      <w:r>
        <w:t xml:space="preserve"> if the DNSP were serving the customer directly</w:t>
      </w:r>
      <w:r w:rsidRPr="006819BE">
        <w:t xml:space="preserve">. If this </w:t>
      </w:r>
      <w:r>
        <w:t xml:space="preserve">DLF </w:t>
      </w:r>
      <w:r w:rsidRPr="006819BE">
        <w:t xml:space="preserve">cannot be readily ascertained, the DLF is the DLF otherwise applicable to the connection of the embedded network to the local distribution network, i.e. at the ‘parent’ meter. </w:t>
      </w:r>
    </w:p>
    <w:p w:rsidR="00706706" w:rsidRDefault="00185C5D" w:rsidP="00706706">
      <w:r>
        <w:t>Under this policy, f</w:t>
      </w:r>
      <w:r w:rsidRPr="006819BE">
        <w:t>or all small loads</w:t>
      </w:r>
      <w:r>
        <w:t xml:space="preserve"> it is assumed the effective DLF of the embedded network is 1.000. The losses within the private network are ignored. Instead, we apply </w:t>
      </w:r>
      <w:r w:rsidRPr="006819BE">
        <w:t xml:space="preserve">the standard DLF applicable to </w:t>
      </w:r>
      <w:r>
        <w:t xml:space="preserve">ordinary distribution customers in the equivalent distribution tariff class to </w:t>
      </w:r>
      <w:r w:rsidRPr="006819BE">
        <w:t>the ‘child’ meters within the installation</w:t>
      </w:r>
      <w:r>
        <w:t>. This</w:t>
      </w:r>
      <w:r w:rsidRPr="006819BE">
        <w:t xml:space="preserve"> is the approved DLF as would be determined by the local DNSP if the local DNSP were supplying that installation.</w:t>
      </w:r>
      <w:r w:rsidRPr="006819BE">
        <w:rPr>
          <w:rStyle w:val="FootnoteReference"/>
        </w:rPr>
        <w:footnoteReference w:id="40"/>
      </w:r>
      <w:r w:rsidRPr="006819BE">
        <w:t xml:space="preserve"> </w:t>
      </w:r>
    </w:p>
    <w:p w:rsidR="002D142A" w:rsidRPr="006819BE" w:rsidRDefault="002D142A" w:rsidP="00706706">
      <w:pPr>
        <w:pStyle w:val="Heading3"/>
      </w:pPr>
      <w:bookmarkStart w:id="125" w:name="_Toc468276096"/>
      <w:r w:rsidRPr="006819BE">
        <w:t>Large loads, generators and site specific loss factors</w:t>
      </w:r>
      <w:bookmarkEnd w:id="125"/>
    </w:p>
    <w:p w:rsidR="002D142A" w:rsidRPr="006819BE" w:rsidRDefault="000C0B06" w:rsidP="002D142A">
      <w:r>
        <w:t>If</w:t>
      </w:r>
      <w:r w:rsidRPr="006819BE">
        <w:t xml:space="preserve"> </w:t>
      </w:r>
      <w:r w:rsidR="002D142A" w:rsidRPr="006819BE">
        <w:t xml:space="preserve">the combined loading </w:t>
      </w:r>
      <w:r>
        <w:t xml:space="preserve">of an embedded network </w:t>
      </w:r>
      <w:r w:rsidR="002D142A" w:rsidRPr="006819BE">
        <w:t xml:space="preserve">results in </w:t>
      </w:r>
      <w:r>
        <w:t>that</w:t>
      </w:r>
      <w:r w:rsidR="002D142A" w:rsidRPr="006819BE">
        <w:t xml:space="preserve"> network becoming a significant load</w:t>
      </w:r>
      <w:r w:rsidR="00B469EA">
        <w:t xml:space="preserve"> or</w:t>
      </w:r>
      <w:r w:rsidR="004E3D40">
        <w:t>, if</w:t>
      </w:r>
      <w:r w:rsidR="00B469EA">
        <w:t xml:space="preserve"> </w:t>
      </w:r>
      <w:r w:rsidR="004E3D40">
        <w:t>the network contains</w:t>
      </w:r>
      <w:r w:rsidR="00B469EA">
        <w:t xml:space="preserve"> a significant generation source</w:t>
      </w:r>
      <w:r w:rsidR="004E3D40">
        <w:t>,</w:t>
      </w:r>
      <w:r w:rsidR="002D142A" w:rsidRPr="006819BE">
        <w:t xml:space="preserve"> </w:t>
      </w:r>
      <w:r>
        <w:t xml:space="preserve">this </w:t>
      </w:r>
      <w:r w:rsidR="002D142A">
        <w:t>condition</w:t>
      </w:r>
      <w:r w:rsidR="002D142A" w:rsidRPr="006819BE">
        <w:t xml:space="preserve"> or </w:t>
      </w:r>
      <w:r>
        <w:t xml:space="preserve">condition </w:t>
      </w:r>
      <w:r w:rsidR="002D142A" w:rsidRPr="006819BE">
        <w:t>4.5</w:t>
      </w:r>
      <w:r w:rsidR="002D142A">
        <w:t>.3</w:t>
      </w:r>
      <w:r w:rsidR="002D142A" w:rsidRPr="006819BE">
        <w:t xml:space="preserve"> </w:t>
      </w:r>
      <w:r w:rsidR="002D142A">
        <w:t>below</w:t>
      </w:r>
      <w:r w:rsidR="00D715FE">
        <w:t>,</w:t>
      </w:r>
      <w:r w:rsidR="002D142A">
        <w:t xml:space="preserve"> will </w:t>
      </w:r>
      <w:r w:rsidR="002D142A" w:rsidRPr="006819BE">
        <w:t>apply.</w:t>
      </w:r>
    </w:p>
    <w:p w:rsidR="00706706" w:rsidRDefault="002D142A" w:rsidP="00706706">
      <w:r w:rsidRPr="006819BE">
        <w:t>Clause 3.6.3(b</w:t>
      </w:r>
      <w:proofErr w:type="gramStart"/>
      <w:r w:rsidRPr="006819BE">
        <w:t>)(</w:t>
      </w:r>
      <w:proofErr w:type="gramEnd"/>
      <w:r w:rsidRPr="006819BE">
        <w:t>2)(</w:t>
      </w:r>
      <w:proofErr w:type="spellStart"/>
      <w:r w:rsidRPr="006819BE">
        <w:t>i</w:t>
      </w:r>
      <w:proofErr w:type="spellEnd"/>
      <w:r w:rsidRPr="006819BE">
        <w:t>) of the NER governs the calculation of a DLF for large loads and generators connected to a network. In private networks involving loads or generators otherwise described in clause 3.6.3(b</w:t>
      </w:r>
      <w:proofErr w:type="gramStart"/>
      <w:r w:rsidRPr="006819BE">
        <w:t>)(</w:t>
      </w:r>
      <w:proofErr w:type="gramEnd"/>
      <w:r w:rsidRPr="006819BE">
        <w:t>2)(</w:t>
      </w:r>
      <w:proofErr w:type="spellStart"/>
      <w:r w:rsidRPr="006819BE">
        <w:t>i</w:t>
      </w:r>
      <w:proofErr w:type="spellEnd"/>
      <w:r w:rsidRPr="006819BE">
        <w:t>), a site</w:t>
      </w:r>
      <w:r>
        <w:t>–</w:t>
      </w:r>
      <w:r w:rsidRPr="006819BE">
        <w:t>specific DLF for those loads or generators must be calculated in accordance with clause 3.6.3(b)(2)(</w:t>
      </w:r>
      <w:proofErr w:type="spellStart"/>
      <w:r w:rsidRPr="006819BE">
        <w:t>i</w:t>
      </w:r>
      <w:proofErr w:type="spellEnd"/>
      <w:r w:rsidRPr="006819BE">
        <w:t>)</w:t>
      </w:r>
      <w:r w:rsidR="00624715">
        <w:t>,</w:t>
      </w:r>
      <w:r w:rsidRPr="006819BE">
        <w:t xml:space="preserve"> using the methodology published for this purpose by the local DNSP.</w:t>
      </w:r>
      <w:bookmarkStart w:id="126" w:name="_Toc464651728"/>
      <w:bookmarkStart w:id="127" w:name="_Toc467161488"/>
      <w:bookmarkStart w:id="128" w:name="_Toc464651730"/>
      <w:bookmarkStart w:id="129" w:name="_Toc464651735"/>
      <w:bookmarkEnd w:id="126"/>
      <w:bookmarkEnd w:id="127"/>
      <w:bookmarkEnd w:id="128"/>
      <w:bookmarkEnd w:id="129"/>
    </w:p>
    <w:p w:rsidR="00686DDD" w:rsidRPr="006819BE" w:rsidRDefault="002D142A" w:rsidP="00706706">
      <w:pPr>
        <w:pStyle w:val="Heading3"/>
      </w:pPr>
      <w:bookmarkStart w:id="130" w:name="_Toc468276097"/>
      <w:r>
        <w:t>Site specific DLF using alternative methodology</w:t>
      </w:r>
      <w:bookmarkEnd w:id="130"/>
    </w:p>
    <w:p w:rsidR="00F762B5" w:rsidRDefault="006819BE" w:rsidP="00706706">
      <w:r w:rsidRPr="006819BE">
        <w:t>Where the methodology of the local DNSP is not suitable for the calculation of a site</w:t>
      </w:r>
      <w:r w:rsidR="00BF5F61">
        <w:t>–</w:t>
      </w:r>
      <w:r w:rsidRPr="006819BE">
        <w:t>specific DLF for any reason, the network operator and the connecting party may jointly approach the AER and seek approval of an alternative methodology for determining the applicable allocation of electrical losses between the parties. Approval by the AER will be subject to there being no material impact on the rights of another party as a consequence of the alternative me</w:t>
      </w:r>
      <w:r w:rsidR="00D715FE">
        <w:t>thodology</w:t>
      </w:r>
      <w:r w:rsidRPr="006819BE">
        <w:t>.</w:t>
      </w:r>
      <w:r w:rsidR="00604DB9">
        <w:t xml:space="preserve"> </w:t>
      </w:r>
    </w:p>
    <w:p w:rsidR="006819BE" w:rsidRDefault="00604DB9" w:rsidP="00706706">
      <w:r>
        <w:t xml:space="preserve">A situation where this </w:t>
      </w:r>
      <w:r w:rsidR="00EC548D">
        <w:t xml:space="preserve">need </w:t>
      </w:r>
      <w:r>
        <w:t>may apply is if the size of a generator is very close to the size of the load served</w:t>
      </w:r>
      <w:r w:rsidR="00EC548D">
        <w:t xml:space="preserve">. This is because under some </w:t>
      </w:r>
      <w:r w:rsidR="00624715">
        <w:t xml:space="preserve">of the </w:t>
      </w:r>
      <w:r w:rsidR="00EC548D">
        <w:t xml:space="preserve">mathematical formulae </w:t>
      </w:r>
      <w:r w:rsidR="00624715">
        <w:t xml:space="preserve">sometimes </w:t>
      </w:r>
      <w:r w:rsidR="00EC548D">
        <w:t>used in these calculations</w:t>
      </w:r>
      <w:r w:rsidR="00624715">
        <w:t>,</w:t>
      </w:r>
      <w:r w:rsidR="00EC548D">
        <w:t xml:space="preserve"> a problem of division by a small number can arise</w:t>
      </w:r>
      <w:r w:rsidR="00624715">
        <w:t>. This can</w:t>
      </w:r>
      <w:r w:rsidR="00EC548D">
        <w:t xml:space="preserve"> ca</w:t>
      </w:r>
      <w:r w:rsidR="00624715">
        <w:t>use</w:t>
      </w:r>
      <w:r w:rsidR="00EC548D">
        <w:t xml:space="preserve"> an unrealistic value for the loss factor</w:t>
      </w:r>
      <w:r w:rsidR="00624715">
        <w:t xml:space="preserve"> to be calculated</w:t>
      </w:r>
      <w:r w:rsidR="00EC548D">
        <w:t>.</w:t>
      </w:r>
    </w:p>
    <w:p w:rsidR="002D142A" w:rsidRPr="006819BE" w:rsidRDefault="00471846" w:rsidP="00706706">
      <w:pPr>
        <w:pStyle w:val="Heading3"/>
      </w:pPr>
      <w:bookmarkStart w:id="131" w:name="_Toc468276098"/>
      <w:r>
        <w:t xml:space="preserve">Annual </w:t>
      </w:r>
      <w:r w:rsidR="00180B54">
        <w:t xml:space="preserve">DLF </w:t>
      </w:r>
      <w:r>
        <w:t>approval requirements</w:t>
      </w:r>
      <w:bookmarkEnd w:id="131"/>
    </w:p>
    <w:p w:rsidR="00D715FE" w:rsidRDefault="00D715FE" w:rsidP="006819BE">
      <w:r>
        <w:t>A</w:t>
      </w:r>
      <w:r w:rsidRPr="00D715FE">
        <w:t xml:space="preserve"> private network applying clause 4.5.1 does not need to calculate any DLFs for the child meters within that network</w:t>
      </w:r>
      <w:r>
        <w:t xml:space="preserve">. The DLFs are </w:t>
      </w:r>
      <w:r w:rsidR="005E4A87">
        <w:t xml:space="preserve">as </w:t>
      </w:r>
      <w:r>
        <w:t xml:space="preserve">calculated by the distributor </w:t>
      </w:r>
      <w:r w:rsidR="00B12244">
        <w:t>for the distributor'</w:t>
      </w:r>
      <w:r w:rsidR="004E3D40">
        <w:t>s</w:t>
      </w:r>
      <w:r w:rsidR="00B12244">
        <w:t xml:space="preserve"> network</w:t>
      </w:r>
      <w:r w:rsidR="004E3D40">
        <w:t xml:space="preserve"> and published by AEMO</w:t>
      </w:r>
      <w:r w:rsidR="00B12244">
        <w:t>. T</w:t>
      </w:r>
      <w:r>
        <w:t xml:space="preserve">he distributor </w:t>
      </w:r>
      <w:r w:rsidRPr="00D715FE">
        <w:t>seek</w:t>
      </w:r>
      <w:r>
        <w:t>s</w:t>
      </w:r>
      <w:r w:rsidRPr="00D715FE">
        <w:t xml:space="preserve"> annual approval </w:t>
      </w:r>
      <w:r>
        <w:t xml:space="preserve">from the </w:t>
      </w:r>
      <w:r w:rsidRPr="00D715FE">
        <w:t>AER</w:t>
      </w:r>
      <w:r w:rsidR="00B12244">
        <w:t xml:space="preserve"> under clause 3.6.3(</w:t>
      </w:r>
      <w:proofErr w:type="spellStart"/>
      <w:r w:rsidR="00B12244">
        <w:t>i</w:t>
      </w:r>
      <w:proofErr w:type="spellEnd"/>
      <w:r w:rsidR="00B12244">
        <w:t>)</w:t>
      </w:r>
      <w:r>
        <w:t>.</w:t>
      </w:r>
      <w:r w:rsidRPr="00D715FE">
        <w:t xml:space="preserve"> </w:t>
      </w:r>
      <w:r w:rsidR="005E4A87">
        <w:t xml:space="preserve">The exempt embedded network service provider </w:t>
      </w:r>
      <w:r w:rsidR="003536B7">
        <w:t xml:space="preserve">has no </w:t>
      </w:r>
      <w:r w:rsidR="00180B54">
        <w:t xml:space="preserve">need to submit </w:t>
      </w:r>
      <w:r w:rsidR="003536B7">
        <w:t xml:space="preserve">DLFs </w:t>
      </w:r>
      <w:r w:rsidR="00180B54">
        <w:t>to the AER for approval.</w:t>
      </w:r>
    </w:p>
    <w:p w:rsidR="003536B7" w:rsidRDefault="00D715FE" w:rsidP="006819BE">
      <w:r>
        <w:t xml:space="preserve">However, </w:t>
      </w:r>
      <w:r w:rsidR="006819BE" w:rsidRPr="006819BE">
        <w:t>DLFs cal</w:t>
      </w:r>
      <w:r w:rsidR="00A2661C">
        <w:t xml:space="preserve">culated in accordance with conditions 4.5.2 and 4.5.3 </w:t>
      </w:r>
      <w:r w:rsidR="006819BE" w:rsidRPr="006819BE">
        <w:t xml:space="preserve">must be approved annually by the AER </w:t>
      </w:r>
      <w:r>
        <w:t>under</w:t>
      </w:r>
      <w:r w:rsidR="006819BE" w:rsidRPr="006819BE">
        <w:t xml:space="preserve"> clause 3.6.3(</w:t>
      </w:r>
      <w:proofErr w:type="spellStart"/>
      <w:r w:rsidR="006819BE" w:rsidRPr="006819BE">
        <w:t>i</w:t>
      </w:r>
      <w:proofErr w:type="spellEnd"/>
      <w:r w:rsidR="006819BE" w:rsidRPr="006819BE">
        <w:t>)</w:t>
      </w:r>
      <w:r>
        <w:t xml:space="preserve"> of</w:t>
      </w:r>
      <w:r w:rsidR="006819BE" w:rsidRPr="006819BE">
        <w:t xml:space="preserve"> </w:t>
      </w:r>
      <w:r>
        <w:t xml:space="preserve">the NER. We impose an audit requirement on </w:t>
      </w:r>
      <w:r>
        <w:lastRenderedPageBreak/>
        <w:t xml:space="preserve">DLFs submitted for approval if the DLFs are to be used in the </w:t>
      </w:r>
      <w:r w:rsidR="00180B54">
        <w:t xml:space="preserve">AEMO </w:t>
      </w:r>
      <w:r>
        <w:t>market settlement system</w:t>
      </w:r>
      <w:r w:rsidR="00EC09AE">
        <w:t xml:space="preserve">. </w:t>
      </w:r>
      <w:r w:rsidR="004E3D40">
        <w:t>Our requirements for audit vary for private settlement and market settlement as follows.</w:t>
      </w:r>
    </w:p>
    <w:p w:rsidR="00EC09AE" w:rsidRDefault="00EC09AE" w:rsidP="00463AA7">
      <w:pPr>
        <w:pStyle w:val="Heading4"/>
      </w:pPr>
      <w:r>
        <w:t>Large corporate entities and large customers applying charge group C</w:t>
      </w:r>
    </w:p>
    <w:p w:rsidR="004E3D40" w:rsidRDefault="00EC09AE" w:rsidP="00EC09AE">
      <w:r>
        <w:t xml:space="preserve">This </w:t>
      </w:r>
      <w:r w:rsidR="009C5C9C">
        <w:t xml:space="preserve">provision </w:t>
      </w:r>
      <w:r w:rsidR="007A56DD">
        <w:t>appl</w:t>
      </w:r>
      <w:r w:rsidR="004E3D40">
        <w:t>ies</w:t>
      </w:r>
      <w:r w:rsidR="007A56DD">
        <w:t xml:space="preserve"> </w:t>
      </w:r>
      <w:r>
        <w:t>where a large corporate entity</w:t>
      </w:r>
      <w:r w:rsidRPr="006819BE">
        <w:t xml:space="preserve"> or large customer applying charging group C </w:t>
      </w:r>
      <w:r>
        <w:t>has connected to another private network.</w:t>
      </w:r>
      <w:r w:rsidRPr="00EC09AE">
        <w:t xml:space="preserve"> </w:t>
      </w:r>
      <w:r>
        <w:t xml:space="preserve">The parties may have in place private commercial agreements that set a static DLF or a dynamic DLF </w:t>
      </w:r>
      <w:r w:rsidR="00180B54">
        <w:t xml:space="preserve">(i.e. varies over time, including annually) </w:t>
      </w:r>
      <w:r>
        <w:t>calculate</w:t>
      </w:r>
      <w:r w:rsidR="00180B54">
        <w:t>d</w:t>
      </w:r>
      <w:r>
        <w:t xml:space="preserve"> in accordance with a methodology agreed between themselves.</w:t>
      </w:r>
    </w:p>
    <w:p w:rsidR="00EC09AE" w:rsidRPr="000C6C4C" w:rsidRDefault="004E3D40" w:rsidP="003A3621">
      <w:pPr>
        <w:pStyle w:val="Listalphabet"/>
        <w:numPr>
          <w:ilvl w:val="0"/>
          <w:numId w:val="40"/>
        </w:numPr>
      </w:pPr>
      <w:r w:rsidRPr="000C6C4C">
        <w:t>A</w:t>
      </w:r>
      <w:r w:rsidR="00EC09AE" w:rsidRPr="000C6C4C">
        <w:t>nnual approval of the DLF applicable to the installation is required under clause 3.6.3(</w:t>
      </w:r>
      <w:proofErr w:type="spellStart"/>
      <w:r w:rsidR="00EC09AE" w:rsidRPr="000C6C4C">
        <w:t>i</w:t>
      </w:r>
      <w:proofErr w:type="spellEnd"/>
      <w:r w:rsidR="00EC09AE" w:rsidRPr="000C6C4C">
        <w:t xml:space="preserve">) of the NER and </w:t>
      </w:r>
      <w:r w:rsidR="00C43FB6">
        <w:t>is</w:t>
      </w:r>
      <w:r w:rsidR="00EC09AE" w:rsidRPr="000C6C4C">
        <w:t xml:space="preserve"> subject to publication by the AER and AEMO. </w:t>
      </w:r>
    </w:p>
    <w:p w:rsidR="004E3D40" w:rsidRPr="000C6C4C" w:rsidRDefault="00180B54" w:rsidP="00285D35">
      <w:pPr>
        <w:pStyle w:val="Listalphabet"/>
      </w:pPr>
      <w:r w:rsidRPr="000C6C4C">
        <w:t xml:space="preserve">AER approval of the privately agreed DLF methodology </w:t>
      </w:r>
      <w:r w:rsidRPr="00285D35">
        <w:rPr>
          <w:rStyle w:val="Bold"/>
        </w:rPr>
        <w:t>is not</w:t>
      </w:r>
      <w:r w:rsidRPr="000C6C4C">
        <w:t xml:space="preserve"> required. </w:t>
      </w:r>
    </w:p>
    <w:p w:rsidR="005E4A87" w:rsidRPr="000C6C4C" w:rsidRDefault="007A56DD" w:rsidP="00285D35">
      <w:pPr>
        <w:pStyle w:val="Listalphabet"/>
      </w:pPr>
      <w:r w:rsidRPr="000C6C4C">
        <w:t xml:space="preserve">An audit is not necessary if settlement is handled privately. </w:t>
      </w:r>
      <w:r w:rsidR="009C5C9C" w:rsidRPr="000C6C4C">
        <w:t>If the DLF is dynamic</w:t>
      </w:r>
      <w:r w:rsidR="00EC09AE" w:rsidRPr="000C6C4C">
        <w:t xml:space="preserve"> the calculated value must be reported</w:t>
      </w:r>
      <w:r w:rsidR="005E4A87" w:rsidRPr="000C6C4C">
        <w:t xml:space="preserve"> annually</w:t>
      </w:r>
      <w:r w:rsidR="00EC09AE" w:rsidRPr="000C6C4C">
        <w:t xml:space="preserve">. If the </w:t>
      </w:r>
      <w:r w:rsidR="00180B54" w:rsidRPr="000C6C4C">
        <w:t>DLF</w:t>
      </w:r>
      <w:r w:rsidR="00EC09AE" w:rsidRPr="000C6C4C">
        <w:t xml:space="preserve"> is static, </w:t>
      </w:r>
      <w:r w:rsidR="005E4A87" w:rsidRPr="000C6C4C">
        <w:t>the agreed DLF value must be reported annually.</w:t>
      </w:r>
    </w:p>
    <w:p w:rsidR="005E4A87" w:rsidRDefault="004E3D40" w:rsidP="00463AA7">
      <w:pPr>
        <w:pStyle w:val="Heading4"/>
      </w:pPr>
      <w:r>
        <w:t>Market settlement a</w:t>
      </w:r>
      <w:r w:rsidR="005E4A87">
        <w:t>udit requirement</w:t>
      </w:r>
    </w:p>
    <w:p w:rsidR="00C43FB6" w:rsidRDefault="006819BE" w:rsidP="006819BE">
      <w:r w:rsidRPr="006819BE">
        <w:t xml:space="preserve">Where the customers are small customers or a DLF is needed for settlement via the AEMO market settlement systems, the DLF calculated </w:t>
      </w:r>
      <w:r w:rsidR="005E4A87">
        <w:t>is</w:t>
      </w:r>
      <w:r w:rsidRPr="006819BE">
        <w:t xml:space="preserve"> subject to the AER’s annual audit requirements for DLFs. </w:t>
      </w:r>
    </w:p>
    <w:p w:rsidR="00C43FB6" w:rsidRPr="00C43FB6" w:rsidRDefault="00C43FB6" w:rsidP="003A3621">
      <w:pPr>
        <w:pStyle w:val="Listalphabet"/>
        <w:numPr>
          <w:ilvl w:val="0"/>
          <w:numId w:val="39"/>
        </w:numPr>
      </w:pPr>
      <w:r w:rsidRPr="00C43FB6">
        <w:t>Annual approval of the DLF applicable to the installation is required under clause 3.6.3(</w:t>
      </w:r>
      <w:proofErr w:type="spellStart"/>
      <w:r w:rsidRPr="00C43FB6">
        <w:t>i</w:t>
      </w:r>
      <w:proofErr w:type="spellEnd"/>
      <w:r w:rsidRPr="00C43FB6">
        <w:t xml:space="preserve">) of the NER and </w:t>
      </w:r>
      <w:r>
        <w:t>is</w:t>
      </w:r>
      <w:r w:rsidRPr="00C43FB6">
        <w:t xml:space="preserve"> subject to publication by the AER and AEMO. </w:t>
      </w:r>
    </w:p>
    <w:p w:rsidR="00C43FB6" w:rsidRPr="00C43FB6" w:rsidRDefault="00C43FB6" w:rsidP="00C43FB6">
      <w:pPr>
        <w:pStyle w:val="Listalphabet"/>
      </w:pPr>
      <w:r w:rsidRPr="00743133">
        <w:t xml:space="preserve">AER </w:t>
      </w:r>
      <w:r w:rsidRPr="00C43FB6">
        <w:t xml:space="preserve">approval of the privately agreed DLF methodology </w:t>
      </w:r>
      <w:r w:rsidRPr="00285D35">
        <w:rPr>
          <w:rStyle w:val="Bold"/>
        </w:rPr>
        <w:t>is</w:t>
      </w:r>
      <w:r w:rsidRPr="00C43FB6">
        <w:t xml:space="preserve"> required</w:t>
      </w:r>
      <w:r>
        <w:t xml:space="preserve"> initially or where a methodology is </w:t>
      </w:r>
      <w:r w:rsidR="00004FDB">
        <w:t xml:space="preserve">later </w:t>
      </w:r>
      <w:r>
        <w:t>amended</w:t>
      </w:r>
      <w:r w:rsidRPr="00C43FB6">
        <w:t xml:space="preserve">. </w:t>
      </w:r>
    </w:p>
    <w:p w:rsidR="00C43FB6" w:rsidRDefault="00C43FB6" w:rsidP="00285D35">
      <w:pPr>
        <w:pStyle w:val="Listalphabet"/>
      </w:pPr>
      <w:r w:rsidRPr="00743133">
        <w:t xml:space="preserve">An </w:t>
      </w:r>
      <w:r>
        <w:t xml:space="preserve">independent </w:t>
      </w:r>
      <w:r w:rsidRPr="00743133">
        <w:t xml:space="preserve">audit is </w:t>
      </w:r>
      <w:r>
        <w:t>required.</w:t>
      </w:r>
    </w:p>
    <w:p w:rsidR="000C0B06" w:rsidRDefault="005E4A87" w:rsidP="006819BE">
      <w:r>
        <w:t xml:space="preserve">The party submitting </w:t>
      </w:r>
      <w:r w:rsidR="004A539E">
        <w:t xml:space="preserve">the DLFs for approval </w:t>
      </w:r>
      <w:r>
        <w:t>must ask a third–party accounting, engineering or other specialist advisor to review the data used and the calculations made and certify they are accurate. The auditor's report must accompany the annual submission which must be received by the AER by 15 March each year</w:t>
      </w:r>
      <w:r w:rsidR="00C43FB6">
        <w:t xml:space="preserve"> or such other date as the AER may advise in writing</w:t>
      </w:r>
      <w:r>
        <w:t>.</w:t>
      </w:r>
    </w:p>
    <w:p w:rsidR="00624715" w:rsidRDefault="00624715">
      <w:pPr>
        <w:spacing w:line="240" w:lineRule="auto"/>
      </w:pPr>
      <w:r>
        <w:br w:type="page"/>
      </w:r>
    </w:p>
    <w:p w:rsidR="006819BE" w:rsidRPr="006819BE" w:rsidRDefault="006819BE" w:rsidP="006819BE">
      <w:pPr>
        <w:pStyle w:val="Heading2"/>
      </w:pPr>
      <w:bookmarkStart w:id="132" w:name="_Toc466303931"/>
      <w:bookmarkStart w:id="133" w:name="_Ref361906964"/>
      <w:bookmarkStart w:id="134" w:name="_Ref361906972"/>
      <w:bookmarkStart w:id="135" w:name="_Ref361906992"/>
      <w:bookmarkStart w:id="136" w:name="_Ref361908133"/>
      <w:bookmarkStart w:id="137" w:name="_Ref361909776"/>
      <w:bookmarkStart w:id="138" w:name="_Toc365299425"/>
      <w:bookmarkStart w:id="139" w:name="_Toc468276099"/>
      <w:bookmarkEnd w:id="132"/>
      <w:r w:rsidRPr="006819BE">
        <w:lastRenderedPageBreak/>
        <w:t>Pricing</w:t>
      </w:r>
      <w:bookmarkEnd w:id="133"/>
      <w:bookmarkEnd w:id="134"/>
      <w:bookmarkEnd w:id="135"/>
      <w:bookmarkEnd w:id="136"/>
      <w:bookmarkEnd w:id="137"/>
      <w:bookmarkEnd w:id="138"/>
      <w:bookmarkEnd w:id="139"/>
    </w:p>
    <w:p w:rsidR="006819BE" w:rsidRDefault="006819BE" w:rsidP="006819BE">
      <w:r w:rsidRPr="006819BE">
        <w:t xml:space="preserve">The following paragraphs describe predefined pricing arrangements accepted by the AER for network charges in private networks. Table 11 sets out the charge groups which may apply to private networks. </w:t>
      </w:r>
    </w:p>
    <w:p w:rsidR="006819BE" w:rsidRPr="006819BE" w:rsidRDefault="006819BE" w:rsidP="006819BE">
      <w:pPr>
        <w:pStyle w:val="Caption"/>
      </w:pPr>
      <w:r w:rsidRPr="006819BE">
        <w:t xml:space="preserve">Table 11 </w:t>
      </w:r>
      <w:r w:rsidR="00BF5F61">
        <w:t>–</w:t>
      </w:r>
      <w:r w:rsidRPr="006819BE">
        <w:t xml:space="preserve"> Network charges </w:t>
      </w:r>
      <w:r w:rsidR="00BF5F61">
        <w:t>–</w:t>
      </w:r>
      <w:r w:rsidRPr="006819BE">
        <w:t xml:space="preserve"> applicable charge groupings</w:t>
      </w:r>
    </w:p>
    <w:tbl>
      <w:tblPr>
        <w:tblStyle w:val="AERTable-Text"/>
        <w:tblW w:w="0" w:type="auto"/>
        <w:tblLook w:val="04A0" w:firstRow="1" w:lastRow="0" w:firstColumn="1" w:lastColumn="0" w:noHBand="0" w:noVBand="1"/>
      </w:tblPr>
      <w:tblGrid>
        <w:gridCol w:w="1200"/>
        <w:gridCol w:w="2211"/>
        <w:gridCol w:w="5831"/>
      </w:tblGrid>
      <w:tr w:rsidR="006819BE" w:rsidRPr="00AC35B7" w:rsidTr="00772EB6">
        <w:trPr>
          <w:cnfStyle w:val="100000000000" w:firstRow="1" w:lastRow="0" w:firstColumn="0" w:lastColumn="0" w:oddVBand="0" w:evenVBand="0" w:oddHBand="0" w:evenHBand="0" w:firstRowFirstColumn="0" w:firstRowLastColumn="0" w:lastRowFirstColumn="0" w:lastRowLastColumn="0"/>
        </w:trPr>
        <w:tc>
          <w:tcPr>
            <w:tcW w:w="0" w:type="auto"/>
          </w:tcPr>
          <w:p w:rsidR="006819BE" w:rsidRPr="006819BE" w:rsidRDefault="006819BE" w:rsidP="00793504">
            <w:r w:rsidRPr="006819BE">
              <w:t>Charge Group</w:t>
            </w:r>
          </w:p>
        </w:tc>
        <w:tc>
          <w:tcPr>
            <w:tcW w:w="0" w:type="auto"/>
          </w:tcPr>
          <w:p w:rsidR="006819BE" w:rsidRPr="006819BE" w:rsidRDefault="006819BE" w:rsidP="00793504">
            <w:r w:rsidRPr="006819BE">
              <w:t>Description</w:t>
            </w:r>
          </w:p>
        </w:tc>
        <w:tc>
          <w:tcPr>
            <w:tcW w:w="0" w:type="auto"/>
          </w:tcPr>
          <w:p w:rsidR="006819BE" w:rsidRPr="006819BE" w:rsidRDefault="006819BE" w:rsidP="00793504">
            <w:r w:rsidRPr="006819BE">
              <w:t>Applicable situations</w:t>
            </w:r>
          </w:p>
        </w:tc>
      </w:tr>
      <w:tr w:rsidR="006819BE" w:rsidRPr="00AC35B7" w:rsidTr="00772EB6">
        <w:tc>
          <w:tcPr>
            <w:tcW w:w="0" w:type="auto"/>
          </w:tcPr>
          <w:p w:rsidR="006819BE" w:rsidRPr="006819BE" w:rsidRDefault="006819BE" w:rsidP="00793504">
            <w:r w:rsidRPr="006819BE">
              <w:t>A</w:t>
            </w:r>
          </w:p>
        </w:tc>
        <w:tc>
          <w:tcPr>
            <w:tcW w:w="0" w:type="auto"/>
          </w:tcPr>
          <w:p w:rsidR="006819BE" w:rsidRPr="006819BE" w:rsidRDefault="006819BE" w:rsidP="00793504">
            <w:r w:rsidRPr="006819BE">
              <w:t>Bundled energy and external network tariff</w:t>
            </w:r>
          </w:p>
        </w:tc>
        <w:tc>
          <w:tcPr>
            <w:tcW w:w="0" w:type="auto"/>
          </w:tcPr>
          <w:p w:rsidR="006819BE" w:rsidRPr="006819BE" w:rsidRDefault="006819BE" w:rsidP="00793504">
            <w:r w:rsidRPr="006819BE">
              <w:t>All retail selling (i.e. the vast majority of situations whereby energy is sold to customers within a private network).</w:t>
            </w:r>
          </w:p>
        </w:tc>
      </w:tr>
      <w:tr w:rsidR="006819BE" w:rsidRPr="00AC35B7" w:rsidTr="00772EB6">
        <w:trPr>
          <w:cnfStyle w:val="000000010000" w:firstRow="0" w:lastRow="0" w:firstColumn="0" w:lastColumn="0" w:oddVBand="0" w:evenVBand="0" w:oddHBand="0" w:evenHBand="1" w:firstRowFirstColumn="0" w:firstRowLastColumn="0" w:lastRowFirstColumn="0" w:lastRowLastColumn="0"/>
        </w:trPr>
        <w:tc>
          <w:tcPr>
            <w:tcW w:w="0" w:type="auto"/>
          </w:tcPr>
          <w:p w:rsidR="006819BE" w:rsidRPr="006819BE" w:rsidRDefault="006819BE" w:rsidP="00793504">
            <w:r w:rsidRPr="006819BE">
              <w:t>B</w:t>
            </w:r>
          </w:p>
        </w:tc>
        <w:tc>
          <w:tcPr>
            <w:tcW w:w="0" w:type="auto"/>
          </w:tcPr>
          <w:p w:rsidR="006819BE" w:rsidRPr="006819BE" w:rsidRDefault="006819BE" w:rsidP="00793504">
            <w:r w:rsidRPr="006819BE">
              <w:t xml:space="preserve">No additional network charge </w:t>
            </w:r>
          </w:p>
        </w:tc>
        <w:tc>
          <w:tcPr>
            <w:tcW w:w="0" w:type="auto"/>
          </w:tcPr>
          <w:p w:rsidR="006819BE" w:rsidRPr="006819BE" w:rsidRDefault="006819BE" w:rsidP="00793504">
            <w:r w:rsidRPr="006819BE">
              <w:t>Unrestricted: there is no charge for the network or, the applicant is billed for network services by a distributor and is passing that cost on to customers in proportion to their metered energy use or, the pass</w:t>
            </w:r>
            <w:r w:rsidR="00BF5F61">
              <w:t>–</w:t>
            </w:r>
            <w:r w:rsidRPr="006819BE">
              <w:t>through of costs incurred to meet customer requirements.</w:t>
            </w:r>
          </w:p>
        </w:tc>
      </w:tr>
      <w:tr w:rsidR="006819BE" w:rsidRPr="00AC35B7" w:rsidTr="00772EB6">
        <w:tc>
          <w:tcPr>
            <w:tcW w:w="0" w:type="auto"/>
          </w:tcPr>
          <w:p w:rsidR="006819BE" w:rsidRPr="006819BE" w:rsidRDefault="006819BE" w:rsidP="00793504">
            <w:r w:rsidRPr="006819BE">
              <w:t>C</w:t>
            </w:r>
          </w:p>
        </w:tc>
        <w:tc>
          <w:tcPr>
            <w:tcW w:w="0" w:type="auto"/>
          </w:tcPr>
          <w:p w:rsidR="009E2C17" w:rsidRPr="009E2C17" w:rsidRDefault="009E2C17" w:rsidP="009E2C17">
            <w:r w:rsidRPr="009E2C17">
              <w:t>Consensual agreements between large energy users</w:t>
            </w:r>
          </w:p>
          <w:p w:rsidR="006819BE" w:rsidRPr="006819BE" w:rsidRDefault="006819BE" w:rsidP="00793504"/>
        </w:tc>
        <w:tc>
          <w:tcPr>
            <w:tcW w:w="0" w:type="auto"/>
          </w:tcPr>
          <w:p w:rsidR="006819BE" w:rsidRPr="006819BE" w:rsidRDefault="006819BE" w:rsidP="00793504">
            <w:r w:rsidRPr="006819BE">
              <w:t>Large customers</w:t>
            </w:r>
            <w:r w:rsidR="009E2C17">
              <w:t>, large corporate entities</w:t>
            </w:r>
            <w:r w:rsidRPr="006819BE">
              <w:t xml:space="preserve"> and network specific activities subject to commercial arrangements agreed between consenting, well informed (i.e. sophisticated) customers. Eligible private networks only. Restricted application (see text).</w:t>
            </w:r>
          </w:p>
          <w:p w:rsidR="006819BE" w:rsidRPr="006819BE" w:rsidRDefault="006819BE">
            <w:r w:rsidRPr="006819BE">
              <w:t xml:space="preserve">Charging mechanism for network charges is specified in a </w:t>
            </w:r>
            <w:r w:rsidR="0015766C">
              <w:t xml:space="preserve">mutually accepted </w:t>
            </w:r>
            <w:r w:rsidRPr="006819BE">
              <w:t>commercial agreement.</w:t>
            </w:r>
          </w:p>
        </w:tc>
      </w:tr>
      <w:tr w:rsidR="006819BE" w:rsidRPr="00AC35B7" w:rsidTr="00772EB6">
        <w:trPr>
          <w:cnfStyle w:val="000000010000" w:firstRow="0" w:lastRow="0" w:firstColumn="0" w:lastColumn="0" w:oddVBand="0" w:evenVBand="0" w:oddHBand="0" w:evenHBand="1" w:firstRowFirstColumn="0" w:firstRowLastColumn="0" w:lastRowFirstColumn="0" w:lastRowLastColumn="0"/>
        </w:trPr>
        <w:tc>
          <w:tcPr>
            <w:tcW w:w="0" w:type="auto"/>
          </w:tcPr>
          <w:p w:rsidR="006819BE" w:rsidRPr="006819BE" w:rsidRDefault="006819BE" w:rsidP="00793504">
            <w:r w:rsidRPr="006819BE">
              <w:t>D</w:t>
            </w:r>
          </w:p>
        </w:tc>
        <w:tc>
          <w:tcPr>
            <w:tcW w:w="0" w:type="auto"/>
          </w:tcPr>
          <w:p w:rsidR="006819BE" w:rsidRPr="006819BE" w:rsidRDefault="006819BE" w:rsidP="00793504">
            <w:r w:rsidRPr="006819BE">
              <w:t>Separate charge for private network facilities</w:t>
            </w:r>
          </w:p>
        </w:tc>
        <w:tc>
          <w:tcPr>
            <w:tcW w:w="0" w:type="auto"/>
          </w:tcPr>
          <w:p w:rsidR="006819BE" w:rsidRPr="006819BE" w:rsidRDefault="006819BE" w:rsidP="00793504">
            <w:r w:rsidRPr="006819BE">
              <w:t>Registered &amp; individually exempted networks.</w:t>
            </w:r>
            <w:r w:rsidRPr="006819BE" w:rsidDel="00F54D69">
              <w:t xml:space="preserve"> </w:t>
            </w:r>
            <w:r w:rsidRPr="006819BE">
              <w:t>Pricing determined by the AER.</w:t>
            </w:r>
          </w:p>
        </w:tc>
      </w:tr>
      <w:tr w:rsidR="006819BE" w:rsidRPr="00AC35B7" w:rsidTr="00772EB6">
        <w:tc>
          <w:tcPr>
            <w:tcW w:w="0" w:type="auto"/>
          </w:tcPr>
          <w:p w:rsidR="006819BE" w:rsidRPr="006819BE" w:rsidRDefault="006819BE" w:rsidP="00793504">
            <w:r w:rsidRPr="006819BE">
              <w:t>E</w:t>
            </w:r>
          </w:p>
        </w:tc>
        <w:tc>
          <w:tcPr>
            <w:tcW w:w="0" w:type="auto"/>
          </w:tcPr>
          <w:p w:rsidR="006819BE" w:rsidRPr="006819BE" w:rsidRDefault="006819BE" w:rsidP="00793504">
            <w:r w:rsidRPr="006819BE">
              <w:t xml:space="preserve">Rebate for exported energy </w:t>
            </w:r>
          </w:p>
        </w:tc>
        <w:tc>
          <w:tcPr>
            <w:tcW w:w="0" w:type="auto"/>
          </w:tcPr>
          <w:p w:rsidR="006819BE" w:rsidRPr="006819BE" w:rsidRDefault="006819BE" w:rsidP="00793504">
            <w:r w:rsidRPr="006819BE">
              <w:t>Unrestricted.</w:t>
            </w:r>
          </w:p>
        </w:tc>
      </w:tr>
    </w:tbl>
    <w:p w:rsidR="00057850" w:rsidRPr="0075558A" w:rsidRDefault="00057850" w:rsidP="00463AA7"/>
    <w:p w:rsidR="005C7F2E" w:rsidRPr="00463AA7" w:rsidRDefault="005C7F2E" w:rsidP="00463AA7">
      <w:pPr>
        <w:pStyle w:val="Heading3"/>
      </w:pPr>
      <w:bookmarkStart w:id="140" w:name="_Toc468276100"/>
      <w:r w:rsidRPr="00463AA7">
        <w:t>Charge groups</w:t>
      </w:r>
      <w:bookmarkEnd w:id="140"/>
    </w:p>
    <w:p w:rsidR="00D935B3" w:rsidRDefault="00D935B3" w:rsidP="00D935B3">
      <w:pPr>
        <w:pStyle w:val="Heading4notnumbered"/>
      </w:pPr>
      <w:r>
        <w:t>Amended treatment of charge groups</w:t>
      </w:r>
    </w:p>
    <w:p w:rsidR="0029763A" w:rsidRDefault="00004FDB" w:rsidP="00733278">
      <w:r>
        <w:t>In this revision of the guideline w</w:t>
      </w:r>
      <w:r w:rsidR="00D77891">
        <w:t xml:space="preserve">e have </w:t>
      </w:r>
      <w:r w:rsidR="00064E87">
        <w:t xml:space="preserve">consolidated </w:t>
      </w:r>
      <w:r w:rsidR="00D77891">
        <w:t xml:space="preserve">our charge groups. </w:t>
      </w:r>
      <w:r w:rsidR="00733278">
        <w:t>When registering an exemption, we</w:t>
      </w:r>
      <w:r w:rsidR="00D935B3">
        <w:t xml:space="preserve"> </w:t>
      </w:r>
      <w:r w:rsidR="00733278">
        <w:t xml:space="preserve">only require the dominant applicable charge group be nominated. The distinction between charge groups A and B is </w:t>
      </w:r>
      <w:r>
        <w:t xml:space="preserve">now </w:t>
      </w:r>
      <w:r w:rsidR="00733278">
        <w:t xml:space="preserve">historical. We now treat charge groups A and B as a single group. </w:t>
      </w:r>
      <w:r w:rsidR="00DA4B51">
        <w:t>This is the category applicable to most normal retail activity.</w:t>
      </w:r>
    </w:p>
    <w:p w:rsidR="0029763A" w:rsidRDefault="0029763A" w:rsidP="00733278">
      <w:r>
        <w:t xml:space="preserve">Charge group C is expanded to </w:t>
      </w:r>
      <w:r w:rsidR="00D77891">
        <w:t xml:space="preserve">incorporate </w:t>
      </w:r>
      <w:r>
        <w:t xml:space="preserve">groups A and B. </w:t>
      </w:r>
    </w:p>
    <w:p w:rsidR="0029763A" w:rsidRDefault="0029763A" w:rsidP="00733278">
      <w:r>
        <w:t xml:space="preserve">Charge group D is not available to the public. It is reserved for decisions of the AER. </w:t>
      </w:r>
    </w:p>
    <w:p w:rsidR="004A6B2A" w:rsidRDefault="00733278" w:rsidP="00733278">
      <w:r>
        <w:t xml:space="preserve">Charge group E was introduced as a transitional measure. We consider with the widespread development of embedded generation, solar PV systems and storage, separate registration </w:t>
      </w:r>
      <w:r>
        <w:lastRenderedPageBreak/>
        <w:t xml:space="preserve">in this group is no longer required if the </w:t>
      </w:r>
      <w:r w:rsidR="004D433A">
        <w:t>activity occurs</w:t>
      </w:r>
      <w:r>
        <w:t xml:space="preserve"> in conjunction with charge groups A, B</w:t>
      </w:r>
      <w:r w:rsidR="003536B7">
        <w:t>,</w:t>
      </w:r>
      <w:r>
        <w:t xml:space="preserve"> C</w:t>
      </w:r>
      <w:r w:rsidR="003536B7">
        <w:t xml:space="preserve"> or D</w:t>
      </w:r>
      <w:r>
        <w:t>.</w:t>
      </w:r>
      <w:r w:rsidR="00BF1280">
        <w:t xml:space="preserve"> We now treat charge groups A, B</w:t>
      </w:r>
      <w:r w:rsidR="00D935B3">
        <w:t>,</w:t>
      </w:r>
      <w:r w:rsidR="00BF1280">
        <w:t xml:space="preserve"> C </w:t>
      </w:r>
      <w:r w:rsidR="00D935B3">
        <w:t xml:space="preserve">and D </w:t>
      </w:r>
      <w:r w:rsidR="00BF1280">
        <w:t>as automatically including charge group E.</w:t>
      </w:r>
      <w:r w:rsidR="001D28C3">
        <w:t xml:space="preserve"> </w:t>
      </w:r>
    </w:p>
    <w:p w:rsidR="00880E6A" w:rsidRDefault="00880E6A" w:rsidP="006F72AA">
      <w:pPr>
        <w:pStyle w:val="Heading4notnumbered"/>
      </w:pPr>
      <w:r>
        <w:t>Power of Choice reform</w:t>
      </w:r>
    </w:p>
    <w:p w:rsidR="00EF3B73" w:rsidRDefault="004A6B2A" w:rsidP="00733278">
      <w:r w:rsidRPr="004A6B2A">
        <w:t>Consistent with the AEMC's Power of Choice reforms, a</w:t>
      </w:r>
      <w:r>
        <w:t>n energy</w:t>
      </w:r>
      <w:r w:rsidRPr="004A6B2A">
        <w:t xml:space="preserve"> seller </w:t>
      </w:r>
      <w:r>
        <w:t>may</w:t>
      </w:r>
      <w:r w:rsidRPr="004A6B2A">
        <w:t xml:space="preserve"> structure </w:t>
      </w:r>
      <w:r w:rsidR="000E1ADB">
        <w:t xml:space="preserve">an </w:t>
      </w:r>
      <w:r w:rsidRPr="004A6B2A">
        <w:t>all-inclusive or energy-only retail price offer as they see fit.</w:t>
      </w:r>
      <w:r>
        <w:t xml:space="preserve"> This guideline only places a cap on the maximum charge to be made for </w:t>
      </w:r>
      <w:r w:rsidR="00083AE1">
        <w:t xml:space="preserve">the </w:t>
      </w:r>
      <w:r>
        <w:t>network services</w:t>
      </w:r>
      <w:r w:rsidR="00083AE1">
        <w:t xml:space="preserve"> component</w:t>
      </w:r>
      <w:r w:rsidR="004D0F3A">
        <w:t>.</w:t>
      </w:r>
      <w:r>
        <w:t xml:space="preserve"> </w:t>
      </w:r>
    </w:p>
    <w:p w:rsidR="00733278" w:rsidRDefault="004D0F3A" w:rsidP="00733278">
      <w:r w:rsidRPr="004D0F3A">
        <w:t xml:space="preserve">Where multiple </w:t>
      </w:r>
      <w:r w:rsidR="00083AE1">
        <w:t xml:space="preserve">network </w:t>
      </w:r>
      <w:r w:rsidRPr="004D0F3A">
        <w:t>tariffs may apply to a customer, the applicable tariff assigned to the customer should be the most favourable tariff having regard to the consumption of the customer in the period immediately prior to assignment, or otherwise, the tariff selected by the customer or their nominated retailer.</w:t>
      </w:r>
    </w:p>
    <w:p w:rsidR="006819BE" w:rsidRPr="006819BE" w:rsidRDefault="006819BE" w:rsidP="00723A9E">
      <w:pPr>
        <w:pStyle w:val="Heading4"/>
      </w:pPr>
      <w:r w:rsidRPr="006819BE">
        <w:t>Group A</w:t>
      </w:r>
    </w:p>
    <w:p w:rsidR="00634D61" w:rsidRDefault="006819BE" w:rsidP="006819BE">
      <w:r w:rsidRPr="006819BE">
        <w:t>May apply to any retail on</w:t>
      </w:r>
      <w:r w:rsidR="00BF5F61">
        <w:t>–</w:t>
      </w:r>
      <w:r w:rsidRPr="006819BE">
        <w:t>selling situation where customers are charged an energy only charge</w:t>
      </w:r>
      <w:r w:rsidR="00985ACB">
        <w:t>, a shadow</w:t>
      </w:r>
      <w:r w:rsidR="00BF5F61">
        <w:t>–</w:t>
      </w:r>
      <w:r w:rsidR="00985ACB">
        <w:t>priced network charge</w:t>
      </w:r>
      <w:r w:rsidRPr="006819BE">
        <w:t xml:space="preserve"> or </w:t>
      </w:r>
      <w:r w:rsidR="004A6B2A">
        <w:t xml:space="preserve">an </w:t>
      </w:r>
      <w:r w:rsidRPr="006819BE">
        <w:t>all</w:t>
      </w:r>
      <w:r w:rsidR="00BF5F61">
        <w:t>–</w:t>
      </w:r>
      <w:r w:rsidRPr="006819BE">
        <w:t xml:space="preserve">inclusive tariff which includes external network charges. </w:t>
      </w:r>
      <w:r w:rsidR="00083AE1">
        <w:t>Charge group A</w:t>
      </w:r>
      <w:r w:rsidRPr="006819BE">
        <w:t xml:space="preserve"> is the most common category of charging.</w:t>
      </w:r>
      <w:r w:rsidR="00634D61">
        <w:t xml:space="preserve"> </w:t>
      </w:r>
    </w:p>
    <w:p w:rsidR="004B6048" w:rsidRDefault="00634D61" w:rsidP="006819BE">
      <w:r>
        <w:t xml:space="preserve">If the external network charge is clearly attributable to a specific customer, it may be passed through at cost to that customer. </w:t>
      </w:r>
      <w:r w:rsidR="004B6048">
        <w:t>Alternatively, if the charge cannot be readily attributed to a particular customer, t</w:t>
      </w:r>
      <w:r>
        <w:t xml:space="preserve">he network charge </w:t>
      </w:r>
      <w:r w:rsidR="004B6048">
        <w:t xml:space="preserve">for each customer </w:t>
      </w:r>
      <w:r>
        <w:t xml:space="preserve">may be based on a charge no greater than the published regulated charge which the DNSP would have charged that customer, had the customer been served directly by the distributor. </w:t>
      </w:r>
    </w:p>
    <w:p w:rsidR="006819BE" w:rsidRPr="006819BE" w:rsidRDefault="00634D61" w:rsidP="006819BE">
      <w:r>
        <w:t>In this guideline we refer to this arrangement as 'shadow pricing' of the network charge. Note that the private network must not charge fees for services which would not be charged by the distributor to a customer in the same circumstances.</w:t>
      </w:r>
      <w:r w:rsidR="00930007">
        <w:t xml:space="preserve"> </w:t>
      </w:r>
    </w:p>
    <w:p w:rsidR="006819BE" w:rsidRPr="006819BE" w:rsidRDefault="006819BE" w:rsidP="006819BE">
      <w:r w:rsidRPr="006819BE">
        <w:t>Many energy consumers are ultimately concerned with the overall expense of their energy consumption. The critical point of comparison in this situation is the bundled price of energy and network charges. We consider that bundled tariffs which include all network charges are unlikely to be contrary to the long term interests of consumers.</w:t>
      </w:r>
      <w:r w:rsidRPr="006819BE">
        <w:rPr>
          <w:rStyle w:val="FootnoteReference"/>
        </w:rPr>
        <w:footnoteReference w:id="41"/>
      </w:r>
    </w:p>
    <w:p w:rsidR="006819BE" w:rsidRPr="006819BE" w:rsidRDefault="006819BE" w:rsidP="00723A9E">
      <w:pPr>
        <w:pStyle w:val="Heading4"/>
      </w:pPr>
      <w:r w:rsidRPr="006819BE">
        <w:t>Group B</w:t>
      </w:r>
    </w:p>
    <w:p w:rsidR="006819BE" w:rsidRPr="006819BE" w:rsidRDefault="00772EB6" w:rsidP="006819BE">
      <w:proofErr w:type="gramStart"/>
      <w:r>
        <w:t>Network only charge.</w:t>
      </w:r>
      <w:proofErr w:type="gramEnd"/>
      <w:r>
        <w:t xml:space="preserve"> </w:t>
      </w:r>
      <w:r w:rsidR="004D0F3A" w:rsidRPr="004D0F3A">
        <w:t xml:space="preserve">The shadow pricing approach as described in condition 4.6.1.1 </w:t>
      </w:r>
      <w:r w:rsidR="004D0F3A">
        <w:t>a</w:t>
      </w:r>
      <w:r>
        <w:t>pplies to a</w:t>
      </w:r>
      <w:r w:rsidR="00765A85">
        <w:t xml:space="preserve">n embedded network where </w:t>
      </w:r>
      <w:r>
        <w:t>customer</w:t>
      </w:r>
      <w:r w:rsidR="00765A85">
        <w:t>s</w:t>
      </w:r>
      <w:r>
        <w:t xml:space="preserve"> </w:t>
      </w:r>
      <w:r w:rsidR="00765A85">
        <w:t xml:space="preserve">are </w:t>
      </w:r>
      <w:r>
        <w:t>receiving an energy only offer from a market retailer</w:t>
      </w:r>
      <w:r w:rsidR="00765A85">
        <w:t xml:space="preserve"> and there is no exempt selling occurring</w:t>
      </w:r>
      <w:r>
        <w:t xml:space="preserve">. </w:t>
      </w:r>
      <w:r w:rsidR="006819BE" w:rsidRPr="006819BE">
        <w:t xml:space="preserve">No charge is </w:t>
      </w:r>
      <w:r>
        <w:t xml:space="preserve">allowed </w:t>
      </w:r>
      <w:r w:rsidR="006819BE" w:rsidRPr="006819BE">
        <w:t xml:space="preserve">for the private network assets. </w:t>
      </w:r>
      <w:r w:rsidR="00F5680F">
        <w:t>Alternatively</w:t>
      </w:r>
      <w:r w:rsidR="006819BE" w:rsidRPr="006819BE">
        <w:t>, externally imposed charges may be applied pro</w:t>
      </w:r>
      <w:r w:rsidR="00BF5F61">
        <w:t>–</w:t>
      </w:r>
      <w:r w:rsidR="006819BE" w:rsidRPr="006819BE">
        <w:t xml:space="preserve">rata to customers as per </w:t>
      </w:r>
      <w:r w:rsidR="00985ACB">
        <w:t xml:space="preserve">condition </w:t>
      </w:r>
      <w:r w:rsidR="006819BE" w:rsidRPr="006819BE">
        <w:fldChar w:fldCharType="begin"/>
      </w:r>
      <w:r w:rsidR="006819BE" w:rsidRPr="006819BE">
        <w:instrText xml:space="preserve"> REF _Ref361908948 \r \h  \* MERGEFORMAT </w:instrText>
      </w:r>
      <w:r w:rsidR="006819BE" w:rsidRPr="006819BE">
        <w:fldChar w:fldCharType="separate"/>
      </w:r>
      <w:r w:rsidR="00D30DD5">
        <w:t>4.6.2</w:t>
      </w:r>
      <w:r w:rsidR="006819BE" w:rsidRPr="006819BE">
        <w:fldChar w:fldCharType="end"/>
      </w:r>
      <w:r w:rsidR="00765A85">
        <w:t>, which condition</w:t>
      </w:r>
      <w:r w:rsidR="006819BE" w:rsidRPr="006819BE">
        <w:t xml:space="preserve"> may apply in any private network situation. </w:t>
      </w:r>
    </w:p>
    <w:p w:rsidR="006819BE" w:rsidRPr="006819BE" w:rsidRDefault="006819BE" w:rsidP="006819BE">
      <w:r w:rsidRPr="006819BE">
        <w:t xml:space="preserve">Note that the agreed cost for the initial establishment or upgrade of a network to meet customer requirements may still occur, i.e. may be passed through to the customer, in accordance with a bona fide lease or ancillary agreement between the network owner, </w:t>
      </w:r>
      <w:r w:rsidRPr="006819BE">
        <w:lastRenderedPageBreak/>
        <w:t xml:space="preserve">operator or controller (as appropriate) and the network customer. Such charges may be subject to normal commercial financing arrangements. </w:t>
      </w:r>
    </w:p>
    <w:p w:rsidR="006819BE" w:rsidRPr="006819BE" w:rsidRDefault="006819BE" w:rsidP="00723A9E">
      <w:pPr>
        <w:pStyle w:val="Heading4"/>
      </w:pPr>
      <w:bookmarkStart w:id="141" w:name="_Ref466300659"/>
      <w:r w:rsidRPr="006819BE">
        <w:t>Group C</w:t>
      </w:r>
      <w:bookmarkEnd w:id="141"/>
    </w:p>
    <w:p w:rsidR="00083AE1" w:rsidRDefault="004B6048" w:rsidP="006819BE">
      <w:r>
        <w:t xml:space="preserve">This charging group applies to large customers and large corporate entities. </w:t>
      </w:r>
    </w:p>
    <w:p w:rsidR="00406AC2" w:rsidRDefault="00985ACB" w:rsidP="006819BE">
      <w:r>
        <w:t xml:space="preserve">This </w:t>
      </w:r>
      <w:r w:rsidR="00083AE1">
        <w:t xml:space="preserve">charge </w:t>
      </w:r>
      <w:r>
        <w:t>group</w:t>
      </w:r>
      <w:r w:rsidR="004B6048">
        <w:t xml:space="preserve"> is a</w:t>
      </w:r>
      <w:r w:rsidR="006819BE" w:rsidRPr="006819BE">
        <w:t>pplicable to</w:t>
      </w:r>
      <w:r w:rsidR="001B5CDF">
        <w:t xml:space="preserve"> all</w:t>
      </w:r>
      <w:r w:rsidR="006819BE" w:rsidRPr="006819BE">
        <w:t xml:space="preserve"> network charges for exempt network classes NDO1, NDO2, NDO3, NDO4, NDO5, NDO6, NR5, NRO1, NRO2, NRO3 and NRO4 and individual exemptions approved by the AER in accordance with section </w:t>
      </w:r>
      <w:r w:rsidR="006819BE" w:rsidRPr="006819BE">
        <w:fldChar w:fldCharType="begin"/>
      </w:r>
      <w:r w:rsidR="006819BE" w:rsidRPr="006819BE">
        <w:instrText xml:space="preserve"> REF _Ref361831452 \r \h  \* MERGEFORMAT </w:instrText>
      </w:r>
      <w:r w:rsidR="006819BE" w:rsidRPr="006819BE">
        <w:fldChar w:fldCharType="separate"/>
      </w:r>
      <w:r w:rsidR="00D30DD5">
        <w:t>5.3</w:t>
      </w:r>
      <w:r w:rsidR="006819BE" w:rsidRPr="006819BE">
        <w:fldChar w:fldCharType="end"/>
      </w:r>
      <w:r w:rsidR="006819BE" w:rsidRPr="006819BE">
        <w:t xml:space="preserve"> of this Guideline. </w:t>
      </w:r>
    </w:p>
    <w:p w:rsidR="006819BE" w:rsidRDefault="00406AC2" w:rsidP="006819BE">
      <w:r>
        <w:t>For large customers only, n</w:t>
      </w:r>
      <w:r w:rsidR="004B6048">
        <w:t xml:space="preserve">etwork charges </w:t>
      </w:r>
      <w:r>
        <w:t xml:space="preserve">may be </w:t>
      </w:r>
      <w:r w:rsidR="006819BE" w:rsidRPr="006819BE">
        <w:t>based on a commercial agreement</w:t>
      </w:r>
      <w:r w:rsidR="004B6048">
        <w:t>,</w:t>
      </w:r>
      <w:r w:rsidR="006819BE" w:rsidRPr="006819BE">
        <w:t xml:space="preserve"> freely entered into on mutually agreed terms. </w:t>
      </w:r>
      <w:r>
        <w:t>If agreement cannot be reached then charge groups A and/or B apply.</w:t>
      </w:r>
    </w:p>
    <w:p w:rsidR="00406AC2" w:rsidRPr="006819BE" w:rsidRDefault="00406AC2" w:rsidP="006819BE">
      <w:r>
        <w:t>For large corporate entities, no restrictions apply. Parties must reach an agreed commercial solution or subject their disagreement to a dispute resolution process.</w:t>
      </w:r>
    </w:p>
    <w:p w:rsidR="001F2ADA" w:rsidRDefault="009E2C17" w:rsidP="006819BE">
      <w:r>
        <w:t xml:space="preserve">Charge group C </w:t>
      </w:r>
      <w:r w:rsidR="006819BE" w:rsidRPr="006819BE">
        <w:t xml:space="preserve">is intended to apply to </w:t>
      </w:r>
      <w:r>
        <w:t xml:space="preserve">all manner of </w:t>
      </w:r>
      <w:r w:rsidR="006819BE" w:rsidRPr="006819BE">
        <w:t>commercial, industrial and mining situations and private network</w:t>
      </w:r>
      <w:r w:rsidR="00930007">
        <w:t>s serving large customers</w:t>
      </w:r>
      <w:r>
        <w:t>, large corporate entities</w:t>
      </w:r>
      <w:r w:rsidR="00930007">
        <w:t xml:space="preserve"> or on</w:t>
      </w:r>
      <w:r w:rsidR="00BF5F61">
        <w:t>–</w:t>
      </w:r>
      <w:r w:rsidR="006819BE" w:rsidRPr="006819BE">
        <w:t xml:space="preserve">site generation exporting to the NEM. The principle which applies here is that commercial arrangements between parties with similar bargaining power should not be regulated. </w:t>
      </w:r>
    </w:p>
    <w:p w:rsidR="00083AE1" w:rsidRPr="00083AE1" w:rsidRDefault="00083AE1" w:rsidP="00083AE1">
      <w:r w:rsidRPr="00083AE1">
        <w:t xml:space="preserve">Charge group C does not apply to small residential, retail, industrial or commercial customers or </w:t>
      </w:r>
      <w:r w:rsidR="00624715">
        <w:t xml:space="preserve">to </w:t>
      </w:r>
      <w:r w:rsidRPr="00083AE1">
        <w:t xml:space="preserve">any </w:t>
      </w:r>
      <w:r>
        <w:t xml:space="preserve">large </w:t>
      </w:r>
      <w:r w:rsidRPr="00083AE1">
        <w:t xml:space="preserve">customers who have not agreed to an alternative charging mechanism. </w:t>
      </w:r>
      <w:r w:rsidR="00890366">
        <w:t>Note also that e</w:t>
      </w:r>
      <w:r w:rsidRPr="00083AE1">
        <w:t xml:space="preserve">nergy on–selling to small customers is not permitted in accordance with the relevant provisions of the AER’s Retail Exempt Selling Guideline. A party registered in charge group C must charge small residential, retail, industrial or commercial customers or </w:t>
      </w:r>
      <w:r w:rsidR="00890366">
        <w:t>large</w:t>
      </w:r>
      <w:r w:rsidRPr="00083AE1">
        <w:t xml:space="preserve"> customers </w:t>
      </w:r>
      <w:r w:rsidR="00890366" w:rsidRPr="00890366">
        <w:t xml:space="preserve">who have not agreed to an alternative charging mechanism </w:t>
      </w:r>
      <w:r w:rsidRPr="00083AE1">
        <w:t xml:space="preserve">in accordance with the requirements of charge groups A and B. </w:t>
      </w:r>
      <w:r w:rsidR="00624715">
        <w:t>Registration in charge group C is deemed to include charge groups A and B where this requirement applies.</w:t>
      </w:r>
    </w:p>
    <w:p w:rsidR="006819BE" w:rsidRDefault="006819BE" w:rsidP="006819BE">
      <w:r w:rsidRPr="006819BE">
        <w:t xml:space="preserve">Where it can be demonstrated that access to the NEM would not otherwise be available except at significant </w:t>
      </w:r>
      <w:r w:rsidR="00930007">
        <w:t xml:space="preserve">incremental </w:t>
      </w:r>
      <w:r w:rsidRPr="006819BE">
        <w:t>cost to the affected customers, the network may also service supporting infrastructure, isolated communities, emergency services, farms and pastoral holdings and unrelated loads or generators on reasonable commercial terms.</w:t>
      </w:r>
    </w:p>
    <w:p w:rsidR="006819BE" w:rsidRPr="006819BE" w:rsidRDefault="006819BE" w:rsidP="00723A9E">
      <w:pPr>
        <w:pStyle w:val="Heading4"/>
      </w:pPr>
      <w:r w:rsidRPr="006819BE">
        <w:t>Group D</w:t>
      </w:r>
    </w:p>
    <w:p w:rsidR="00723A9E" w:rsidRDefault="006819BE" w:rsidP="006819BE">
      <w:r w:rsidRPr="006819BE">
        <w:t xml:space="preserve">Charge group D is for individual exemptions only. </w:t>
      </w:r>
      <w:r w:rsidR="00040831">
        <w:t xml:space="preserve">Parties </w:t>
      </w:r>
      <w:r w:rsidR="00723A9E">
        <w:t xml:space="preserve">applying </w:t>
      </w:r>
      <w:r w:rsidRPr="006819BE">
        <w:t xml:space="preserve">this </w:t>
      </w:r>
      <w:r w:rsidR="00723A9E">
        <w:t xml:space="preserve">charge group </w:t>
      </w:r>
      <w:r w:rsidRPr="006819BE">
        <w:t>require</w:t>
      </w:r>
      <w:r w:rsidR="00723A9E">
        <w:t xml:space="preserve"> an</w:t>
      </w:r>
      <w:r w:rsidRPr="006819BE">
        <w:t xml:space="preserve"> individual </w:t>
      </w:r>
      <w:r w:rsidR="00723A9E">
        <w:t xml:space="preserve">exemption </w:t>
      </w:r>
      <w:r w:rsidR="00880E6A">
        <w:t xml:space="preserve">issued </w:t>
      </w:r>
      <w:r w:rsidRPr="006819BE">
        <w:t xml:space="preserve">by the AER in accordance with section </w:t>
      </w:r>
      <w:r w:rsidRPr="006819BE">
        <w:fldChar w:fldCharType="begin"/>
      </w:r>
      <w:r w:rsidRPr="006819BE">
        <w:instrText xml:space="preserve"> REF _Ref361831452 \r \h  \* MERGEFORMAT </w:instrText>
      </w:r>
      <w:r w:rsidRPr="006819BE">
        <w:fldChar w:fldCharType="separate"/>
      </w:r>
      <w:r w:rsidR="00D30DD5">
        <w:t>5.3</w:t>
      </w:r>
      <w:r w:rsidRPr="006819BE">
        <w:fldChar w:fldCharType="end"/>
      </w:r>
      <w:r w:rsidRPr="006819BE">
        <w:t xml:space="preserve"> of this Guideline. </w:t>
      </w:r>
      <w:r w:rsidR="00723A9E">
        <w:t xml:space="preserve">Approval </w:t>
      </w:r>
      <w:r w:rsidR="00723A9E" w:rsidRPr="006819BE">
        <w:t>will only be contemplated in exceptional circumstances</w:t>
      </w:r>
      <w:r w:rsidR="0046047C">
        <w:t>.</w:t>
      </w:r>
    </w:p>
    <w:p w:rsidR="00880E6A" w:rsidRDefault="006819BE" w:rsidP="006819BE">
      <w:r w:rsidRPr="006819BE">
        <w:t xml:space="preserve">Parties wishing to earn a commercial return on network assets should generally be registered as a network service provider and be subject to the operation of chapter 6 or chapter 6A of the NER. </w:t>
      </w:r>
    </w:p>
    <w:p w:rsidR="006819BE" w:rsidRPr="006819BE" w:rsidRDefault="006819BE" w:rsidP="006819BE">
      <w:r w:rsidRPr="006819BE">
        <w:t xml:space="preserve">Applicants in this charge group </w:t>
      </w:r>
      <w:r w:rsidR="00880E6A">
        <w:t xml:space="preserve">must </w:t>
      </w:r>
      <w:r w:rsidRPr="006819BE">
        <w:t xml:space="preserve">demonstrate </w:t>
      </w:r>
      <w:r w:rsidR="00004FDB" w:rsidRPr="006819BE">
        <w:t xml:space="preserve">compelling </w:t>
      </w:r>
      <w:r w:rsidR="00004FDB">
        <w:t xml:space="preserve">grounds for an exemption to be approved. For example, </w:t>
      </w:r>
      <w:r w:rsidRPr="006819BE">
        <w:t xml:space="preserve">that NEM registration and compliance costs would be disproportionate to the size of the community to be served by the </w:t>
      </w:r>
      <w:proofErr w:type="gramStart"/>
      <w:r w:rsidRPr="006819BE">
        <w:t>network</w:t>
      </w:r>
      <w:r w:rsidR="00004FDB">
        <w:t xml:space="preserve"> </w:t>
      </w:r>
      <w:r w:rsidRPr="006819BE">
        <w:t>.</w:t>
      </w:r>
      <w:proofErr w:type="gramEnd"/>
    </w:p>
    <w:p w:rsidR="006819BE" w:rsidRPr="006819BE" w:rsidRDefault="006819BE" w:rsidP="00723A9E">
      <w:pPr>
        <w:pStyle w:val="Heading4"/>
      </w:pPr>
      <w:r w:rsidRPr="006819BE">
        <w:lastRenderedPageBreak/>
        <w:t>Group E</w:t>
      </w:r>
    </w:p>
    <w:p w:rsidR="003536B7" w:rsidRDefault="00367AED" w:rsidP="006819BE">
      <w:r>
        <w:t>Charge g</w:t>
      </w:r>
      <w:r w:rsidR="003536B7">
        <w:t xml:space="preserve">roup E registration is largely historical. It </w:t>
      </w:r>
      <w:r w:rsidR="00880E6A">
        <w:t xml:space="preserve">remains available on our website application form </w:t>
      </w:r>
      <w:r w:rsidR="003536B7">
        <w:t>but a new application is not required</w:t>
      </w:r>
      <w:r w:rsidR="00890366">
        <w:t xml:space="preserve"> for anyone registered in any of charge groups A</w:t>
      </w:r>
      <w:proofErr w:type="gramStart"/>
      <w:r w:rsidR="00890366">
        <w:t>,B,C</w:t>
      </w:r>
      <w:proofErr w:type="gramEnd"/>
      <w:r w:rsidR="00890366">
        <w:t xml:space="preserve"> or D</w:t>
      </w:r>
      <w:r w:rsidR="003536B7">
        <w:t>. This is because we now treat</w:t>
      </w:r>
      <w:r w:rsidR="003536B7" w:rsidRPr="003536B7">
        <w:t xml:space="preserve"> </w:t>
      </w:r>
      <w:r w:rsidR="003536B7">
        <w:t xml:space="preserve">charge groups A, B, C and D as including charge group E. </w:t>
      </w:r>
      <w:r w:rsidR="00880E6A">
        <w:t xml:space="preserve">Charge group E </w:t>
      </w:r>
      <w:r w:rsidR="000C6C4C">
        <w:t xml:space="preserve">may be </w:t>
      </w:r>
      <w:r w:rsidR="00880E6A">
        <w:t xml:space="preserve">necessary </w:t>
      </w:r>
      <w:r w:rsidR="0029763A">
        <w:t>in some embedded networks to deal with energy exported to the NEM when individual members of a community generate excess energy that is not used within the private network.</w:t>
      </w:r>
    </w:p>
    <w:p w:rsidR="006819BE" w:rsidRPr="006819BE" w:rsidRDefault="006819BE" w:rsidP="006819BE">
      <w:r w:rsidRPr="006819BE">
        <w:t xml:space="preserve">Where a generator within a private network earns credits for energy exported to the NEM all credits remain the property of the embedded generator. All credits must be </w:t>
      </w:r>
      <w:proofErr w:type="spellStart"/>
      <w:r w:rsidRPr="006819BE">
        <w:t>rebated</w:t>
      </w:r>
      <w:proofErr w:type="spellEnd"/>
      <w:r w:rsidRPr="006819BE">
        <w:t xml:space="preserve"> to the embedded generator or, if more than one, to each embedded generator in proportion to the credits earned. </w:t>
      </w:r>
      <w:r w:rsidR="00880E6A">
        <w:t>However, t</w:t>
      </w:r>
      <w:r w:rsidRPr="006819BE">
        <w:t xml:space="preserve">his requirement does not prevent the </w:t>
      </w:r>
      <w:r w:rsidR="001F2ADA">
        <w:t xml:space="preserve">owner of an </w:t>
      </w:r>
      <w:r w:rsidRPr="006819BE">
        <w:t>embedded generator from entering into an agreement with another party to reallocate those credits.</w:t>
      </w:r>
    </w:p>
    <w:p w:rsidR="006819BE" w:rsidRPr="006819BE" w:rsidRDefault="006819BE" w:rsidP="006819BE">
      <w:r w:rsidRPr="006819BE">
        <w:t>For example, a retirement village may develop a community scheme whereby each resident with a PV system surrenders their rights to the credits earned on appropriate terms.</w:t>
      </w:r>
    </w:p>
    <w:p w:rsidR="006819BE" w:rsidRPr="006819BE" w:rsidRDefault="006819BE" w:rsidP="006819BE">
      <w:pPr>
        <w:pStyle w:val="Heading3"/>
      </w:pPr>
      <w:bookmarkStart w:id="142" w:name="_Toc466298853"/>
      <w:bookmarkStart w:id="143" w:name="_Toc466303934"/>
      <w:bookmarkStart w:id="144" w:name="_Ref361908948"/>
      <w:bookmarkStart w:id="145" w:name="_Toc468276101"/>
      <w:bookmarkEnd w:id="142"/>
      <w:bookmarkEnd w:id="143"/>
      <w:r w:rsidRPr="006819BE">
        <w:t>External network charges</w:t>
      </w:r>
      <w:bookmarkEnd w:id="144"/>
      <w:bookmarkEnd w:id="145"/>
    </w:p>
    <w:p w:rsidR="001F2ADA" w:rsidRDefault="006819BE" w:rsidP="006819BE">
      <w:r w:rsidRPr="006819BE">
        <w:t>External network charges may be levied by a registered NEM network service provider and charged to the parent meter of a private network. These charges are known variously as ‘transmission use of system charges’ (TUOS), ‘distribution use of system charges’ (DUOS) and ‘network use of system’ (NUOS) charges depending on the State</w:t>
      </w:r>
      <w:r w:rsidR="000C6C4C">
        <w:t xml:space="preserve"> or Territory</w:t>
      </w:r>
      <w:r w:rsidRPr="006819BE">
        <w:t xml:space="preserve"> in which the network is located. Such charges may be apportioned to each customer in a private network on a ‘causer pays’ basis in proportion to the metered energy consumption of each customer over the equivalent period no matter which charge group or groups apply (see Table 11). </w:t>
      </w:r>
    </w:p>
    <w:p w:rsidR="006819BE" w:rsidRPr="006819BE" w:rsidRDefault="006819BE" w:rsidP="006819BE">
      <w:r w:rsidRPr="006819BE">
        <w:t>Alternatively, the charges borne by each customer may be determined on a ‘shadow price’ basis. In this context a ‘shadow price’ is charging each customer a tariff no greater than the tariff that would have applied had that customer obtained supply directly from the local NEM registered distribution or, where appropriate, transmission company.</w:t>
      </w:r>
    </w:p>
    <w:p w:rsidR="006819BE" w:rsidRDefault="006819BE" w:rsidP="006819BE">
      <w:r w:rsidRPr="006819BE">
        <w:t>We recognise that these charges may be difficult to apportion on a precise basis, especially where time variable charges apply. The shadow price approach may be simpler to implement in those situations or in situations where bulk supply is obtained at a different voltage level.</w:t>
      </w:r>
    </w:p>
    <w:p w:rsidR="006819BE" w:rsidRPr="006819BE" w:rsidRDefault="006819BE" w:rsidP="006819BE">
      <w:pPr>
        <w:pStyle w:val="Heading3"/>
      </w:pPr>
      <w:bookmarkStart w:id="146" w:name="_Toc464651741"/>
      <w:bookmarkStart w:id="147" w:name="_Toc468276102"/>
      <w:bookmarkEnd w:id="146"/>
      <w:r w:rsidRPr="006819BE">
        <w:t>Internal network charges</w:t>
      </w:r>
      <w:bookmarkEnd w:id="147"/>
    </w:p>
    <w:p w:rsidR="006819BE" w:rsidRPr="006819BE" w:rsidRDefault="006819BE" w:rsidP="006819BE">
      <w:r w:rsidRPr="006819BE">
        <w:t>We do not encourage separate network charges for private networks. Few, if any, situations currently exist where such charges are warranted. The formal determination of network charges by the AER is a complex and involved process, the costs of which will usually be disproportionate to the scale of a private network.</w:t>
      </w:r>
    </w:p>
    <w:p w:rsidR="00930007" w:rsidRDefault="006819BE" w:rsidP="006819BE">
      <w:r w:rsidRPr="006819BE">
        <w:t>Where an embedded network exists within a commercial building, shopping centre, airport, residential apartment building, retirement village or the like, the AER considers the network development costs to have been met in the initial establishment of the facility. Such costs are capital in nature and are normally recoverable through lease payments, fit</w:t>
      </w:r>
      <w:r w:rsidR="00BF5F61">
        <w:t>–</w:t>
      </w:r>
      <w:r w:rsidRPr="006819BE">
        <w:t xml:space="preserve">out charges </w:t>
      </w:r>
      <w:r w:rsidRPr="006819BE">
        <w:lastRenderedPageBreak/>
        <w:t xml:space="preserve">or the like. A charge for network services is not appropriate as it may result in the customer being charged twice for the same facility. </w:t>
      </w:r>
    </w:p>
    <w:p w:rsidR="00B22401" w:rsidRDefault="006819BE" w:rsidP="006819BE">
      <w:r w:rsidRPr="006819BE">
        <w:t xml:space="preserve">Accordingly, no charge is permitted for </w:t>
      </w:r>
      <w:r w:rsidR="003536B7">
        <w:t xml:space="preserve">internal </w:t>
      </w:r>
      <w:r w:rsidRPr="006819BE">
        <w:t>network services</w:t>
      </w:r>
      <w:r w:rsidR="00930007">
        <w:t xml:space="preserve"> except where the parties </w:t>
      </w:r>
      <w:r w:rsidR="00B22401">
        <w:t xml:space="preserve">have entered into an agreement on mutually agreed terms and both parties </w:t>
      </w:r>
      <w:r w:rsidR="00930007">
        <w:t>are</w:t>
      </w:r>
      <w:r w:rsidR="00B22401">
        <w:t>:</w:t>
      </w:r>
    </w:p>
    <w:p w:rsidR="00B22401" w:rsidRDefault="00B22401" w:rsidP="00B22401">
      <w:pPr>
        <w:pStyle w:val="Bulletpoint"/>
      </w:pPr>
      <w:r>
        <w:t xml:space="preserve">large customers; or </w:t>
      </w:r>
    </w:p>
    <w:p w:rsidR="006819BE" w:rsidRPr="006819BE" w:rsidRDefault="00B22401" w:rsidP="00B22401">
      <w:pPr>
        <w:pStyle w:val="Bulletpoint"/>
      </w:pPr>
      <w:proofErr w:type="gramStart"/>
      <w:r>
        <w:t>large</w:t>
      </w:r>
      <w:proofErr w:type="gramEnd"/>
      <w:r>
        <w:t xml:space="preserve"> corporate entities</w:t>
      </w:r>
      <w:r w:rsidR="006819BE" w:rsidRPr="006819BE">
        <w:t>.</w:t>
      </w:r>
    </w:p>
    <w:p w:rsidR="006819BE" w:rsidRDefault="006819BE" w:rsidP="006819BE">
      <w:pPr>
        <w:pStyle w:val="Heading3"/>
      </w:pPr>
      <w:bookmarkStart w:id="148" w:name="_Toc468276103"/>
      <w:r w:rsidRPr="006819BE">
        <w:t>Charging customers</w:t>
      </w:r>
      <w:bookmarkEnd w:id="148"/>
    </w:p>
    <w:p w:rsidR="001D0BA3" w:rsidRPr="001D0BA3" w:rsidRDefault="001D0BA3" w:rsidP="001D0BA3">
      <w:r w:rsidRPr="001D0BA3">
        <w:t>Our agreement to a network charging mechanism is predicated on a requirement that there must not be a sustained over</w:t>
      </w:r>
      <w:r w:rsidR="00BF5F61">
        <w:t>–</w:t>
      </w:r>
      <w:r w:rsidRPr="001D0BA3">
        <w:t>recovery of any network charge. Where an over</w:t>
      </w:r>
      <w:r w:rsidR="00BF5F61">
        <w:t>–</w:t>
      </w:r>
      <w:r w:rsidRPr="001D0BA3">
        <w:t>recovery occurs, it is required to be rebated to customers at intervals of not more than annually. Note that the energy component of any charge is subject to the Retail Exempt Selling Guideline</w:t>
      </w:r>
      <w:r w:rsidR="009E34FF">
        <w:t xml:space="preserve"> in those jurisdictions where that guideline applies</w:t>
      </w:r>
      <w:r w:rsidR="00EF3B73">
        <w:t xml:space="preserve"> or otherwise, jurisdiction specific retail selling requirements</w:t>
      </w:r>
      <w:r w:rsidRPr="001D0BA3">
        <w:t>.</w:t>
      </w:r>
    </w:p>
    <w:p w:rsidR="001F2ADA" w:rsidRPr="001F2ADA" w:rsidRDefault="00ED388F" w:rsidP="001F2ADA">
      <w:r>
        <w:t>An exempt embedded network service provider must:</w:t>
      </w:r>
    </w:p>
    <w:p w:rsidR="0028792A" w:rsidRPr="0028792A" w:rsidRDefault="0028792A" w:rsidP="003A3621">
      <w:pPr>
        <w:pStyle w:val="Listalphabet"/>
        <w:numPr>
          <w:ilvl w:val="0"/>
          <w:numId w:val="37"/>
        </w:numPr>
      </w:pPr>
      <w:r w:rsidRPr="0028792A">
        <w:t>not impose any network charge on an exempt customer that would not be charged by the relevant local area distributor to that customer if the customer were directly connected to the distributor and subject to a standard di</w:t>
      </w:r>
      <w:r w:rsidR="00D04946">
        <w:t>stribution connection contract;</w:t>
      </w:r>
    </w:p>
    <w:p w:rsidR="0028792A" w:rsidRPr="0028792A" w:rsidRDefault="0028792A" w:rsidP="003A3621">
      <w:pPr>
        <w:pStyle w:val="Listalphabet"/>
        <w:numPr>
          <w:ilvl w:val="0"/>
          <w:numId w:val="37"/>
        </w:numPr>
      </w:pPr>
      <w:r w:rsidRPr="0028792A">
        <w:t xml:space="preserve">provide notice to the exempt customer of any change in the exempt customer network tariff as soon as practicable, and no later than </w:t>
      </w:r>
      <w:r w:rsidR="00D04946">
        <w:t>the exempt customer’s next bill; and</w:t>
      </w:r>
    </w:p>
    <w:p w:rsidR="0028792A" w:rsidRDefault="0028792A" w:rsidP="003A3621">
      <w:pPr>
        <w:pStyle w:val="Listalphabet"/>
        <w:numPr>
          <w:ilvl w:val="0"/>
          <w:numId w:val="37"/>
        </w:numPr>
      </w:pPr>
      <w:proofErr w:type="gramStart"/>
      <w:r w:rsidRPr="0028792A">
        <w:t>limit</w:t>
      </w:r>
      <w:proofErr w:type="gramEnd"/>
      <w:r w:rsidRPr="0028792A">
        <w:t xml:space="preserve"> any fee charged to a customer for late payment to a recovery of reasonably incurred costs by the </w:t>
      </w:r>
      <w:r w:rsidR="00382953">
        <w:t xml:space="preserve">exempt embedded network service provider </w:t>
      </w:r>
      <w:r w:rsidRPr="0028792A">
        <w:t>as a result of the customer’s late payment.</w:t>
      </w:r>
      <w:r>
        <w:t xml:space="preserve"> </w:t>
      </w:r>
    </w:p>
    <w:p w:rsidR="00B07156" w:rsidRDefault="00395A93" w:rsidP="0028792A">
      <w:r>
        <w:t xml:space="preserve">A charge under this provision must be directly linked to a tariff schedule approved by the AER and published by the relevant local distributor. A charge may </w:t>
      </w:r>
      <w:r w:rsidR="00222D8F">
        <w:t>not exceed (but may be less than) the applicable tariff schedule item.</w:t>
      </w:r>
    </w:p>
    <w:p w:rsidR="009E34FF" w:rsidRDefault="009E34FF" w:rsidP="0028792A">
      <w:r>
        <w:t>Exception: Condition 4.6.4(a) does not apply to, or limit, an agreed charge between large customers or large corporate entities under charge group C</w:t>
      </w:r>
      <w:r w:rsidR="005078E3">
        <w:t xml:space="preserve"> and condition 4.6.3</w:t>
      </w:r>
      <w:r>
        <w:t>.</w:t>
      </w:r>
    </w:p>
    <w:p w:rsidR="001873F2" w:rsidRDefault="001873F2" w:rsidP="001873F2">
      <w:pPr>
        <w:pStyle w:val="Heading4"/>
      </w:pPr>
      <w:r>
        <w:t>Meter reading charges</w:t>
      </w:r>
    </w:p>
    <w:p w:rsidR="00395A93" w:rsidRDefault="00222D8F" w:rsidP="0028792A">
      <w:r>
        <w:t xml:space="preserve">A meter reading charge may only be levied at a frequency of once per billing cycle (if the billing cycle is greater than monthly) and, in any other circumstances, not more than once per month. </w:t>
      </w:r>
    </w:p>
    <w:p w:rsidR="001873F2" w:rsidRDefault="001873F2" w:rsidP="0028792A">
      <w:r>
        <w:t xml:space="preserve">A manual meter reading </w:t>
      </w:r>
      <w:r w:rsidR="009028A6">
        <w:t xml:space="preserve">charge </w:t>
      </w:r>
      <w:r w:rsidR="00D970CE">
        <w:t>may only be charged for a type 5 or type 6 metering installation</w:t>
      </w:r>
      <w:r w:rsidR="009028A6">
        <w:t xml:space="preserve"> which was compliant with this guideline at the date of commissioning or first use of the metering installation.</w:t>
      </w:r>
    </w:p>
    <w:p w:rsidR="00222D8F" w:rsidRDefault="00D04946" w:rsidP="0028792A">
      <w:r>
        <w:t xml:space="preserve">Where the installed meter type is an advanced technology meter, the applicable metering charge and the charge for energisation, re–energisation or de–energisation must not exceed </w:t>
      </w:r>
      <w:r>
        <w:lastRenderedPageBreak/>
        <w:t xml:space="preserve">the published applicable distributor charge for an advanced technology meter. For advanced technology meters, a manually read meter charge is only permitted when a customer requests a physical read of the meter and the read </w:t>
      </w:r>
      <w:r w:rsidR="00B22401">
        <w:t xml:space="preserve">is subsequently </w:t>
      </w:r>
      <w:r>
        <w:t>performed by physical inspection of the meter.</w:t>
      </w:r>
    </w:p>
    <w:p w:rsidR="001873F2" w:rsidRDefault="001873F2" w:rsidP="001873F2">
      <w:pPr>
        <w:pStyle w:val="Heading4"/>
      </w:pPr>
      <w:r>
        <w:t>Summary</w:t>
      </w:r>
    </w:p>
    <w:p w:rsidR="006819BE" w:rsidRPr="006819BE" w:rsidRDefault="006819BE" w:rsidP="0028792A">
      <w:r w:rsidRPr="006819BE">
        <w:t>Our pricing condition permits the network owner or operator to charge:</w:t>
      </w:r>
    </w:p>
    <w:p w:rsidR="006819BE" w:rsidRPr="006819BE" w:rsidRDefault="006819BE" w:rsidP="00682B61">
      <w:pPr>
        <w:pStyle w:val="Heading4notnumbered"/>
      </w:pPr>
      <w:r w:rsidRPr="006819BE">
        <w:t>Small customers</w:t>
      </w:r>
    </w:p>
    <w:p w:rsidR="006819BE" w:rsidRPr="006819BE" w:rsidRDefault="006819BE" w:rsidP="00406AC2">
      <w:pPr>
        <w:pStyle w:val="Bulletpoint"/>
      </w:pPr>
      <w:r w:rsidRPr="006819BE">
        <w:t>A bundled energy tariff (Group A)</w:t>
      </w:r>
    </w:p>
    <w:p w:rsidR="006819BE" w:rsidRPr="006819BE" w:rsidRDefault="006819BE" w:rsidP="00406AC2">
      <w:pPr>
        <w:pStyle w:val="Bulletpoint"/>
      </w:pPr>
      <w:r w:rsidRPr="006819BE">
        <w:t>Actual costs incurred in making metering changes or service capacity upgrades requested by the tenant (Group A or Group B)</w:t>
      </w:r>
    </w:p>
    <w:p w:rsidR="006819BE" w:rsidRPr="006819BE" w:rsidRDefault="006819BE" w:rsidP="00406AC2">
      <w:pPr>
        <w:pStyle w:val="Bulletpoint"/>
      </w:pPr>
      <w:r w:rsidRPr="006819BE">
        <w:t>A pro</w:t>
      </w:r>
      <w:r w:rsidR="00BF5F61">
        <w:t>–</w:t>
      </w:r>
      <w:r w:rsidRPr="006819BE">
        <w:t>rata charge levied by a registered distributor no greater than the charge the distributor would have made to the customer had the distributor serviced the customer directly (</w:t>
      </w:r>
      <w:r w:rsidRPr="006819BE">
        <w:fldChar w:fldCharType="begin"/>
      </w:r>
      <w:r w:rsidRPr="006819BE">
        <w:instrText xml:space="preserve"> REF _Ref361908948 \r \h  \* MERGEFORMAT </w:instrText>
      </w:r>
      <w:r w:rsidRPr="006819BE">
        <w:fldChar w:fldCharType="separate"/>
      </w:r>
      <w:r w:rsidR="00D30DD5">
        <w:t>4.6.2</w:t>
      </w:r>
      <w:r w:rsidRPr="006819BE">
        <w:fldChar w:fldCharType="end"/>
      </w:r>
      <w:r w:rsidRPr="006819BE">
        <w:t>)</w:t>
      </w:r>
    </w:p>
    <w:p w:rsidR="006819BE" w:rsidRDefault="006819BE" w:rsidP="00406AC2">
      <w:pPr>
        <w:pStyle w:val="Bulletpoint"/>
      </w:pPr>
      <w:r w:rsidRPr="006819BE">
        <w:t>Charges specified in a residential or commercial lease, tenancy agreement or similar instrument but only where such charges are permitted under relevant jurisdictional legislation.</w:t>
      </w:r>
    </w:p>
    <w:p w:rsidR="006819BE" w:rsidRPr="006819BE" w:rsidRDefault="006819BE" w:rsidP="00682B61">
      <w:pPr>
        <w:pStyle w:val="Heading4notnumbered"/>
      </w:pPr>
      <w:r w:rsidRPr="006819BE">
        <w:t>Large customers</w:t>
      </w:r>
    </w:p>
    <w:p w:rsidR="006819BE" w:rsidRPr="006819BE" w:rsidRDefault="006819BE" w:rsidP="00406AC2">
      <w:pPr>
        <w:pStyle w:val="Bulletpoint"/>
      </w:pPr>
      <w:r w:rsidRPr="006819BE">
        <w:t>A bundled energy tariff (Group A)</w:t>
      </w:r>
    </w:p>
    <w:p w:rsidR="006819BE" w:rsidRPr="006819BE" w:rsidRDefault="006819BE" w:rsidP="00406AC2">
      <w:pPr>
        <w:pStyle w:val="Bulletpoint"/>
      </w:pPr>
      <w:r w:rsidRPr="006819BE">
        <w:t>Actual costs incurred in making metering changes or service capacity upgrades requested by the tenant (Group A or Group B)</w:t>
      </w:r>
    </w:p>
    <w:p w:rsidR="006819BE" w:rsidRPr="006819BE" w:rsidRDefault="006819BE" w:rsidP="00406AC2">
      <w:pPr>
        <w:pStyle w:val="Bulletpoint"/>
      </w:pPr>
      <w:r w:rsidRPr="006819BE">
        <w:t>A pro</w:t>
      </w:r>
      <w:r w:rsidR="00BF5F61">
        <w:t>–</w:t>
      </w:r>
      <w:r w:rsidRPr="006819BE">
        <w:t>rata charge levied by a registered distributor no greater than the charge the distributor would have made to the customer had the distributor serviced the customer directly (</w:t>
      </w:r>
      <w:r w:rsidRPr="006819BE">
        <w:fldChar w:fldCharType="begin"/>
      </w:r>
      <w:r w:rsidRPr="006819BE">
        <w:instrText xml:space="preserve"> REF _Ref361908948 \r \h  \* MERGEFORMAT </w:instrText>
      </w:r>
      <w:r w:rsidRPr="006819BE">
        <w:fldChar w:fldCharType="separate"/>
      </w:r>
      <w:r w:rsidR="00D30DD5">
        <w:t>4.6.2</w:t>
      </w:r>
      <w:r w:rsidRPr="006819BE">
        <w:fldChar w:fldCharType="end"/>
      </w:r>
      <w:r w:rsidRPr="006819BE">
        <w:t>)</w:t>
      </w:r>
    </w:p>
    <w:p w:rsidR="006819BE" w:rsidRPr="006819BE" w:rsidRDefault="006819BE" w:rsidP="00406AC2">
      <w:pPr>
        <w:pStyle w:val="Bulletpoint"/>
      </w:pPr>
      <w:r w:rsidRPr="006819BE">
        <w:t>Mutually agreed additional charges or value added services under a commercial agreement (Group C).</w:t>
      </w:r>
    </w:p>
    <w:p w:rsidR="006819BE" w:rsidRPr="006819BE" w:rsidRDefault="006819BE" w:rsidP="00682B61">
      <w:pPr>
        <w:pStyle w:val="Heading4notnumbered"/>
      </w:pPr>
      <w:r w:rsidRPr="006819BE">
        <w:t>Large corporate enterprises</w:t>
      </w:r>
    </w:p>
    <w:p w:rsidR="006819BE" w:rsidRPr="006819BE" w:rsidRDefault="006819BE" w:rsidP="00406AC2">
      <w:pPr>
        <w:pStyle w:val="Bulletpoint"/>
      </w:pPr>
      <w:r w:rsidRPr="006819BE">
        <w:t>Charges agreed commercially between the parties (Group C: charging not restricted).</w:t>
      </w:r>
    </w:p>
    <w:p w:rsidR="006819BE" w:rsidRPr="006819BE" w:rsidRDefault="006819BE" w:rsidP="00682B61">
      <w:pPr>
        <w:pStyle w:val="Heading4notnumbered"/>
      </w:pPr>
      <w:r w:rsidRPr="006819BE">
        <w:t>Individual Exemptions</w:t>
      </w:r>
    </w:p>
    <w:p w:rsidR="006819BE" w:rsidRDefault="006819BE" w:rsidP="00406AC2">
      <w:pPr>
        <w:pStyle w:val="Bulletpoint"/>
      </w:pPr>
      <w:r w:rsidRPr="006819BE">
        <w:t>Other charging mechanisms as approved by the AER (Group D).</w:t>
      </w:r>
    </w:p>
    <w:p w:rsidR="00624715" w:rsidRDefault="00624715">
      <w:pPr>
        <w:spacing w:line="240" w:lineRule="auto"/>
        <w:rPr>
          <w:rFonts w:cs="Times New Roman"/>
        </w:rPr>
      </w:pPr>
      <w:r>
        <w:br w:type="page"/>
      </w:r>
    </w:p>
    <w:p w:rsidR="0028792A" w:rsidRDefault="00BB1EFD" w:rsidP="0028792A">
      <w:pPr>
        <w:pStyle w:val="Heading2"/>
      </w:pPr>
      <w:bookmarkStart w:id="149" w:name="_Toc466303938"/>
      <w:bookmarkStart w:id="150" w:name="_Toc464651744"/>
      <w:bookmarkStart w:id="151" w:name="_Ref457226924"/>
      <w:bookmarkStart w:id="152" w:name="_Toc468276104"/>
      <w:bookmarkStart w:id="153" w:name="_Ref456777324"/>
      <w:bookmarkEnd w:id="149"/>
      <w:bookmarkEnd w:id="150"/>
      <w:r>
        <w:lastRenderedPageBreak/>
        <w:t xml:space="preserve">Embedded Network Manager </w:t>
      </w:r>
      <w:r w:rsidR="00BF5F61">
        <w:t>–</w:t>
      </w:r>
      <w:r>
        <w:t xml:space="preserve"> </w:t>
      </w:r>
      <w:r w:rsidR="0028792A">
        <w:t xml:space="preserve">Appointment </w:t>
      </w:r>
      <w:r>
        <w:t>and Reversion</w:t>
      </w:r>
      <w:bookmarkEnd w:id="151"/>
      <w:bookmarkEnd w:id="152"/>
      <w:r>
        <w:t xml:space="preserve"> </w:t>
      </w:r>
      <w:bookmarkEnd w:id="153"/>
    </w:p>
    <w:p w:rsidR="0028792A" w:rsidRDefault="00BB1EFD" w:rsidP="00BB1EFD">
      <w:pPr>
        <w:pStyle w:val="Heading3"/>
      </w:pPr>
      <w:bookmarkStart w:id="154" w:name="_Toc468276105"/>
      <w:r>
        <w:t>Appointment</w:t>
      </w:r>
      <w:r w:rsidR="00E81AB2">
        <w:t xml:space="preserve"> and cost recovery</w:t>
      </w:r>
      <w:bookmarkEnd w:id="154"/>
    </w:p>
    <w:p w:rsidR="00630C9A" w:rsidRDefault="00630C9A" w:rsidP="00432A71">
      <w:r>
        <w:t xml:space="preserve">The NER definition of ENM conditions provides: </w:t>
      </w:r>
    </w:p>
    <w:p w:rsidR="00630C9A" w:rsidRPr="00630C9A" w:rsidRDefault="00630C9A" w:rsidP="00630C9A">
      <w:pPr>
        <w:pStyle w:val="Quote"/>
      </w:pPr>
      <w:r w:rsidRPr="00630C9A">
        <w:t>ENM conditions</w:t>
      </w:r>
    </w:p>
    <w:p w:rsidR="00630C9A" w:rsidRPr="00630C9A" w:rsidRDefault="00630C9A" w:rsidP="00630C9A">
      <w:pPr>
        <w:pStyle w:val="Quote"/>
      </w:pPr>
      <w:r w:rsidRPr="00630C9A">
        <w:t>An Exempt Embedded Network Service Provider must:</w:t>
      </w:r>
    </w:p>
    <w:p w:rsidR="00630C9A" w:rsidRPr="00630C9A" w:rsidRDefault="00630C9A" w:rsidP="00630C9A">
      <w:pPr>
        <w:pStyle w:val="Quote"/>
      </w:pPr>
      <w:r>
        <w:t xml:space="preserve">(a) </w:t>
      </w:r>
      <w:proofErr w:type="gramStart"/>
      <w:r w:rsidRPr="00630C9A">
        <w:t>act</w:t>
      </w:r>
      <w:proofErr w:type="gramEnd"/>
      <w:r w:rsidRPr="00630C9A">
        <w:t xml:space="preserve"> as the Embedded Network Manager for the relevant embedded network; or</w:t>
      </w:r>
    </w:p>
    <w:p w:rsidR="00630C9A" w:rsidRPr="00630C9A" w:rsidRDefault="00630C9A" w:rsidP="00630C9A">
      <w:pPr>
        <w:pStyle w:val="Quote"/>
      </w:pPr>
      <w:r>
        <w:t xml:space="preserve">(b) </w:t>
      </w:r>
      <w:proofErr w:type="gramStart"/>
      <w:r w:rsidRPr="00630C9A">
        <w:t>engage</w:t>
      </w:r>
      <w:proofErr w:type="gramEnd"/>
      <w:r w:rsidRPr="00630C9A">
        <w:t xml:space="preserve"> an Embedded Network Manager to provide embedded network management services for the relevant embedded network; and</w:t>
      </w:r>
    </w:p>
    <w:p w:rsidR="00630C9A" w:rsidRDefault="00630C9A" w:rsidP="00630C9A">
      <w:pPr>
        <w:pStyle w:val="Quote"/>
      </w:pPr>
      <w:r>
        <w:t xml:space="preserve">(c) </w:t>
      </w:r>
      <w:proofErr w:type="gramStart"/>
      <w:r w:rsidRPr="00630C9A">
        <w:t>enter</w:t>
      </w:r>
      <w:proofErr w:type="gramEnd"/>
      <w:r w:rsidRPr="00630C9A">
        <w:t xml:space="preserve"> into an agreement with an Embedded Network Manager for the provision of embedded network management services where that person has engaged an Embedded Network Manager under paragraph (b).</w:t>
      </w:r>
    </w:p>
    <w:p w:rsidR="000D1802" w:rsidRPr="000D1802" w:rsidRDefault="000D1802" w:rsidP="000D1802">
      <w:pPr>
        <w:pStyle w:val="Boxedtext"/>
      </w:pPr>
      <w:r w:rsidRPr="000D1802">
        <w:t>Any costs which arise through non</w:t>
      </w:r>
      <w:r w:rsidR="00BF5F61">
        <w:t>–</w:t>
      </w:r>
      <w:r w:rsidRPr="000D1802">
        <w:t>competitive processes or the payment of a bounty are inevitably recovered through additional fees paid by current and future residents and/or tenants. Therefore,</w:t>
      </w:r>
      <w:r w:rsidR="009028A6">
        <w:t xml:space="preserve"> we </w:t>
      </w:r>
      <w:r w:rsidR="002511EF">
        <w:t xml:space="preserve">consider </w:t>
      </w:r>
      <w:r w:rsidR="002511EF" w:rsidRPr="000D1802">
        <w:t>the</w:t>
      </w:r>
      <w:r w:rsidRPr="000D1802">
        <w:t xml:space="preserve"> appointment of anyone with a statutory right to recover fees from a captive group of customers may be contrary to the long</w:t>
      </w:r>
      <w:r w:rsidR="00BF5F61">
        <w:t>–</w:t>
      </w:r>
      <w:r w:rsidRPr="000D1802">
        <w:t xml:space="preserve">term interest of those consumers if no safeguards are provided against improper practices. </w:t>
      </w:r>
    </w:p>
    <w:p w:rsidR="000D1802" w:rsidRDefault="000D1802" w:rsidP="000D1802">
      <w:pPr>
        <w:pStyle w:val="Boxedtext"/>
      </w:pPr>
      <w:r w:rsidRPr="000D1802">
        <w:t xml:space="preserve">The operators of an embedded network may </w:t>
      </w:r>
      <w:r w:rsidR="00F2619C">
        <w:t xml:space="preserve">think </w:t>
      </w:r>
      <w:r w:rsidR="009028A6">
        <w:t>our safeguards</w:t>
      </w:r>
      <w:r w:rsidRPr="000D1802">
        <w:t xml:space="preserve"> a</w:t>
      </w:r>
      <w:r w:rsidR="00F2619C">
        <w:t>re</w:t>
      </w:r>
      <w:r w:rsidRPr="000D1802">
        <w:t xml:space="preserve"> intrusive on their</w:t>
      </w:r>
      <w:r w:rsidR="00F2619C">
        <w:t xml:space="preserve"> business model</w:t>
      </w:r>
      <w:r w:rsidRPr="000D1802">
        <w:t xml:space="preserve">. However, </w:t>
      </w:r>
      <w:r w:rsidR="0064116C" w:rsidRPr="0064116C">
        <w:t xml:space="preserve">we think it is incumbent upon those operators to demonstrate that their network offers benefits to customers and that any costs incurred </w:t>
      </w:r>
      <w:r w:rsidRPr="000D1802">
        <w:t xml:space="preserve">can be demonstrated to be the minimum necessary. In any event, under </w:t>
      </w:r>
      <w:r w:rsidR="00074BDA">
        <w:t xml:space="preserve">limb (a) of the definition above, </w:t>
      </w:r>
      <w:r w:rsidRPr="000D1802">
        <w:t xml:space="preserve">the </w:t>
      </w:r>
      <w:r w:rsidR="00074BDA">
        <w:t xml:space="preserve">exempt embedded network service provider </w:t>
      </w:r>
      <w:r w:rsidRPr="000D1802">
        <w:t>may seek accreditation and thereby, maintain their control over the metering installation.</w:t>
      </w:r>
    </w:p>
    <w:p w:rsidR="0064166D" w:rsidRPr="0064166D" w:rsidRDefault="0064166D" w:rsidP="0064166D">
      <w:pPr>
        <w:pStyle w:val="Boxedtext"/>
      </w:pPr>
      <w:r w:rsidRPr="0064166D">
        <w:t xml:space="preserve">Note that </w:t>
      </w:r>
      <w:r w:rsidR="009028A6">
        <w:t>under some circumstances</w:t>
      </w:r>
      <w:r w:rsidR="009028A6" w:rsidRPr="0064166D">
        <w:t xml:space="preserve"> </w:t>
      </w:r>
      <w:r w:rsidRPr="0064166D">
        <w:t xml:space="preserve">the effect of this condition </w:t>
      </w:r>
      <w:r w:rsidR="00AC4626">
        <w:fldChar w:fldCharType="begin"/>
      </w:r>
      <w:r w:rsidR="00AC4626">
        <w:instrText xml:space="preserve"> REF _Ref457226924 \r \h </w:instrText>
      </w:r>
      <w:r w:rsidR="00AC4626">
        <w:fldChar w:fldCharType="separate"/>
      </w:r>
      <w:r w:rsidR="00D30DD5">
        <w:t>4.7</w:t>
      </w:r>
      <w:r w:rsidR="00AC4626">
        <w:fldChar w:fldCharType="end"/>
      </w:r>
      <w:r w:rsidR="00AC4626">
        <w:t xml:space="preserve"> </w:t>
      </w:r>
      <w:r w:rsidRPr="0064166D">
        <w:t xml:space="preserve">is to allow every customer in an embedded network to be served exclusively by the exempt embedded network service provider. This may be an advantage in a group buying situation. </w:t>
      </w:r>
      <w:r w:rsidR="00AC4626">
        <w:t>T</w:t>
      </w:r>
      <w:r w:rsidRPr="0064166D">
        <w:t>his condition may allow a community group to delay the appointment of an ENM until such time as a fellow resident accepts a retail market offer but</w:t>
      </w:r>
      <w:r w:rsidR="00AC4626">
        <w:t>, u</w:t>
      </w:r>
      <w:r w:rsidR="00AC4626" w:rsidRPr="0064166D">
        <w:t xml:space="preserve">nder clause 2.5.1(d2) of the NER, </w:t>
      </w:r>
      <w:r w:rsidRPr="0064166D">
        <w:t xml:space="preserve">you cannot defer the appointment </w:t>
      </w:r>
      <w:r w:rsidR="00AC4626">
        <w:t xml:space="preserve">of an ENM </w:t>
      </w:r>
      <w:r w:rsidRPr="0064166D">
        <w:t xml:space="preserve">indefinitely. </w:t>
      </w:r>
    </w:p>
    <w:p w:rsidR="005C7F2E" w:rsidRPr="0064166D" w:rsidRDefault="0064166D" w:rsidP="0064166D">
      <w:pPr>
        <w:pStyle w:val="Boxedtext"/>
      </w:pPr>
      <w:r w:rsidRPr="0064166D">
        <w:t>This is because</w:t>
      </w:r>
      <w:r w:rsidR="000C6C4C">
        <w:t xml:space="preserve"> under rule 2.5.1 (d2) of the NER</w:t>
      </w:r>
      <w:r w:rsidRPr="0064166D">
        <w:t xml:space="preserve"> every customer in an embedded network in a jurisdiction which allows access to retail competition has an absolute right of access. It would be a breach of our conditions for exemption if an exempt embedded network service provider were to restrict this right in any way.</w:t>
      </w:r>
    </w:p>
    <w:p w:rsidR="00265C4C" w:rsidRDefault="00265C4C" w:rsidP="005C7F2E">
      <w:r w:rsidRPr="00265C4C">
        <w:t xml:space="preserve">In this condition 4.7 we use the term 'eligible member'. An </w:t>
      </w:r>
      <w:r>
        <w:t>'</w:t>
      </w:r>
      <w:r w:rsidRPr="00265C4C">
        <w:t>eligible member</w:t>
      </w:r>
      <w:r>
        <w:t>'</w:t>
      </w:r>
      <w:r w:rsidRPr="00265C4C">
        <w:t xml:space="preserve"> is any person who is subject to a requirement to pay a charge for service by the exempt embedded network and, for activity class NR4</w:t>
      </w:r>
      <w:r w:rsidR="00F00E20">
        <w:t xml:space="preserve"> (which concerns residential land lease and manufactured home estates)</w:t>
      </w:r>
      <w:r w:rsidRPr="00265C4C">
        <w:t xml:space="preserve">, is a person who principally resides there. </w:t>
      </w:r>
    </w:p>
    <w:p w:rsidR="005C7F2E" w:rsidRPr="005C7F2E" w:rsidRDefault="005C7F2E" w:rsidP="005C7F2E">
      <w:r>
        <w:lastRenderedPageBreak/>
        <w:t>Our conditions for the appointment of an ENM are:</w:t>
      </w:r>
    </w:p>
    <w:p w:rsidR="00223C25" w:rsidRDefault="00A64637" w:rsidP="003A3621">
      <w:pPr>
        <w:pStyle w:val="Listalphabet"/>
        <w:numPr>
          <w:ilvl w:val="0"/>
          <w:numId w:val="49"/>
        </w:numPr>
      </w:pPr>
      <w:r>
        <w:t xml:space="preserve">Unless the requirements </w:t>
      </w:r>
      <w:r w:rsidR="000D1802">
        <w:t>of</w:t>
      </w:r>
      <w:r>
        <w:t xml:space="preserve"> condition </w:t>
      </w:r>
      <w:r w:rsidR="000D1802">
        <w:fldChar w:fldCharType="begin"/>
      </w:r>
      <w:r w:rsidR="000D1802">
        <w:instrText xml:space="preserve"> REF _Ref457224192 \r \h </w:instrText>
      </w:r>
      <w:r w:rsidR="005C7F2E">
        <w:instrText xml:space="preserve"> \* MERGEFORMAT </w:instrText>
      </w:r>
      <w:r w:rsidR="000D1802">
        <w:fldChar w:fldCharType="separate"/>
      </w:r>
      <w:r w:rsidR="00D30DD5">
        <w:t>4.7.1.1</w:t>
      </w:r>
      <w:r w:rsidR="000D1802">
        <w:fldChar w:fldCharType="end"/>
      </w:r>
      <w:r w:rsidR="000D1802">
        <w:t xml:space="preserve"> </w:t>
      </w:r>
      <w:r>
        <w:t>are met, any cost resulting from the accreditation of any person as an ENM or from the appointment or provision of services</w:t>
      </w:r>
      <w:r w:rsidR="007A0AE0">
        <w:t xml:space="preserve"> </w:t>
      </w:r>
      <w:r>
        <w:t xml:space="preserve">by </w:t>
      </w:r>
      <w:r w:rsidR="007A0AE0">
        <w:t xml:space="preserve">an ENM </w:t>
      </w:r>
      <w:r>
        <w:t>must be</w:t>
      </w:r>
      <w:r w:rsidR="007A0AE0">
        <w:t xml:space="preserve"> borne by the exempt embedded network service provider</w:t>
      </w:r>
      <w:r>
        <w:t xml:space="preserve">. </w:t>
      </w:r>
      <w:r w:rsidR="000D1802">
        <w:t>C</w:t>
      </w:r>
      <w:r>
        <w:t xml:space="preserve">ost recovery is </w:t>
      </w:r>
      <w:r w:rsidR="000D1802">
        <w:t xml:space="preserve">not </w:t>
      </w:r>
      <w:r>
        <w:t>permitted from any other person.</w:t>
      </w:r>
      <w:r w:rsidR="00223C25" w:rsidRPr="00223C25">
        <w:t xml:space="preserve"> </w:t>
      </w:r>
    </w:p>
    <w:p w:rsidR="00A64637" w:rsidRDefault="005C7F2E" w:rsidP="005C7F2E">
      <w:pPr>
        <w:pStyle w:val="Listalphabet"/>
      </w:pPr>
      <w:r>
        <w:t>A</w:t>
      </w:r>
      <w:r w:rsidR="00223C25" w:rsidRPr="00223C25">
        <w:t>n ENM must not pay an advance fee</w:t>
      </w:r>
      <w:r w:rsidR="0088145E">
        <w:t xml:space="preserve"> or a rebate</w:t>
      </w:r>
      <w:r w:rsidR="00223C25" w:rsidRPr="00223C25">
        <w:t xml:space="preserve"> to a property owner, developer or </w:t>
      </w:r>
      <w:r w:rsidR="000D1802">
        <w:t xml:space="preserve">exempt embedded network service provider </w:t>
      </w:r>
      <w:r w:rsidR="00223C25" w:rsidRPr="00223C25">
        <w:t xml:space="preserve">or any other person </w:t>
      </w:r>
      <w:r w:rsidR="0088145E">
        <w:t xml:space="preserve">in connection with the provision of ENM services or </w:t>
      </w:r>
      <w:r w:rsidR="00223C25" w:rsidRPr="00223C25">
        <w:t xml:space="preserve">to secure </w:t>
      </w:r>
      <w:r w:rsidR="000D1802">
        <w:t xml:space="preserve">a </w:t>
      </w:r>
      <w:r w:rsidR="00223C25" w:rsidRPr="00223C25">
        <w:t>right to provide services to an embedded network regulated by the AER.</w:t>
      </w:r>
    </w:p>
    <w:p w:rsidR="009028A6" w:rsidRDefault="009028A6" w:rsidP="005C7F2E">
      <w:pPr>
        <w:pStyle w:val="Listalphabet"/>
      </w:pPr>
      <w:r w:rsidRPr="009028A6">
        <w:t xml:space="preserve">Also, an </w:t>
      </w:r>
      <w:r>
        <w:t xml:space="preserve">exempt embedded network service provider </w:t>
      </w:r>
      <w:r w:rsidRPr="009028A6">
        <w:t xml:space="preserve">must not </w:t>
      </w:r>
      <w:r w:rsidR="005C7F2E">
        <w:t>seek</w:t>
      </w:r>
      <w:r w:rsidRPr="009028A6">
        <w:t xml:space="preserve"> an advance fee or a rebate </w:t>
      </w:r>
      <w:r w:rsidR="005C7F2E">
        <w:t xml:space="preserve">from </w:t>
      </w:r>
      <w:r w:rsidRPr="009028A6">
        <w:t>any other person in connection with the provision of ENM services or to secure a right to provide services to an embedded network regulated by the AER.</w:t>
      </w:r>
    </w:p>
    <w:p w:rsidR="00F00E20" w:rsidRDefault="001F307A" w:rsidP="001F307A">
      <w:pPr>
        <w:pStyle w:val="Listalphabet"/>
      </w:pPr>
      <w:r>
        <w:t xml:space="preserve">An </w:t>
      </w:r>
      <w:r w:rsidR="00B06860">
        <w:t xml:space="preserve">ENM may </w:t>
      </w:r>
      <w:r w:rsidR="00962853">
        <w:t xml:space="preserve">make a bona fide </w:t>
      </w:r>
      <w:r w:rsidR="00B06860">
        <w:t xml:space="preserve">offer </w:t>
      </w:r>
      <w:r w:rsidR="00962853">
        <w:t xml:space="preserve">of </w:t>
      </w:r>
      <w:r w:rsidR="00B06860">
        <w:t>a sliding scale of charges based on volume of work</w:t>
      </w:r>
      <w:r w:rsidR="00962853">
        <w:t xml:space="preserve">. A bona fide offer based on volume of work </w:t>
      </w:r>
      <w:r w:rsidR="00E61EEB">
        <w:t xml:space="preserve">is </w:t>
      </w:r>
      <w:r w:rsidR="00962853">
        <w:t>not a breach of conditions 4.7.1(b) and (c)</w:t>
      </w:r>
      <w:r w:rsidR="00B06860">
        <w:t>.</w:t>
      </w:r>
    </w:p>
    <w:p w:rsidR="000D1802" w:rsidRDefault="000D1802" w:rsidP="000D1802">
      <w:pPr>
        <w:pStyle w:val="Heading4"/>
      </w:pPr>
      <w:bookmarkStart w:id="155" w:name="_Ref457224192"/>
      <w:r>
        <w:t>Cost recovery in an eligible community</w:t>
      </w:r>
      <w:bookmarkEnd w:id="155"/>
    </w:p>
    <w:p w:rsidR="0064166D" w:rsidRDefault="0064166D" w:rsidP="0064166D">
      <w:pPr>
        <w:pStyle w:val="Boxedtext"/>
      </w:pPr>
      <w:r>
        <w:t xml:space="preserve">Note: This condition applies where an eligible community elects to appoint an ENM for any reason and the cost of ENM services is to be recovered from ENM customers. See condition </w:t>
      </w:r>
      <w:r>
        <w:fldChar w:fldCharType="begin"/>
      </w:r>
      <w:r>
        <w:instrText xml:space="preserve"> REF _Ref456880845 \r \h  \* MERGEFORMAT </w:instrText>
      </w:r>
      <w:r>
        <w:fldChar w:fldCharType="separate"/>
      </w:r>
      <w:r w:rsidR="00D30DD5">
        <w:t>4.7.2</w:t>
      </w:r>
      <w:r>
        <w:fldChar w:fldCharType="end"/>
      </w:r>
      <w:r>
        <w:t xml:space="preserve"> if the community wish to not appoint or to revoke an appointment of an ENM. </w:t>
      </w:r>
    </w:p>
    <w:p w:rsidR="001D0FA4" w:rsidRDefault="00074BDA" w:rsidP="00432A71">
      <w:r w:rsidRPr="00074BDA">
        <w:t>This condition applies to an embedded network serving eligible community based groups registered in activity classes ND2, NR2, NR3, and NR4</w:t>
      </w:r>
      <w:r w:rsidR="00BE5CE5">
        <w:t xml:space="preserve"> or other bona fide groups approved by the AER</w:t>
      </w:r>
      <w:r w:rsidRPr="00074BDA">
        <w:t xml:space="preserve">. In particular, eligible community based groups include caravan park, </w:t>
      </w:r>
      <w:r w:rsidR="00437DA3">
        <w:t xml:space="preserve">holiday park, </w:t>
      </w:r>
      <w:r w:rsidR="00437DA3" w:rsidRPr="00C716E2">
        <w:t>residential land lease</w:t>
      </w:r>
      <w:r w:rsidR="00437DA3">
        <w:t>,</w:t>
      </w:r>
      <w:r w:rsidR="00F66875">
        <w:t xml:space="preserve"> </w:t>
      </w:r>
      <w:r w:rsidRPr="00074BDA">
        <w:t>manufactured home site and retirement communities and other groups of a similar nature</w:t>
      </w:r>
      <w:r w:rsidR="002E2A7A">
        <w:t xml:space="preserve"> participating in a group purchasing scheme whereby the </w:t>
      </w:r>
      <w:r w:rsidR="005078E3">
        <w:t xml:space="preserve">cost and </w:t>
      </w:r>
      <w:r w:rsidR="002E2A7A">
        <w:t xml:space="preserve">benefits of bulk purchasing are shared across </w:t>
      </w:r>
      <w:r w:rsidR="008B1F4E">
        <w:t>all members of the community</w:t>
      </w:r>
      <w:r w:rsidRPr="00074BDA">
        <w:t xml:space="preserve">. </w:t>
      </w:r>
      <w:r w:rsidR="000D1802">
        <w:t xml:space="preserve">An eligible community </w:t>
      </w:r>
      <w:r w:rsidR="001D0FA4">
        <w:t xml:space="preserve">(or a person or body corporate acting on behalf of the community) </w:t>
      </w:r>
      <w:r w:rsidR="000D1802">
        <w:t xml:space="preserve">may act as an exempt embedded network service provider. </w:t>
      </w:r>
    </w:p>
    <w:p w:rsidR="00432A71" w:rsidRPr="00432A71" w:rsidRDefault="000D1802" w:rsidP="00432A71">
      <w:r>
        <w:t>I</w:t>
      </w:r>
      <w:r w:rsidR="00074BDA">
        <w:t>f the eligible community is a</w:t>
      </w:r>
      <w:r>
        <w:t xml:space="preserve">n </w:t>
      </w:r>
      <w:r w:rsidR="00074BDA">
        <w:t xml:space="preserve">exempt embedded network service provider, </w:t>
      </w:r>
      <w:r>
        <w:t>the cost of the ENM services may be recovered from consumers in the embedded network</w:t>
      </w:r>
      <w:r w:rsidR="005C7F2E">
        <w:t xml:space="preserve"> as provided for in this condition </w:t>
      </w:r>
      <w:r w:rsidR="005C7F2E">
        <w:fldChar w:fldCharType="begin"/>
      </w:r>
      <w:r w:rsidR="005C7F2E">
        <w:instrText xml:space="preserve"> REF _Ref457224192 \r \h </w:instrText>
      </w:r>
      <w:r w:rsidR="005C7F2E">
        <w:fldChar w:fldCharType="separate"/>
      </w:r>
      <w:r w:rsidR="00D30DD5">
        <w:t>4.7.1.1</w:t>
      </w:r>
      <w:r w:rsidR="005C7F2E">
        <w:fldChar w:fldCharType="end"/>
      </w:r>
      <w:r>
        <w:t xml:space="preserve">. </w:t>
      </w:r>
      <w:r w:rsidR="00432A71" w:rsidRPr="00432A71">
        <w:t xml:space="preserve">An important consideration </w:t>
      </w:r>
      <w:r w:rsidR="007A0AE0">
        <w:t xml:space="preserve">for the AER </w:t>
      </w:r>
      <w:r w:rsidR="00432A71" w:rsidRPr="00432A71">
        <w:t xml:space="preserve">in the appointment of an ENM </w:t>
      </w:r>
      <w:r w:rsidR="0064166D">
        <w:t xml:space="preserve">in this situation </w:t>
      </w:r>
      <w:r w:rsidR="00432A71" w:rsidRPr="00432A71">
        <w:t xml:space="preserve">is </w:t>
      </w:r>
      <w:r w:rsidR="007A0AE0">
        <w:t>to ensure</w:t>
      </w:r>
      <w:r w:rsidR="00432A71" w:rsidRPr="00432A71">
        <w:t xml:space="preserve"> the appointment</w:t>
      </w:r>
      <w:r w:rsidR="007A0AE0">
        <w:t xml:space="preserve"> of the ENM by the exempt embedded network service provider </w:t>
      </w:r>
      <w:r w:rsidR="00432A71" w:rsidRPr="00432A71">
        <w:t>is also in the long</w:t>
      </w:r>
      <w:r w:rsidR="00BF5F61">
        <w:t>–</w:t>
      </w:r>
      <w:r w:rsidR="00432A71" w:rsidRPr="00432A71">
        <w:t xml:space="preserve">term interests of consumers. To </w:t>
      </w:r>
      <w:proofErr w:type="gramStart"/>
      <w:r w:rsidR="00432A71" w:rsidRPr="00432A71">
        <w:t>mitigate</w:t>
      </w:r>
      <w:proofErr w:type="gramEnd"/>
      <w:r w:rsidR="00432A71" w:rsidRPr="00432A71">
        <w:t xml:space="preserve"> against the possibility of future customers being locked in to long</w:t>
      </w:r>
      <w:r w:rsidR="00BF5F61">
        <w:t>–</w:t>
      </w:r>
      <w:r w:rsidR="00432A71" w:rsidRPr="00432A71">
        <w:t>term binding contracts that are not in their interests we require that:</w:t>
      </w:r>
    </w:p>
    <w:p w:rsidR="00432A71" w:rsidRPr="00432A71" w:rsidRDefault="00432A71" w:rsidP="003A3621">
      <w:pPr>
        <w:pStyle w:val="Listalphabet"/>
        <w:numPr>
          <w:ilvl w:val="0"/>
          <w:numId w:val="36"/>
        </w:numPr>
      </w:pPr>
      <w:r w:rsidRPr="00432A71">
        <w:t>the appointment of an ENM is conducted as an arm’s length transaction through a robust competitive process which in</w:t>
      </w:r>
      <w:r w:rsidR="001D0FA4">
        <w:t>cludes</w:t>
      </w:r>
      <w:r w:rsidRPr="00432A71">
        <w:t xml:space="preserve"> </w:t>
      </w:r>
      <w:r w:rsidR="001D0FA4">
        <w:t xml:space="preserve">a poll of </w:t>
      </w:r>
      <w:r w:rsidR="00A70090">
        <w:t xml:space="preserve">eligible members </w:t>
      </w:r>
      <w:r w:rsidR="008F3342">
        <w:t xml:space="preserve">conducted in accordance with condition </w:t>
      </w:r>
      <w:r w:rsidR="008F3342">
        <w:fldChar w:fldCharType="begin"/>
      </w:r>
      <w:r w:rsidR="008F3342">
        <w:instrText xml:space="preserve"> REF _Ref457225727 \r \h </w:instrText>
      </w:r>
      <w:r w:rsidR="008F3342">
        <w:fldChar w:fldCharType="separate"/>
      </w:r>
      <w:r w:rsidR="00D30DD5">
        <w:t>4.7.3</w:t>
      </w:r>
      <w:r w:rsidR="008F3342">
        <w:fldChar w:fldCharType="end"/>
      </w:r>
      <w:r w:rsidRPr="00432A71">
        <w:t>; and</w:t>
      </w:r>
    </w:p>
    <w:p w:rsidR="00432A71" w:rsidRDefault="001D0FA4" w:rsidP="003A3621">
      <w:pPr>
        <w:pStyle w:val="Listalphabet"/>
        <w:numPr>
          <w:ilvl w:val="0"/>
          <w:numId w:val="36"/>
        </w:numPr>
      </w:pPr>
      <w:r w:rsidRPr="001D0FA4">
        <w:t>an ENM must not pay an advance fee or a rebate to a property owner, developer or exempt embedded network service provider or any other person in connection with the provision of ENM services or to secure a right to provide services to an embedded network regulated by the AER</w:t>
      </w:r>
      <w:r w:rsidR="00432A71" w:rsidRPr="00432A71">
        <w:tab/>
      </w:r>
      <w:r w:rsidR="00242FBB">
        <w:t>; and</w:t>
      </w:r>
      <w:r w:rsidR="00432A71" w:rsidRPr="00432A71">
        <w:t xml:space="preserve"> </w:t>
      </w:r>
    </w:p>
    <w:p w:rsidR="00242FBB" w:rsidRPr="00242FBB" w:rsidRDefault="00EF3B73" w:rsidP="00242FBB">
      <w:pPr>
        <w:pStyle w:val="Listalphabet"/>
      </w:pPr>
      <w:proofErr w:type="gramStart"/>
      <w:r>
        <w:lastRenderedPageBreak/>
        <w:t>a</w:t>
      </w:r>
      <w:r w:rsidR="00242FBB" w:rsidRPr="00242FBB">
        <w:t>n</w:t>
      </w:r>
      <w:proofErr w:type="gramEnd"/>
      <w:r w:rsidR="00242FBB" w:rsidRPr="00242FBB">
        <w:t xml:space="preserve"> ENM may make a bona fide offer of a sliding scale of charges based on volume of work. A bona fide offer based on volume of work is not a breach of conditions 4.7.1</w:t>
      </w:r>
      <w:r w:rsidR="00242FBB">
        <w:t>.1 (b)</w:t>
      </w:r>
      <w:r w:rsidR="00242FBB" w:rsidRPr="00242FBB">
        <w:t>.</w:t>
      </w:r>
    </w:p>
    <w:p w:rsidR="008F3342" w:rsidRDefault="00432A71" w:rsidP="00432A71">
      <w:r w:rsidRPr="00432A71">
        <w:t>The appointment of an ENM other than the operator of an embedded network must be conducted by a t</w:t>
      </w:r>
      <w:r w:rsidR="008F3342">
        <w:t xml:space="preserve">ransparent competitive process and </w:t>
      </w:r>
      <w:r w:rsidRPr="00432A71">
        <w:t xml:space="preserve">with the agreement of </w:t>
      </w:r>
      <w:r w:rsidR="008F3342">
        <w:t>a two</w:t>
      </w:r>
      <w:r w:rsidR="00BF5F61">
        <w:t>–</w:t>
      </w:r>
      <w:r w:rsidR="008F3342">
        <w:t xml:space="preserve">thirds </w:t>
      </w:r>
      <w:r w:rsidRPr="00432A71">
        <w:t xml:space="preserve">majority of </w:t>
      </w:r>
      <w:r w:rsidR="00A70090">
        <w:t xml:space="preserve">eligible members </w:t>
      </w:r>
      <w:r w:rsidRPr="00432A71">
        <w:t xml:space="preserve">of the embedded network, each voting once. </w:t>
      </w:r>
    </w:p>
    <w:p w:rsidR="00432A71" w:rsidRPr="00432A71" w:rsidRDefault="008F3342" w:rsidP="00432A71">
      <w:r>
        <w:t xml:space="preserve">A resolution under this condition must include the name of the party making each competing competitive offer and, if the recommended party is not the lowest price offer, a statement of reasons why each offer has been preferred or not preferred, as appropriate. </w:t>
      </w:r>
    </w:p>
    <w:p w:rsidR="00432A71" w:rsidRDefault="00074BDA" w:rsidP="00432A71">
      <w:proofErr w:type="gramStart"/>
      <w:r>
        <w:t xml:space="preserve">Where an ENM </w:t>
      </w:r>
      <w:r w:rsidR="00432A71" w:rsidRPr="00432A71">
        <w:t>trigger event has occurred for one or more of the activity classes applicable to an embedded network</w:t>
      </w:r>
      <w:r>
        <w:t xml:space="preserve">, </w:t>
      </w:r>
      <w:r w:rsidR="0064166D">
        <w:t xml:space="preserve">the </w:t>
      </w:r>
      <w:r>
        <w:t>exempt embedded network service provider</w:t>
      </w:r>
      <w:r w:rsidR="00432A71" w:rsidRPr="00432A71">
        <w:t xml:space="preserve">, if the </w:t>
      </w:r>
      <w:r>
        <w:t xml:space="preserve">exempt person </w:t>
      </w:r>
      <w:r w:rsidR="00432A71" w:rsidRPr="00432A71">
        <w:t>is not an accredited ENM, must appoint an accredited ENM within 40 business days of the occurrence of a</w:t>
      </w:r>
      <w:r w:rsidR="008D52AE">
        <w:t>n ENM</w:t>
      </w:r>
      <w:r w:rsidR="00432A71" w:rsidRPr="00432A71">
        <w:t xml:space="preserve"> trigger event</w:t>
      </w:r>
      <w:r w:rsidR="0064166D">
        <w:t>.</w:t>
      </w:r>
      <w:proofErr w:type="gramEnd"/>
    </w:p>
    <w:p w:rsidR="00BB1EFD" w:rsidRPr="0028792A" w:rsidRDefault="00D50F21" w:rsidP="00BB1EFD">
      <w:pPr>
        <w:pStyle w:val="Heading3"/>
      </w:pPr>
      <w:bookmarkStart w:id="156" w:name="_Ref456880845"/>
      <w:bookmarkStart w:id="157" w:name="_Toc468276106"/>
      <w:r>
        <w:t>Non</w:t>
      </w:r>
      <w:r w:rsidR="00BF5F61">
        <w:t>–</w:t>
      </w:r>
      <w:r>
        <w:t xml:space="preserve">appointment </w:t>
      </w:r>
      <w:r w:rsidR="006D443B">
        <w:t xml:space="preserve">of an ENM </w:t>
      </w:r>
      <w:r>
        <w:t>and r</w:t>
      </w:r>
      <w:r w:rsidR="00BB1EFD">
        <w:t>eversion</w:t>
      </w:r>
      <w:bookmarkEnd w:id="156"/>
      <w:bookmarkEnd w:id="157"/>
    </w:p>
    <w:p w:rsidR="00F826BD" w:rsidRDefault="00382953" w:rsidP="00ED388F">
      <w:r>
        <w:t>This condition applies to</w:t>
      </w:r>
      <w:r w:rsidR="00852D2C">
        <w:t xml:space="preserve"> an embedded network serving</w:t>
      </w:r>
      <w:r>
        <w:t xml:space="preserve"> </w:t>
      </w:r>
      <w:r w:rsidR="001D0BA3">
        <w:t xml:space="preserve">eligible community based groups registered in activity classes </w:t>
      </w:r>
      <w:r w:rsidR="00D50F21">
        <w:t xml:space="preserve">ND2, NR2, </w:t>
      </w:r>
      <w:r w:rsidR="001D0BA3">
        <w:t xml:space="preserve">NR3, </w:t>
      </w:r>
      <w:r w:rsidR="001C6AC9">
        <w:t xml:space="preserve">and </w:t>
      </w:r>
      <w:r w:rsidR="001D0BA3">
        <w:t>NR4</w:t>
      </w:r>
      <w:r w:rsidR="00852D2C">
        <w:t xml:space="preserve">. </w:t>
      </w:r>
      <w:r w:rsidR="00B63A64">
        <w:t>Other bona fide bulk purchasing groups not in the list of eligible activity classes may apply to t</w:t>
      </w:r>
      <w:r w:rsidR="00F826BD">
        <w:t xml:space="preserve">he AER </w:t>
      </w:r>
      <w:r w:rsidR="00B63A64">
        <w:t>for</w:t>
      </w:r>
      <w:r w:rsidR="00F826BD">
        <w:t xml:space="preserve"> dispensation to also be treated as an eligible community. </w:t>
      </w:r>
    </w:p>
    <w:p w:rsidR="00C24DED" w:rsidRDefault="00F826BD" w:rsidP="00ED388F">
      <w:r>
        <w:t>E</w:t>
      </w:r>
      <w:r w:rsidR="00852D2C">
        <w:t xml:space="preserve">ligible community based groups </w:t>
      </w:r>
      <w:r w:rsidR="00B63A64">
        <w:t xml:space="preserve">will </w:t>
      </w:r>
      <w:r w:rsidR="00852D2C">
        <w:t>include</w:t>
      </w:r>
      <w:r w:rsidR="001D0BA3">
        <w:t xml:space="preserve"> </w:t>
      </w:r>
      <w:r w:rsidR="00382953">
        <w:t xml:space="preserve">caravan park, </w:t>
      </w:r>
      <w:r w:rsidR="00F66875">
        <w:t xml:space="preserve">holiday park, </w:t>
      </w:r>
      <w:r w:rsidR="00F66875" w:rsidRPr="00F66875">
        <w:t>residential land lease,</w:t>
      </w:r>
      <w:r w:rsidR="00F66875">
        <w:t xml:space="preserve"> </w:t>
      </w:r>
      <w:r w:rsidR="00382953">
        <w:t>manufactured home site and retirement communities</w:t>
      </w:r>
      <w:r w:rsidR="00852D2C">
        <w:t xml:space="preserve"> and other groups of a similar nature</w:t>
      </w:r>
      <w:r w:rsidR="008B1F4E" w:rsidRPr="008B1F4E">
        <w:t xml:space="preserve"> participating in a group purchasing scheme whereby the benefits of bulk purchasing are shared across all members of the community</w:t>
      </w:r>
      <w:r w:rsidR="001D0BA3">
        <w:t>.</w:t>
      </w:r>
      <w:r w:rsidR="00382953">
        <w:t xml:space="preserve"> </w:t>
      </w:r>
    </w:p>
    <w:p w:rsidR="00D27C85" w:rsidRDefault="001D0BA3" w:rsidP="00ED388F">
      <w:r>
        <w:t>This condition</w:t>
      </w:r>
      <w:r w:rsidR="00270BDE">
        <w:t xml:space="preserve"> provides a mechanism for </w:t>
      </w:r>
      <w:r>
        <w:t xml:space="preserve">eligible </w:t>
      </w:r>
      <w:r w:rsidR="00270BDE">
        <w:t>communities to not appoint an ENM immediately</w:t>
      </w:r>
      <w:r>
        <w:t xml:space="preserve"> or, if no community member is </w:t>
      </w:r>
      <w:r w:rsidR="005D0CE5">
        <w:t xml:space="preserve">served by </w:t>
      </w:r>
      <w:r>
        <w:t>a market retail offer, to cease to engage an ENM</w:t>
      </w:r>
      <w:r w:rsidR="00270BDE">
        <w:t>.</w:t>
      </w:r>
      <w:r w:rsidR="005D0CE5">
        <w:t xml:space="preserve"> In this condition, an eligible member is any person who is subject to a requirement to pay a charge for service by the exempt embedded network.</w:t>
      </w:r>
      <w:r w:rsidR="00D27C85">
        <w:t xml:space="preserve"> </w:t>
      </w:r>
    </w:p>
    <w:p w:rsidR="00C24DED" w:rsidRDefault="00523DF5" w:rsidP="003A3621">
      <w:pPr>
        <w:pStyle w:val="Listalphabet"/>
        <w:numPr>
          <w:ilvl w:val="0"/>
          <w:numId w:val="41"/>
        </w:numPr>
      </w:pPr>
      <w:r>
        <w:t xml:space="preserve">If requested by to do so by the </w:t>
      </w:r>
      <w:proofErr w:type="gramStart"/>
      <w:r>
        <w:t>lesser</w:t>
      </w:r>
      <w:proofErr w:type="gramEnd"/>
      <w:r>
        <w:t xml:space="preserve"> of 10 per cent of eligible members or ten eligible members</w:t>
      </w:r>
      <w:r w:rsidR="00D50F21">
        <w:t>,</w:t>
      </w:r>
      <w:r>
        <w:t xml:space="preserve"> an exempt embedded network service provider must, within 30 days, prepare a resolution and conduct a poll of eligible members whether to adopt the resolution.</w:t>
      </w:r>
    </w:p>
    <w:p w:rsidR="00523DF5" w:rsidRDefault="00462F66" w:rsidP="003A3621">
      <w:pPr>
        <w:pStyle w:val="Listalphabet"/>
        <w:numPr>
          <w:ilvl w:val="0"/>
          <w:numId w:val="41"/>
        </w:numPr>
      </w:pPr>
      <w:r>
        <w:t xml:space="preserve">A poll may be sought at </w:t>
      </w:r>
      <w:r w:rsidR="002511EF">
        <w:t xml:space="preserve">any </w:t>
      </w:r>
      <w:proofErr w:type="gramStart"/>
      <w:r w:rsidR="002511EF">
        <w:t>time</w:t>
      </w:r>
      <w:r>
        <w:t>,</w:t>
      </w:r>
      <w:proofErr w:type="gramEnd"/>
      <w:r>
        <w:t xml:space="preserve"> however, an exempt embedded network service provider is only required to conduct one poll in any twelve month period.</w:t>
      </w:r>
    </w:p>
    <w:p w:rsidR="001D0FA4" w:rsidRDefault="001D0FA4" w:rsidP="00285D35">
      <w:pPr>
        <w:pStyle w:val="Listalphabet"/>
      </w:pPr>
      <w:r w:rsidRPr="00ED388F">
        <w:t xml:space="preserve">For </w:t>
      </w:r>
      <w:r w:rsidR="00F34486">
        <w:t xml:space="preserve">those </w:t>
      </w:r>
      <w:r>
        <w:t>eligible</w:t>
      </w:r>
      <w:r w:rsidRPr="00ED388F">
        <w:t xml:space="preserve"> communities </w:t>
      </w:r>
      <w:r w:rsidR="00F34486">
        <w:t xml:space="preserve">in </w:t>
      </w:r>
      <w:r w:rsidRPr="00ED388F">
        <w:t xml:space="preserve">which </w:t>
      </w:r>
      <w:r>
        <w:t xml:space="preserve">an exempt embedded network service provider offers </w:t>
      </w:r>
      <w:r w:rsidRPr="00ED388F">
        <w:t>price</w:t>
      </w:r>
      <w:r w:rsidR="00BF5F61">
        <w:t>–</w:t>
      </w:r>
      <w:r w:rsidRPr="00ED388F">
        <w:t>matching</w:t>
      </w:r>
      <w:r>
        <w:t xml:space="preserve"> in accordance with </w:t>
      </w:r>
      <w:r w:rsidR="008E112C">
        <w:t xml:space="preserve">condition </w:t>
      </w:r>
      <w:r w:rsidR="008E112C">
        <w:fldChar w:fldCharType="begin"/>
      </w:r>
      <w:r w:rsidR="008E112C">
        <w:instrText xml:space="preserve"> REF _Ref456946997 \r \h </w:instrText>
      </w:r>
      <w:r w:rsidR="00C24DED">
        <w:instrText xml:space="preserve"> \* MERGEFORMAT </w:instrText>
      </w:r>
      <w:r w:rsidR="008E112C">
        <w:fldChar w:fldCharType="separate"/>
      </w:r>
      <w:r w:rsidR="008E112C">
        <w:t>4.9.3</w:t>
      </w:r>
      <w:r w:rsidR="008E112C">
        <w:fldChar w:fldCharType="end"/>
      </w:r>
      <w:r w:rsidR="008E112C">
        <w:t xml:space="preserve"> or </w:t>
      </w:r>
      <w:r>
        <w:t xml:space="preserve">condition </w:t>
      </w:r>
      <w:r>
        <w:fldChar w:fldCharType="begin"/>
      </w:r>
      <w:r>
        <w:instrText xml:space="preserve"> REF _Ref456947010 \r \h </w:instrText>
      </w:r>
      <w:r w:rsidR="00C24DED">
        <w:instrText xml:space="preserve"> \* MERGEFORMAT </w:instrText>
      </w:r>
      <w:r>
        <w:fldChar w:fldCharType="separate"/>
      </w:r>
      <w:r w:rsidR="00D30DD5">
        <w:t>4.9.4</w:t>
      </w:r>
      <w:r>
        <w:fldChar w:fldCharType="end"/>
      </w:r>
      <w:r w:rsidRPr="00ED388F">
        <w:t xml:space="preserve">, the </w:t>
      </w:r>
      <w:r>
        <w:t xml:space="preserve">exempt embedded network service provider may, if requested by the eligible member, offer to </w:t>
      </w:r>
      <w:r w:rsidRPr="00ED388F">
        <w:t xml:space="preserve">match the prices </w:t>
      </w:r>
      <w:r>
        <w:t xml:space="preserve">offered </w:t>
      </w:r>
      <w:r w:rsidRPr="00ED388F">
        <w:t xml:space="preserve">by </w:t>
      </w:r>
      <w:r>
        <w:t xml:space="preserve">a relevant market </w:t>
      </w:r>
      <w:r w:rsidRPr="00ED388F">
        <w:t>retailer.</w:t>
      </w:r>
      <w:r w:rsidR="00F34486">
        <w:rPr>
          <w:rStyle w:val="FootnoteReference"/>
        </w:rPr>
        <w:footnoteReference w:id="42"/>
      </w:r>
      <w:r w:rsidRPr="00ED388F">
        <w:t xml:space="preserve"> </w:t>
      </w:r>
    </w:p>
    <w:p w:rsidR="001D0FA4" w:rsidRDefault="001D0FA4" w:rsidP="00285D35">
      <w:pPr>
        <w:pStyle w:val="Listalphabet"/>
      </w:pPr>
      <w:r>
        <w:lastRenderedPageBreak/>
        <w:t>If no counter</w:t>
      </w:r>
      <w:r w:rsidR="00BF5F61">
        <w:t>–</w:t>
      </w:r>
      <w:r w:rsidRPr="00ED388F">
        <w:t xml:space="preserve">offer is made </w:t>
      </w:r>
      <w:r>
        <w:t>or, if the counter offer is not accepted, the exempt embedded network service provider must appoint an ENM when the ENM condition trigger is satisfied.</w:t>
      </w:r>
    </w:p>
    <w:p w:rsidR="001D0FA4" w:rsidRDefault="001D0FA4" w:rsidP="008F3342">
      <w:pPr>
        <w:pStyle w:val="Heading3"/>
      </w:pPr>
      <w:bookmarkStart w:id="158" w:name="_Ref457225727"/>
      <w:bookmarkStart w:id="159" w:name="_Toc468276107"/>
      <w:r>
        <w:t>Poll requirements</w:t>
      </w:r>
      <w:bookmarkEnd w:id="158"/>
      <w:bookmarkEnd w:id="159"/>
    </w:p>
    <w:p w:rsidR="00D94A1A" w:rsidRDefault="00270BDE" w:rsidP="00ED388F">
      <w:r>
        <w:t xml:space="preserve">Where </w:t>
      </w:r>
      <w:r w:rsidR="00B24133">
        <w:t>a</w:t>
      </w:r>
      <w:r w:rsidR="003D3E42">
        <w:t xml:space="preserve">n eligible </w:t>
      </w:r>
      <w:r w:rsidR="00ED388F" w:rsidRPr="00ED388F">
        <w:t>communit</w:t>
      </w:r>
      <w:r w:rsidR="00852D2C">
        <w:t>y</w:t>
      </w:r>
      <w:r w:rsidR="008F4386">
        <w:t xml:space="preserve"> proposes by a resolution of its members to </w:t>
      </w:r>
      <w:r w:rsidR="001D0FA4">
        <w:t xml:space="preserve">appoint, or </w:t>
      </w:r>
      <w:r w:rsidR="008F4386">
        <w:t xml:space="preserve">not appoint, or to cease to appoint, an ENM the </w:t>
      </w:r>
      <w:r w:rsidR="005D0CE5">
        <w:t>exempt embedded network service provider must</w:t>
      </w:r>
      <w:r w:rsidR="00D94A1A">
        <w:t>:</w:t>
      </w:r>
    </w:p>
    <w:p w:rsidR="008F4386" w:rsidRPr="00047664" w:rsidRDefault="008F4386" w:rsidP="003A3621">
      <w:pPr>
        <w:pStyle w:val="ListNumber"/>
        <w:numPr>
          <w:ilvl w:val="0"/>
          <w:numId w:val="35"/>
        </w:numPr>
      </w:pPr>
      <w:r w:rsidRPr="00047664">
        <w:t xml:space="preserve">provide a notice </w:t>
      </w:r>
      <w:r w:rsidR="00047664" w:rsidRPr="00047664">
        <w:t>at least 14</w:t>
      </w:r>
      <w:r w:rsidR="005B2B96">
        <w:t xml:space="preserve"> calendar</w:t>
      </w:r>
      <w:r w:rsidR="00047664" w:rsidRPr="00047664">
        <w:t xml:space="preserve"> days prior to a vote to all eligible members </w:t>
      </w:r>
      <w:r w:rsidRPr="00047664">
        <w:t xml:space="preserve">of </w:t>
      </w:r>
      <w:r w:rsidR="00047664">
        <w:t xml:space="preserve">the </w:t>
      </w:r>
      <w:r w:rsidRPr="00047664">
        <w:t xml:space="preserve">intention </w:t>
      </w:r>
      <w:r w:rsidR="00047664">
        <w:t xml:space="preserve">to </w:t>
      </w:r>
      <w:r w:rsidRPr="00047664">
        <w:t xml:space="preserve">consider </w:t>
      </w:r>
      <w:r w:rsidR="008F3342">
        <w:t xml:space="preserve">a </w:t>
      </w:r>
      <w:r w:rsidRPr="00047664">
        <w:t xml:space="preserve">resolution </w:t>
      </w:r>
    </w:p>
    <w:p w:rsidR="008F4386" w:rsidRPr="00047664" w:rsidRDefault="008F4386" w:rsidP="00047664">
      <w:pPr>
        <w:pStyle w:val="ListNumber"/>
      </w:pPr>
      <w:bookmarkStart w:id="160" w:name="_Ref456957639"/>
      <w:r w:rsidRPr="00047664">
        <w:t xml:space="preserve">provide every eligible member with a copy of the notice required under condition </w:t>
      </w:r>
      <w:r w:rsidR="002672BB" w:rsidRPr="00047664">
        <w:fldChar w:fldCharType="begin"/>
      </w:r>
      <w:r w:rsidR="002672BB" w:rsidRPr="00047664">
        <w:instrText xml:space="preserve"> REF _Ref456952979 \r \h </w:instrText>
      </w:r>
      <w:r w:rsidR="00047664">
        <w:instrText xml:space="preserve"> \* MERGEFORMAT </w:instrText>
      </w:r>
      <w:r w:rsidR="002672BB" w:rsidRPr="00047664">
        <w:fldChar w:fldCharType="separate"/>
      </w:r>
      <w:r w:rsidR="00D30DD5">
        <w:t>4.8.1</w:t>
      </w:r>
      <w:r w:rsidR="002672BB" w:rsidRPr="00047664">
        <w:fldChar w:fldCharType="end"/>
      </w:r>
      <w:r w:rsidR="00D50F21">
        <w:t>,</w:t>
      </w:r>
      <w:r w:rsidR="00047664">
        <w:t xml:space="preserve"> </w:t>
      </w:r>
      <w:r w:rsidR="005D0CE5">
        <w:t xml:space="preserve">a copy of the proposed resolution and </w:t>
      </w:r>
      <w:r w:rsidR="00523DF5">
        <w:t xml:space="preserve">written </w:t>
      </w:r>
      <w:r w:rsidR="00047664">
        <w:t>information</w:t>
      </w:r>
      <w:r w:rsidR="00047664" w:rsidRPr="00047664">
        <w:t xml:space="preserve"> </w:t>
      </w:r>
      <w:r w:rsidR="00047664">
        <w:t xml:space="preserve">supporting </w:t>
      </w:r>
      <w:r w:rsidR="00523DF5">
        <w:t xml:space="preserve">or opposing </w:t>
      </w:r>
      <w:r w:rsidR="00047664">
        <w:t>the resolution</w:t>
      </w:r>
      <w:bookmarkEnd w:id="160"/>
    </w:p>
    <w:p w:rsidR="008F4386" w:rsidRPr="00047664" w:rsidRDefault="00D94A1A" w:rsidP="00047664">
      <w:pPr>
        <w:pStyle w:val="ListNumber"/>
      </w:pPr>
      <w:r w:rsidRPr="00047664">
        <w:t xml:space="preserve">conduct a poll of </w:t>
      </w:r>
      <w:r w:rsidR="008F4386" w:rsidRPr="00047664">
        <w:t xml:space="preserve">eligible members </w:t>
      </w:r>
      <w:r w:rsidR="00D50F21">
        <w:t xml:space="preserve">in which </w:t>
      </w:r>
      <w:r w:rsidR="008F4386" w:rsidRPr="00047664">
        <w:t xml:space="preserve">eligible </w:t>
      </w:r>
      <w:r w:rsidR="001B5CDF">
        <w:t xml:space="preserve">members </w:t>
      </w:r>
      <w:r w:rsidR="00D50F21">
        <w:t>may</w:t>
      </w:r>
      <w:r w:rsidR="008F4386" w:rsidRPr="00047664">
        <w:t xml:space="preserve"> vote once</w:t>
      </w:r>
      <w:r w:rsidR="00047664">
        <w:t xml:space="preserve"> (but voting is not compulsory)</w:t>
      </w:r>
    </w:p>
    <w:p w:rsidR="008F4386" w:rsidRPr="00047664" w:rsidRDefault="00462F66" w:rsidP="00047664">
      <w:pPr>
        <w:pStyle w:val="ListNumber"/>
      </w:pPr>
      <w:r>
        <w:t xml:space="preserve">record </w:t>
      </w:r>
      <w:r w:rsidR="006D443B">
        <w:t xml:space="preserve">and report to the AER </w:t>
      </w:r>
      <w:r w:rsidR="008F4386" w:rsidRPr="00047664">
        <w:t>separate tallies of the total votes for and against</w:t>
      </w:r>
      <w:r w:rsidR="002672BB" w:rsidRPr="00047664">
        <w:t xml:space="preserve"> the resolution</w:t>
      </w:r>
      <w:r w:rsidR="008F4386" w:rsidRPr="00047664">
        <w:t>, the total proxy votes for and against</w:t>
      </w:r>
      <w:r w:rsidR="00D27C85">
        <w:t>,</w:t>
      </w:r>
      <w:r w:rsidR="008F4386" w:rsidRPr="00047664">
        <w:t xml:space="preserve"> the total number of eligible voters </w:t>
      </w:r>
      <w:r w:rsidR="00D27C85">
        <w:t>and the total number of informal votes and excluded votes.</w:t>
      </w:r>
    </w:p>
    <w:p w:rsidR="00D94A1A" w:rsidRPr="00047664" w:rsidRDefault="00462F66" w:rsidP="00047664">
      <w:pPr>
        <w:pStyle w:val="ListNumber"/>
      </w:pPr>
      <w:proofErr w:type="gramStart"/>
      <w:r>
        <w:t>report</w:t>
      </w:r>
      <w:proofErr w:type="gramEnd"/>
      <w:r>
        <w:t xml:space="preserve"> </w:t>
      </w:r>
      <w:r w:rsidR="00D94A1A" w:rsidRPr="00047664">
        <w:t xml:space="preserve">the results of the poll </w:t>
      </w:r>
      <w:r w:rsidR="005D0CE5" w:rsidRPr="00047664">
        <w:t>to the AER</w:t>
      </w:r>
      <w:r>
        <w:t xml:space="preserve"> (electronically is preferred)</w:t>
      </w:r>
      <w:r w:rsidR="006D443B">
        <w:t xml:space="preserve"> within a further ten business days</w:t>
      </w:r>
      <w:r>
        <w:t>, including a copy of all material circulated to members under conditio</w:t>
      </w:r>
      <w:r w:rsidR="00AC4626">
        <w:t xml:space="preserve">n </w:t>
      </w:r>
      <w:r w:rsidR="00AC4626">
        <w:fldChar w:fldCharType="begin"/>
      </w:r>
      <w:r w:rsidR="00AC4626">
        <w:instrText xml:space="preserve"> REF _Ref457225727 \r \h </w:instrText>
      </w:r>
      <w:r w:rsidR="00AC4626">
        <w:fldChar w:fldCharType="separate"/>
      </w:r>
      <w:r w:rsidR="00D30DD5">
        <w:t>4.7.3</w:t>
      </w:r>
      <w:r w:rsidR="00AC4626">
        <w:fldChar w:fldCharType="end"/>
      </w:r>
      <w:r>
        <w:t>.</w:t>
      </w:r>
      <w:r>
        <w:fldChar w:fldCharType="begin"/>
      </w:r>
      <w:r>
        <w:instrText xml:space="preserve"> REF _Ref456957639 \r \h </w:instrText>
      </w:r>
      <w:r>
        <w:fldChar w:fldCharType="separate"/>
      </w:r>
      <w:r w:rsidR="00D30DD5">
        <w:t>2</w:t>
      </w:r>
      <w:r>
        <w:fldChar w:fldCharType="end"/>
      </w:r>
      <w:r w:rsidR="008B1F4E">
        <w:t xml:space="preserve"> and a detailed description of the benefit sharing mechanism</w:t>
      </w:r>
      <w:r>
        <w:t>.</w:t>
      </w:r>
    </w:p>
    <w:p w:rsidR="00D94A1A" w:rsidRDefault="00462F66" w:rsidP="00ED388F">
      <w:r>
        <w:t xml:space="preserve">If </w:t>
      </w:r>
      <w:r w:rsidR="003D3E42" w:rsidRPr="00047664">
        <w:t>a two</w:t>
      </w:r>
      <w:r w:rsidR="00BF5F61">
        <w:t>–</w:t>
      </w:r>
      <w:r w:rsidR="003D3E42" w:rsidRPr="00047664">
        <w:t xml:space="preserve">thirds majority of eligible members of the community </w:t>
      </w:r>
      <w:r w:rsidR="003D3E42">
        <w:t xml:space="preserve">who vote </w:t>
      </w:r>
      <w:r w:rsidR="00AC4626">
        <w:t>are</w:t>
      </w:r>
      <w:r w:rsidR="003D3E42" w:rsidRPr="00047664">
        <w:t xml:space="preserve"> in favour of a resolution</w:t>
      </w:r>
      <w:r w:rsidR="003D3E42">
        <w:t xml:space="preserve"> and </w:t>
      </w:r>
      <w:r>
        <w:t xml:space="preserve">the AER is satisfied </w:t>
      </w:r>
      <w:r w:rsidR="00154EF9">
        <w:t>with</w:t>
      </w:r>
      <w:r>
        <w:t xml:space="preserve"> the conduct of the poll</w:t>
      </w:r>
      <w:r w:rsidR="00D27C85">
        <w:t xml:space="preserve"> </w:t>
      </w:r>
      <w:r w:rsidR="008B1F4E">
        <w:t xml:space="preserve">and that the benefit sharing mechanism is equitable, </w:t>
      </w:r>
      <w:r w:rsidR="00154EF9">
        <w:t xml:space="preserve">the AER will determine whether </w:t>
      </w:r>
      <w:r w:rsidR="00D27C85">
        <w:t xml:space="preserve">the exempt embedded network service provider may </w:t>
      </w:r>
      <w:r w:rsidR="00AC4626">
        <w:t xml:space="preserve">appoint, </w:t>
      </w:r>
      <w:r w:rsidR="00D27C85">
        <w:t>not appoint, or cease to appoint, an ENM as the case requires.</w:t>
      </w:r>
      <w:r w:rsidR="00154EF9">
        <w:t xml:space="preserve"> The decision of the AER does not take effect until receipt of a notice from the AER of this decision.</w:t>
      </w:r>
    </w:p>
    <w:p w:rsidR="0028792A" w:rsidRDefault="00154EF9" w:rsidP="00ED388F">
      <w:r>
        <w:t xml:space="preserve">An application under this condition may be treated as a public matter and may be subject to publication as </w:t>
      </w:r>
      <w:r w:rsidR="00AC4626">
        <w:t>discussed</w:t>
      </w:r>
      <w:r>
        <w:t xml:space="preserve"> in section </w:t>
      </w:r>
      <w:r>
        <w:fldChar w:fldCharType="begin"/>
      </w:r>
      <w:r>
        <w:instrText xml:space="preserve"> REF _Ref456963214 \r \h </w:instrText>
      </w:r>
      <w:r>
        <w:fldChar w:fldCharType="separate"/>
      </w:r>
      <w:r w:rsidR="00D30DD5">
        <w:t>2.4</w:t>
      </w:r>
      <w:r>
        <w:fldChar w:fldCharType="end"/>
      </w:r>
      <w:r>
        <w:t xml:space="preserve"> of this guideline. </w:t>
      </w:r>
    </w:p>
    <w:p w:rsidR="00624715" w:rsidRDefault="00624715">
      <w:pPr>
        <w:spacing w:line="240" w:lineRule="auto"/>
      </w:pPr>
      <w:r>
        <w:br w:type="page"/>
      </w:r>
    </w:p>
    <w:p w:rsidR="00AE646D" w:rsidRDefault="00AE646D" w:rsidP="00AE646D">
      <w:pPr>
        <w:pStyle w:val="Heading2"/>
      </w:pPr>
      <w:bookmarkStart w:id="161" w:name="_Toc466303943"/>
      <w:bookmarkStart w:id="162" w:name="_Ref456785006"/>
      <w:bookmarkStart w:id="163" w:name="_Toc468276108"/>
      <w:bookmarkStart w:id="164" w:name="_Ref456784679"/>
      <w:bookmarkEnd w:id="161"/>
      <w:r>
        <w:lastRenderedPageBreak/>
        <w:t>Information provision</w:t>
      </w:r>
      <w:bookmarkEnd w:id="162"/>
      <w:bookmarkEnd w:id="163"/>
    </w:p>
    <w:p w:rsidR="00AE646D" w:rsidRPr="008E00F6" w:rsidRDefault="00AE646D" w:rsidP="00AE646D">
      <w:r>
        <w:t>An exempt embedded network service provider must provide information to customers</w:t>
      </w:r>
      <w:r w:rsidR="00BA1524">
        <w:t xml:space="preserve"> on request</w:t>
      </w:r>
      <w:r>
        <w:t xml:space="preserve">, maintain a contact point and keep records as set out in this condition </w:t>
      </w:r>
      <w:r>
        <w:fldChar w:fldCharType="begin"/>
      </w:r>
      <w:r>
        <w:instrText xml:space="preserve"> REF _Ref456785006 \r \h </w:instrText>
      </w:r>
      <w:r>
        <w:fldChar w:fldCharType="separate"/>
      </w:r>
      <w:r w:rsidR="00D30DD5">
        <w:t>4.8</w:t>
      </w:r>
      <w:r>
        <w:fldChar w:fldCharType="end"/>
      </w:r>
      <w:r>
        <w:t>.</w:t>
      </w:r>
    </w:p>
    <w:p w:rsidR="00AE646D" w:rsidRPr="008E00F6" w:rsidRDefault="00AE646D" w:rsidP="00AE646D">
      <w:pPr>
        <w:pStyle w:val="Heading3"/>
      </w:pPr>
      <w:bookmarkStart w:id="165" w:name="_Ref456952979"/>
      <w:bookmarkStart w:id="166" w:name="_Ref456959930"/>
      <w:bookmarkStart w:id="167" w:name="_Toc468276109"/>
      <w:r w:rsidRPr="008E00F6">
        <w:t>Provision of exempt selling information to exempt customers</w:t>
      </w:r>
      <w:bookmarkEnd w:id="165"/>
      <w:bookmarkEnd w:id="166"/>
      <w:bookmarkEnd w:id="167"/>
      <w:r w:rsidR="001D28C3">
        <w:t xml:space="preserve"> </w:t>
      </w:r>
    </w:p>
    <w:p w:rsidR="00AE646D" w:rsidRPr="008E00F6" w:rsidRDefault="00AE646D" w:rsidP="00AE646D">
      <w:pPr>
        <w:pStyle w:val="List"/>
      </w:pPr>
      <w:r w:rsidRPr="008E00F6">
        <w:t>1.</w:t>
      </w:r>
      <w:r w:rsidRPr="008E00F6">
        <w:tab/>
        <w:t xml:space="preserve">The </w:t>
      </w:r>
      <w:r>
        <w:t xml:space="preserve">exempt embedded network service provider </w:t>
      </w:r>
      <w:r w:rsidRPr="008E00F6">
        <w:t xml:space="preserve">must advise an exempt customer, in writing, at the start of their tenancy/electricity sale agreement of the following: </w:t>
      </w:r>
    </w:p>
    <w:p w:rsidR="00AE646D" w:rsidRPr="008E00F6" w:rsidRDefault="00AE646D" w:rsidP="00AE646D">
      <w:pPr>
        <w:pStyle w:val="List2"/>
      </w:pPr>
      <w:r w:rsidRPr="008E00F6">
        <w:t>a.</w:t>
      </w:r>
      <w:r w:rsidRPr="008E00F6">
        <w:tab/>
        <w:t>any right</w:t>
      </w:r>
      <w:r w:rsidR="00C4588D">
        <w:t xml:space="preserve"> of the exempt customer, under S</w:t>
      </w:r>
      <w:r w:rsidRPr="008E00F6">
        <w:t xml:space="preserve">tate or </w:t>
      </w:r>
      <w:r w:rsidR="00C4588D">
        <w:t>T</w:t>
      </w:r>
      <w:r w:rsidRPr="008E00F6">
        <w:t>erritory laws, to elect to purchase energy from a retailer of their choice and information on the options for metering that would allow this choice</w:t>
      </w:r>
    </w:p>
    <w:p w:rsidR="00AE646D" w:rsidRPr="008E00F6" w:rsidRDefault="00AE646D" w:rsidP="00AE646D">
      <w:pPr>
        <w:pStyle w:val="List2"/>
      </w:pPr>
      <w:r w:rsidRPr="008E00F6">
        <w:t>b.</w:t>
      </w:r>
      <w:r w:rsidRPr="008E00F6">
        <w:tab/>
        <w:t>the exempt customer’s rights in relation to dispute resolution including:</w:t>
      </w:r>
    </w:p>
    <w:p w:rsidR="00AE646D" w:rsidRPr="008E00F6" w:rsidRDefault="00AE646D" w:rsidP="00AE646D">
      <w:pPr>
        <w:pStyle w:val="List3"/>
      </w:pPr>
      <w:proofErr w:type="spellStart"/>
      <w:r w:rsidRPr="008E00F6">
        <w:t>i</w:t>
      </w:r>
      <w:proofErr w:type="spellEnd"/>
      <w:r w:rsidRPr="008E00F6">
        <w:t>.</w:t>
      </w:r>
      <w:r w:rsidRPr="008E00F6">
        <w:tab/>
        <w:t xml:space="preserve">the exempt person’s procedures for handling disputes and complaints </w:t>
      </w:r>
    </w:p>
    <w:p w:rsidR="00AE646D" w:rsidRPr="008E00F6" w:rsidRDefault="00AE646D" w:rsidP="00AE646D">
      <w:pPr>
        <w:pStyle w:val="List3"/>
      </w:pPr>
      <w:r w:rsidRPr="008E00F6">
        <w:t>ii.</w:t>
      </w:r>
      <w:r w:rsidRPr="008E00F6">
        <w:tab/>
      </w:r>
      <w:proofErr w:type="gramStart"/>
      <w:r w:rsidRPr="008E00F6">
        <w:t>any</w:t>
      </w:r>
      <w:proofErr w:type="gramEnd"/>
      <w:r w:rsidRPr="008E00F6">
        <w:t xml:space="preserve"> right that the exempt customer has to access the energy Ombudsman scheme or any other relevant external </w:t>
      </w:r>
      <w:r w:rsidR="00C4588D">
        <w:t>dispute resolution body in the S</w:t>
      </w:r>
      <w:r w:rsidRPr="008E00F6">
        <w:t xml:space="preserve">tate or </w:t>
      </w:r>
      <w:r w:rsidR="00C4588D">
        <w:t>T</w:t>
      </w:r>
      <w:r w:rsidRPr="008E00F6">
        <w:t>erritory in which the exempt customer is located.</w:t>
      </w:r>
    </w:p>
    <w:p w:rsidR="00AE646D" w:rsidRPr="008E00F6" w:rsidRDefault="00AE646D" w:rsidP="00AE646D">
      <w:pPr>
        <w:pStyle w:val="List2"/>
      </w:pPr>
      <w:r w:rsidRPr="008E00F6">
        <w:t>c.</w:t>
      </w:r>
      <w:r w:rsidRPr="008E00F6">
        <w:tab/>
        <w:t xml:space="preserve">the conditions applicable to the exemption that the </w:t>
      </w:r>
      <w:r>
        <w:t xml:space="preserve">exempt embedded network service provider </w:t>
      </w:r>
      <w:r w:rsidRPr="008E00F6">
        <w:t>is operating under</w:t>
      </w:r>
    </w:p>
    <w:p w:rsidR="00AE646D" w:rsidRPr="008E00F6" w:rsidRDefault="00AE646D" w:rsidP="00AE646D">
      <w:pPr>
        <w:pStyle w:val="List2"/>
      </w:pPr>
      <w:r w:rsidRPr="008E00F6">
        <w:t>d.</w:t>
      </w:r>
      <w:r w:rsidRPr="008E00F6">
        <w:tab/>
      </w:r>
      <w:r w:rsidR="00FC6E6D">
        <w:t xml:space="preserve">unbundled details of </w:t>
      </w:r>
      <w:r w:rsidRPr="008E00F6">
        <w:t>the network tariffs and all associated fees and charges that will apply to the exempt customer in relation to the sale of energy</w:t>
      </w:r>
    </w:p>
    <w:p w:rsidR="00AE646D" w:rsidRPr="008E00F6" w:rsidRDefault="00AE646D" w:rsidP="00AE646D">
      <w:pPr>
        <w:pStyle w:val="List2"/>
      </w:pPr>
      <w:proofErr w:type="gramStart"/>
      <w:r w:rsidRPr="008E00F6">
        <w:t>e</w:t>
      </w:r>
      <w:proofErr w:type="gramEnd"/>
      <w:r w:rsidRPr="008E00F6">
        <w:t>.</w:t>
      </w:r>
      <w:r w:rsidRPr="008E00F6">
        <w:tab/>
        <w:t>contact numbers in the event of an electricity fault or emergency, including the number for a 24</w:t>
      </w:r>
      <w:r w:rsidR="00BF5F61">
        <w:t>–</w:t>
      </w:r>
      <w:r w:rsidRPr="008E00F6">
        <w:t>hour emergency contact line.</w:t>
      </w:r>
    </w:p>
    <w:p w:rsidR="00AE646D" w:rsidRDefault="00AE646D" w:rsidP="00AE646D">
      <w:pPr>
        <w:pStyle w:val="List"/>
      </w:pPr>
      <w:r w:rsidRPr="008E00F6">
        <w:t>2.</w:t>
      </w:r>
      <w:r w:rsidRPr="008E00F6">
        <w:tab/>
        <w:t xml:space="preserve">In addition to the requirement to provide the information at the commencement of the exempt customer’s tenancy/agreement, the information set out in paragraph 1 of this condition must be provided by the </w:t>
      </w:r>
      <w:r>
        <w:t xml:space="preserve">exempt embedded network service provider </w:t>
      </w:r>
      <w:r w:rsidRPr="008E00F6">
        <w:t>at any time on request by the exempt customer or the AER.</w:t>
      </w:r>
    </w:p>
    <w:p w:rsidR="00AE646D" w:rsidRPr="008E00F6" w:rsidRDefault="00AE646D" w:rsidP="00AE646D">
      <w:pPr>
        <w:pStyle w:val="Heading3"/>
        <w:rPr>
          <w:rStyle w:val="LineNumber"/>
        </w:rPr>
      </w:pPr>
      <w:bookmarkStart w:id="168" w:name="_Toc464651751"/>
      <w:bookmarkStart w:id="169" w:name="_Toc464651752"/>
      <w:bookmarkStart w:id="170" w:name="_Toc468276110"/>
      <w:bookmarkEnd w:id="168"/>
      <w:bookmarkEnd w:id="169"/>
      <w:r w:rsidRPr="008E00F6">
        <w:rPr>
          <w:rStyle w:val="LineNumber"/>
        </w:rPr>
        <w:t>Contact details</w:t>
      </w:r>
      <w:bookmarkEnd w:id="170"/>
    </w:p>
    <w:p w:rsidR="00AE646D" w:rsidRDefault="00AE646D" w:rsidP="00AE646D">
      <w:pPr>
        <w:pStyle w:val="List"/>
      </w:pPr>
      <w:r w:rsidRPr="008E00F6">
        <w:t>1.</w:t>
      </w:r>
      <w:r w:rsidRPr="008E00F6">
        <w:tab/>
        <w:t xml:space="preserve">The </w:t>
      </w:r>
      <w:r>
        <w:t xml:space="preserve">exempt embedded network service provider </w:t>
      </w:r>
      <w:r w:rsidRPr="008E00F6">
        <w:t>must provide a means of contact for account inquiries and complaints that can be readily accessed by exempt customers. Where a telephone number is provided, the charge for this call must be no more than the cost of a local call.</w:t>
      </w:r>
    </w:p>
    <w:p w:rsidR="00AE646D" w:rsidRPr="008E00F6" w:rsidRDefault="00AE646D" w:rsidP="00AE646D">
      <w:pPr>
        <w:pStyle w:val="Heading3"/>
      </w:pPr>
      <w:bookmarkStart w:id="171" w:name="_Toc468276111"/>
      <w:r w:rsidRPr="008E00F6">
        <w:t>Maintaining records</w:t>
      </w:r>
      <w:bookmarkEnd w:id="171"/>
    </w:p>
    <w:p w:rsidR="00AE646D" w:rsidRPr="008E00F6" w:rsidRDefault="00AE646D" w:rsidP="00AE646D">
      <w:pPr>
        <w:pStyle w:val="List"/>
      </w:pPr>
      <w:r w:rsidRPr="008E00F6">
        <w:t>1.</w:t>
      </w:r>
      <w:r w:rsidRPr="008E00F6">
        <w:tab/>
        <w:t xml:space="preserve">The </w:t>
      </w:r>
      <w:r>
        <w:t xml:space="preserve">exempt embedded network service provider </w:t>
      </w:r>
      <w:r w:rsidRPr="008E00F6">
        <w:t>must maintain records of the following for each of its exempt customers:</w:t>
      </w:r>
    </w:p>
    <w:p w:rsidR="00AE646D" w:rsidRPr="008E00F6" w:rsidRDefault="00AE646D" w:rsidP="00AE646D">
      <w:pPr>
        <w:pStyle w:val="List2"/>
      </w:pPr>
      <w:r w:rsidRPr="008E00F6">
        <w:t>a.</w:t>
      </w:r>
      <w:r w:rsidRPr="008E00F6">
        <w:tab/>
        <w:t>The name of the exempt customer.</w:t>
      </w:r>
    </w:p>
    <w:p w:rsidR="00AE646D" w:rsidRPr="008E00F6" w:rsidRDefault="00AE646D" w:rsidP="00AE646D">
      <w:pPr>
        <w:pStyle w:val="List2"/>
      </w:pPr>
      <w:r w:rsidRPr="008E00F6">
        <w:t>b.</w:t>
      </w:r>
      <w:r w:rsidRPr="008E00F6">
        <w:tab/>
        <w:t>The address of the exempt customer’s premises.</w:t>
      </w:r>
    </w:p>
    <w:p w:rsidR="00AE646D" w:rsidRPr="008E00F6" w:rsidRDefault="00AE646D" w:rsidP="00AE646D">
      <w:pPr>
        <w:pStyle w:val="List2"/>
      </w:pPr>
      <w:r w:rsidRPr="008E00F6">
        <w:t>c.</w:t>
      </w:r>
      <w:r w:rsidRPr="008E00F6">
        <w:tab/>
        <w:t>The identifier of the meter for the exempt customer’s premises (if applicable).</w:t>
      </w:r>
    </w:p>
    <w:p w:rsidR="00AE646D" w:rsidRPr="008E00F6" w:rsidRDefault="00AE646D" w:rsidP="00AE646D">
      <w:pPr>
        <w:pStyle w:val="List2"/>
      </w:pPr>
      <w:r w:rsidRPr="008E00F6">
        <w:t>d.</w:t>
      </w:r>
      <w:r w:rsidRPr="008E00F6">
        <w:tab/>
        <w:t>The date that the customer account was created.</w:t>
      </w:r>
    </w:p>
    <w:p w:rsidR="00AE646D" w:rsidRPr="008E00F6" w:rsidRDefault="00AE646D" w:rsidP="00AE646D">
      <w:pPr>
        <w:pStyle w:val="List2"/>
      </w:pPr>
      <w:r w:rsidRPr="008E00F6">
        <w:t>e.</w:t>
      </w:r>
      <w:r w:rsidRPr="008E00F6">
        <w:tab/>
        <w:t>Copies of any bills issued for the previous 12 months.</w:t>
      </w:r>
    </w:p>
    <w:p w:rsidR="00AE646D" w:rsidRPr="008E00F6" w:rsidRDefault="00AE646D" w:rsidP="00AE646D">
      <w:pPr>
        <w:pStyle w:val="List2"/>
      </w:pPr>
      <w:r w:rsidRPr="008E00F6">
        <w:lastRenderedPageBreak/>
        <w:t>f.</w:t>
      </w:r>
      <w:r w:rsidRPr="008E00F6">
        <w:tab/>
        <w:t>The date of the most recent meter read for the customer (if applicable).</w:t>
      </w:r>
    </w:p>
    <w:p w:rsidR="00AE646D" w:rsidRDefault="00AE646D" w:rsidP="00AE646D">
      <w:pPr>
        <w:pStyle w:val="List2"/>
      </w:pPr>
      <w:r w:rsidRPr="008E00F6">
        <w:t>g.</w:t>
      </w:r>
      <w:r w:rsidRPr="008E00F6">
        <w:tab/>
        <w:t>The basis for determining any estimates of consumption for the purpose of billing where a meter read could not be obtained.</w:t>
      </w:r>
    </w:p>
    <w:p w:rsidR="00624715" w:rsidRDefault="00624715">
      <w:pPr>
        <w:spacing w:line="240" w:lineRule="auto"/>
        <w:rPr>
          <w:rFonts w:eastAsiaTheme="majorEastAsia" w:cstheme="majorBidi"/>
          <w:b/>
          <w:bCs/>
          <w:color w:val="70635A" w:themeColor="text2"/>
          <w:sz w:val="32"/>
          <w:szCs w:val="26"/>
        </w:rPr>
      </w:pPr>
      <w:bookmarkStart w:id="172" w:name="_Ref457230512"/>
      <w:r>
        <w:br w:type="page"/>
      </w:r>
    </w:p>
    <w:p w:rsidR="0028792A" w:rsidRDefault="0028792A" w:rsidP="0028792A">
      <w:pPr>
        <w:pStyle w:val="Heading2"/>
      </w:pPr>
      <w:bookmarkStart w:id="173" w:name="_Toc468276112"/>
      <w:bookmarkStart w:id="174" w:name="_Ref468362533"/>
      <w:bookmarkStart w:id="175" w:name="_Ref468362649"/>
      <w:bookmarkStart w:id="176" w:name="_Ref468362742"/>
      <w:bookmarkStart w:id="177" w:name="_Ref468362767"/>
      <w:bookmarkStart w:id="178" w:name="_Ref468362829"/>
      <w:r>
        <w:lastRenderedPageBreak/>
        <w:t>Conversion of an existing site (Brownfield conversion)</w:t>
      </w:r>
      <w:bookmarkEnd w:id="164"/>
      <w:bookmarkEnd w:id="172"/>
      <w:bookmarkEnd w:id="173"/>
      <w:bookmarkEnd w:id="174"/>
      <w:bookmarkEnd w:id="175"/>
      <w:bookmarkEnd w:id="176"/>
      <w:bookmarkEnd w:id="177"/>
      <w:bookmarkEnd w:id="178"/>
    </w:p>
    <w:p w:rsidR="002030CF" w:rsidRDefault="00ED388F" w:rsidP="002030CF">
      <w:r>
        <w:t xml:space="preserve">An existing electricity distribution system may be converted to an embedded network </w:t>
      </w:r>
      <w:r w:rsidR="00AB0A09">
        <w:t>without the consent of every customer but only if the alternative requirements specified in this condition are strictly applied.</w:t>
      </w:r>
      <w:r w:rsidR="00382953">
        <w:t xml:space="preserve"> </w:t>
      </w:r>
      <w:r w:rsidR="00AA74E2">
        <w:t>C</w:t>
      </w:r>
      <w:r w:rsidR="00382953">
        <w:t xml:space="preserve">ondition </w:t>
      </w:r>
      <w:r w:rsidR="0092185D">
        <w:t>4.9</w:t>
      </w:r>
      <w:r w:rsidR="009776C9">
        <w:t xml:space="preserve"> </w:t>
      </w:r>
      <w:r w:rsidR="00382953">
        <w:t xml:space="preserve">replaces conditions </w:t>
      </w:r>
      <w:r w:rsidR="008E440D">
        <w:fldChar w:fldCharType="begin"/>
      </w:r>
      <w:r w:rsidR="008E440D">
        <w:instrText xml:space="preserve"> REF _Ref361906951 \r \h </w:instrText>
      </w:r>
      <w:r w:rsidR="008E440D">
        <w:fldChar w:fldCharType="separate"/>
      </w:r>
      <w:r w:rsidR="00D30DD5">
        <w:t>4.1</w:t>
      </w:r>
      <w:r w:rsidR="008E440D">
        <w:fldChar w:fldCharType="end"/>
      </w:r>
      <w:r w:rsidR="008E440D">
        <w:t>.</w:t>
      </w:r>
      <w:r w:rsidR="008E440D">
        <w:fldChar w:fldCharType="begin"/>
      </w:r>
      <w:r w:rsidR="008E440D">
        <w:instrText xml:space="preserve"> REF _Ref457320069 \r \h </w:instrText>
      </w:r>
      <w:r w:rsidR="008E440D">
        <w:fldChar w:fldCharType="separate"/>
      </w:r>
      <w:r w:rsidR="00D30DD5">
        <w:t>12</w:t>
      </w:r>
      <w:r w:rsidR="008E440D">
        <w:fldChar w:fldCharType="end"/>
      </w:r>
      <w:r w:rsidR="001D0F60">
        <w:t>.1</w:t>
      </w:r>
      <w:r w:rsidR="008E440D">
        <w:fldChar w:fldCharType="begin"/>
      </w:r>
      <w:r w:rsidR="008E440D">
        <w:instrText xml:space="preserve"> REF _Ref457320089 \r \h </w:instrText>
      </w:r>
      <w:r w:rsidR="008E440D">
        <w:fldChar w:fldCharType="separate"/>
      </w:r>
      <w:r w:rsidR="00D30DD5">
        <w:t>(e)</w:t>
      </w:r>
      <w:r w:rsidR="008E440D">
        <w:fldChar w:fldCharType="end"/>
      </w:r>
      <w:r w:rsidR="008E440D">
        <w:t xml:space="preserve"> </w:t>
      </w:r>
      <w:r w:rsidR="002511EF">
        <w:t xml:space="preserve">and </w:t>
      </w:r>
      <w:r w:rsidR="008E440D">
        <w:fldChar w:fldCharType="begin"/>
      </w:r>
      <w:r w:rsidR="008E440D">
        <w:instrText xml:space="preserve"> REF _Ref361906951 \r \h </w:instrText>
      </w:r>
      <w:r w:rsidR="008E440D">
        <w:fldChar w:fldCharType="separate"/>
      </w:r>
      <w:r w:rsidR="00D30DD5">
        <w:t>4.1</w:t>
      </w:r>
      <w:r w:rsidR="008E440D">
        <w:fldChar w:fldCharType="end"/>
      </w:r>
      <w:r w:rsidR="008E440D">
        <w:t>.</w:t>
      </w:r>
      <w:r w:rsidR="008E440D">
        <w:fldChar w:fldCharType="begin"/>
      </w:r>
      <w:r w:rsidR="008E440D">
        <w:instrText xml:space="preserve"> REF _Ref457320069 \r \h </w:instrText>
      </w:r>
      <w:r w:rsidR="008E440D">
        <w:fldChar w:fldCharType="separate"/>
      </w:r>
      <w:r w:rsidR="00D30DD5">
        <w:t>12</w:t>
      </w:r>
      <w:r w:rsidR="008E440D">
        <w:fldChar w:fldCharType="end"/>
      </w:r>
      <w:r w:rsidR="001D0F60">
        <w:t>.1</w:t>
      </w:r>
      <w:r w:rsidR="008E440D">
        <w:fldChar w:fldCharType="begin"/>
      </w:r>
      <w:r w:rsidR="008E440D">
        <w:instrText xml:space="preserve"> REF _Ref457320033 \r \h </w:instrText>
      </w:r>
      <w:r w:rsidR="008E440D">
        <w:fldChar w:fldCharType="separate"/>
      </w:r>
      <w:r w:rsidR="00D30DD5">
        <w:t>(f)</w:t>
      </w:r>
      <w:r w:rsidR="008E440D">
        <w:fldChar w:fldCharType="end"/>
      </w:r>
      <w:r w:rsidR="00382953">
        <w:t>.</w:t>
      </w:r>
      <w:r w:rsidR="001E320F">
        <w:t xml:space="preserve"> </w:t>
      </w:r>
      <w:proofErr w:type="gramStart"/>
      <w:r w:rsidR="001E320F">
        <w:t xml:space="preserve">The </w:t>
      </w:r>
      <w:r w:rsidR="007F126A">
        <w:t xml:space="preserve">balance </w:t>
      </w:r>
      <w:r w:rsidR="001E320F">
        <w:t xml:space="preserve">of condition </w:t>
      </w:r>
      <w:r w:rsidR="001E320F">
        <w:fldChar w:fldCharType="begin"/>
      </w:r>
      <w:r w:rsidR="001E320F">
        <w:instrText xml:space="preserve"> REF _Ref361906951 \r \h </w:instrText>
      </w:r>
      <w:r w:rsidR="001E320F">
        <w:fldChar w:fldCharType="separate"/>
      </w:r>
      <w:r w:rsidR="00D30DD5">
        <w:t>4.1</w:t>
      </w:r>
      <w:r w:rsidR="001E320F">
        <w:fldChar w:fldCharType="end"/>
      </w:r>
      <w:r w:rsidR="003E5A5E">
        <w:t>.</w:t>
      </w:r>
      <w:proofErr w:type="gramEnd"/>
      <w:r w:rsidR="003E5A5E">
        <w:fldChar w:fldCharType="begin"/>
      </w:r>
      <w:r w:rsidR="003E5A5E">
        <w:instrText xml:space="preserve"> REF _Ref457320069 \r \h </w:instrText>
      </w:r>
      <w:r w:rsidR="003E5A5E">
        <w:fldChar w:fldCharType="separate"/>
      </w:r>
      <w:r w:rsidR="00D30DD5">
        <w:t>12</w:t>
      </w:r>
      <w:r w:rsidR="003E5A5E">
        <w:fldChar w:fldCharType="end"/>
      </w:r>
      <w:r w:rsidR="00AA74E2">
        <w:t xml:space="preserve"> </w:t>
      </w:r>
      <w:proofErr w:type="gramStart"/>
      <w:r w:rsidR="00AA74E2">
        <w:t>continues</w:t>
      </w:r>
      <w:proofErr w:type="gramEnd"/>
      <w:r w:rsidR="00AA74E2">
        <w:t xml:space="preserve"> to apply</w:t>
      </w:r>
      <w:r w:rsidR="001E320F">
        <w:t>.</w:t>
      </w:r>
      <w:r w:rsidR="00311132">
        <w:t xml:space="preserve"> Prior to lodging an application for approval with the AER, the exempt embedded network service provider must inform the relevant registered distributor in writing of the proposed conversion.</w:t>
      </w:r>
    </w:p>
    <w:p w:rsidR="00AB0A09" w:rsidRPr="00AB0A09" w:rsidRDefault="00AB0A09" w:rsidP="00AB0A09">
      <w:pPr>
        <w:pStyle w:val="Heading3"/>
      </w:pPr>
      <w:bookmarkStart w:id="179" w:name="_Ref456947034"/>
      <w:bookmarkStart w:id="180" w:name="_Toc468276113"/>
      <w:r w:rsidRPr="00AB0A09">
        <w:t xml:space="preserve">Provision of </w:t>
      </w:r>
      <w:r w:rsidR="00090583" w:rsidRPr="00AB0A09">
        <w:t xml:space="preserve">retrofit </w:t>
      </w:r>
      <w:r w:rsidRPr="00AB0A09">
        <w:t>information</w:t>
      </w:r>
      <w:bookmarkEnd w:id="179"/>
      <w:bookmarkEnd w:id="180"/>
    </w:p>
    <w:p w:rsidR="00AB0A09" w:rsidRPr="00AB0A09" w:rsidRDefault="00AB0A09" w:rsidP="00382953">
      <w:pPr>
        <w:pStyle w:val="List"/>
      </w:pPr>
      <w:r w:rsidRPr="00AB0A09">
        <w:t>1.</w:t>
      </w:r>
      <w:r w:rsidRPr="00AB0A09">
        <w:tab/>
        <w:t xml:space="preserve">The </w:t>
      </w:r>
      <w:r w:rsidR="00382953">
        <w:t xml:space="preserve">exempt embedded network service provider </w:t>
      </w:r>
      <w:r w:rsidRPr="00AB0A09">
        <w:t xml:space="preserve">must provide notice, by letter, to all tenants at the retrofit location, of the plan to install an embedded network at the site. </w:t>
      </w:r>
    </w:p>
    <w:p w:rsidR="00AB0A09" w:rsidRPr="00AB0A09" w:rsidRDefault="00AB0A09" w:rsidP="00382953">
      <w:pPr>
        <w:pStyle w:val="List"/>
      </w:pPr>
      <w:r w:rsidRPr="00AB0A09">
        <w:t>2.</w:t>
      </w:r>
      <w:r w:rsidRPr="00AB0A09">
        <w:tab/>
        <w:t xml:space="preserve">The </w:t>
      </w:r>
      <w:r w:rsidR="00382953">
        <w:t xml:space="preserve">exempt embedded network service provider </w:t>
      </w:r>
      <w:r w:rsidRPr="00AB0A09">
        <w:t>must provide each tenant with the following information regarding the installation of the embedded network:</w:t>
      </w:r>
    </w:p>
    <w:p w:rsidR="00AB0A09" w:rsidRPr="00AB0A09" w:rsidRDefault="00AB0A09" w:rsidP="00382953">
      <w:pPr>
        <w:pStyle w:val="List2"/>
      </w:pPr>
      <w:r w:rsidRPr="00AB0A09">
        <w:t>a.</w:t>
      </w:r>
      <w:r w:rsidRPr="00AB0A09">
        <w:tab/>
        <w:t xml:space="preserve">a written notice which provides the tenant with information concerning: </w:t>
      </w:r>
    </w:p>
    <w:p w:rsidR="00AB0A09" w:rsidRPr="00AB0A09" w:rsidRDefault="00AB0A09" w:rsidP="00382953">
      <w:pPr>
        <w:pStyle w:val="List3"/>
      </w:pPr>
      <w:proofErr w:type="spellStart"/>
      <w:r w:rsidRPr="00AB0A09">
        <w:t>i</w:t>
      </w:r>
      <w:proofErr w:type="spellEnd"/>
      <w:r w:rsidRPr="00AB0A09">
        <w:t>.</w:t>
      </w:r>
      <w:r w:rsidRPr="00AB0A09">
        <w:tab/>
        <w:t>the tenant’s right to choose their own retailer, even within an embedded network</w:t>
      </w:r>
    </w:p>
    <w:p w:rsidR="00AB0A09" w:rsidRPr="00AB0A09" w:rsidRDefault="00AB0A09" w:rsidP="00382953">
      <w:pPr>
        <w:pStyle w:val="List3"/>
      </w:pPr>
      <w:r w:rsidRPr="00AB0A09">
        <w:t>ii.</w:t>
      </w:r>
      <w:r w:rsidRPr="00AB0A09">
        <w:tab/>
        <w:t>the tenant’s ability to enter into an energy only contract</w:t>
      </w:r>
      <w:r w:rsidR="001D28C3">
        <w:t xml:space="preserve"> </w:t>
      </w:r>
      <w:r w:rsidRPr="00AB0A09">
        <w:t xml:space="preserve">with an authorised electricity retailer </w:t>
      </w:r>
    </w:p>
    <w:p w:rsidR="00AB0A09" w:rsidRPr="00AB0A09" w:rsidRDefault="00AB0A09" w:rsidP="00382953">
      <w:pPr>
        <w:pStyle w:val="List3"/>
      </w:pPr>
      <w:r w:rsidRPr="00AB0A09">
        <w:t>iii.</w:t>
      </w:r>
      <w:r w:rsidRPr="00AB0A09">
        <w:tab/>
        <w:t xml:space="preserve">the obligations regarding electricity offer matching, as set out in conditions </w:t>
      </w:r>
      <w:r w:rsidR="00090583">
        <w:fldChar w:fldCharType="begin"/>
      </w:r>
      <w:r w:rsidR="00090583">
        <w:instrText xml:space="preserve"> REF _Ref456946997 \r \h </w:instrText>
      </w:r>
      <w:r w:rsidR="00090583">
        <w:fldChar w:fldCharType="separate"/>
      </w:r>
      <w:r w:rsidR="00D30DD5">
        <w:t>4.9.3</w:t>
      </w:r>
      <w:r w:rsidR="00090583">
        <w:fldChar w:fldCharType="end"/>
      </w:r>
      <w:r w:rsidRPr="00AB0A09">
        <w:t xml:space="preserve"> and </w:t>
      </w:r>
      <w:r w:rsidR="00090583">
        <w:fldChar w:fldCharType="begin"/>
      </w:r>
      <w:r w:rsidR="00090583">
        <w:instrText xml:space="preserve"> REF _Ref456947010 \r \h </w:instrText>
      </w:r>
      <w:r w:rsidR="00090583">
        <w:fldChar w:fldCharType="separate"/>
      </w:r>
      <w:r w:rsidR="00D30DD5">
        <w:t>4.9.4</w:t>
      </w:r>
      <w:r w:rsidR="00090583">
        <w:fldChar w:fldCharType="end"/>
      </w:r>
    </w:p>
    <w:p w:rsidR="00AB0A09" w:rsidRPr="00AB0A09" w:rsidRDefault="00AB0A09" w:rsidP="00382953">
      <w:pPr>
        <w:pStyle w:val="List3"/>
      </w:pPr>
      <w:r w:rsidRPr="00AB0A09">
        <w:t>iv.</w:t>
      </w:r>
      <w:r w:rsidRPr="00AB0A09">
        <w:tab/>
      </w:r>
      <w:proofErr w:type="gramStart"/>
      <w:r w:rsidRPr="00AB0A09">
        <w:t>the</w:t>
      </w:r>
      <w:proofErr w:type="gramEnd"/>
      <w:r w:rsidRPr="00AB0A09">
        <w:t xml:space="preserve"> obligations regarding duplication of network</w:t>
      </w:r>
      <w:r w:rsidR="00090583">
        <w:t xml:space="preserve"> fees, as set out in condition </w:t>
      </w:r>
      <w:r w:rsidR="00090583">
        <w:fldChar w:fldCharType="begin"/>
      </w:r>
      <w:r w:rsidR="00090583">
        <w:instrText xml:space="preserve"> REF _Ref456947021 \r \h </w:instrText>
      </w:r>
      <w:r w:rsidR="00090583">
        <w:fldChar w:fldCharType="separate"/>
      </w:r>
      <w:r w:rsidR="00D30DD5">
        <w:t>4.9.5</w:t>
      </w:r>
      <w:r w:rsidR="00090583">
        <w:fldChar w:fldCharType="end"/>
      </w:r>
      <w:r w:rsidRPr="00AB0A09">
        <w:t>.</w:t>
      </w:r>
    </w:p>
    <w:p w:rsidR="00AB0A09" w:rsidRPr="00AB0A09" w:rsidRDefault="00AB0A09" w:rsidP="00382953">
      <w:pPr>
        <w:pStyle w:val="List2"/>
      </w:pPr>
      <w:r w:rsidRPr="00AB0A09">
        <w:t>b.</w:t>
      </w:r>
      <w:r w:rsidRPr="00AB0A09">
        <w:tab/>
        <w:t>a copy of the electricity sales agreement to be offered by the exempt person</w:t>
      </w:r>
    </w:p>
    <w:p w:rsidR="00AB0A09" w:rsidRPr="00AB0A09" w:rsidRDefault="00AB0A09" w:rsidP="00382953">
      <w:pPr>
        <w:pStyle w:val="List2"/>
      </w:pPr>
      <w:proofErr w:type="gramStart"/>
      <w:r w:rsidRPr="00AB0A09">
        <w:t>c</w:t>
      </w:r>
      <w:proofErr w:type="gramEnd"/>
      <w:r w:rsidRPr="00AB0A09">
        <w:t>.</w:t>
      </w:r>
      <w:r w:rsidRPr="00AB0A09">
        <w:tab/>
        <w:t>the contact details of a representative</w:t>
      </w:r>
      <w:r w:rsidR="001D28C3">
        <w:t xml:space="preserve"> </w:t>
      </w:r>
      <w:r w:rsidRPr="00AB0A09">
        <w:t xml:space="preserve">of the </w:t>
      </w:r>
      <w:r w:rsidR="00382953">
        <w:t xml:space="preserve">exempt embedded network service provider </w:t>
      </w:r>
      <w:r w:rsidRPr="00AB0A09">
        <w:t>who will address any concerns and queries relating to the planned retrofit.</w:t>
      </w:r>
    </w:p>
    <w:p w:rsidR="00AB0A09" w:rsidRPr="00AB0A09" w:rsidRDefault="00AB0A09" w:rsidP="009776C9">
      <w:pPr>
        <w:pStyle w:val="List"/>
      </w:pPr>
      <w:r w:rsidRPr="00AB0A09">
        <w:t>3.</w:t>
      </w:r>
      <w:r w:rsidRPr="00AB0A09">
        <w:tab/>
        <w:t xml:space="preserve">The </w:t>
      </w:r>
      <w:r w:rsidR="00382953">
        <w:t xml:space="preserve">exempt embedded network service provider </w:t>
      </w:r>
      <w:r w:rsidRPr="00AB0A09">
        <w:t>must ensure that information regarding the proposed retrofit is clearly, fully and adequately disclosed, and that it has regard to a person’s capacity to provide consent.</w:t>
      </w:r>
      <w:r w:rsidR="001D28C3">
        <w:t xml:space="preserve"> </w:t>
      </w:r>
    </w:p>
    <w:p w:rsidR="00AB0A09" w:rsidRPr="00AB0A09" w:rsidRDefault="00AB0A09" w:rsidP="00AB0A09">
      <w:pPr>
        <w:pStyle w:val="Heading3"/>
      </w:pPr>
      <w:bookmarkStart w:id="181" w:name="_Ref457230577"/>
      <w:bookmarkStart w:id="182" w:name="_Toc468276114"/>
      <w:r w:rsidRPr="00AB0A09">
        <w:t>Collecting and recording explicit informed consent</w:t>
      </w:r>
      <w:bookmarkEnd w:id="181"/>
      <w:bookmarkEnd w:id="182"/>
      <w:r w:rsidRPr="00AB0A09">
        <w:t xml:space="preserve"> </w:t>
      </w:r>
    </w:p>
    <w:p w:rsidR="00AB0A09" w:rsidRPr="00AB0A09" w:rsidRDefault="00AB0A09" w:rsidP="00AB0A09">
      <w:pPr>
        <w:pStyle w:val="List"/>
      </w:pPr>
      <w:r w:rsidRPr="00AB0A09">
        <w:t>1.</w:t>
      </w:r>
      <w:r w:rsidRPr="00AB0A09">
        <w:tab/>
        <w:t xml:space="preserve">The </w:t>
      </w:r>
      <w:r w:rsidR="00382953">
        <w:t xml:space="preserve">exempt embedded network service provider </w:t>
      </w:r>
      <w:r w:rsidRPr="00AB0A09">
        <w:t xml:space="preserve">must provide the tenant with the information set out in </w:t>
      </w:r>
      <w:r w:rsidR="00090583">
        <w:t>c</w:t>
      </w:r>
      <w:r w:rsidRPr="00AB0A09">
        <w:t>ondition</w:t>
      </w:r>
      <w:r w:rsidR="00090583">
        <w:t xml:space="preserve"> </w:t>
      </w:r>
      <w:r w:rsidR="00090583">
        <w:fldChar w:fldCharType="begin"/>
      </w:r>
      <w:r w:rsidR="00090583">
        <w:instrText xml:space="preserve"> REF _Ref456947034 \r \h </w:instrText>
      </w:r>
      <w:r w:rsidR="00090583">
        <w:fldChar w:fldCharType="separate"/>
      </w:r>
      <w:r w:rsidR="00D30DD5">
        <w:t>4.9.1</w:t>
      </w:r>
      <w:r w:rsidR="00090583">
        <w:fldChar w:fldCharType="end"/>
      </w:r>
      <w:r w:rsidRPr="00AB0A09">
        <w:t xml:space="preserve">, prior to seeking the tenant’s explicit informed consent to the retrofitting of the embedded network. </w:t>
      </w:r>
    </w:p>
    <w:p w:rsidR="00AB0A09" w:rsidRPr="00AB0A09" w:rsidRDefault="00AB0A09" w:rsidP="00AB0A09">
      <w:pPr>
        <w:pStyle w:val="List"/>
      </w:pPr>
      <w:r w:rsidRPr="00AB0A09">
        <w:t>2.</w:t>
      </w:r>
      <w:r w:rsidRPr="00AB0A09">
        <w:tab/>
        <w:t xml:space="preserve">The </w:t>
      </w:r>
      <w:r w:rsidR="00382953">
        <w:t xml:space="preserve">exempt embedded network service provider </w:t>
      </w:r>
      <w:r w:rsidRPr="00AB0A09">
        <w:t>must keep records of the consent obtained. These records must:</w:t>
      </w:r>
    </w:p>
    <w:p w:rsidR="00AB0A09" w:rsidRPr="00AB0A09" w:rsidRDefault="00AB0A09" w:rsidP="00AB0A09">
      <w:pPr>
        <w:pStyle w:val="List2"/>
      </w:pPr>
      <w:r w:rsidRPr="00AB0A09">
        <w:t>a.</w:t>
      </w:r>
      <w:r w:rsidRPr="00AB0A09">
        <w:tab/>
        <w:t xml:space="preserve">include copies of the information provided to tenants </w:t>
      </w:r>
    </w:p>
    <w:p w:rsidR="00AB0A09" w:rsidRPr="00AB0A09" w:rsidRDefault="00AB0A09" w:rsidP="00AB0A09">
      <w:pPr>
        <w:pStyle w:val="List2"/>
      </w:pPr>
      <w:r w:rsidRPr="00AB0A09">
        <w:t>b.</w:t>
      </w:r>
      <w:r w:rsidRPr="00AB0A09">
        <w:tab/>
        <w:t>include records of consultations and meetings held with tenants</w:t>
      </w:r>
    </w:p>
    <w:p w:rsidR="00AB0A09" w:rsidRPr="00AB0A09" w:rsidRDefault="00AB0A09" w:rsidP="00AB0A09">
      <w:pPr>
        <w:pStyle w:val="List2"/>
      </w:pPr>
      <w:r w:rsidRPr="00AB0A09">
        <w:t>c.</w:t>
      </w:r>
      <w:r w:rsidRPr="00AB0A09">
        <w:tab/>
        <w:t>identify and record which tenants have not consented and the reasons for non</w:t>
      </w:r>
      <w:r w:rsidR="00BF5F61">
        <w:t>–</w:t>
      </w:r>
      <w:r w:rsidRPr="00AB0A09">
        <w:t>consent</w:t>
      </w:r>
    </w:p>
    <w:p w:rsidR="00AB0A09" w:rsidRPr="00AB0A09" w:rsidRDefault="00AB0A09" w:rsidP="00AB0A09">
      <w:pPr>
        <w:pStyle w:val="List2"/>
      </w:pPr>
      <w:r w:rsidRPr="00AB0A09">
        <w:t>d.</w:t>
      </w:r>
      <w:r w:rsidRPr="00AB0A09">
        <w:tab/>
        <w:t>record the outcome of any negotiation and/or dispute resolution with tenants</w:t>
      </w:r>
    </w:p>
    <w:p w:rsidR="00AB0A09" w:rsidRPr="00AB0A09" w:rsidRDefault="00AB0A09" w:rsidP="00AB0A09">
      <w:pPr>
        <w:pStyle w:val="List2"/>
      </w:pPr>
      <w:r w:rsidRPr="00AB0A09">
        <w:t>e.</w:t>
      </w:r>
      <w:r w:rsidRPr="00AB0A09">
        <w:tab/>
        <w:t xml:space="preserve">be kept for a period of two years </w:t>
      </w:r>
    </w:p>
    <w:p w:rsidR="00AB0A09" w:rsidRPr="00AB0A09" w:rsidRDefault="00AB0A09" w:rsidP="00AB0A09">
      <w:pPr>
        <w:pStyle w:val="List2"/>
      </w:pPr>
      <w:proofErr w:type="gramStart"/>
      <w:r w:rsidRPr="00AB0A09">
        <w:lastRenderedPageBreak/>
        <w:t>f</w:t>
      </w:r>
      <w:proofErr w:type="gramEnd"/>
      <w:r w:rsidRPr="00AB0A09">
        <w:t>.</w:t>
      </w:r>
      <w:r w:rsidRPr="00AB0A09">
        <w:tab/>
        <w:t>be provided to the AER on request.</w:t>
      </w:r>
    </w:p>
    <w:p w:rsidR="00AB0A09" w:rsidRPr="00AB0A09" w:rsidRDefault="00AB0A09" w:rsidP="00AB0A09">
      <w:pPr>
        <w:pStyle w:val="List"/>
      </w:pPr>
      <w:r w:rsidRPr="00AB0A09">
        <w:t>3.</w:t>
      </w:r>
      <w:r w:rsidRPr="00AB0A09">
        <w:tab/>
        <w:t xml:space="preserve">The </w:t>
      </w:r>
      <w:r w:rsidR="00382953">
        <w:t xml:space="preserve">exempt embedded network service provider </w:t>
      </w:r>
      <w:r w:rsidRPr="00AB0A09">
        <w:t>must engage with prospective customers who do not consent, and seek to mitigate their concerns.</w:t>
      </w:r>
    </w:p>
    <w:p w:rsidR="00AB0A09" w:rsidRPr="00AB0A09" w:rsidRDefault="00AB0A09" w:rsidP="00AB0A09">
      <w:pPr>
        <w:pStyle w:val="List"/>
      </w:pPr>
      <w:r w:rsidRPr="00AB0A09">
        <w:t>4.</w:t>
      </w:r>
      <w:r w:rsidRPr="00AB0A09">
        <w:tab/>
        <w:t xml:space="preserve">The </w:t>
      </w:r>
      <w:r w:rsidR="00382953">
        <w:t xml:space="preserve">exempt embedded network service provider </w:t>
      </w:r>
      <w:r w:rsidRPr="00AB0A09">
        <w:t xml:space="preserve">must obtain the tenant’s consent for the retrofit in a separate document, that is, the document recording the exempt customer’s consent to the retrofit must be separate to a document acknowledging that the exempt customer is selecting the </w:t>
      </w:r>
      <w:r w:rsidR="00382953">
        <w:t xml:space="preserve">exempt embedded network service provider </w:t>
      </w:r>
      <w:r w:rsidRPr="00AB0A09">
        <w:t xml:space="preserve">as its electricity supplier. </w:t>
      </w:r>
    </w:p>
    <w:p w:rsidR="00AB0A09" w:rsidRPr="00AB0A09" w:rsidRDefault="00AB0A09" w:rsidP="00AB0A09">
      <w:pPr>
        <w:pStyle w:val="Heading3"/>
      </w:pPr>
      <w:bookmarkStart w:id="183" w:name="_Ref456946997"/>
      <w:bookmarkStart w:id="184" w:name="_Toc468276115"/>
      <w:r w:rsidRPr="00AB0A09">
        <w:t>Offer matching for large customers</w:t>
      </w:r>
      <w:bookmarkEnd w:id="183"/>
      <w:bookmarkEnd w:id="184"/>
    </w:p>
    <w:p w:rsidR="00AB0A09" w:rsidRPr="00AB0A09" w:rsidRDefault="00AB0A09" w:rsidP="00AB0A09">
      <w:r w:rsidRPr="00AB0A09">
        <w:t>This condition applies only if the large customer was a tenant or resident at the time of the creation of the embedded network</w:t>
      </w:r>
      <w:r w:rsidR="00F34486">
        <w:t xml:space="preserve"> or</w:t>
      </w:r>
      <w:r w:rsidR="00DE1615">
        <w:t xml:space="preserve"> otherwise, if</w:t>
      </w:r>
      <w:r w:rsidR="00F34486">
        <w:t xml:space="preserve"> </w:t>
      </w:r>
      <w:r w:rsidR="00DE1615">
        <w:t>the large customer is a member of an eligible community</w:t>
      </w:r>
      <w:r w:rsidRPr="00AB0A09">
        <w:t>.</w:t>
      </w:r>
    </w:p>
    <w:p w:rsidR="00AB0A09" w:rsidRPr="00AB0A09" w:rsidRDefault="00AB0A09" w:rsidP="00AB0A09">
      <w:pPr>
        <w:pStyle w:val="List"/>
      </w:pPr>
      <w:r w:rsidRPr="00AB0A09">
        <w:t>1.</w:t>
      </w:r>
      <w:r w:rsidRPr="00AB0A09">
        <w:tab/>
        <w:t>If a tenant, who is categorised as a large electricity customer,</w:t>
      </w:r>
      <w:r w:rsidR="001D28C3">
        <w:t xml:space="preserve"> </w:t>
      </w:r>
      <w:r w:rsidRPr="00AB0A09">
        <w:t>does not consent to becoming part of the embedded network</w:t>
      </w:r>
      <w:r w:rsidR="00DE1615">
        <w:t xml:space="preserve"> or is a member of an eligible community </w:t>
      </w:r>
      <w:r w:rsidRPr="00AB0A09">
        <w:t xml:space="preserve">, the </w:t>
      </w:r>
      <w:r w:rsidR="00382953">
        <w:t xml:space="preserve">exempt embedded network service provider </w:t>
      </w:r>
      <w:r w:rsidRPr="00AB0A09">
        <w:t>must:</w:t>
      </w:r>
    </w:p>
    <w:p w:rsidR="00AB0A09" w:rsidRPr="00AB0A09" w:rsidRDefault="00AB0A09" w:rsidP="00AB0A09">
      <w:pPr>
        <w:pStyle w:val="List2"/>
      </w:pPr>
      <w:r w:rsidRPr="00AB0A09">
        <w:t>a.</w:t>
      </w:r>
      <w:r w:rsidRPr="00AB0A09">
        <w:tab/>
        <w:t>facilitate, within the embedded network, the continuation of the tenant’s electricity contract with their current retailer, or</w:t>
      </w:r>
    </w:p>
    <w:p w:rsidR="00AB0A09" w:rsidRPr="00AB0A09" w:rsidRDefault="00AB0A09" w:rsidP="00AB0A09">
      <w:pPr>
        <w:pStyle w:val="List2"/>
      </w:pPr>
      <w:r w:rsidRPr="00AB0A09">
        <w:t>b.</w:t>
      </w:r>
      <w:r w:rsidRPr="00AB0A09">
        <w:tab/>
        <w:t>facilitate the tenant’s direct connection to a registered distributor</w:t>
      </w:r>
      <w:r w:rsidR="00F826BD">
        <w:t>,</w:t>
      </w:r>
      <w:r w:rsidRPr="00AB0A09">
        <w:t xml:space="preserve"> or</w:t>
      </w:r>
    </w:p>
    <w:p w:rsidR="00AB0A09" w:rsidRPr="00AB0A09" w:rsidRDefault="00AB0A09" w:rsidP="00AB0A09">
      <w:pPr>
        <w:pStyle w:val="List2"/>
      </w:pPr>
      <w:r w:rsidRPr="00AB0A09">
        <w:t>c.</w:t>
      </w:r>
      <w:r w:rsidRPr="00AB0A09">
        <w:tab/>
        <w:t xml:space="preserve">if a or b do not apply, fulfil a request made by the tenant that the </w:t>
      </w:r>
      <w:r w:rsidR="00382953">
        <w:t xml:space="preserve">exempt embedded network service provider </w:t>
      </w:r>
      <w:r w:rsidRPr="00AB0A09">
        <w:t>match any genuine electricity offer that would be available to the particular tenant if they were still a grid connected customer.</w:t>
      </w:r>
      <w:r w:rsidR="005969BF">
        <w:rPr>
          <w:rStyle w:val="FootnoteReference"/>
        </w:rPr>
        <w:footnoteReference w:id="43"/>
      </w:r>
    </w:p>
    <w:p w:rsidR="00AB0A09" w:rsidRPr="00AB0A09" w:rsidRDefault="00AB0A09" w:rsidP="00AB0A09">
      <w:pPr>
        <w:pStyle w:val="List"/>
      </w:pPr>
      <w:r w:rsidRPr="00AB0A09">
        <w:t>2.</w:t>
      </w:r>
      <w:r w:rsidRPr="00AB0A09">
        <w:tab/>
        <w:t xml:space="preserve">The </w:t>
      </w:r>
      <w:r w:rsidR="00382953">
        <w:t xml:space="preserve">exempt embedded network service provider </w:t>
      </w:r>
      <w:r w:rsidRPr="00AB0A09">
        <w:t>must fulfil any subsequent request made by a tenant to match an electricity offer if the request is made 12 months or more after a previous request.</w:t>
      </w:r>
    </w:p>
    <w:p w:rsidR="00AB0A09" w:rsidRPr="00AB0A09" w:rsidRDefault="00AB0A09" w:rsidP="00AB0A09">
      <w:pPr>
        <w:pStyle w:val="List"/>
      </w:pPr>
      <w:r w:rsidRPr="00AB0A09">
        <w:t>3.</w:t>
      </w:r>
      <w:r w:rsidRPr="00AB0A09">
        <w:tab/>
        <w:t xml:space="preserve">In the absence of a subsequent request to match an electricity offer, the </w:t>
      </w:r>
      <w:r w:rsidR="00382953">
        <w:t xml:space="preserve">exempt embedded network service provider </w:t>
      </w:r>
      <w:r w:rsidRPr="00AB0A09">
        <w:t>need only apply the matched offer for a period of 12 months.</w:t>
      </w:r>
    </w:p>
    <w:p w:rsidR="00AB0A09" w:rsidRDefault="00AB0A09" w:rsidP="00AB0A09">
      <w:pPr>
        <w:pStyle w:val="List"/>
      </w:pPr>
      <w:r w:rsidRPr="00AB0A09">
        <w:t>4.</w:t>
      </w:r>
      <w:r w:rsidRPr="00AB0A09">
        <w:tab/>
        <w:t xml:space="preserve">The exempt person’s obligation to match an electricity offer expires upon termination or renewal of the large customer’s tenancy/lease. </w:t>
      </w:r>
    </w:p>
    <w:p w:rsidR="00AB0A09" w:rsidRPr="00AB0A09" w:rsidRDefault="00AB0A09" w:rsidP="00AB0A09">
      <w:pPr>
        <w:pStyle w:val="Heading3"/>
      </w:pPr>
      <w:bookmarkStart w:id="185" w:name="_Toc466303952"/>
      <w:bookmarkStart w:id="186" w:name="_Toc466303953"/>
      <w:bookmarkStart w:id="187" w:name="_Ref456947010"/>
      <w:bookmarkStart w:id="188" w:name="_Toc468276116"/>
      <w:bookmarkEnd w:id="185"/>
      <w:bookmarkEnd w:id="186"/>
      <w:r w:rsidRPr="00AB0A09">
        <w:t>Offer matching for small customers</w:t>
      </w:r>
      <w:bookmarkEnd w:id="187"/>
      <w:bookmarkEnd w:id="188"/>
    </w:p>
    <w:p w:rsidR="00AB0A09" w:rsidRPr="00AB0A09" w:rsidRDefault="00AB0A09" w:rsidP="00AB0A09">
      <w:r w:rsidRPr="00AB0A09">
        <w:t>This condition applies only if the small customer was a tenant or resident at the time of the creation of the embedded network</w:t>
      </w:r>
      <w:r w:rsidR="003E3FD8">
        <w:t xml:space="preserve"> or otherwise, if the small</w:t>
      </w:r>
      <w:r w:rsidR="00DE1615" w:rsidRPr="00DE1615">
        <w:t xml:space="preserve"> customer is a member of an eligible community</w:t>
      </w:r>
      <w:bookmarkStart w:id="189" w:name="_GoBack"/>
      <w:bookmarkEnd w:id="189"/>
      <w:r w:rsidRPr="00AB0A09">
        <w:t>.</w:t>
      </w:r>
    </w:p>
    <w:p w:rsidR="00AB0A09" w:rsidRPr="00AB0A09" w:rsidRDefault="00AB0A09" w:rsidP="00AB0A09">
      <w:pPr>
        <w:pStyle w:val="List"/>
      </w:pPr>
      <w:r w:rsidRPr="00AB0A09">
        <w:lastRenderedPageBreak/>
        <w:t>1.</w:t>
      </w:r>
      <w:r w:rsidRPr="00AB0A09">
        <w:tab/>
        <w:t>If a tenant, who would be categorised as a small electricity customer, does not consent to becoming part of the embedded network</w:t>
      </w:r>
      <w:r w:rsidR="00DE1615" w:rsidRPr="00DE1615">
        <w:t xml:space="preserve"> or is a member of an eligible community</w:t>
      </w:r>
      <w:r w:rsidRPr="00AB0A09">
        <w:t xml:space="preserve">, the </w:t>
      </w:r>
      <w:r w:rsidR="00382953">
        <w:t xml:space="preserve">exempt embedded network service provider </w:t>
      </w:r>
      <w:r w:rsidRPr="00AB0A09">
        <w:t>must:</w:t>
      </w:r>
    </w:p>
    <w:p w:rsidR="00AB0A09" w:rsidRPr="00AB0A09" w:rsidRDefault="00AB0A09" w:rsidP="00AB0A09">
      <w:pPr>
        <w:pStyle w:val="List2"/>
      </w:pPr>
      <w:r w:rsidRPr="00AB0A09">
        <w:t>a.</w:t>
      </w:r>
      <w:r w:rsidRPr="00AB0A09">
        <w:tab/>
        <w:t>facilitate, within the embedded network, the continuation of the tenant’s electricity contract with their current retailer,</w:t>
      </w:r>
      <w:r w:rsidR="000B165C">
        <w:rPr>
          <w:rStyle w:val="FootnoteReference"/>
        </w:rPr>
        <w:footnoteReference w:id="44"/>
      </w:r>
      <w:r w:rsidRPr="00AB0A09">
        <w:t xml:space="preserve"> or</w:t>
      </w:r>
    </w:p>
    <w:p w:rsidR="00AB0A09" w:rsidRPr="00AB0A09" w:rsidRDefault="00AB0A09" w:rsidP="00AB0A09">
      <w:pPr>
        <w:pStyle w:val="List2"/>
      </w:pPr>
      <w:r w:rsidRPr="00AB0A09">
        <w:t>b.</w:t>
      </w:r>
      <w:r w:rsidRPr="00AB0A09">
        <w:tab/>
        <w:t xml:space="preserve">fulfil a request made by the tenant that the </w:t>
      </w:r>
      <w:r w:rsidR="00382953">
        <w:t xml:space="preserve">exempt embedded network service provider </w:t>
      </w:r>
      <w:r w:rsidRPr="00AB0A09">
        <w:t>match any genuine electricity offer that would be available to the particular tenant if they were still a grid connected customer.</w:t>
      </w:r>
    </w:p>
    <w:p w:rsidR="00AB0A09" w:rsidRPr="00AB0A09" w:rsidRDefault="00AB0A09" w:rsidP="00AB0A09">
      <w:pPr>
        <w:pStyle w:val="List"/>
      </w:pPr>
      <w:r w:rsidRPr="00AB0A09">
        <w:t>2.</w:t>
      </w:r>
      <w:r w:rsidRPr="00AB0A09">
        <w:tab/>
        <w:t xml:space="preserve">The </w:t>
      </w:r>
      <w:r w:rsidR="00382953">
        <w:t xml:space="preserve">exempt embedded network service provider </w:t>
      </w:r>
      <w:r w:rsidRPr="00AB0A09">
        <w:t>must fulfil any subsequent request by a tenant to match an electricity offer if the request is made 12 months or more after a previous request.</w:t>
      </w:r>
    </w:p>
    <w:p w:rsidR="00AB0A09" w:rsidRPr="00AB0A09" w:rsidRDefault="00AB0A09" w:rsidP="00AB0A09">
      <w:pPr>
        <w:pStyle w:val="List"/>
      </w:pPr>
      <w:r w:rsidRPr="00AB0A09">
        <w:t>3.</w:t>
      </w:r>
      <w:r w:rsidRPr="00AB0A09">
        <w:tab/>
        <w:t xml:space="preserve">In the absence of a subsequent request to match an electricity offer, the </w:t>
      </w:r>
      <w:r w:rsidR="00382953">
        <w:t xml:space="preserve">exempt embedded network service provider </w:t>
      </w:r>
      <w:r w:rsidRPr="00AB0A09">
        <w:t>need only apply the matched offer for a period of 12 months.</w:t>
      </w:r>
    </w:p>
    <w:p w:rsidR="00AB0A09" w:rsidRDefault="00AB0A09" w:rsidP="00AB0A09">
      <w:pPr>
        <w:pStyle w:val="List"/>
      </w:pPr>
      <w:r w:rsidRPr="00AB0A09">
        <w:t>4.</w:t>
      </w:r>
      <w:r w:rsidRPr="00AB0A09">
        <w:tab/>
        <w:t>The exempt person’s obligation to match an electricity offer expires upon termination or renewal of the small customer’s tenancy/lease.</w:t>
      </w:r>
    </w:p>
    <w:p w:rsidR="00AB0A09" w:rsidRPr="00AB0A09" w:rsidRDefault="00AB0A09" w:rsidP="00AB0A09">
      <w:pPr>
        <w:pStyle w:val="Heading3"/>
      </w:pPr>
      <w:bookmarkStart w:id="190" w:name="_Ref456947021"/>
      <w:bookmarkStart w:id="191" w:name="_Toc468276117"/>
      <w:r w:rsidRPr="00AB0A09">
        <w:t>Duplication of network charges</w:t>
      </w:r>
      <w:bookmarkEnd w:id="190"/>
      <w:bookmarkEnd w:id="191"/>
      <w:r w:rsidRPr="00AB0A09">
        <w:t xml:space="preserve"> </w:t>
      </w:r>
    </w:p>
    <w:p w:rsidR="00AB0A09" w:rsidRPr="00AB0A09" w:rsidRDefault="00AB0A09" w:rsidP="00AB0A09">
      <w:r w:rsidRPr="00AB0A09">
        <w:t xml:space="preserve">This condition applies only if the customer was a tenant or resident at the time of the creation of the embedded network. </w:t>
      </w:r>
    </w:p>
    <w:p w:rsidR="00AB0A09" w:rsidRPr="00AB0A09" w:rsidRDefault="00AB0A09" w:rsidP="00AB0A09">
      <w:pPr>
        <w:pStyle w:val="List"/>
      </w:pPr>
      <w:r w:rsidRPr="00AB0A09">
        <w:t>1.</w:t>
      </w:r>
      <w:r w:rsidRPr="00AB0A09">
        <w:tab/>
        <w:t xml:space="preserve">The </w:t>
      </w:r>
      <w:r w:rsidR="00382953">
        <w:t xml:space="preserve">exempt embedded network service provider </w:t>
      </w:r>
      <w:r w:rsidRPr="00AB0A09">
        <w:t xml:space="preserve">must take steps to remedy any duplication of network charges experienced by tenants who have entered into an energy supply contract with an authorised retailer. </w:t>
      </w:r>
    </w:p>
    <w:p w:rsidR="00AB0A09" w:rsidRPr="00AB0A09" w:rsidRDefault="00AB0A09" w:rsidP="00AB0A09">
      <w:pPr>
        <w:pStyle w:val="List"/>
      </w:pPr>
      <w:r w:rsidRPr="00AB0A09">
        <w:t>2.</w:t>
      </w:r>
      <w:r w:rsidRPr="00AB0A09">
        <w:tab/>
        <w:t xml:space="preserve">The </w:t>
      </w:r>
      <w:r w:rsidR="00382953">
        <w:t xml:space="preserve">exempt embedded network service provider </w:t>
      </w:r>
      <w:r w:rsidRPr="00AB0A09">
        <w:t>must not charge a connection charge to any tenant who enters into an energy supply contract with an authorised retaile</w:t>
      </w:r>
      <w:r w:rsidR="00AA74E2">
        <w:t xml:space="preserve">r </w:t>
      </w:r>
      <w:r w:rsidR="005E0B33">
        <w:t xml:space="preserve">as provided for in </w:t>
      </w:r>
      <w:r w:rsidR="00AA74E2">
        <w:t xml:space="preserve">condition </w:t>
      </w:r>
      <w:r w:rsidR="00AA74E2">
        <w:fldChar w:fldCharType="begin"/>
      </w:r>
      <w:r w:rsidR="00AA74E2">
        <w:instrText xml:space="preserve"> REF _Ref456947034 \r \h </w:instrText>
      </w:r>
      <w:r w:rsidR="00AA74E2">
        <w:fldChar w:fldCharType="separate"/>
      </w:r>
      <w:r w:rsidR="00D30DD5">
        <w:t>4.9.1</w:t>
      </w:r>
      <w:r w:rsidR="00AA74E2">
        <w:fldChar w:fldCharType="end"/>
      </w:r>
      <w:r w:rsidR="00AA74E2">
        <w:t>.</w:t>
      </w:r>
    </w:p>
    <w:p w:rsidR="00AB0A09" w:rsidRPr="00AB0A09" w:rsidRDefault="00AB0A09" w:rsidP="00AB0A09">
      <w:pPr>
        <w:pStyle w:val="Heading3"/>
      </w:pPr>
      <w:bookmarkStart w:id="192" w:name="_Toc468276118"/>
      <w:r w:rsidRPr="00AB0A09">
        <w:t>Metering arrangements</w:t>
      </w:r>
      <w:bookmarkEnd w:id="192"/>
    </w:p>
    <w:p w:rsidR="00AB0A09" w:rsidRPr="00AB0A09" w:rsidRDefault="00AB0A09" w:rsidP="00AB0A09">
      <w:pPr>
        <w:pStyle w:val="List"/>
      </w:pPr>
      <w:r w:rsidRPr="00AB0A09">
        <w:t>1.</w:t>
      </w:r>
      <w:r w:rsidRPr="00AB0A09">
        <w:tab/>
        <w:t xml:space="preserve">The </w:t>
      </w:r>
      <w:r w:rsidR="00382953">
        <w:t xml:space="preserve">exempt embedded network service provider </w:t>
      </w:r>
      <w:r w:rsidRPr="00AB0A09">
        <w:t xml:space="preserve">must bear the costs of any changes to metering and other network alterations that take place in the course of the retrofitting of the embedded network. </w:t>
      </w:r>
    </w:p>
    <w:p w:rsidR="008A34CB" w:rsidRDefault="00AB0A09" w:rsidP="00D94F49">
      <w:pPr>
        <w:pStyle w:val="List"/>
      </w:pPr>
      <w:r w:rsidRPr="00AB0A09">
        <w:t>2.</w:t>
      </w:r>
      <w:r w:rsidRPr="00AB0A09">
        <w:tab/>
        <w:t xml:space="preserve">The </w:t>
      </w:r>
      <w:r w:rsidR="00382953">
        <w:t xml:space="preserve">exempt embedded network service provider </w:t>
      </w:r>
      <w:r w:rsidRPr="00AB0A09">
        <w:t>must ensure that metering arrangements within the embedded network allow exempt customers to access retail competition.</w:t>
      </w:r>
    </w:p>
    <w:p w:rsidR="00AA74E2" w:rsidRDefault="00AA74E2" w:rsidP="00AA74E2">
      <w:pPr>
        <w:pStyle w:val="Heading3"/>
      </w:pPr>
      <w:bookmarkStart w:id="193" w:name="_Toc468276119"/>
      <w:r>
        <w:t>Approval by the AER</w:t>
      </w:r>
      <w:bookmarkEnd w:id="193"/>
    </w:p>
    <w:p w:rsidR="00C52430" w:rsidRDefault="00C52430" w:rsidP="00AA74E2">
      <w:r>
        <w:t xml:space="preserve">The applicant must conduct a marketing campaign based wholly on this condition </w:t>
      </w:r>
      <w:r w:rsidR="00E0510F">
        <w:fldChar w:fldCharType="begin"/>
      </w:r>
      <w:r w:rsidR="00E0510F">
        <w:instrText xml:space="preserve"> REF _Ref468362533 \r \h </w:instrText>
      </w:r>
      <w:r w:rsidR="00E0510F">
        <w:fldChar w:fldCharType="separate"/>
      </w:r>
      <w:r w:rsidR="00E0510F">
        <w:t>4.9</w:t>
      </w:r>
      <w:r w:rsidR="00E0510F">
        <w:fldChar w:fldCharType="end"/>
      </w:r>
      <w:r>
        <w:t xml:space="preserve">. If the applicant can demonstrate at the conclusion of that </w:t>
      </w:r>
      <w:r w:rsidR="00A70090">
        <w:t xml:space="preserve">campaign </w:t>
      </w:r>
      <w:r w:rsidR="009C7F9C">
        <w:t xml:space="preserve">nominally, </w:t>
      </w:r>
      <w:r>
        <w:t>a</w:t>
      </w:r>
      <w:r w:rsidR="00A70090">
        <w:t xml:space="preserve">n eighty-five per </w:t>
      </w:r>
      <w:r w:rsidR="00A70090">
        <w:lastRenderedPageBreak/>
        <w:t>cent or greater</w:t>
      </w:r>
      <w:r>
        <w:t xml:space="preserve"> majority of tenants and</w:t>
      </w:r>
      <w:r w:rsidR="009C7F9C">
        <w:t>/or</w:t>
      </w:r>
      <w:r>
        <w:t xml:space="preserve"> residents have agreed to conversion to an embedded network, the applicant may apply to the AER to convert the network.</w:t>
      </w:r>
      <w:r w:rsidR="00B06AEA">
        <w:rPr>
          <w:rStyle w:val="FootnoteReference"/>
        </w:rPr>
        <w:footnoteReference w:id="45"/>
      </w:r>
    </w:p>
    <w:p w:rsidR="00BA023F" w:rsidRDefault="00C52430" w:rsidP="00AA74E2">
      <w:r>
        <w:t xml:space="preserve">The application must detail the marketing campaign undertaken and provide the AER with a report summarising the information collected under condition </w:t>
      </w:r>
      <w:r>
        <w:fldChar w:fldCharType="begin"/>
      </w:r>
      <w:r>
        <w:instrText xml:space="preserve"> REF _Ref457230577 \r \h </w:instrText>
      </w:r>
      <w:r>
        <w:fldChar w:fldCharType="separate"/>
      </w:r>
      <w:r w:rsidR="00D30DD5">
        <w:t>4.9.2</w:t>
      </w:r>
      <w:r>
        <w:fldChar w:fldCharType="end"/>
      </w:r>
      <w:r w:rsidR="00BA023F">
        <w:t>. An application must contain:</w:t>
      </w:r>
    </w:p>
    <w:p w:rsidR="00BA023F" w:rsidRDefault="00BE4F27" w:rsidP="00BE4F27">
      <w:pPr>
        <w:pStyle w:val="List2"/>
      </w:pPr>
      <w:r>
        <w:t>a.</w:t>
      </w:r>
      <w:r>
        <w:tab/>
      </w:r>
      <w:r w:rsidR="00BA023F">
        <w:t xml:space="preserve">details of </w:t>
      </w:r>
      <w:r w:rsidR="00C52430">
        <w:t>the sign</w:t>
      </w:r>
      <w:r w:rsidR="00BF5F61">
        <w:t>–</w:t>
      </w:r>
      <w:r w:rsidR="00C52430">
        <w:t xml:space="preserve">up percentage attained, </w:t>
      </w:r>
    </w:p>
    <w:p w:rsidR="00BA023F" w:rsidRDefault="00BE4F27" w:rsidP="00BE4F27">
      <w:pPr>
        <w:pStyle w:val="List2"/>
      </w:pPr>
      <w:r>
        <w:t>b.</w:t>
      </w:r>
      <w:r>
        <w:tab/>
      </w:r>
      <w:r w:rsidR="00C52430">
        <w:t xml:space="preserve">the views of customers both accepting and refusing to </w:t>
      </w:r>
      <w:r w:rsidR="00BA023F">
        <w:t>accept</w:t>
      </w:r>
      <w:r w:rsidR="00C52430">
        <w:t xml:space="preserve"> </w:t>
      </w:r>
      <w:r w:rsidR="00BA023F">
        <w:t xml:space="preserve">the </w:t>
      </w:r>
      <w:r w:rsidR="00C52430">
        <w:t>conversion</w:t>
      </w:r>
    </w:p>
    <w:p w:rsidR="00AA74E2" w:rsidRDefault="00BE4F27" w:rsidP="00BE4F27">
      <w:pPr>
        <w:pStyle w:val="List2"/>
      </w:pPr>
      <w:proofErr w:type="gramStart"/>
      <w:r>
        <w:t>c</w:t>
      </w:r>
      <w:proofErr w:type="gramEnd"/>
      <w:r>
        <w:t>.</w:t>
      </w:r>
      <w:r>
        <w:tab/>
      </w:r>
      <w:r w:rsidR="00BA023F">
        <w:t xml:space="preserve">the steps taken to mitigate these concerns and an undertaking </w:t>
      </w:r>
      <w:r w:rsidR="00AA74E2">
        <w:t>to observe conditions 4.</w:t>
      </w:r>
      <w:r w:rsidR="00AE646D">
        <w:t>9</w:t>
      </w:r>
      <w:r w:rsidR="00AA74E2">
        <w:t>.1 to 4.</w:t>
      </w:r>
      <w:r w:rsidR="00AE646D">
        <w:t>9</w:t>
      </w:r>
      <w:r w:rsidR="00AA74E2">
        <w:t>.6.</w:t>
      </w:r>
      <w:r w:rsidR="00BA023F">
        <w:t xml:space="preserve"> </w:t>
      </w:r>
    </w:p>
    <w:p w:rsidR="00BA023F" w:rsidRDefault="00BA023F" w:rsidP="00BA023F">
      <w:r>
        <w:t>If the AER is not satisfied with the application in any respect we may, at our discretion,</w:t>
      </w:r>
      <w:r w:rsidR="001D28C3">
        <w:t xml:space="preserve"> </w:t>
      </w:r>
      <w:r>
        <w:t>require the applicant to rectify the defect in the application or may publicly consult on the application or both. We may include a requirement that the marketing campaign be modified or extended, the application or any supporting material provided to consumers or the AER be revised or that an undertaking be amended.</w:t>
      </w:r>
    </w:p>
    <w:p w:rsidR="00AA74E2" w:rsidRPr="00AA74E2" w:rsidRDefault="00BA023F" w:rsidP="00AA74E2">
      <w:r>
        <w:t xml:space="preserve">If the AER is satisfied with an application we will issue a notice of acceptance, which may specify an effective date. The network must not be converted until </w:t>
      </w:r>
      <w:r w:rsidR="00F5381F">
        <w:t>the effective date specified</w:t>
      </w:r>
      <w:r w:rsidR="00DA57AD">
        <w:t xml:space="preserve"> in</w:t>
      </w:r>
      <w:r w:rsidR="00F5381F">
        <w:t xml:space="preserve"> </w:t>
      </w:r>
      <w:r>
        <w:t>a notice issued by the AER.</w:t>
      </w:r>
    </w:p>
    <w:p w:rsidR="006819BE" w:rsidRPr="006819BE" w:rsidRDefault="006819BE" w:rsidP="006819BE">
      <w:pPr>
        <w:pStyle w:val="Heading1"/>
      </w:pPr>
      <w:bookmarkStart w:id="194" w:name="_Ref361908335"/>
      <w:bookmarkStart w:id="195" w:name="_Toc365299426"/>
      <w:bookmarkStart w:id="196" w:name="_Toc468276120"/>
      <w:r w:rsidRPr="006819BE">
        <w:lastRenderedPageBreak/>
        <w:t xml:space="preserve">Part C </w:t>
      </w:r>
      <w:r w:rsidR="00BF5F61">
        <w:t>–</w:t>
      </w:r>
      <w:r w:rsidRPr="006819BE">
        <w:t xml:space="preserve"> Registration, Applications and Revocation</w:t>
      </w:r>
      <w:bookmarkEnd w:id="194"/>
      <w:bookmarkEnd w:id="195"/>
      <w:bookmarkEnd w:id="196"/>
    </w:p>
    <w:p w:rsidR="006819BE" w:rsidRPr="006819BE" w:rsidRDefault="006819BE" w:rsidP="006819BE">
      <w:pPr>
        <w:pStyle w:val="Heading2"/>
      </w:pPr>
      <w:bookmarkStart w:id="197" w:name="_Toc365299427"/>
      <w:bookmarkStart w:id="198" w:name="_Toc468276121"/>
      <w:r w:rsidRPr="006819BE">
        <w:t>Pre</w:t>
      </w:r>
      <w:r w:rsidR="00BF5F61">
        <w:t>–</w:t>
      </w:r>
      <w:r w:rsidRPr="006819BE">
        <w:t>registration</w:t>
      </w:r>
      <w:bookmarkEnd w:id="197"/>
      <w:bookmarkEnd w:id="198"/>
    </w:p>
    <w:p w:rsidR="006819BE" w:rsidRPr="006819BE" w:rsidRDefault="006819BE" w:rsidP="006819BE">
      <w:r w:rsidRPr="006819BE">
        <w:t>You can pre</w:t>
      </w:r>
      <w:r w:rsidR="00BF5F61">
        <w:t>–</w:t>
      </w:r>
      <w:r w:rsidRPr="006819BE">
        <w:t>register for a network exemption by following the processes outlined in this Guideline.</w:t>
      </w:r>
      <w:bookmarkStart w:id="199" w:name="_Ref361909073"/>
      <w:r w:rsidR="001D28C3">
        <w:t xml:space="preserve"> </w:t>
      </w:r>
    </w:p>
    <w:p w:rsidR="006819BE" w:rsidRPr="006819BE" w:rsidRDefault="006819BE" w:rsidP="006819BE">
      <w:pPr>
        <w:pStyle w:val="Heading2"/>
      </w:pPr>
      <w:bookmarkStart w:id="200" w:name="_Toc365299428"/>
      <w:bookmarkStart w:id="201" w:name="_Ref464643221"/>
      <w:bookmarkStart w:id="202" w:name="_Toc468276122"/>
      <w:r w:rsidRPr="006819BE">
        <w:t>Registrable exemption information requirements</w:t>
      </w:r>
      <w:bookmarkEnd w:id="199"/>
      <w:bookmarkEnd w:id="200"/>
      <w:bookmarkEnd w:id="201"/>
      <w:bookmarkEnd w:id="202"/>
    </w:p>
    <w:p w:rsidR="006819BE" w:rsidRPr="006819BE" w:rsidRDefault="006819BE" w:rsidP="006819BE">
      <w:r w:rsidRPr="006819BE">
        <w:t xml:space="preserve">Registrable exemptions do not require an application to the AER, but cover network activities that must be registered with the AER to receive the benefit of an exemption. </w:t>
      </w:r>
      <w:r w:rsidR="007C4460">
        <w:t>Online a</w:t>
      </w:r>
      <w:r w:rsidR="007C4460" w:rsidRPr="009776C9">
        <w:t>pplication</w:t>
      </w:r>
      <w:r w:rsidR="007C4460">
        <w:t>s</w:t>
      </w:r>
      <w:r w:rsidR="007C4460" w:rsidRPr="009776C9">
        <w:t xml:space="preserve"> can be </w:t>
      </w:r>
      <w:r w:rsidR="007C4460">
        <w:t>lodged directly</w:t>
      </w:r>
      <w:r w:rsidR="007C4460" w:rsidRPr="009776C9">
        <w:t xml:space="preserve"> from our website.</w:t>
      </w:r>
    </w:p>
    <w:p w:rsidR="006819BE" w:rsidRPr="006819BE" w:rsidRDefault="006819BE" w:rsidP="006819BE">
      <w:r w:rsidRPr="006819BE">
        <w:t>Applicants must submit the following information to record a registrable exemption:</w:t>
      </w:r>
    </w:p>
    <w:p w:rsidR="006819BE" w:rsidRPr="006819BE" w:rsidRDefault="006819BE" w:rsidP="00DC1D44">
      <w:pPr>
        <w:pStyle w:val="Bulletpoint"/>
      </w:pPr>
      <w:r w:rsidRPr="006819BE">
        <w:t>the name of the party</w:t>
      </w:r>
      <w:r w:rsidR="007C4460">
        <w:t xml:space="preserve"> </w:t>
      </w:r>
      <w:r w:rsidRPr="006819BE">
        <w:t>for whom exemption is sought</w:t>
      </w:r>
      <w:r w:rsidR="007C4460">
        <w:t xml:space="preserve"> (additional parties can be added)</w:t>
      </w:r>
    </w:p>
    <w:p w:rsidR="006819BE" w:rsidRPr="006819BE" w:rsidRDefault="006819BE" w:rsidP="00DC1D44">
      <w:pPr>
        <w:pStyle w:val="Bulletpoint"/>
      </w:pPr>
      <w:r w:rsidRPr="006819BE">
        <w:t>details of the company registration (ABN/ACN)</w:t>
      </w:r>
      <w:r w:rsidR="007C4460">
        <w:t xml:space="preserve"> (ABN is preferred)</w:t>
      </w:r>
    </w:p>
    <w:p w:rsidR="006819BE" w:rsidRPr="006819BE" w:rsidRDefault="006819BE" w:rsidP="00DC1D44">
      <w:pPr>
        <w:pStyle w:val="Bulletpoint"/>
      </w:pPr>
      <w:r w:rsidRPr="006819BE">
        <w:t>authorised representative contact details, including physical address, email address, and telephone contact numbers</w:t>
      </w:r>
    </w:p>
    <w:p w:rsidR="006819BE" w:rsidRPr="006819BE" w:rsidRDefault="006819BE" w:rsidP="00DC1D44">
      <w:pPr>
        <w:pStyle w:val="Bulletpoint"/>
      </w:pPr>
      <w:r w:rsidRPr="006819BE">
        <w:t>whether registering as owner or as the controller/operator of a network</w:t>
      </w:r>
    </w:p>
    <w:p w:rsidR="006819BE" w:rsidRPr="006819BE" w:rsidRDefault="006819BE" w:rsidP="00DC1D44">
      <w:pPr>
        <w:pStyle w:val="Bulletpoint"/>
      </w:pPr>
      <w:r w:rsidRPr="006819BE">
        <w:t>location of the embedded or exempt network</w:t>
      </w:r>
    </w:p>
    <w:p w:rsidR="006819BE" w:rsidRPr="006819BE" w:rsidRDefault="006819BE" w:rsidP="00DC1D44">
      <w:pPr>
        <w:pStyle w:val="Bulletpoint"/>
      </w:pPr>
      <w:r w:rsidRPr="006819BE">
        <w:t>nature of the activities conducted which require exemption</w:t>
      </w:r>
    </w:p>
    <w:p w:rsidR="006819BE" w:rsidRPr="006819BE" w:rsidRDefault="006819BE" w:rsidP="00DC1D44">
      <w:pPr>
        <w:pStyle w:val="Bulletpoint"/>
      </w:pPr>
      <w:r w:rsidRPr="006819BE">
        <w:t>applicable class or classes of exemption</w:t>
      </w:r>
    </w:p>
    <w:p w:rsidR="006819BE" w:rsidRPr="006819BE" w:rsidRDefault="006819BE" w:rsidP="00DC1D44">
      <w:pPr>
        <w:pStyle w:val="Bulletpoint"/>
      </w:pPr>
      <w:r w:rsidRPr="006819BE">
        <w:t>date activities commenced</w:t>
      </w:r>
    </w:p>
    <w:p w:rsidR="006819BE" w:rsidRPr="006819BE" w:rsidRDefault="006819BE" w:rsidP="00DC1D44">
      <w:pPr>
        <w:pStyle w:val="Bulletpoint"/>
      </w:pPr>
      <w:r w:rsidRPr="006819BE">
        <w:t>applicable dispute resolution mechanism</w:t>
      </w:r>
    </w:p>
    <w:p w:rsidR="006819BE" w:rsidRPr="006819BE" w:rsidRDefault="006819BE" w:rsidP="00DC1D44">
      <w:pPr>
        <w:pStyle w:val="Bulletpoint"/>
      </w:pPr>
      <w:proofErr w:type="gramStart"/>
      <w:r w:rsidRPr="006819BE">
        <w:t>charging</w:t>
      </w:r>
      <w:proofErr w:type="gramEnd"/>
      <w:r w:rsidRPr="006819BE">
        <w:t xml:space="preserve"> group or groups</w:t>
      </w:r>
      <w:r w:rsidR="00D16DA5">
        <w:t>.</w:t>
      </w:r>
    </w:p>
    <w:p w:rsidR="006819BE" w:rsidRPr="006819BE" w:rsidRDefault="006819BE" w:rsidP="006819BE">
      <w:r w:rsidRPr="006819BE">
        <w:t xml:space="preserve">Applications to amend a registration may </w:t>
      </w:r>
      <w:r w:rsidR="002511EF">
        <w:t xml:space="preserve">be </w:t>
      </w:r>
      <w:r w:rsidRPr="006819BE">
        <w:t>submitted electronically to us at</w:t>
      </w:r>
      <w:r w:rsidR="00DC1D44">
        <w:t>:</w:t>
      </w:r>
      <w:r w:rsidRPr="006819BE">
        <w:t xml:space="preserve"> </w:t>
      </w:r>
      <w:hyperlink r:id="rId15" w:history="1">
        <w:r w:rsidRPr="006819BE">
          <w:t>aerexemptions@aer.gov.au</w:t>
        </w:r>
      </w:hyperlink>
      <w:r w:rsidRPr="006819BE">
        <w:t>, in accordance with</w:t>
      </w:r>
      <w:r w:rsidR="00DC1D44">
        <w:t xml:space="preserve"> the</w:t>
      </w:r>
      <w:r w:rsidRPr="006819BE">
        <w:t xml:space="preserve"> information requirements set out above. We </w:t>
      </w:r>
      <w:r w:rsidR="00DC1D44">
        <w:t>operate</w:t>
      </w:r>
      <w:r w:rsidRPr="006819BE">
        <w:t xml:space="preserve"> a unified registration process for both the </w:t>
      </w:r>
      <w:r w:rsidR="00A51FD7" w:rsidRPr="006819BE">
        <w:t xml:space="preserve">Network </w:t>
      </w:r>
      <w:r w:rsidRPr="006819BE">
        <w:t xml:space="preserve">Guideline and </w:t>
      </w:r>
      <w:r w:rsidR="00C91B7C">
        <w:t xml:space="preserve">Retail </w:t>
      </w:r>
      <w:r w:rsidRPr="006819BE">
        <w:t>Exempt Selling Guideline to facilitate applicants seeking an exemption from both sets of requirements.</w:t>
      </w:r>
    </w:p>
    <w:p w:rsidR="006819BE" w:rsidRPr="006819BE" w:rsidRDefault="006819BE" w:rsidP="006819BE">
      <w:r w:rsidRPr="006819BE">
        <w:t xml:space="preserve">Parties who believe a registrable exemption is applicable to their current circumstances must, within not more than 20 business days of commencing to own, operate or control a private network, complete the registration requirements. Multiple classes apply to some private networks. </w:t>
      </w:r>
    </w:p>
    <w:p w:rsidR="006819BE" w:rsidRPr="006819BE" w:rsidRDefault="006819BE" w:rsidP="006819BE">
      <w:r w:rsidRPr="006819BE">
        <w:t xml:space="preserve">We will acknowledge all registrations with a reply email and provide details of a contact person within the AER who will respond to any inquiries regarding the registration. If any of the information provided to us for the purposes of registration changes during or after registration, we should be notified within 20 business days of the change to ensure that the registered exemption remains valid. </w:t>
      </w:r>
    </w:p>
    <w:p w:rsidR="006819BE" w:rsidRPr="006819BE" w:rsidRDefault="006819BE" w:rsidP="006819BE">
      <w:r w:rsidRPr="006819BE">
        <w:lastRenderedPageBreak/>
        <w:t xml:space="preserve">The registered exemption applies to the owner and the operator (as appropriate) for a particular site from the time they are entered on the Register of Exempt Networks. </w:t>
      </w:r>
    </w:p>
    <w:p w:rsidR="006819BE" w:rsidRPr="006819BE" w:rsidRDefault="006819BE" w:rsidP="006819BE">
      <w:r w:rsidRPr="006819BE">
        <w:t xml:space="preserve">Should an affected party seek to vary any conditions associated with a registrable exemption, they no longer meet the requirements for a registrable exemption and would need to apply for an individual exemption. </w:t>
      </w:r>
    </w:p>
    <w:p w:rsidR="006819BE" w:rsidRPr="006819BE" w:rsidRDefault="006819BE" w:rsidP="006819BE">
      <w:pPr>
        <w:pStyle w:val="Heading2"/>
      </w:pPr>
      <w:bookmarkStart w:id="203" w:name="_Ref361831452"/>
      <w:bookmarkStart w:id="204" w:name="_Toc365299429"/>
      <w:bookmarkStart w:id="205" w:name="_Toc468276123"/>
      <w:r w:rsidRPr="006819BE">
        <w:t>Application for individual exemption or variation of conditions</w:t>
      </w:r>
      <w:bookmarkEnd w:id="203"/>
      <w:bookmarkEnd w:id="204"/>
      <w:bookmarkEnd w:id="205"/>
    </w:p>
    <w:p w:rsidR="006819BE" w:rsidRPr="006819BE" w:rsidRDefault="006819BE" w:rsidP="006819BE">
      <w:r w:rsidRPr="006819BE">
        <w:t>Individual exemptions are granted by application to the AER on a case</w:t>
      </w:r>
      <w:r w:rsidR="00BF5F61">
        <w:t>–</w:t>
      </w:r>
      <w:r w:rsidRPr="006819BE">
        <w:t>by</w:t>
      </w:r>
      <w:r w:rsidR="00BF5F61">
        <w:t>–</w:t>
      </w:r>
      <w:r w:rsidRPr="006819BE">
        <w:t>case basis for network activities that do not meet the criteria for a deemed or registrable exemption.</w:t>
      </w:r>
    </w:p>
    <w:p w:rsidR="006819BE" w:rsidRPr="006819BE" w:rsidRDefault="006819BE" w:rsidP="006819BE">
      <w:r w:rsidRPr="006819BE">
        <w:t>Applicants must submit the following information to apply for an individual exemption:</w:t>
      </w:r>
    </w:p>
    <w:p w:rsidR="006819BE" w:rsidRPr="006819BE" w:rsidRDefault="006819BE" w:rsidP="00DC1D44">
      <w:pPr>
        <w:pStyle w:val="Bulletpoint"/>
      </w:pPr>
      <w:r w:rsidRPr="006819BE">
        <w:t>the name of every party for whom exemption is sought</w:t>
      </w:r>
    </w:p>
    <w:p w:rsidR="006819BE" w:rsidRPr="006819BE" w:rsidRDefault="006819BE" w:rsidP="00DC1D44">
      <w:pPr>
        <w:pStyle w:val="Bulletpoint"/>
      </w:pPr>
      <w:r w:rsidRPr="006819BE">
        <w:t>the nature of the normal business activities of the applicant</w:t>
      </w:r>
    </w:p>
    <w:p w:rsidR="006819BE" w:rsidRPr="006819BE" w:rsidRDefault="006819BE" w:rsidP="00DC1D44">
      <w:pPr>
        <w:pStyle w:val="Bulletpoint"/>
      </w:pPr>
      <w:r w:rsidRPr="006819BE">
        <w:t>if the application is made by an authorised agent, proof of authority for the agent to act on behalf of each named applicant</w:t>
      </w:r>
    </w:p>
    <w:p w:rsidR="006819BE" w:rsidRPr="006819BE" w:rsidRDefault="006819BE" w:rsidP="00DC1D44">
      <w:pPr>
        <w:pStyle w:val="Bulletpoint"/>
      </w:pPr>
      <w:r w:rsidRPr="006819BE">
        <w:t>the precise network to be subject to the exemption, including circuit diagrams if necessary (in most circumstances less complex single</w:t>
      </w:r>
      <w:r w:rsidR="00BF5F61">
        <w:t>–</w:t>
      </w:r>
      <w:r w:rsidRPr="006819BE">
        <w:t>line diagrams will be sufficient)</w:t>
      </w:r>
    </w:p>
    <w:p w:rsidR="006819BE" w:rsidRPr="006819BE" w:rsidRDefault="006819BE" w:rsidP="00DC1D44">
      <w:pPr>
        <w:pStyle w:val="Bulletpoint"/>
      </w:pPr>
      <w:r w:rsidRPr="006819BE">
        <w:t>a description of the parties connected to, or likely to connect to, or otherwise obtain services from the network</w:t>
      </w:r>
    </w:p>
    <w:p w:rsidR="006819BE" w:rsidRPr="006819BE" w:rsidRDefault="006819BE" w:rsidP="00DC1D44">
      <w:pPr>
        <w:pStyle w:val="Bulletpoint"/>
      </w:pPr>
      <w:r w:rsidRPr="006819BE">
        <w:t>if an industrial or commercial situation, whether the proposed on</w:t>
      </w:r>
      <w:r w:rsidR="00BF5F61">
        <w:t>–</w:t>
      </w:r>
      <w:r w:rsidRPr="006819BE">
        <w:t>supply is subject to agreed commercial terms between consenting parties with appropriate recourse to professional advice</w:t>
      </w:r>
    </w:p>
    <w:p w:rsidR="006819BE" w:rsidRPr="006819BE" w:rsidRDefault="006819BE" w:rsidP="00DC1D44">
      <w:pPr>
        <w:pStyle w:val="Bulletpoint"/>
      </w:pPr>
      <w:r w:rsidRPr="006819BE">
        <w:t xml:space="preserve">whether the applicants </w:t>
      </w:r>
      <w:r w:rsidR="00134384">
        <w:t>are</w:t>
      </w:r>
      <w:r w:rsidR="00134384" w:rsidRPr="006819BE">
        <w:t xml:space="preserve"> </w:t>
      </w:r>
      <w:r w:rsidRPr="006819BE">
        <w:t xml:space="preserve">seeking (or </w:t>
      </w:r>
      <w:r w:rsidR="00134384" w:rsidRPr="006819BE">
        <w:t>ha</w:t>
      </w:r>
      <w:r w:rsidR="00134384">
        <w:t>ve</w:t>
      </w:r>
      <w:r w:rsidR="00134384" w:rsidRPr="006819BE">
        <w:t xml:space="preserve"> </w:t>
      </w:r>
      <w:r w:rsidRPr="006819BE">
        <w:t>received) exemptions from any other codes or regulations governing the ownership or operation of networks or metering requirements applicable within the relevant jurisdiction, including details of those exemptions or applications for exemptions</w:t>
      </w:r>
    </w:p>
    <w:p w:rsidR="006819BE" w:rsidRPr="006819BE" w:rsidRDefault="006819BE" w:rsidP="00DC1D44">
      <w:pPr>
        <w:pStyle w:val="Bulletpoint"/>
      </w:pPr>
      <w:r w:rsidRPr="006819BE">
        <w:t>whether they are seeking exemption from the requirement to register as an NSP or from the application of chapter 5 of the NER or if they are seeking to vary the conditions otherwise applicable to a defined exemption class (if so, which conditions and why a variation is justified)</w:t>
      </w:r>
    </w:p>
    <w:p w:rsidR="006819BE" w:rsidRPr="006819BE" w:rsidRDefault="006819BE" w:rsidP="00DC1D44">
      <w:pPr>
        <w:pStyle w:val="Bulletpoint"/>
      </w:pPr>
      <w:r w:rsidRPr="006819BE">
        <w:t>details of the registered NSP to whom the network is, or will be, connected</w:t>
      </w:r>
    </w:p>
    <w:p w:rsidR="006819BE" w:rsidRPr="006819BE" w:rsidRDefault="006819BE" w:rsidP="00DC1D44">
      <w:pPr>
        <w:pStyle w:val="Bulletpoint"/>
      </w:pPr>
      <w:proofErr w:type="gramStart"/>
      <w:r w:rsidRPr="006819BE">
        <w:t>details</w:t>
      </w:r>
      <w:proofErr w:type="gramEnd"/>
      <w:r w:rsidRPr="006819BE">
        <w:t xml:space="preserve"> of any preliminary discussions which have taken place between the applicant and the </w:t>
      </w:r>
      <w:r w:rsidR="008E3937">
        <w:t>network service provider and if relevant, AEMO.</w:t>
      </w:r>
    </w:p>
    <w:p w:rsidR="006819BE" w:rsidRPr="006819BE" w:rsidRDefault="006819BE" w:rsidP="00DC1D44">
      <w:pPr>
        <w:pStyle w:val="Bulletpoint"/>
      </w:pPr>
      <w:r w:rsidRPr="006819BE">
        <w:t xml:space="preserve">the arrangements proposed for setting network charges for parties using the network </w:t>
      </w:r>
    </w:p>
    <w:p w:rsidR="006819BE" w:rsidRPr="006819BE" w:rsidRDefault="006819BE" w:rsidP="00DC1D44">
      <w:pPr>
        <w:pStyle w:val="Bulletpoint"/>
      </w:pPr>
      <w:r w:rsidRPr="006819BE">
        <w:t>mailing details for all stakeholders affected by the grant of an individual exemption</w:t>
      </w:r>
    </w:p>
    <w:p w:rsidR="006819BE" w:rsidRPr="006819BE" w:rsidRDefault="006819BE" w:rsidP="00DC1D44">
      <w:pPr>
        <w:pStyle w:val="Bulletpoint"/>
      </w:pPr>
      <w:r w:rsidRPr="006819BE">
        <w:t>the arrangements proposed for energy charges (e.g. fixed percentage of total costs or direct access to retailers by tenants), and</w:t>
      </w:r>
    </w:p>
    <w:p w:rsidR="006819BE" w:rsidRPr="006819BE" w:rsidRDefault="006819BE" w:rsidP="00DC1D44">
      <w:pPr>
        <w:pStyle w:val="Bulletpoint"/>
      </w:pPr>
      <w:proofErr w:type="gramStart"/>
      <w:r w:rsidRPr="006819BE">
        <w:t>detailed</w:t>
      </w:r>
      <w:proofErr w:type="gramEnd"/>
      <w:r w:rsidRPr="006819BE">
        <w:t xml:space="preserve"> supporting argument why exemption will serve the long</w:t>
      </w:r>
      <w:r w:rsidR="00BF5F61">
        <w:t>–</w:t>
      </w:r>
      <w:r w:rsidRPr="006819BE">
        <w:t>term interests of electricity consumers connected to the network and more generally, across the NEM.</w:t>
      </w:r>
    </w:p>
    <w:p w:rsidR="006819BE" w:rsidRPr="006819BE" w:rsidRDefault="006819BE" w:rsidP="006819BE">
      <w:r w:rsidRPr="006819BE">
        <w:lastRenderedPageBreak/>
        <w:t xml:space="preserve">An application for an individual exemption must be made in writing and may be submitted electronically to us at </w:t>
      </w:r>
      <w:hyperlink r:id="rId16" w:history="1">
        <w:r w:rsidRPr="006819BE">
          <w:t>aerexemptions@aer.gov.au</w:t>
        </w:r>
      </w:hyperlink>
      <w:r w:rsidRPr="006819BE">
        <w:t xml:space="preserve">. </w:t>
      </w:r>
    </w:p>
    <w:p w:rsidR="006819BE" w:rsidRPr="006819BE" w:rsidRDefault="006819BE" w:rsidP="006819BE">
      <w:r w:rsidRPr="006819BE">
        <w:t xml:space="preserve">We will acknowledge all individual exemption applications with a reply email and provide details of a contact person within the AER who will respond to any inquiries regarding the application. If any of the information provided to us changes during or after the individual exemption application is made, we should be promptly notified of the change. </w:t>
      </w:r>
    </w:p>
    <w:p w:rsidR="006819BE" w:rsidRPr="006819BE" w:rsidRDefault="006819BE" w:rsidP="006819BE">
      <w:r w:rsidRPr="006819BE">
        <w:t>Applications for variation of conditions must explain in persuasive terms why the pre</w:t>
      </w:r>
      <w:r w:rsidR="00BF5F61">
        <w:t>–</w:t>
      </w:r>
      <w:r w:rsidRPr="006819BE">
        <w:t>defined conditions will result in an excessive regulatory burden and demonstrate how relief from the conditions will better serve customers. We may request additional information from applicants prior to processing an application for exemption.</w:t>
      </w:r>
    </w:p>
    <w:p w:rsidR="006819BE" w:rsidRPr="006819BE" w:rsidRDefault="006819BE" w:rsidP="006819BE">
      <w:r w:rsidRPr="006819BE">
        <w:t xml:space="preserve">We are empowered to consult affected stakeholders on any application for exemption. As stated in section </w:t>
      </w:r>
      <w:r w:rsidRPr="006819BE">
        <w:fldChar w:fldCharType="begin"/>
      </w:r>
      <w:r w:rsidRPr="006819BE">
        <w:instrText xml:space="preserve"> REF _Ref361909031 \r \h  \* MERGEFORMAT </w:instrText>
      </w:r>
      <w:r w:rsidRPr="006819BE">
        <w:fldChar w:fldCharType="separate"/>
      </w:r>
      <w:r w:rsidR="00D30DD5">
        <w:t>2.4.5</w:t>
      </w:r>
      <w:r w:rsidRPr="006819BE">
        <w:fldChar w:fldCharType="end"/>
      </w:r>
      <w:r w:rsidRPr="006819BE">
        <w:t xml:space="preserve"> we </w:t>
      </w:r>
      <w:r w:rsidR="00DC1D44">
        <w:t xml:space="preserve">may </w:t>
      </w:r>
      <w:r w:rsidRPr="006819BE">
        <w:t xml:space="preserve">seek written submissions on the application from interested stakeholders via a notice on our website. Applications may contain confidential information. If so, a redacted version of each submission is required in a form suitable for publication electronically should the AER elect to consult widely on a particular </w:t>
      </w:r>
      <w:proofErr w:type="gramStart"/>
      <w:r w:rsidRPr="006819BE">
        <w:t>application.</w:t>
      </w:r>
      <w:proofErr w:type="gramEnd"/>
      <w:r w:rsidRPr="006819BE">
        <w:t xml:space="preserve"> </w:t>
      </w:r>
    </w:p>
    <w:p w:rsidR="006819BE" w:rsidRPr="006819BE" w:rsidRDefault="006819BE" w:rsidP="006819BE">
      <w:r w:rsidRPr="006819BE">
        <w:t xml:space="preserve">We will inform the applicant of our decision regarding the application for the grant or variation of the individual exemption. </w:t>
      </w:r>
      <w:r w:rsidR="00D16DA5" w:rsidRPr="006819BE">
        <w:t xml:space="preserve">The individual exemption applies to an operator for a particular site from the time </w:t>
      </w:r>
      <w:r w:rsidR="00D16DA5">
        <w:t>stated in a notice issued by the AER and</w:t>
      </w:r>
      <w:r w:rsidR="00D16DA5" w:rsidRPr="006819BE">
        <w:t xml:space="preserve"> entered on the Register of Exempt Networks.</w:t>
      </w:r>
    </w:p>
    <w:p w:rsidR="006819BE" w:rsidRPr="006819BE" w:rsidRDefault="006819BE" w:rsidP="006819BE">
      <w:r w:rsidRPr="006819BE">
        <w:t>An individual exemption is personal to the applicant, and does not apply to any other person that owns, controls or operates the network at the time of the decision or in the future. An individual exemption is not transferrable; however, we accept the need for transitional arrangements.</w:t>
      </w:r>
      <w:r w:rsidR="001D28C3">
        <w:t xml:space="preserve"> </w:t>
      </w:r>
    </w:p>
    <w:p w:rsidR="006819BE" w:rsidRPr="006819BE" w:rsidRDefault="006819BE" w:rsidP="006819BE">
      <w:r w:rsidRPr="006819BE">
        <w:t>Where an application for individual exemption is for a network previously registered with us and we have not revoked that registration, the terms of the pre</w:t>
      </w:r>
      <w:r w:rsidR="00BF5F61">
        <w:t>–</w:t>
      </w:r>
      <w:r w:rsidRPr="006819BE">
        <w:t>existing arrangement will continue to apply to the new applicant until the effective date of a new exemption notified by us in response to the application.</w:t>
      </w:r>
    </w:p>
    <w:p w:rsidR="006819BE" w:rsidRPr="006819BE" w:rsidRDefault="006819BE" w:rsidP="006819BE">
      <w:pPr>
        <w:pStyle w:val="Heading2"/>
      </w:pPr>
      <w:bookmarkStart w:id="206" w:name="_Toc365299430"/>
      <w:bookmarkStart w:id="207" w:name="_Toc468276124"/>
      <w:r w:rsidRPr="006819BE">
        <w:t>Revocation of an exemption</w:t>
      </w:r>
      <w:bookmarkEnd w:id="206"/>
      <w:bookmarkEnd w:id="207"/>
    </w:p>
    <w:p w:rsidR="00C24DED" w:rsidRDefault="006819BE" w:rsidP="006819BE">
      <w:r w:rsidRPr="006819BE">
        <w:t xml:space="preserve">We can revoke any network exemption granted including an exemption for a network operating under a deemed exemption or a registered exemption. The grounds for revocation are </w:t>
      </w:r>
      <w:r w:rsidR="00356F32">
        <w:t xml:space="preserve">broad. In particular, we may revoke an exemption if </w:t>
      </w:r>
      <w:r w:rsidRPr="006819BE">
        <w:t>we are satisfied that there has been a failure by the exempt party to meet the conditions imposed on them</w:t>
      </w:r>
      <w:r w:rsidR="00356F32">
        <w:t xml:space="preserve"> or that the operation of an exempt network is not consistent with the National Electricity Objective in all respects</w:t>
      </w:r>
      <w:r w:rsidRPr="006819BE">
        <w:t xml:space="preserve">. </w:t>
      </w:r>
    </w:p>
    <w:p w:rsidR="006819BE" w:rsidRPr="006819BE" w:rsidRDefault="006819BE" w:rsidP="006819BE">
      <w:r w:rsidRPr="006819BE">
        <w:t>We will consider what constitutes a ‘failure’ on a case by case basis as matters come to our attention. In general, we will conclude there to have been a failure by an exempt party where there is:</w:t>
      </w:r>
    </w:p>
    <w:p w:rsidR="006819BE" w:rsidRPr="006819BE" w:rsidRDefault="006819BE" w:rsidP="00DC1D44">
      <w:pPr>
        <w:pStyle w:val="Bulletpoint"/>
      </w:pPr>
      <w:r w:rsidRPr="006819BE">
        <w:t>an unacceptable impact on a connected network or</w:t>
      </w:r>
    </w:p>
    <w:p w:rsidR="006819BE" w:rsidRPr="006819BE" w:rsidRDefault="006819BE" w:rsidP="00DC1D44">
      <w:pPr>
        <w:pStyle w:val="Bulletpoint"/>
      </w:pPr>
      <w:r w:rsidRPr="006819BE">
        <w:t xml:space="preserve">an unacceptable impact on national electricity market operations as a result of the operation of the network or </w:t>
      </w:r>
    </w:p>
    <w:p w:rsidR="006819BE" w:rsidRPr="006819BE" w:rsidRDefault="006819BE" w:rsidP="00DC1D44">
      <w:pPr>
        <w:pStyle w:val="Bulletpoint"/>
      </w:pPr>
      <w:proofErr w:type="gramStart"/>
      <w:r w:rsidRPr="006819BE">
        <w:lastRenderedPageBreak/>
        <w:t>the</w:t>
      </w:r>
      <w:proofErr w:type="gramEnd"/>
      <w:r w:rsidRPr="006819BE">
        <w:t xml:space="preserve"> exempt party has not complied with conditions imposed on them as part of their exemption and as a result, there has been a significant or widespread impact on </w:t>
      </w:r>
      <w:r w:rsidR="00DC1D44">
        <w:t xml:space="preserve">one or more of </w:t>
      </w:r>
      <w:r w:rsidRPr="006819BE">
        <w:t>their customers.</w:t>
      </w:r>
    </w:p>
    <w:p w:rsidR="006819BE" w:rsidRPr="006819BE" w:rsidRDefault="006819BE" w:rsidP="006819BE">
      <w:r w:rsidRPr="006819BE">
        <w:t>Subject always to there being no immediate threat to the health or safety of any party served by an exempt network and there being no adverse impact on a connected network or on market operations, we will align the process for revocation of a network exemption to the equivalent process imposed in Section 120 of the Retail Law for retail matters. This process includes the following steps:</w:t>
      </w:r>
    </w:p>
    <w:p w:rsidR="006819BE" w:rsidRPr="006819BE" w:rsidRDefault="006819BE" w:rsidP="00D94F49">
      <w:pPr>
        <w:pStyle w:val="Bulletpoint"/>
      </w:pPr>
      <w:r w:rsidRPr="006819BE">
        <w:t xml:space="preserve">We will first give the exempt network proprietor a notice that it intends to revoke the exemption, and the reasons why the AER considers that grounds for revocation exist. </w:t>
      </w:r>
    </w:p>
    <w:p w:rsidR="006819BE" w:rsidRPr="006819BE" w:rsidRDefault="006819BE" w:rsidP="00D94F49">
      <w:pPr>
        <w:pStyle w:val="Bulletpoint"/>
      </w:pPr>
      <w:r w:rsidRPr="006819BE">
        <w:t>The exempt network proprietor must respond to the notice in writing during the time specified by the AER, showing why the exemption should not be revoked and proposing actions the exempt network proprietor will take to rectify the problem.</w:t>
      </w:r>
    </w:p>
    <w:p w:rsidR="006819BE" w:rsidRPr="006819BE" w:rsidRDefault="006819BE" w:rsidP="006819BE">
      <w:r w:rsidRPr="006819BE">
        <w:t>If we are not satisfied with the exempt party’s response, we may fix a time for the revocation to take effect and inform the exempt party of any conditions with which they must comply. Where an exemption for an exempt party operating under a class exemption is revoked, the exempt party is no longer eligible to operate under that class. If they continue to operate the network, they will be in breach of section 11(2</w:t>
      </w:r>
      <w:proofErr w:type="gramStart"/>
      <w:r w:rsidRPr="006819BE">
        <w:t>)(</w:t>
      </w:r>
      <w:proofErr w:type="gramEnd"/>
      <w:r w:rsidRPr="006819BE">
        <w:t xml:space="preserve">b) of the National Electricity Law, which prohibits the operation of a network without registration or exemption or an approved derogation. </w:t>
      </w:r>
    </w:p>
    <w:p w:rsidR="006819BE" w:rsidRPr="006819BE" w:rsidRDefault="006819BE" w:rsidP="006819BE">
      <w:r w:rsidRPr="006819BE">
        <w:t>Following revocation of the network exemption, customers of the exempt network will either need to obtain supply from a NEM registered distribution or transmission network service provider or must otherwise satisfy the conditions necessary to qualify for a new deemed, registrable or individual exemption.</w:t>
      </w:r>
    </w:p>
    <w:p w:rsidR="006819BE" w:rsidRPr="006819BE" w:rsidRDefault="006819BE" w:rsidP="006819BE">
      <w:r w:rsidRPr="006819BE">
        <w:t>In situations where revocation may place undue hardship on customers of an embedded network, to the extent practicable, we will seek to minimise hardship on innocent parties while enforcement action is taken. This may involve the grant of a limited individual exemption to operate the network under restricted conditions. This will be assessed on a case</w:t>
      </w:r>
      <w:r w:rsidR="00BF5F61">
        <w:t>–</w:t>
      </w:r>
      <w:r w:rsidR="00432A71">
        <w:t>by</w:t>
      </w:r>
      <w:r w:rsidR="00BF5F61">
        <w:t>–</w:t>
      </w:r>
      <w:r w:rsidRPr="006819BE">
        <w:t>case basis.</w:t>
      </w:r>
    </w:p>
    <w:p w:rsidR="006819BE" w:rsidRPr="006819BE" w:rsidRDefault="006819BE" w:rsidP="006819BE">
      <w:pPr>
        <w:pStyle w:val="Heading2"/>
      </w:pPr>
      <w:bookmarkStart w:id="208" w:name="_Toc365299431"/>
      <w:bookmarkStart w:id="209" w:name="_Ref456195534"/>
      <w:bookmarkStart w:id="210" w:name="_Ref456196879"/>
      <w:bookmarkStart w:id="211" w:name="_Toc468276125"/>
      <w:r w:rsidRPr="006819BE">
        <w:t>Transfer, amendment or cessation of an exemption</w:t>
      </w:r>
      <w:bookmarkEnd w:id="208"/>
      <w:bookmarkEnd w:id="209"/>
      <w:bookmarkEnd w:id="210"/>
      <w:bookmarkEnd w:id="211"/>
    </w:p>
    <w:p w:rsidR="006819BE" w:rsidRPr="006819BE" w:rsidRDefault="006819BE" w:rsidP="006819BE">
      <w:r w:rsidRPr="006819BE">
        <w:t xml:space="preserve">A notice addressed to the AER is required for all changes of </w:t>
      </w:r>
      <w:r w:rsidR="008E3937" w:rsidRPr="006819BE">
        <w:t>ownership,</w:t>
      </w:r>
      <w:r w:rsidR="008E3937">
        <w:t xml:space="preserve"> </w:t>
      </w:r>
      <w:r w:rsidRPr="006819BE">
        <w:t>accountabilities and/or registration details and for the cessation of operation of a registrable or individually exempt private network. No notice is required for a deemed exempt network.</w:t>
      </w:r>
    </w:p>
    <w:p w:rsidR="006819BE" w:rsidRPr="006819BE" w:rsidRDefault="006819BE" w:rsidP="006819BE">
      <w:r w:rsidRPr="006819BE">
        <w:t>The notice must detail the change of circumstances and should be submitted at the earliest opportunity whenever an exempt private network is to be subject to a transfer of ownership, change of registration details or a change or restructure of accountabilities. If a notice is incomplete or missing necessary detail, we may require further detail be provided before the notice is accepted and acted upon.</w:t>
      </w:r>
    </w:p>
    <w:p w:rsidR="006819BE" w:rsidRPr="006819BE" w:rsidRDefault="006819BE" w:rsidP="006819BE">
      <w:r w:rsidRPr="006819BE">
        <w:t xml:space="preserve">Note that the party acquiring an existing exempt private network is required to submit a registration application in accordance with sections </w:t>
      </w:r>
      <w:r w:rsidR="00E97A4B">
        <w:fldChar w:fldCharType="begin"/>
      </w:r>
      <w:r w:rsidR="00E97A4B">
        <w:instrText xml:space="preserve"> REF _Ref464643221 \r \h </w:instrText>
      </w:r>
      <w:r w:rsidR="00E97A4B">
        <w:fldChar w:fldCharType="separate"/>
      </w:r>
      <w:r w:rsidR="00E97A4B">
        <w:t>5.2</w:t>
      </w:r>
      <w:r w:rsidR="00E97A4B">
        <w:fldChar w:fldCharType="end"/>
      </w:r>
      <w:r w:rsidR="00F51936">
        <w:t xml:space="preserve"> or </w:t>
      </w:r>
      <w:r w:rsidR="00F51936">
        <w:fldChar w:fldCharType="begin"/>
      </w:r>
      <w:r w:rsidR="00F51936">
        <w:instrText xml:space="preserve"> REF _Ref361831452 \r \h </w:instrText>
      </w:r>
      <w:r w:rsidR="00F51936">
        <w:fldChar w:fldCharType="separate"/>
      </w:r>
      <w:r w:rsidR="00D30DD5">
        <w:t>5.3</w:t>
      </w:r>
      <w:r w:rsidR="00F51936">
        <w:fldChar w:fldCharType="end"/>
      </w:r>
      <w:r w:rsidRPr="006819BE">
        <w:t xml:space="preserve">, as appropriate. The conditions </w:t>
      </w:r>
      <w:r w:rsidRPr="006819BE">
        <w:lastRenderedPageBreak/>
        <w:t>for the operation of an existing exempt network continue to apply until we determine otherwise in response to the new application.</w:t>
      </w:r>
    </w:p>
    <w:p w:rsidR="006819BE" w:rsidRPr="006819BE" w:rsidRDefault="006819BE" w:rsidP="006819BE">
      <w:r w:rsidRPr="006819BE">
        <w:t>Where a registered private network is to cease operation, the authorised representative(s) should notify us of the planned or actual date for the network to cease operation. We will de</w:t>
      </w:r>
      <w:r w:rsidR="008E3937">
        <w:t xml:space="preserve">activate the </w:t>
      </w:r>
      <w:r w:rsidRPr="006819BE">
        <w:t>regist</w:t>
      </w:r>
      <w:r w:rsidR="008E3937">
        <w:t>ration of</w:t>
      </w:r>
      <w:r w:rsidRPr="006819BE">
        <w:t xml:space="preserve"> the network from the date specified in a notice.</w:t>
      </w:r>
    </w:p>
    <w:p w:rsidR="006819BE" w:rsidRPr="006819BE" w:rsidRDefault="006819BE" w:rsidP="006819BE">
      <w:r w:rsidRPr="006819BE">
        <w:t xml:space="preserve">If the AER receives advice from any other party that a registered network has ceased operation we will attempt to contact the registered responsible person to confirm the status of the network. This contact may be by telephone or by a written or electronic notice addressed to the registered authorised representative. If no response is received within 20 business days we may </w:t>
      </w:r>
      <w:r w:rsidR="008E3937" w:rsidRPr="008E3937">
        <w:t xml:space="preserve">deactivate the registration </w:t>
      </w:r>
      <w:r w:rsidR="008E3937">
        <w:t xml:space="preserve">of </w:t>
      </w:r>
      <w:r w:rsidRPr="006819BE">
        <w:t>that network without further notice.</w:t>
      </w:r>
    </w:p>
    <w:p w:rsidR="006819BE" w:rsidRPr="006819BE" w:rsidRDefault="006819BE" w:rsidP="006819BE">
      <w:r w:rsidRPr="006819BE">
        <w:t>If the AER later determines that a de</w:t>
      </w:r>
      <w:r w:rsidR="008E3937">
        <w:t xml:space="preserve">activated </w:t>
      </w:r>
      <w:r w:rsidRPr="006819BE">
        <w:t>register</w:t>
      </w:r>
      <w:r w:rsidR="00432A71">
        <w:t xml:space="preserve">ed private network should be </w:t>
      </w:r>
      <w:r w:rsidR="008E3937">
        <w:t>r</w:t>
      </w:r>
      <w:r w:rsidR="008E3937" w:rsidRPr="008E3937">
        <w:t>eactivated</w:t>
      </w:r>
      <w:r w:rsidR="008E3937">
        <w:t xml:space="preserve"> we may, at our discretion, reactivate</w:t>
      </w:r>
      <w:r w:rsidR="008E3937" w:rsidRPr="008E3937">
        <w:t xml:space="preserve"> </w:t>
      </w:r>
      <w:r w:rsidRPr="006819BE">
        <w:t xml:space="preserve">the network on the same or amended conditions or </w:t>
      </w:r>
      <w:r w:rsidR="008E3937">
        <w:t xml:space="preserve">we </w:t>
      </w:r>
      <w:r w:rsidRPr="006819BE">
        <w:t>may require that a new application for a registrable or individual exemption be submitted.</w:t>
      </w:r>
    </w:p>
    <w:sectPr w:rsidR="006819BE" w:rsidRPr="006819BE" w:rsidSect="008E3937">
      <w:footerReference w:type="even" r:id="rId17"/>
      <w:footerReference w:type="first" r:id="rId18"/>
      <w:pgSz w:w="11906" w:h="16838"/>
      <w:pgMar w:top="1440" w:right="1440" w:bottom="1440"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85D" w:rsidRDefault="0092185D" w:rsidP="004B4412">
      <w:pPr>
        <w:spacing w:before="0"/>
      </w:pPr>
      <w:r>
        <w:separator/>
      </w:r>
    </w:p>
    <w:p w:rsidR="0092185D" w:rsidRDefault="0092185D"/>
    <w:p w:rsidR="0092185D" w:rsidRDefault="0092185D"/>
  </w:endnote>
  <w:endnote w:type="continuationSeparator" w:id="0">
    <w:p w:rsidR="0092185D" w:rsidRDefault="0092185D" w:rsidP="004B4412">
      <w:pPr>
        <w:spacing w:before="0"/>
      </w:pPr>
      <w:r>
        <w:continuationSeparator/>
      </w:r>
    </w:p>
    <w:p w:rsidR="0092185D" w:rsidRDefault="0092185D"/>
    <w:p w:rsidR="0092185D" w:rsidRDefault="00921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utami">
    <w:panose1 w:val="020B0502040204020203"/>
    <w:charset w:val="01"/>
    <w:family w:val="roman"/>
    <w:notTrueType/>
    <w:pitch w:val="variable"/>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85D" w:rsidRPr="007A4D1F" w:rsidRDefault="0092185D" w:rsidP="00253FD4">
    <w:pPr>
      <w:pStyle w:val="Footer"/>
    </w:pPr>
    <w:r>
      <w:t>Guideline - Exemption from registration as a network service provider</w:t>
    </w:r>
    <w:r w:rsidRPr="007A4D1F">
      <w:tab/>
    </w:r>
    <w:r w:rsidRPr="007A4D1F">
      <w:tab/>
    </w:r>
    <w:r w:rsidRPr="007A4D1F">
      <w:fldChar w:fldCharType="begin"/>
    </w:r>
    <w:r w:rsidRPr="007A4D1F">
      <w:instrText xml:space="preserve"> PAGE   \* MERGEFORMAT </w:instrText>
    </w:r>
    <w:r w:rsidRPr="007A4D1F">
      <w:fldChar w:fldCharType="separate"/>
    </w:r>
    <w:r w:rsidR="003E3FD8">
      <w:rPr>
        <w:noProof/>
      </w:rPr>
      <w:t>ii</w:t>
    </w:r>
    <w:r w:rsidRPr="007A4D1F">
      <w:rPr>
        <w:noProof/>
      </w:rPr>
      <w:fldChar w:fldCharType="end"/>
    </w:r>
    <w:r w:rsidRPr="007A4D1F">
      <w:tab/>
    </w:r>
  </w:p>
  <w:p w:rsidR="0092185D" w:rsidRDefault="0092185D"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85D" w:rsidRPr="00A91A9E" w:rsidRDefault="0092185D" w:rsidP="00970CF9">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w:t>
    </w:r>
    <w:r>
      <w:rPr>
        <w:rStyle w:val="PageNumber"/>
      </w:rPr>
      <w:t>–</w:t>
    </w:r>
    <w:r w:rsidRPr="00A91A9E">
      <w:rPr>
        <w:rStyle w:val="PageNumber"/>
      </w:rPr>
      <w:t>month/year</w:t>
    </w:r>
  </w:p>
  <w:p w:rsidR="0092185D" w:rsidRDefault="0092185D"/>
  <w:p w:rsidR="0092185D" w:rsidRDefault="0092185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85D" w:rsidRDefault="0092185D" w:rsidP="00CC7F1D">
    <w:pPr>
      <w:pStyle w:val="Footer"/>
      <w:tabs>
        <w:tab w:val="clear" w:pos="9026"/>
        <w:tab w:val="right" w:pos="8505"/>
      </w:tabs>
    </w:pPr>
    <w:r w:rsidRPr="008A34CB">
      <w:t>Draft Guideline - Exemption from registration as a network service provider</w:t>
    </w:r>
    <w:r>
      <w:tab/>
    </w:r>
    <w:r>
      <w:fldChar w:fldCharType="begin"/>
    </w:r>
    <w:r>
      <w:instrText xml:space="preserve"> PAGE   \* MERGEFORMAT </w:instrText>
    </w:r>
    <w:r>
      <w:fldChar w:fldCharType="separate"/>
    </w:r>
    <w:r w:rsidR="003E3FD8">
      <w:rPr>
        <w:noProof/>
      </w:rPr>
      <w:t>42</w:t>
    </w:r>
    <w:r>
      <w:fldChar w:fldCharType="end"/>
    </w:r>
  </w:p>
  <w:p w:rsidR="0092185D" w:rsidRDefault="0092185D">
    <w:pPr>
      <w:pStyle w:val="Footer"/>
    </w:pPr>
  </w:p>
  <w:p w:rsidR="0092185D" w:rsidRDefault="0092185D"/>
  <w:p w:rsidR="0092185D" w:rsidRDefault="009218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85D" w:rsidRDefault="0092185D" w:rsidP="00182906">
      <w:pPr>
        <w:spacing w:before="0"/>
      </w:pPr>
      <w:r>
        <w:separator/>
      </w:r>
    </w:p>
  </w:footnote>
  <w:footnote w:type="continuationSeparator" w:id="0">
    <w:p w:rsidR="0092185D" w:rsidRDefault="0092185D" w:rsidP="00182906">
      <w:pPr>
        <w:spacing w:before="0"/>
      </w:pPr>
      <w:r>
        <w:continuationSeparator/>
      </w:r>
    </w:p>
  </w:footnote>
  <w:footnote w:type="continuationNotice" w:id="1">
    <w:p w:rsidR="0092185D" w:rsidRDefault="0092185D">
      <w:pPr>
        <w:spacing w:before="0" w:line="240" w:lineRule="auto"/>
      </w:pPr>
    </w:p>
  </w:footnote>
  <w:footnote w:id="2">
    <w:p w:rsidR="0092185D" w:rsidRDefault="0092185D">
      <w:pPr>
        <w:pStyle w:val="FootnoteText"/>
      </w:pPr>
      <w:r>
        <w:rPr>
          <w:rStyle w:val="FootnoteReference"/>
        </w:rPr>
        <w:footnoteRef/>
      </w:r>
      <w:r>
        <w:t xml:space="preserve"> However, the default position is that access must be provided on request (i.e. 'open access' applies).</w:t>
      </w:r>
    </w:p>
  </w:footnote>
  <w:footnote w:id="3">
    <w:p w:rsidR="0092185D" w:rsidRDefault="0092185D">
      <w:pPr>
        <w:pStyle w:val="FootnoteText"/>
      </w:pPr>
      <w:r>
        <w:rPr>
          <w:rStyle w:val="FootnoteReference"/>
        </w:rPr>
        <w:footnoteRef/>
      </w:r>
      <w:r>
        <w:t xml:space="preserve"> AEMC, </w:t>
      </w:r>
      <w:r w:rsidRPr="004A25BA">
        <w:t>National Electricity Amendment (Embedded Networks) Rule 2015</w:t>
      </w:r>
      <w:r>
        <w:t>,</w:t>
      </w:r>
      <w:r w:rsidRPr="004A25BA">
        <w:t xml:space="preserve"> No. 15</w:t>
      </w:r>
      <w:r>
        <w:t>, December 2015</w:t>
      </w:r>
    </w:p>
  </w:footnote>
  <w:footnote w:id="4">
    <w:p w:rsidR="0092185D" w:rsidRDefault="0092185D" w:rsidP="00FC6164">
      <w:pPr>
        <w:pStyle w:val="FootnoteText"/>
      </w:pPr>
      <w:r>
        <w:rPr>
          <w:rStyle w:val="FootnoteReference"/>
        </w:rPr>
        <w:footnoteRef/>
      </w:r>
      <w:r>
        <w:t xml:space="preserve"> </w:t>
      </w:r>
      <w:r w:rsidRPr="00BF5F61">
        <w:t xml:space="preserve">Available at: </w:t>
      </w:r>
      <w:hyperlink r:id="rId1" w:history="1">
        <w:r w:rsidRPr="001256DD">
          <w:rPr>
            <w:rStyle w:val="Hyperlink"/>
            <w:sz w:val="16"/>
          </w:rPr>
          <w:t>http://www.aer.gov.au/node/469</w:t>
        </w:r>
      </w:hyperlink>
    </w:p>
  </w:footnote>
  <w:footnote w:id="5">
    <w:p w:rsidR="0092185D" w:rsidRDefault="0092185D">
      <w:pPr>
        <w:pStyle w:val="FootnoteText"/>
      </w:pPr>
      <w:r>
        <w:rPr>
          <w:rStyle w:val="FootnoteReference"/>
        </w:rPr>
        <w:footnoteRef/>
      </w:r>
      <w:r>
        <w:t xml:space="preserve"> </w:t>
      </w:r>
      <w:r>
        <w:tab/>
        <w:t xml:space="preserve">The exception to this requirement is wiring in a building with multiple tenants or </w:t>
      </w:r>
      <w:proofErr w:type="gramStart"/>
      <w:r>
        <w:t>residents that connects</w:t>
      </w:r>
      <w:proofErr w:type="gramEnd"/>
      <w:r>
        <w:t xml:space="preserve"> those customers directly to a distributor. We treat that wiring as 'connection assets'. Under the NER definition of a </w:t>
      </w:r>
      <w:r w:rsidRPr="008022B5">
        <w:rPr>
          <w:rStyle w:val="Emphasis"/>
        </w:rPr>
        <w:t>distribution system</w:t>
      </w:r>
      <w:r>
        <w:t xml:space="preserve">, </w:t>
      </w:r>
      <w:r w:rsidRPr="008022B5">
        <w:rPr>
          <w:rStyle w:val="Emphasis"/>
        </w:rPr>
        <w:t>connection assets</w:t>
      </w:r>
      <w:r>
        <w:t xml:space="preserve"> </w:t>
      </w:r>
      <w:proofErr w:type="gramStart"/>
      <w:r>
        <w:t>on their own</w:t>
      </w:r>
      <w:proofErr w:type="gramEnd"/>
      <w:r>
        <w:t xml:space="preserve"> do not form a </w:t>
      </w:r>
      <w:r w:rsidRPr="008022B5">
        <w:rPr>
          <w:rStyle w:val="Emphasis"/>
        </w:rPr>
        <w:t>distribution system</w:t>
      </w:r>
      <w:r>
        <w:t>. Therefore, there is no need for the AER to deem this wiring exempt. This approach has been standard industry practice since the commencement of the NEM.</w:t>
      </w:r>
    </w:p>
  </w:footnote>
  <w:footnote w:id="6">
    <w:p w:rsidR="0092185D" w:rsidRPr="00670860" w:rsidRDefault="0092185D" w:rsidP="00402707">
      <w:pPr>
        <w:pStyle w:val="FootnoteText"/>
        <w:rPr>
          <w:rFonts w:cs="Arial"/>
          <w:szCs w:val="16"/>
        </w:rPr>
      </w:pPr>
      <w:r w:rsidRPr="00670860">
        <w:rPr>
          <w:rFonts w:cs="Arial"/>
          <w:szCs w:val="16"/>
          <w:vertAlign w:val="superscript"/>
        </w:rPr>
        <w:footnoteRef/>
      </w:r>
      <w:r w:rsidRPr="00670860">
        <w:rPr>
          <w:rFonts w:cs="Arial"/>
          <w:szCs w:val="16"/>
        </w:rPr>
        <w:t xml:space="preserve"> </w:t>
      </w:r>
      <w:r w:rsidRPr="00670860">
        <w:rPr>
          <w:rFonts w:cs="Arial"/>
          <w:szCs w:val="16"/>
        </w:rPr>
        <w:tab/>
        <w:t xml:space="preserve">For further information, see </w:t>
      </w:r>
      <w:hyperlink r:id="rId2" w:history="1">
        <w:r w:rsidRPr="001256DD">
          <w:rPr>
            <w:rStyle w:val="Hyperlink"/>
            <w:rFonts w:cs="Arial"/>
            <w:sz w:val="16"/>
            <w:szCs w:val="16"/>
          </w:rPr>
          <w:t>www.measurement.gov.au</w:t>
        </w:r>
      </w:hyperlink>
      <w:r w:rsidRPr="00670860">
        <w:rPr>
          <w:rFonts w:cs="Arial"/>
          <w:szCs w:val="16"/>
        </w:rPr>
        <w:t xml:space="preserve">. </w:t>
      </w:r>
    </w:p>
  </w:footnote>
  <w:footnote w:id="7">
    <w:p w:rsidR="0092185D" w:rsidRPr="00670860" w:rsidRDefault="0092185D" w:rsidP="00402707">
      <w:pPr>
        <w:pStyle w:val="FootnoteText"/>
        <w:rPr>
          <w:rFonts w:cs="Arial"/>
        </w:rPr>
      </w:pPr>
      <w:r w:rsidRPr="00ED29B6">
        <w:rPr>
          <w:rStyle w:val="Superscript"/>
        </w:rPr>
        <w:footnoteRef/>
      </w:r>
      <w:r w:rsidRPr="00670860">
        <w:rPr>
          <w:rFonts w:cs="Arial"/>
        </w:rPr>
        <w:t xml:space="preserve"> </w:t>
      </w:r>
      <w:r w:rsidRPr="00670860">
        <w:rPr>
          <w:rFonts w:cs="Arial"/>
        </w:rPr>
        <w:tab/>
        <w:t xml:space="preserve">A ‘parent’ </w:t>
      </w:r>
      <w:r>
        <w:t xml:space="preserve">(or 'gate') </w:t>
      </w:r>
      <w:r w:rsidRPr="00670860">
        <w:rPr>
          <w:rFonts w:cs="Arial"/>
        </w:rPr>
        <w:t>metering point is a metering point through which the energy measured is supplied to a whole building or site. A ‘child’ metering point is a metering point serving one tenant in a building or on a site through the ‘parent’ meter.</w:t>
      </w:r>
    </w:p>
  </w:footnote>
  <w:footnote w:id="8">
    <w:p w:rsidR="0092185D" w:rsidRDefault="0092185D">
      <w:pPr>
        <w:pStyle w:val="FootnoteText"/>
      </w:pPr>
      <w:r w:rsidRPr="00CE34E8">
        <w:rPr>
          <w:rStyle w:val="Superscript"/>
        </w:rPr>
        <w:footnoteRef/>
      </w:r>
      <w:r>
        <w:t xml:space="preserve"> </w:t>
      </w:r>
      <w:r>
        <w:tab/>
        <w:t xml:space="preserve">AEMC, </w:t>
      </w:r>
      <w:r w:rsidRPr="00CE34E8">
        <w:t>National Electricity Amendment (Embedded Networks) Rule 2015 No. 15</w:t>
      </w:r>
      <w:r>
        <w:t>, December 2015</w:t>
      </w:r>
    </w:p>
  </w:footnote>
  <w:footnote w:id="9">
    <w:p w:rsidR="0092185D" w:rsidRDefault="0092185D" w:rsidP="00DE4096">
      <w:pPr>
        <w:pStyle w:val="FootnoteText"/>
      </w:pPr>
      <w:r w:rsidRPr="00ED29B6">
        <w:rPr>
          <w:rStyle w:val="Superscript"/>
        </w:rPr>
        <w:footnoteRef/>
      </w:r>
      <w:r>
        <w:t xml:space="preserve"> </w:t>
      </w:r>
      <w:r>
        <w:tab/>
        <w:t>In this guideline the term ‘tenant’ is interpreted in the widest possible sense and includes any tenant, resident, lease holder, strata title occupier or the like, connected to a private network and who may be subject to charges for electricity consumed.</w:t>
      </w:r>
    </w:p>
  </w:footnote>
  <w:footnote w:id="10">
    <w:p w:rsidR="0092185D" w:rsidRDefault="0092185D" w:rsidP="00402707">
      <w:pPr>
        <w:pStyle w:val="FootnoteText"/>
      </w:pPr>
      <w:r w:rsidRPr="00FC6244">
        <w:rPr>
          <w:szCs w:val="16"/>
          <w:vertAlign w:val="superscript"/>
        </w:rPr>
        <w:footnoteRef/>
      </w:r>
      <w:r w:rsidRPr="000F66C6">
        <w:rPr>
          <w:szCs w:val="16"/>
        </w:rPr>
        <w:t xml:space="preserve"> </w:t>
      </w:r>
      <w:r>
        <w:tab/>
        <w:t xml:space="preserve">AEMO, </w:t>
      </w:r>
      <w:r w:rsidRPr="000F66C6">
        <w:rPr>
          <w:i/>
        </w:rPr>
        <w:t>Metrology Procedure: Part A National Electricity Market</w:t>
      </w:r>
      <w:r>
        <w:rPr>
          <w:i/>
        </w:rPr>
        <w:t xml:space="preserve">, </w:t>
      </w:r>
      <w:r w:rsidRPr="000F66C6">
        <w:t>Section 2.5, pp</w:t>
      </w:r>
      <w:r>
        <w:t xml:space="preserve">. </w:t>
      </w:r>
      <w:r w:rsidRPr="000F66C6">
        <w:t>38-39</w:t>
      </w:r>
    </w:p>
  </w:footnote>
  <w:footnote w:id="11">
    <w:p w:rsidR="0092185D" w:rsidRDefault="0092185D">
      <w:pPr>
        <w:pStyle w:val="FootnoteText"/>
      </w:pPr>
      <w:r>
        <w:rPr>
          <w:rStyle w:val="FootnoteReference"/>
        </w:rPr>
        <w:footnoteRef/>
      </w:r>
      <w:r>
        <w:t xml:space="preserve"> </w:t>
      </w:r>
      <w:r>
        <w:tab/>
      </w:r>
      <w:r w:rsidRPr="00BB2BCB">
        <w:t>Note that in South Australia, the Electricity (General) Regulations 2012 – Reg. 44B (2</w:t>
      </w:r>
      <w:proofErr w:type="gramStart"/>
      <w:r w:rsidRPr="00BB2BCB">
        <w:t>)(</w:t>
      </w:r>
      <w:proofErr w:type="gramEnd"/>
      <w:r w:rsidRPr="00BB2BCB">
        <w:t>b) limits the recovery of network charges to the new energy retailer.</w:t>
      </w:r>
    </w:p>
  </w:footnote>
  <w:footnote w:id="12">
    <w:p w:rsidR="0092185D" w:rsidRDefault="0092185D" w:rsidP="00402707">
      <w:pPr>
        <w:pStyle w:val="FootnoteText"/>
      </w:pPr>
      <w:r>
        <w:rPr>
          <w:rStyle w:val="FootnoteReference"/>
        </w:rPr>
        <w:footnoteRef/>
      </w:r>
      <w:r>
        <w:t xml:space="preserve"> </w:t>
      </w:r>
      <w:r>
        <w:tab/>
        <w:t>See section 4.6.1.</w:t>
      </w:r>
    </w:p>
  </w:footnote>
  <w:footnote w:id="13">
    <w:p w:rsidR="0092185D" w:rsidRPr="006E72B7" w:rsidRDefault="0092185D" w:rsidP="004C50BD">
      <w:pPr>
        <w:pStyle w:val="FootnoteText"/>
        <w:rPr>
          <w:rFonts w:cs="Gautami"/>
          <w:szCs w:val="16"/>
        </w:rPr>
      </w:pPr>
      <w:r w:rsidRPr="00A86238">
        <w:rPr>
          <w:szCs w:val="16"/>
          <w:vertAlign w:val="superscript"/>
        </w:rPr>
        <w:footnoteRef/>
      </w:r>
      <w:r w:rsidRPr="006E72B7">
        <w:rPr>
          <w:szCs w:val="16"/>
        </w:rPr>
        <w:t xml:space="preserve"> </w:t>
      </w:r>
      <w:r w:rsidRPr="006E72B7">
        <w:rPr>
          <w:szCs w:val="16"/>
        </w:rPr>
        <w:tab/>
        <w:t xml:space="preserve">The ‘agent’ operating or having control of the private network may, for example, be a property manager or a specialist energy services company engaged to arrange or provide energy services to customers. This role is generally distinct from the role of people or firms engaged by the owner or the agent to design, install or service a network such as architects, engineers and </w:t>
      </w:r>
      <w:r>
        <w:rPr>
          <w:szCs w:val="16"/>
        </w:rPr>
        <w:t>electricians</w:t>
      </w:r>
      <w:r w:rsidRPr="006E72B7">
        <w:rPr>
          <w:szCs w:val="16"/>
        </w:rPr>
        <w:t>. These latter activities do not normally require exemption.</w:t>
      </w:r>
      <w:r>
        <w:t xml:space="preserve"> Also parties registered with AEMO to provide services related to an embedded network will not normally require registration.</w:t>
      </w:r>
    </w:p>
  </w:footnote>
  <w:footnote w:id="14">
    <w:p w:rsidR="0092185D" w:rsidRPr="006E72B7" w:rsidRDefault="0092185D" w:rsidP="004C50BD">
      <w:pPr>
        <w:pStyle w:val="FootnoteText"/>
        <w:rPr>
          <w:rFonts w:cs="Gautami"/>
          <w:szCs w:val="16"/>
        </w:rPr>
      </w:pPr>
      <w:r w:rsidRPr="00A86238">
        <w:rPr>
          <w:vertAlign w:val="superscript"/>
        </w:rPr>
        <w:footnoteRef/>
      </w:r>
      <w:r w:rsidRPr="006E72B7">
        <w:rPr>
          <w:rFonts w:cs="Gautami"/>
          <w:szCs w:val="16"/>
        </w:rPr>
        <w:t xml:space="preserve"> </w:t>
      </w:r>
      <w:r w:rsidRPr="006E72B7">
        <w:rPr>
          <w:rFonts w:cs="Gautami"/>
          <w:szCs w:val="16"/>
        </w:rPr>
        <w:tab/>
      </w:r>
      <w:proofErr w:type="gramStart"/>
      <w:r w:rsidRPr="006E72B7">
        <w:rPr>
          <w:rFonts w:cs="Gautami"/>
          <w:szCs w:val="16"/>
        </w:rPr>
        <w:t xml:space="preserve">Unmetered </w:t>
      </w:r>
      <w:r>
        <w:rPr>
          <w:rFonts w:cs="Gautami"/>
          <w:szCs w:val="16"/>
        </w:rPr>
        <w:t>on–selling</w:t>
      </w:r>
      <w:r w:rsidRPr="006E72B7">
        <w:rPr>
          <w:rFonts w:cs="Gautami"/>
          <w:szCs w:val="16"/>
        </w:rPr>
        <w:t xml:space="preserve"> to residential customers </w:t>
      </w:r>
      <w:r>
        <w:t xml:space="preserve">where it is </w:t>
      </w:r>
      <w:r w:rsidRPr="006E72B7">
        <w:rPr>
          <w:rFonts w:cs="Gautami"/>
          <w:szCs w:val="16"/>
        </w:rPr>
        <w:t>allowed in Queensland (provided certain conditions are met) under the Residential Tenancies and Rooming A</w:t>
      </w:r>
      <w:r>
        <w:rPr>
          <w:rFonts w:cs="Gautami"/>
          <w:szCs w:val="16"/>
        </w:rPr>
        <w:t>ccommodation Act 2008 (Qld), s.</w:t>
      </w:r>
      <w:r w:rsidRPr="006E72B7">
        <w:rPr>
          <w:rFonts w:cs="Gautami"/>
          <w:szCs w:val="16"/>
        </w:rPr>
        <w:t>165.</w:t>
      </w:r>
      <w:proofErr w:type="gramEnd"/>
      <w:r w:rsidRPr="006E72B7">
        <w:rPr>
          <w:rFonts w:cs="Gautami"/>
          <w:szCs w:val="16"/>
        </w:rPr>
        <w:t xml:space="preserve"> </w:t>
      </w:r>
    </w:p>
  </w:footnote>
  <w:footnote w:id="15">
    <w:p w:rsidR="0092185D" w:rsidRPr="006E72B7" w:rsidRDefault="0092185D" w:rsidP="00691422">
      <w:pPr>
        <w:pStyle w:val="FootnoteText"/>
        <w:rPr>
          <w:rFonts w:cs="Gautami"/>
          <w:szCs w:val="16"/>
        </w:rPr>
      </w:pPr>
      <w:r w:rsidRPr="00A86238">
        <w:rPr>
          <w:vertAlign w:val="superscript"/>
        </w:rPr>
        <w:footnoteRef/>
      </w:r>
      <w:r w:rsidRPr="006E72B7">
        <w:rPr>
          <w:rFonts w:cs="Gautami"/>
          <w:szCs w:val="16"/>
        </w:rPr>
        <w:t xml:space="preserve"> </w:t>
      </w:r>
      <w:r w:rsidRPr="006E72B7">
        <w:rPr>
          <w:rFonts w:cs="Gautami"/>
          <w:szCs w:val="16"/>
        </w:rPr>
        <w:tab/>
      </w:r>
      <w:r>
        <w:t>The online</w:t>
      </w:r>
      <w:r w:rsidRPr="006E72B7">
        <w:rPr>
          <w:rFonts w:cs="Gautami"/>
          <w:szCs w:val="16"/>
        </w:rPr>
        <w:t xml:space="preserve"> exemption registration form can be found here: </w:t>
      </w:r>
      <w:hyperlink r:id="rId3" w:history="1">
        <w:r w:rsidRPr="00691422">
          <w:rPr>
            <w:rStyle w:val="Hyperlink"/>
            <w:rFonts w:cs="Gautami"/>
            <w:sz w:val="16"/>
            <w:szCs w:val="16"/>
          </w:rPr>
          <w:t>http://www.aer.gov.au/node/476</w:t>
        </w:r>
      </w:hyperlink>
    </w:p>
  </w:footnote>
  <w:footnote w:id="16">
    <w:p w:rsidR="0092185D" w:rsidRPr="006E72B7" w:rsidRDefault="0092185D" w:rsidP="00691422">
      <w:pPr>
        <w:pStyle w:val="FootnoteText"/>
        <w:spacing w:after="120"/>
        <w:rPr>
          <w:rFonts w:cs="Gautami"/>
          <w:szCs w:val="16"/>
        </w:rPr>
      </w:pPr>
      <w:r w:rsidRPr="00A86238">
        <w:rPr>
          <w:vertAlign w:val="superscript"/>
        </w:rPr>
        <w:footnoteRef/>
      </w:r>
      <w:r w:rsidRPr="006E72B7">
        <w:rPr>
          <w:rFonts w:cs="Gautami"/>
          <w:szCs w:val="16"/>
        </w:rPr>
        <w:t xml:space="preserve"> </w:t>
      </w:r>
      <w:r w:rsidRPr="006E72B7">
        <w:rPr>
          <w:rFonts w:cs="Gautami"/>
          <w:szCs w:val="16"/>
        </w:rPr>
        <w:tab/>
        <w:t xml:space="preserve">If you </w:t>
      </w:r>
      <w:r>
        <w:rPr>
          <w:rFonts w:cs="Gautami"/>
          <w:szCs w:val="16"/>
        </w:rPr>
        <w:t xml:space="preserve">also </w:t>
      </w:r>
      <w:r w:rsidRPr="006E72B7">
        <w:rPr>
          <w:rFonts w:cs="Gautami"/>
          <w:szCs w:val="16"/>
        </w:rPr>
        <w:t>sell energy</w:t>
      </w:r>
      <w:r>
        <w:rPr>
          <w:rFonts w:cs="Gautami"/>
          <w:szCs w:val="16"/>
        </w:rPr>
        <w:t xml:space="preserve"> </w:t>
      </w:r>
      <w:r w:rsidRPr="006E72B7">
        <w:rPr>
          <w:rFonts w:cs="Gautami"/>
          <w:szCs w:val="16"/>
        </w:rPr>
        <w:t xml:space="preserve">you may also need a </w:t>
      </w:r>
      <w:r>
        <w:rPr>
          <w:rFonts w:cs="Gautami"/>
          <w:szCs w:val="16"/>
        </w:rPr>
        <w:t>retail</w:t>
      </w:r>
      <w:r w:rsidRPr="006E72B7">
        <w:rPr>
          <w:rFonts w:cs="Gautami"/>
          <w:szCs w:val="16"/>
        </w:rPr>
        <w:t xml:space="preserve"> exemption (which can be </w:t>
      </w:r>
      <w:r>
        <w:t xml:space="preserve">registered on </w:t>
      </w:r>
      <w:r>
        <w:rPr>
          <w:rFonts w:cs="Gautami"/>
          <w:szCs w:val="16"/>
        </w:rPr>
        <w:t xml:space="preserve">the </w:t>
      </w:r>
      <w:r>
        <w:t xml:space="preserve">same </w:t>
      </w:r>
      <w:r>
        <w:rPr>
          <w:rFonts w:cs="Gautami"/>
          <w:szCs w:val="16"/>
        </w:rPr>
        <w:t>form).</w:t>
      </w:r>
    </w:p>
  </w:footnote>
  <w:footnote w:id="17">
    <w:p w:rsidR="0092185D" w:rsidRDefault="0092185D">
      <w:pPr>
        <w:pStyle w:val="FootnoteText"/>
      </w:pPr>
      <w:r w:rsidRPr="00EB6C9B">
        <w:rPr>
          <w:rStyle w:val="Superscript"/>
        </w:rPr>
        <w:footnoteRef/>
      </w:r>
      <w:r>
        <w:t xml:space="preserve"> </w:t>
      </w:r>
      <w:r>
        <w:tab/>
      </w:r>
      <w:r w:rsidRPr="00EB6C9B">
        <w:t>For example, retail shopping centre, residential apartment building, and caravan park or retirement village.</w:t>
      </w:r>
    </w:p>
  </w:footnote>
  <w:footnote w:id="18">
    <w:p w:rsidR="0092185D" w:rsidRPr="006E72B7" w:rsidRDefault="0092185D" w:rsidP="00DC3B8E">
      <w:pPr>
        <w:pStyle w:val="FootnoteText"/>
        <w:rPr>
          <w:rFonts w:cs="Gautami"/>
          <w:szCs w:val="16"/>
        </w:rPr>
      </w:pPr>
      <w:r w:rsidRPr="00A86238">
        <w:rPr>
          <w:vertAlign w:val="superscript"/>
        </w:rPr>
        <w:footnoteRef/>
      </w:r>
      <w:r w:rsidRPr="006E72B7">
        <w:rPr>
          <w:rFonts w:cs="Gautami"/>
          <w:szCs w:val="16"/>
        </w:rPr>
        <w:t xml:space="preserve"> </w:t>
      </w:r>
      <w:r w:rsidRPr="006E72B7">
        <w:rPr>
          <w:rFonts w:cs="Gautami"/>
          <w:szCs w:val="16"/>
        </w:rPr>
        <w:tab/>
        <w:t xml:space="preserve">The AER’s public register of exemptions can be found here: </w:t>
      </w:r>
      <w:hyperlink r:id="rId4" w:history="1">
        <w:r w:rsidRPr="00356C9E">
          <w:rPr>
            <w:rStyle w:val="Hyperlink"/>
            <w:rFonts w:cs="Gautami"/>
            <w:sz w:val="16"/>
            <w:szCs w:val="16"/>
          </w:rPr>
          <w:t>http://www.aer.gov.au/node/2446</w:t>
        </w:r>
      </w:hyperlink>
      <w:r>
        <w:rPr>
          <w:rFonts w:cs="Gautami"/>
          <w:szCs w:val="16"/>
        </w:rPr>
        <w:t>.</w:t>
      </w:r>
    </w:p>
  </w:footnote>
  <w:footnote w:id="19">
    <w:p w:rsidR="0092185D" w:rsidRPr="006E72B7" w:rsidRDefault="0092185D" w:rsidP="00C92EA2">
      <w:pPr>
        <w:pStyle w:val="FootnoteText"/>
        <w:spacing w:after="120"/>
        <w:rPr>
          <w:rFonts w:cs="Gautami"/>
          <w:szCs w:val="16"/>
        </w:rPr>
      </w:pPr>
      <w:r w:rsidRPr="00A86238">
        <w:rPr>
          <w:vertAlign w:val="superscript"/>
        </w:rPr>
        <w:footnoteRef/>
      </w:r>
      <w:r>
        <w:rPr>
          <w:rFonts w:cs="Gautami"/>
          <w:szCs w:val="16"/>
        </w:rPr>
        <w:t xml:space="preserve"> </w:t>
      </w:r>
      <w:r>
        <w:rPr>
          <w:rFonts w:cs="Gautami"/>
          <w:szCs w:val="16"/>
        </w:rPr>
        <w:tab/>
        <w:t xml:space="preserve">We </w:t>
      </w:r>
      <w:r>
        <w:t xml:space="preserve">may </w:t>
      </w:r>
      <w:r w:rsidRPr="006E72B7">
        <w:rPr>
          <w:rFonts w:cs="Gautami"/>
          <w:szCs w:val="16"/>
        </w:rPr>
        <w:t>not commence processing your application until we have received all required information.</w:t>
      </w:r>
      <w:r>
        <w:rPr>
          <w:rFonts w:cs="Gautami"/>
          <w:szCs w:val="16"/>
        </w:rPr>
        <w:t xml:space="preserve"> </w:t>
      </w:r>
    </w:p>
  </w:footnote>
  <w:footnote w:id="20">
    <w:p w:rsidR="0092185D" w:rsidRDefault="0092185D">
      <w:pPr>
        <w:pStyle w:val="FootnoteText"/>
      </w:pPr>
      <w:r>
        <w:rPr>
          <w:rStyle w:val="FootnoteReference"/>
        </w:rPr>
        <w:footnoteRef/>
      </w:r>
      <w:r>
        <w:t xml:space="preserve"> All energy supply must be metered where the sale of energy occurs. Unmetered energy only applies where there is no sale.</w:t>
      </w:r>
    </w:p>
  </w:footnote>
  <w:footnote w:id="21">
    <w:p w:rsidR="0092185D" w:rsidRPr="006E72B7" w:rsidRDefault="0092185D" w:rsidP="00A84E0D">
      <w:pPr>
        <w:pStyle w:val="FootnoteText"/>
        <w:rPr>
          <w:rFonts w:cs="Gautami"/>
          <w:szCs w:val="16"/>
        </w:rPr>
      </w:pPr>
      <w:r w:rsidRPr="00F2421A">
        <w:rPr>
          <w:vertAlign w:val="superscript"/>
        </w:rPr>
        <w:footnoteRef/>
      </w:r>
      <w:r w:rsidRPr="00F2421A">
        <w:rPr>
          <w:rFonts w:cs="Gautami"/>
          <w:szCs w:val="16"/>
          <w:vertAlign w:val="superscript"/>
        </w:rPr>
        <w:t xml:space="preserve"> </w:t>
      </w:r>
      <w:r w:rsidRPr="006E72B7">
        <w:rPr>
          <w:rFonts w:cs="Gautami"/>
          <w:szCs w:val="16"/>
        </w:rPr>
        <w:tab/>
        <w:t xml:space="preserve">This class applies only to the </w:t>
      </w:r>
      <w:r>
        <w:t xml:space="preserve">registration requirement in rule 2.5.1 of the NER for the private </w:t>
      </w:r>
      <w:r w:rsidRPr="006E72B7">
        <w:rPr>
          <w:rFonts w:cs="Gautami"/>
          <w:szCs w:val="16"/>
        </w:rPr>
        <w:t xml:space="preserve">network to which </w:t>
      </w:r>
      <w:r>
        <w:t xml:space="preserve">a </w:t>
      </w:r>
      <w:r w:rsidRPr="006E72B7">
        <w:rPr>
          <w:rFonts w:cs="Gautami"/>
          <w:szCs w:val="16"/>
        </w:rPr>
        <w:t xml:space="preserve">generator </w:t>
      </w:r>
      <w:r>
        <w:t xml:space="preserve">or inverter </w:t>
      </w:r>
      <w:r w:rsidRPr="006E72B7">
        <w:rPr>
          <w:rFonts w:cs="Gautami"/>
          <w:szCs w:val="16"/>
        </w:rPr>
        <w:t xml:space="preserve">is connected. Generator registration and exemptions are handled by </w:t>
      </w:r>
      <w:r>
        <w:t xml:space="preserve">the </w:t>
      </w:r>
      <w:r w:rsidRPr="006E72B7">
        <w:rPr>
          <w:rFonts w:cs="Gautami"/>
          <w:szCs w:val="16"/>
        </w:rPr>
        <w:t xml:space="preserve">AEMO. Safety requirements </w:t>
      </w:r>
      <w:r>
        <w:t xml:space="preserve">for generators and inverters </w:t>
      </w:r>
      <w:r w:rsidRPr="006E72B7">
        <w:rPr>
          <w:rFonts w:cs="Gautami"/>
          <w:szCs w:val="16"/>
        </w:rPr>
        <w:t>are determined by each jurisdiction.</w:t>
      </w:r>
      <w:r>
        <w:t xml:space="preserve"> This class does not affect any other requirement under any other legislation or rule of the NER. </w:t>
      </w:r>
    </w:p>
  </w:footnote>
  <w:footnote w:id="22">
    <w:p w:rsidR="0092185D" w:rsidRPr="006E72B7" w:rsidRDefault="0092185D" w:rsidP="00A84E0D">
      <w:pPr>
        <w:pStyle w:val="FootnoteText"/>
        <w:rPr>
          <w:rFonts w:cs="Gautami"/>
          <w:szCs w:val="16"/>
        </w:rPr>
      </w:pPr>
      <w:r w:rsidRPr="00F2421A">
        <w:rPr>
          <w:vertAlign w:val="superscript"/>
        </w:rPr>
        <w:footnoteRef/>
      </w:r>
      <w:r w:rsidRPr="006E72B7">
        <w:rPr>
          <w:rFonts w:cs="Gautami"/>
          <w:szCs w:val="16"/>
        </w:rPr>
        <w:t xml:space="preserve"> </w:t>
      </w:r>
      <w:r w:rsidRPr="006E72B7">
        <w:rPr>
          <w:rFonts w:cs="Gautami"/>
          <w:szCs w:val="16"/>
        </w:rPr>
        <w:tab/>
        <w:t xml:space="preserve">If you have a contract or agreement to supply network support or demand management services </w:t>
      </w:r>
      <w:r>
        <w:t xml:space="preserve">to a network service provider or the AEMO </w:t>
      </w:r>
      <w:r>
        <w:rPr>
          <w:rFonts w:cs="Gautami"/>
          <w:szCs w:val="16"/>
        </w:rPr>
        <w:t xml:space="preserve">based on a generator or inverter you must register </w:t>
      </w:r>
      <w:r>
        <w:t xml:space="preserve">the private network </w:t>
      </w:r>
      <w:r>
        <w:rPr>
          <w:rFonts w:cs="Gautami"/>
          <w:szCs w:val="16"/>
        </w:rPr>
        <w:t xml:space="preserve">under </w:t>
      </w:r>
      <w:r w:rsidRPr="006E72B7">
        <w:rPr>
          <w:rFonts w:cs="Gautami"/>
          <w:szCs w:val="16"/>
        </w:rPr>
        <w:t xml:space="preserve">class </w:t>
      </w:r>
      <w:r>
        <w:rPr>
          <w:rFonts w:cs="Gautami"/>
          <w:szCs w:val="16"/>
        </w:rPr>
        <w:t>NRO1 of Table</w:t>
      </w:r>
      <w:r>
        <w:t> 4</w:t>
      </w:r>
      <w:r w:rsidRPr="006E72B7">
        <w:rPr>
          <w:rFonts w:cs="Gautami"/>
          <w:szCs w:val="16"/>
        </w:rPr>
        <w:t>.</w:t>
      </w:r>
    </w:p>
  </w:footnote>
  <w:footnote w:id="23">
    <w:p w:rsidR="0092185D" w:rsidRPr="006E72B7" w:rsidRDefault="0092185D" w:rsidP="00A84E0D">
      <w:pPr>
        <w:pStyle w:val="FootnoteText"/>
        <w:rPr>
          <w:rFonts w:cs="Gautami"/>
          <w:szCs w:val="16"/>
        </w:rPr>
      </w:pPr>
      <w:r w:rsidRPr="00F2421A">
        <w:rPr>
          <w:vertAlign w:val="superscript"/>
        </w:rPr>
        <w:footnoteRef/>
      </w:r>
      <w:r w:rsidRPr="006E72B7">
        <w:rPr>
          <w:rFonts w:cs="Gautami"/>
          <w:szCs w:val="16"/>
        </w:rPr>
        <w:t xml:space="preserve"> </w:t>
      </w:r>
      <w:r w:rsidRPr="006E72B7">
        <w:rPr>
          <w:rFonts w:cs="Gautami"/>
          <w:szCs w:val="16"/>
        </w:rPr>
        <w:tab/>
      </w:r>
      <w:r>
        <w:t>I</w:t>
      </w:r>
      <w:r w:rsidRPr="00EC13D1">
        <w:t xml:space="preserve">f the charging facility is directly connected to a </w:t>
      </w:r>
      <w:r>
        <w:t xml:space="preserve">network service provider, </w:t>
      </w:r>
      <w:r w:rsidRPr="006E72B7">
        <w:rPr>
          <w:rFonts w:cs="Gautami"/>
          <w:szCs w:val="16"/>
        </w:rPr>
        <w:t xml:space="preserve">no exemption is required. </w:t>
      </w:r>
    </w:p>
  </w:footnote>
  <w:footnote w:id="24">
    <w:p w:rsidR="0092185D" w:rsidRDefault="0092185D" w:rsidP="00A84E0D">
      <w:pPr>
        <w:pStyle w:val="FootnoteText"/>
      </w:pPr>
      <w:r>
        <w:rPr>
          <w:rStyle w:val="FootnoteReference"/>
        </w:rPr>
        <w:footnoteRef/>
      </w:r>
      <w:r>
        <w:t xml:space="preserve"> </w:t>
      </w:r>
      <w:r>
        <w:tab/>
        <w:t>See the glossary definition. The terms and arrangements for supply between two or more large corporate entities are not regulated. However, at the point of connection to the NEM the supply arrangements must conform to the reasonable requirements of the AEMO and the local network service provider for connection to the NEM.</w:t>
      </w:r>
    </w:p>
  </w:footnote>
  <w:footnote w:id="25">
    <w:p w:rsidR="0092185D" w:rsidRDefault="0092185D">
      <w:pPr>
        <w:pStyle w:val="FootnoteText"/>
      </w:pPr>
      <w:r>
        <w:rPr>
          <w:rStyle w:val="FootnoteReference"/>
        </w:rPr>
        <w:footnoteRef/>
      </w:r>
      <w:r>
        <w:t xml:space="preserve"> </w:t>
      </w:r>
      <w:r>
        <w:tab/>
        <w:t xml:space="preserve">Demand-side participation equipment is intended as a broad term which includes any form of customer load management capability, including solar, renewable energy, energy storage, load-control or other equipment intended to assist a consumer manage their load impact on the NEM. </w:t>
      </w:r>
    </w:p>
  </w:footnote>
  <w:footnote w:id="26">
    <w:p w:rsidR="0092185D" w:rsidRDefault="0092185D">
      <w:pPr>
        <w:pStyle w:val="FootnoteText"/>
      </w:pPr>
      <w:r>
        <w:rPr>
          <w:rStyle w:val="FootnoteReference"/>
        </w:rPr>
        <w:footnoteRef/>
      </w:r>
      <w:r>
        <w:t xml:space="preserve"> </w:t>
      </w:r>
      <w:r>
        <w:tab/>
      </w:r>
      <w:r w:rsidRPr="00623C38">
        <w:t>All energy supply must be metered where the sale of energy occurs</w:t>
      </w:r>
      <w:r>
        <w:t>, with the exception of class NR7</w:t>
      </w:r>
      <w:r w:rsidRPr="00623C38">
        <w:t xml:space="preserve">. </w:t>
      </w:r>
      <w:r>
        <w:t>For all other classes in this table, u</w:t>
      </w:r>
      <w:r w:rsidRPr="00623C38">
        <w:t>nmetered energy only applies where there is no sale.</w:t>
      </w:r>
    </w:p>
  </w:footnote>
  <w:footnote w:id="27">
    <w:p w:rsidR="0092185D" w:rsidRDefault="0092185D">
      <w:pPr>
        <w:pStyle w:val="FootnoteText"/>
      </w:pPr>
      <w:r>
        <w:rPr>
          <w:rStyle w:val="FootnoteReference"/>
        </w:rPr>
        <w:footnoteRef/>
      </w:r>
      <w:r>
        <w:t xml:space="preserve"> </w:t>
      </w:r>
      <w:r>
        <w:tab/>
        <w:t>Adjacent sites include sites divided by an access way, easement, laneway or minor road.</w:t>
      </w:r>
    </w:p>
  </w:footnote>
  <w:footnote w:id="28">
    <w:p w:rsidR="0092185D" w:rsidRPr="006E72B7" w:rsidRDefault="0092185D" w:rsidP="00744886">
      <w:pPr>
        <w:pStyle w:val="FootnoteText"/>
        <w:spacing w:before="120"/>
        <w:ind w:left="425" w:hanging="425"/>
        <w:rPr>
          <w:rFonts w:cs="Gautami"/>
          <w:szCs w:val="16"/>
        </w:rPr>
      </w:pPr>
      <w:r w:rsidRPr="007B572A">
        <w:rPr>
          <w:vertAlign w:val="superscript"/>
        </w:rPr>
        <w:footnoteRef/>
      </w:r>
      <w:r w:rsidRPr="006E72B7">
        <w:rPr>
          <w:rFonts w:cs="Gautami"/>
          <w:szCs w:val="16"/>
        </w:rPr>
        <w:tab/>
      </w:r>
      <w:r>
        <w:tab/>
      </w:r>
      <w:r w:rsidRPr="006E72B7">
        <w:rPr>
          <w:rFonts w:cs="Gautami"/>
          <w:szCs w:val="16"/>
        </w:rPr>
        <w:t xml:space="preserve">This class applies only to the network to which the generator is connected. Generator registration and exemptions are administered by </w:t>
      </w:r>
      <w:r>
        <w:t xml:space="preserve">the </w:t>
      </w:r>
      <w:r w:rsidRPr="006E72B7">
        <w:rPr>
          <w:rFonts w:cs="Gautami"/>
          <w:szCs w:val="16"/>
        </w:rPr>
        <w:t xml:space="preserve">AEMO. Safety requirements are determined by each jurisdiction. </w:t>
      </w:r>
    </w:p>
  </w:footnote>
  <w:footnote w:id="29">
    <w:p w:rsidR="0092185D" w:rsidRPr="006E72B7" w:rsidRDefault="0092185D" w:rsidP="00744886">
      <w:pPr>
        <w:pStyle w:val="FootnoteText"/>
        <w:spacing w:before="120"/>
        <w:ind w:left="425" w:hanging="425"/>
        <w:rPr>
          <w:rFonts w:cs="Gautami"/>
          <w:szCs w:val="16"/>
        </w:rPr>
      </w:pPr>
      <w:r w:rsidRPr="007B572A">
        <w:rPr>
          <w:vertAlign w:val="superscript"/>
        </w:rPr>
        <w:footnoteRef/>
      </w:r>
      <w:r w:rsidRPr="006E72B7">
        <w:rPr>
          <w:rFonts w:cs="Gautami"/>
          <w:szCs w:val="16"/>
        </w:rPr>
        <w:t xml:space="preserve"> </w:t>
      </w:r>
      <w:r w:rsidRPr="006E72B7">
        <w:rPr>
          <w:rFonts w:cs="Gautami"/>
          <w:szCs w:val="16"/>
        </w:rPr>
        <w:tab/>
      </w:r>
      <w:r>
        <w:tab/>
      </w:r>
      <w:r w:rsidRPr="006E72B7">
        <w:rPr>
          <w:rFonts w:cs="Gautami"/>
          <w:szCs w:val="16"/>
        </w:rPr>
        <w:t>This class applies only to the network to which the generator is connected. Generator registration and exemptions are administered by</w:t>
      </w:r>
      <w:r>
        <w:t xml:space="preserve"> the </w:t>
      </w:r>
      <w:r w:rsidRPr="006E72B7">
        <w:rPr>
          <w:rFonts w:cs="Gautami"/>
          <w:szCs w:val="16"/>
        </w:rPr>
        <w:t>AEMO. Safety requirements are determined by each jurisdiction.</w:t>
      </w:r>
    </w:p>
  </w:footnote>
  <w:footnote w:id="30">
    <w:p w:rsidR="0092185D" w:rsidRPr="006E72B7" w:rsidRDefault="0092185D" w:rsidP="00744886">
      <w:pPr>
        <w:pStyle w:val="FootnoteText"/>
        <w:spacing w:before="120"/>
        <w:ind w:left="425" w:hanging="425"/>
        <w:rPr>
          <w:rFonts w:cs="Gautami"/>
          <w:szCs w:val="16"/>
        </w:rPr>
      </w:pPr>
      <w:r w:rsidRPr="007B572A">
        <w:rPr>
          <w:vertAlign w:val="superscript"/>
        </w:rPr>
        <w:footnoteRef/>
      </w:r>
      <w:r w:rsidRPr="006E72B7">
        <w:rPr>
          <w:rFonts w:cs="Gautami"/>
          <w:szCs w:val="16"/>
        </w:rPr>
        <w:t xml:space="preserve"> </w:t>
      </w:r>
      <w:r w:rsidRPr="006E72B7">
        <w:rPr>
          <w:rFonts w:cs="Gautami"/>
          <w:szCs w:val="16"/>
        </w:rPr>
        <w:tab/>
      </w:r>
      <w:r>
        <w:tab/>
      </w:r>
      <w:r w:rsidRPr="006E72B7">
        <w:rPr>
          <w:rFonts w:cs="Gautami"/>
          <w:szCs w:val="16"/>
        </w:rPr>
        <w:t>The term ‘ancillary support facilities’ is intended to be interpreted broadly to encompass a wide range of sundry activities including, but not limited to, incidental supply to local residents, local tourism, communication, health, public safety and emergency services.</w:t>
      </w:r>
      <w:r>
        <w:t xml:space="preserve"> Supply to such loads is permitted where the cost of supply by a local distribution network service provider would be uneconomic. </w:t>
      </w:r>
    </w:p>
  </w:footnote>
  <w:footnote w:id="31">
    <w:p w:rsidR="0092185D" w:rsidRPr="006E72B7" w:rsidRDefault="0092185D" w:rsidP="00744886">
      <w:pPr>
        <w:pStyle w:val="FootnoteText"/>
        <w:spacing w:before="120"/>
        <w:ind w:left="425" w:hanging="425"/>
        <w:rPr>
          <w:rFonts w:cs="Gautami"/>
          <w:szCs w:val="16"/>
        </w:rPr>
      </w:pPr>
      <w:r w:rsidRPr="007B572A">
        <w:rPr>
          <w:vertAlign w:val="superscript"/>
        </w:rPr>
        <w:footnoteRef/>
      </w:r>
      <w:r w:rsidRPr="006E72B7">
        <w:rPr>
          <w:rFonts w:cs="Gautami"/>
          <w:szCs w:val="16"/>
        </w:rPr>
        <w:t xml:space="preserve"> </w:t>
      </w:r>
      <w:r w:rsidRPr="006E72B7">
        <w:rPr>
          <w:rFonts w:cs="Gautami"/>
          <w:szCs w:val="16"/>
        </w:rPr>
        <w:tab/>
      </w:r>
      <w:r>
        <w:tab/>
        <w:t xml:space="preserve">Activity </w:t>
      </w:r>
      <w:r w:rsidRPr="006E72B7">
        <w:rPr>
          <w:rFonts w:cs="Gautami"/>
          <w:szCs w:val="16"/>
        </w:rPr>
        <w:t xml:space="preserve">class </w:t>
      </w:r>
      <w:r>
        <w:t xml:space="preserve">NRO5 formerly </w:t>
      </w:r>
      <w:r w:rsidRPr="006E72B7">
        <w:rPr>
          <w:rFonts w:cs="Gautami"/>
          <w:szCs w:val="16"/>
        </w:rPr>
        <w:t>applie</w:t>
      </w:r>
      <w:r>
        <w:t>d</w:t>
      </w:r>
      <w:r w:rsidRPr="006E72B7">
        <w:rPr>
          <w:rFonts w:cs="Gautami"/>
          <w:szCs w:val="16"/>
        </w:rPr>
        <w:t xml:space="preserve"> only to </w:t>
      </w:r>
      <w:r>
        <w:t xml:space="preserve">embedded </w:t>
      </w:r>
      <w:r w:rsidRPr="006E72B7">
        <w:rPr>
          <w:rFonts w:cs="Gautami"/>
          <w:szCs w:val="16"/>
        </w:rPr>
        <w:t>networks where customers ha</w:t>
      </w:r>
      <w:r>
        <w:t>d</w:t>
      </w:r>
      <w:r w:rsidRPr="006E72B7">
        <w:rPr>
          <w:rFonts w:cs="Gautami"/>
          <w:szCs w:val="16"/>
        </w:rPr>
        <w:t xml:space="preserve"> access to full retail competition via ‘child’ metering registered in accordance with applicable AEMO requirements. It d</w:t>
      </w:r>
      <w:r>
        <w:t>id</w:t>
      </w:r>
      <w:r w:rsidRPr="006E72B7">
        <w:rPr>
          <w:rFonts w:cs="Gautami"/>
          <w:szCs w:val="16"/>
        </w:rPr>
        <w:t xml:space="preserve"> not apply where a customer arrange</w:t>
      </w:r>
      <w:r>
        <w:t>d</w:t>
      </w:r>
      <w:r w:rsidRPr="006E72B7">
        <w:rPr>
          <w:rFonts w:cs="Gautami"/>
          <w:szCs w:val="16"/>
        </w:rPr>
        <w:t xml:space="preserve"> direct connection to a NEM registered network service provider or where customers within a network d</w:t>
      </w:r>
      <w:r>
        <w:t>id</w:t>
      </w:r>
      <w:r w:rsidRPr="006E72B7">
        <w:rPr>
          <w:rFonts w:cs="Gautami"/>
          <w:szCs w:val="16"/>
        </w:rPr>
        <w:t xml:space="preserve"> not </w:t>
      </w:r>
      <w:r>
        <w:t xml:space="preserve">have </w:t>
      </w:r>
      <w:r w:rsidRPr="006E72B7">
        <w:rPr>
          <w:rFonts w:cs="Gautami"/>
          <w:szCs w:val="16"/>
        </w:rPr>
        <w:t>access to full retail competition. I</w:t>
      </w:r>
      <w:r>
        <w:t>t is now closed and</w:t>
      </w:r>
      <w:r w:rsidRPr="006E72B7">
        <w:rPr>
          <w:rFonts w:cs="Gautami"/>
          <w:szCs w:val="16"/>
        </w:rPr>
        <w:t xml:space="preserve"> table 1 or table 3 applies.</w:t>
      </w:r>
    </w:p>
  </w:footnote>
  <w:footnote w:id="32">
    <w:p w:rsidR="0092185D" w:rsidRDefault="0092185D" w:rsidP="00BE5CE5">
      <w:pPr>
        <w:pStyle w:val="FootnoteText"/>
      </w:pPr>
      <w:r>
        <w:rPr>
          <w:rStyle w:val="FootnoteReference"/>
        </w:rPr>
        <w:footnoteRef/>
      </w:r>
      <w:r>
        <w:t xml:space="preserve"> </w:t>
      </w:r>
      <w:r>
        <w:tab/>
      </w:r>
      <w:r w:rsidRPr="004A6B2A">
        <w:t xml:space="preserve">We note that in many States or Territories there </w:t>
      </w:r>
      <w:r>
        <w:t>is additional legislation regulating</w:t>
      </w:r>
      <w:r w:rsidRPr="004A6B2A">
        <w:t xml:space="preserve"> charges for energy in one or more residential, commercial, caravan and </w:t>
      </w:r>
      <w:proofErr w:type="gramStart"/>
      <w:r w:rsidRPr="004A6B2A">
        <w:t>holiday par</w:t>
      </w:r>
      <w:r>
        <w:t>k</w:t>
      </w:r>
      <w:proofErr w:type="gramEnd"/>
      <w:r w:rsidRPr="004A6B2A">
        <w:t xml:space="preserve"> </w:t>
      </w:r>
      <w:r>
        <w:t xml:space="preserve">or </w:t>
      </w:r>
      <w:r w:rsidRPr="004A6B2A">
        <w:t>residential land lease situations – check the legislation applicable in your State or Territory.</w:t>
      </w:r>
    </w:p>
  </w:footnote>
  <w:footnote w:id="33">
    <w:p w:rsidR="0092185D" w:rsidRDefault="0092185D" w:rsidP="00BE5CE5">
      <w:pPr>
        <w:pStyle w:val="FootnoteText"/>
      </w:pPr>
      <w:r>
        <w:rPr>
          <w:rStyle w:val="FootnoteReference"/>
        </w:rPr>
        <w:footnoteRef/>
      </w:r>
      <w:r>
        <w:t xml:space="preserve"> </w:t>
      </w:r>
      <w:r>
        <w:tab/>
        <w:t>Such legislation may be applicable to residential, commercial, industrial, telecommunications, caravan and holiday parks or residential land lease situations.</w:t>
      </w:r>
    </w:p>
  </w:footnote>
  <w:footnote w:id="34">
    <w:p w:rsidR="0092185D" w:rsidRDefault="0092185D" w:rsidP="00BE5CE5">
      <w:pPr>
        <w:pStyle w:val="FootnoteText"/>
      </w:pPr>
      <w:r>
        <w:rPr>
          <w:rStyle w:val="FootnoteReference"/>
        </w:rPr>
        <w:footnoteRef/>
      </w:r>
      <w:r>
        <w:t xml:space="preserve"> </w:t>
      </w:r>
      <w:r>
        <w:tab/>
        <w:t>As prescribed by the National Energy Retail Regulations as an energy ombudsman, which includes the ACT Civil and Administrative Tribunal.</w:t>
      </w:r>
    </w:p>
  </w:footnote>
  <w:footnote w:id="35">
    <w:p w:rsidR="0092185D" w:rsidRDefault="0092185D">
      <w:pPr>
        <w:pStyle w:val="FootnoteText"/>
      </w:pPr>
      <w:r>
        <w:rPr>
          <w:rStyle w:val="FootnoteReference"/>
        </w:rPr>
        <w:footnoteRef/>
      </w:r>
      <w:r>
        <w:t xml:space="preserve"> </w:t>
      </w:r>
      <w:r>
        <w:tab/>
        <w:t>This requirement does not apply to works necessary to modify an installation to accept an on-market metering installation.</w:t>
      </w:r>
    </w:p>
  </w:footnote>
  <w:footnote w:id="36">
    <w:p w:rsidR="0092185D" w:rsidRDefault="0092185D">
      <w:pPr>
        <w:pStyle w:val="FootnoteText"/>
      </w:pPr>
      <w:r>
        <w:rPr>
          <w:rStyle w:val="FootnoteReference"/>
        </w:rPr>
        <w:footnoteRef/>
      </w:r>
      <w:r>
        <w:t xml:space="preserve"> </w:t>
      </w:r>
      <w:r>
        <w:tab/>
        <w:t>This requirement only applies to works which would alter the metering arrangements for a customer that result in that customer ceasing to have a direct connection to a distributor or which adversely affect access by that customer to their retailer of choice. General works to maintain or enhance supply are permitted.</w:t>
      </w:r>
    </w:p>
  </w:footnote>
  <w:footnote w:id="37">
    <w:p w:rsidR="0092185D" w:rsidRPr="006E72B7" w:rsidRDefault="0092185D" w:rsidP="006819BE">
      <w:pPr>
        <w:pStyle w:val="FootnoteText"/>
        <w:rPr>
          <w:rFonts w:cs="Gautami"/>
          <w:szCs w:val="16"/>
        </w:rPr>
      </w:pPr>
      <w:r w:rsidRPr="006E72B7">
        <w:footnoteRef/>
      </w:r>
      <w:r w:rsidRPr="006E72B7">
        <w:rPr>
          <w:rFonts w:cs="Gautami"/>
          <w:szCs w:val="16"/>
        </w:rPr>
        <w:t xml:space="preserve"> </w:t>
      </w:r>
      <w:r w:rsidRPr="006E72B7">
        <w:rPr>
          <w:rFonts w:cs="Gautami"/>
          <w:szCs w:val="16"/>
        </w:rPr>
        <w:tab/>
        <w:t>A transmission network as defined in the National Electricity Rules is nominally one which operates at voltages of 220 kV and above or, subject to a determination by the AER, at lower voltages in parallel with and providing support to the main transmission network.</w:t>
      </w:r>
    </w:p>
  </w:footnote>
  <w:footnote w:id="38">
    <w:p w:rsidR="0092185D" w:rsidRDefault="0092185D">
      <w:pPr>
        <w:pStyle w:val="FootnoteText"/>
      </w:pPr>
      <w:r>
        <w:rPr>
          <w:rStyle w:val="FootnoteReference"/>
        </w:rPr>
        <w:footnoteRef/>
      </w:r>
      <w:r>
        <w:t xml:space="preserve"> </w:t>
      </w:r>
      <w:r>
        <w:tab/>
        <w:t xml:space="preserve">Under the National Energy Retail Law (s. 88), a person requires authorisation or exemption for the sale of energy to a person for a premises. As a vehicle is not a </w:t>
      </w:r>
      <w:proofErr w:type="gramStart"/>
      <w:r>
        <w:t>premises</w:t>
      </w:r>
      <w:proofErr w:type="gramEnd"/>
      <w:r>
        <w:t>, the AER does not regulate the sale of energy for vehicles.</w:t>
      </w:r>
    </w:p>
  </w:footnote>
  <w:footnote w:id="39">
    <w:p w:rsidR="0092185D" w:rsidRPr="006E72B7" w:rsidRDefault="0092185D" w:rsidP="006819BE">
      <w:pPr>
        <w:pStyle w:val="FootnoteText"/>
      </w:pPr>
      <w:r w:rsidRPr="008D234C">
        <w:rPr>
          <w:vertAlign w:val="superscript"/>
        </w:rPr>
        <w:footnoteRef/>
      </w:r>
      <w:r w:rsidRPr="006E72B7">
        <w:t xml:space="preserve"> </w:t>
      </w:r>
      <w:r w:rsidRPr="006E72B7">
        <w:tab/>
      </w:r>
      <w:r>
        <w:t xml:space="preserve">E.G.: AEMO, </w:t>
      </w:r>
      <w:r w:rsidRPr="009B4B34">
        <w:t xml:space="preserve">Metrology Procedure: Part </w:t>
      </w:r>
      <w:proofErr w:type="gramStart"/>
      <w:r w:rsidRPr="009B4B34">
        <w:t>A</w:t>
      </w:r>
      <w:proofErr w:type="gramEnd"/>
      <w:r>
        <w:t xml:space="preserve"> National Electricity Market.</w:t>
      </w:r>
    </w:p>
  </w:footnote>
  <w:footnote w:id="40">
    <w:p w:rsidR="0092185D" w:rsidRDefault="0092185D" w:rsidP="00185C5D">
      <w:pPr>
        <w:pStyle w:val="FootnoteText"/>
      </w:pPr>
      <w:r>
        <w:rPr>
          <w:rStyle w:val="FootnoteReference"/>
        </w:rPr>
        <w:footnoteRef/>
      </w:r>
      <w:r>
        <w:t xml:space="preserve"> </w:t>
      </w:r>
      <w:r>
        <w:tab/>
      </w:r>
      <w:r w:rsidRPr="002170D4">
        <w:rPr>
          <w:rStyle w:val="FootnoteReference"/>
          <w:sz w:val="16"/>
          <w:vertAlign w:val="baseline"/>
        </w:rPr>
        <w:t xml:space="preserve">See: </w:t>
      </w:r>
      <w:hyperlink r:id="rId5" w:history="1">
        <w:r w:rsidRPr="001256DD">
          <w:rPr>
            <w:rStyle w:val="Hyperlink"/>
            <w:sz w:val="16"/>
          </w:rPr>
          <w:t>http://www.aer.gov.au/node/484</w:t>
        </w:r>
      </w:hyperlink>
      <w:r w:rsidRPr="002170D4">
        <w:rPr>
          <w:rStyle w:val="FootnoteReference"/>
          <w:sz w:val="16"/>
          <w:vertAlign w:val="baseline"/>
        </w:rPr>
        <w:t>, select the category: ‘Distribution Loss Factors’ and the most recent year.</w:t>
      </w:r>
    </w:p>
  </w:footnote>
  <w:footnote w:id="41">
    <w:p w:rsidR="0092185D" w:rsidRPr="006E72B7" w:rsidRDefault="0092185D" w:rsidP="006819BE">
      <w:pPr>
        <w:pStyle w:val="FootnoteText"/>
      </w:pPr>
      <w:r w:rsidRPr="008D234C">
        <w:rPr>
          <w:vertAlign w:val="superscript"/>
        </w:rPr>
        <w:footnoteRef/>
      </w:r>
      <w:r w:rsidRPr="006E72B7">
        <w:t xml:space="preserve"> </w:t>
      </w:r>
      <w:r>
        <w:tab/>
      </w:r>
      <w:r w:rsidRPr="006E72B7">
        <w:t>This charge implicitly is a form of ‘shadow price’. A customer is able to compare this price with other retail offers and thus can make an informed selection.</w:t>
      </w:r>
    </w:p>
  </w:footnote>
  <w:footnote w:id="42">
    <w:p w:rsidR="0092185D" w:rsidRDefault="0092185D">
      <w:pPr>
        <w:pStyle w:val="FootnoteText"/>
      </w:pPr>
      <w:r>
        <w:rPr>
          <w:rStyle w:val="FootnoteReference"/>
        </w:rPr>
        <w:footnoteRef/>
      </w:r>
      <w:r>
        <w:t xml:space="preserve"> </w:t>
      </w:r>
      <w:r>
        <w:tab/>
        <w:t>For the avoidance of doubt, for the purposes of this condition 4.7.2, conditions 4.9.3 and 4.9.4 are not restricted to a brownfields conversion but may be applied in an eligible community on request by an eligible member.</w:t>
      </w:r>
    </w:p>
  </w:footnote>
  <w:footnote w:id="43">
    <w:p w:rsidR="0092185D" w:rsidRDefault="0092185D">
      <w:pPr>
        <w:pStyle w:val="FootnoteText"/>
      </w:pPr>
      <w:r>
        <w:rPr>
          <w:rStyle w:val="FootnoteReference"/>
        </w:rPr>
        <w:footnoteRef/>
      </w:r>
      <w:r>
        <w:t xml:space="preserve"> </w:t>
      </w:r>
      <w:r>
        <w:tab/>
        <w:t>Condition 4.9.3.1(c) applies by mutual consent. The exempt embedded network service provider may offer to price match or may negotiate an alternative pricing arrangement with a customer if the exempt embedded network service provider determines conditions 4.9.3.1(a) or 4.9.3.1(b) are not feasible or are too costly.</w:t>
      </w:r>
    </w:p>
  </w:footnote>
  <w:footnote w:id="44">
    <w:p w:rsidR="0092185D" w:rsidRDefault="0092185D">
      <w:pPr>
        <w:pStyle w:val="FootnoteText"/>
      </w:pPr>
      <w:r>
        <w:rPr>
          <w:rStyle w:val="FootnoteReference"/>
        </w:rPr>
        <w:footnoteRef/>
      </w:r>
      <w:r>
        <w:t xml:space="preserve"> </w:t>
      </w:r>
      <w:r>
        <w:tab/>
        <w:t>An exempt embedded network service provider is not prohibited from arranging a direct connection to a registered distributor for a small customer if that is a viable option.</w:t>
      </w:r>
    </w:p>
  </w:footnote>
  <w:footnote w:id="45">
    <w:p w:rsidR="0092185D" w:rsidRDefault="0092185D">
      <w:pPr>
        <w:pStyle w:val="FootnoteText"/>
      </w:pPr>
      <w:r>
        <w:rPr>
          <w:rStyle w:val="FootnoteReference"/>
        </w:rPr>
        <w:footnoteRef/>
      </w:r>
      <w:r>
        <w:t xml:space="preserve"> </w:t>
      </w:r>
      <w:r>
        <w:tab/>
        <w:t>If the AER determines</w:t>
      </w:r>
      <w:r w:rsidRPr="003878A2">
        <w:t xml:space="preserve"> special circumstances apply</w:t>
      </w:r>
      <w:r>
        <w:t>, we may apply a lower or higher threshold to a specific application.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F702C0C"/>
    <w:lvl w:ilvl="0">
      <w:start w:val="1"/>
      <w:numFmt w:val="decimal"/>
      <w:pStyle w:val="ListNumber"/>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B9F8DFF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7A044D4"/>
    <w:multiLevelType w:val="multilevel"/>
    <w:tmpl w:val="8550D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0C4312B0"/>
    <w:multiLevelType w:val="hybridMultilevel"/>
    <w:tmpl w:val="EAECF2E0"/>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8865DF8"/>
    <w:multiLevelType w:val="hybridMultilevel"/>
    <w:tmpl w:val="71E86C0E"/>
    <w:lvl w:ilvl="0" w:tplc="E5660870">
      <w:start w:val="1"/>
      <w:numFmt w:val="lowerLetter"/>
      <w:pStyle w:val="Listalphabet2"/>
      <w:lvlText w:val="(%1)"/>
      <w:lvlJc w:val="left"/>
      <w:pPr>
        <w:ind w:left="1040" w:hanging="360"/>
      </w:pPr>
      <w:rPr>
        <w:rFonts w:hint="default"/>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2">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3">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18"/>
  </w:num>
  <w:num w:numId="14">
    <w:abstractNumId w:val="13"/>
  </w:num>
  <w:num w:numId="15">
    <w:abstractNumId w:val="16"/>
  </w:num>
  <w:num w:numId="16">
    <w:abstractNumId w:val="19"/>
  </w:num>
  <w:num w:numId="17">
    <w:abstractNumId w:val="20"/>
  </w:num>
  <w:num w:numId="18">
    <w:abstractNumId w:val="23"/>
  </w:num>
  <w:num w:numId="19">
    <w:abstractNumId w:val="21"/>
  </w:num>
  <w:num w:numId="20">
    <w:abstractNumId w:val="9"/>
  </w:num>
  <w:num w:numId="21">
    <w:abstractNumId w:val="15"/>
  </w:num>
  <w:num w:numId="22">
    <w:abstractNumId w:val="10"/>
  </w:num>
  <w:num w:numId="23">
    <w:abstractNumId w:val="17"/>
    <w:lvlOverride w:ilvl="0">
      <w:startOverride w:val="1"/>
    </w:lvlOverride>
  </w:num>
  <w:num w:numId="24">
    <w:abstractNumId w:val="8"/>
    <w:lvlOverride w:ilvl="0">
      <w:startOverride w:val="1"/>
    </w:lvlOverride>
  </w:num>
  <w:num w:numId="25">
    <w:abstractNumId w:val="17"/>
  </w:num>
  <w:num w:numId="26">
    <w:abstractNumId w:val="17"/>
    <w:lvlOverride w:ilvl="0">
      <w:startOverride w:val="1"/>
    </w:lvlOverride>
  </w:num>
  <w:num w:numId="27">
    <w:abstractNumId w:val="12"/>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12"/>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17"/>
    <w:lvlOverride w:ilvl="0">
      <w:startOverride w:val="1"/>
    </w:lvlOverride>
  </w:num>
  <w:num w:numId="34">
    <w:abstractNumId w:val="12"/>
    <w:lvlOverride w:ilvl="0">
      <w:startOverride w:val="1"/>
    </w:lvlOverride>
  </w:num>
  <w:num w:numId="35">
    <w:abstractNumId w:val="8"/>
    <w:lvlOverride w:ilvl="0">
      <w:startOverride w:val="1"/>
    </w:lvlOverride>
  </w:num>
  <w:num w:numId="36">
    <w:abstractNumId w:val="12"/>
    <w:lvlOverride w:ilvl="0">
      <w:startOverride w:val="1"/>
    </w:lvlOverride>
  </w:num>
  <w:num w:numId="37">
    <w:abstractNumId w:val="12"/>
    <w:lvlOverride w:ilvl="0">
      <w:startOverride w:val="1"/>
    </w:lvlOverride>
  </w:num>
  <w:num w:numId="38">
    <w:abstractNumId w:val="12"/>
  </w:num>
  <w:num w:numId="39">
    <w:abstractNumId w:val="12"/>
    <w:lvlOverride w:ilvl="0">
      <w:startOverride w:val="1"/>
    </w:lvlOverride>
  </w:num>
  <w:num w:numId="40">
    <w:abstractNumId w:val="12"/>
    <w:lvlOverride w:ilvl="0">
      <w:startOverride w:val="1"/>
    </w:lvlOverride>
  </w:num>
  <w:num w:numId="41">
    <w:abstractNumId w:val="12"/>
    <w:lvlOverride w:ilvl="0">
      <w:startOverride w:val="1"/>
    </w:lvlOverride>
  </w:num>
  <w:num w:numId="42">
    <w:abstractNumId w:val="17"/>
    <w:lvlOverride w:ilvl="0">
      <w:startOverride w:val="1"/>
    </w:lvlOverride>
  </w:num>
  <w:num w:numId="43">
    <w:abstractNumId w:val="11"/>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num>
  <w:num w:numId="49">
    <w:abstractNumId w:val="12"/>
    <w:lvlOverride w:ilvl="0">
      <w:startOverride w:val="1"/>
    </w:lvlOverride>
  </w:num>
  <w:num w:numId="50">
    <w:abstractNumId w:val="8"/>
    <w:lvlOverride w:ilvl="0">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12083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s://www.aer.gov.au/system/files/AER electricity NSP Registration Exemption Guideline - Version 5 - 1 December 2016_0.docx"/>
  </w:docVars>
  <w:rsids>
    <w:rsidRoot w:val="000273B7"/>
    <w:rsid w:val="00001C15"/>
    <w:rsid w:val="00001E57"/>
    <w:rsid w:val="00004FDB"/>
    <w:rsid w:val="000127FB"/>
    <w:rsid w:val="000175F2"/>
    <w:rsid w:val="00021202"/>
    <w:rsid w:val="000232BF"/>
    <w:rsid w:val="00023CF9"/>
    <w:rsid w:val="0002517F"/>
    <w:rsid w:val="000273B7"/>
    <w:rsid w:val="00031305"/>
    <w:rsid w:val="0003160C"/>
    <w:rsid w:val="00033656"/>
    <w:rsid w:val="0003502A"/>
    <w:rsid w:val="0003578C"/>
    <w:rsid w:val="00040831"/>
    <w:rsid w:val="000408CE"/>
    <w:rsid w:val="00040B27"/>
    <w:rsid w:val="000454DC"/>
    <w:rsid w:val="00047664"/>
    <w:rsid w:val="00052B6D"/>
    <w:rsid w:val="00054B32"/>
    <w:rsid w:val="00057850"/>
    <w:rsid w:val="00063247"/>
    <w:rsid w:val="00064E87"/>
    <w:rsid w:val="00070F9F"/>
    <w:rsid w:val="0007103E"/>
    <w:rsid w:val="0007137B"/>
    <w:rsid w:val="000723FF"/>
    <w:rsid w:val="00074341"/>
    <w:rsid w:val="00074BDA"/>
    <w:rsid w:val="00080E00"/>
    <w:rsid w:val="00082B97"/>
    <w:rsid w:val="00083AE1"/>
    <w:rsid w:val="00083CF4"/>
    <w:rsid w:val="00085663"/>
    <w:rsid w:val="00085EBF"/>
    <w:rsid w:val="00090583"/>
    <w:rsid w:val="000940B5"/>
    <w:rsid w:val="000945DE"/>
    <w:rsid w:val="000A1D59"/>
    <w:rsid w:val="000A5BC1"/>
    <w:rsid w:val="000A6C7B"/>
    <w:rsid w:val="000A6CCA"/>
    <w:rsid w:val="000B165C"/>
    <w:rsid w:val="000B5E39"/>
    <w:rsid w:val="000C0B06"/>
    <w:rsid w:val="000C20C9"/>
    <w:rsid w:val="000C3903"/>
    <w:rsid w:val="000C6C4C"/>
    <w:rsid w:val="000C71D7"/>
    <w:rsid w:val="000D122C"/>
    <w:rsid w:val="000D1802"/>
    <w:rsid w:val="000E1819"/>
    <w:rsid w:val="000E1ADB"/>
    <w:rsid w:val="000E60F7"/>
    <w:rsid w:val="000E6C72"/>
    <w:rsid w:val="000E71AF"/>
    <w:rsid w:val="000E7B0F"/>
    <w:rsid w:val="000E7EEA"/>
    <w:rsid w:val="000E7F36"/>
    <w:rsid w:val="000F0233"/>
    <w:rsid w:val="000F0984"/>
    <w:rsid w:val="001009A0"/>
    <w:rsid w:val="00103DD2"/>
    <w:rsid w:val="00107CC7"/>
    <w:rsid w:val="001139B2"/>
    <w:rsid w:val="00116EB2"/>
    <w:rsid w:val="00120F60"/>
    <w:rsid w:val="00124609"/>
    <w:rsid w:val="001256DD"/>
    <w:rsid w:val="00130C3C"/>
    <w:rsid w:val="00130EF4"/>
    <w:rsid w:val="001311F4"/>
    <w:rsid w:val="00134384"/>
    <w:rsid w:val="001354E7"/>
    <w:rsid w:val="001368B7"/>
    <w:rsid w:val="001377C0"/>
    <w:rsid w:val="001379CA"/>
    <w:rsid w:val="001408F6"/>
    <w:rsid w:val="0014573B"/>
    <w:rsid w:val="00150DE5"/>
    <w:rsid w:val="001528CB"/>
    <w:rsid w:val="00154EF9"/>
    <w:rsid w:val="001573E4"/>
    <w:rsid w:val="0015766C"/>
    <w:rsid w:val="00160756"/>
    <w:rsid w:val="00170114"/>
    <w:rsid w:val="00170FDF"/>
    <w:rsid w:val="0017232E"/>
    <w:rsid w:val="001738A8"/>
    <w:rsid w:val="00174102"/>
    <w:rsid w:val="001742FF"/>
    <w:rsid w:val="00174D85"/>
    <w:rsid w:val="00180157"/>
    <w:rsid w:val="00180B54"/>
    <w:rsid w:val="00180DF2"/>
    <w:rsid w:val="0018168C"/>
    <w:rsid w:val="00182573"/>
    <w:rsid w:val="00182906"/>
    <w:rsid w:val="001839A3"/>
    <w:rsid w:val="00185C5D"/>
    <w:rsid w:val="00185CB9"/>
    <w:rsid w:val="00186B10"/>
    <w:rsid w:val="00186F77"/>
    <w:rsid w:val="001873F2"/>
    <w:rsid w:val="00191A8C"/>
    <w:rsid w:val="00191C56"/>
    <w:rsid w:val="001926A4"/>
    <w:rsid w:val="00192AD5"/>
    <w:rsid w:val="001964DD"/>
    <w:rsid w:val="00196DE9"/>
    <w:rsid w:val="001A0C80"/>
    <w:rsid w:val="001A1B66"/>
    <w:rsid w:val="001A650C"/>
    <w:rsid w:val="001B45A0"/>
    <w:rsid w:val="001B5CDF"/>
    <w:rsid w:val="001C002E"/>
    <w:rsid w:val="001C3437"/>
    <w:rsid w:val="001C3E8E"/>
    <w:rsid w:val="001C6AC9"/>
    <w:rsid w:val="001D055E"/>
    <w:rsid w:val="001D07E8"/>
    <w:rsid w:val="001D0BA3"/>
    <w:rsid w:val="001D0F60"/>
    <w:rsid w:val="001D0FA4"/>
    <w:rsid w:val="001D11F2"/>
    <w:rsid w:val="001D28C3"/>
    <w:rsid w:val="001D2C50"/>
    <w:rsid w:val="001D7C97"/>
    <w:rsid w:val="001E0592"/>
    <w:rsid w:val="001E1614"/>
    <w:rsid w:val="001E320F"/>
    <w:rsid w:val="001E632C"/>
    <w:rsid w:val="001E77DF"/>
    <w:rsid w:val="001F29ED"/>
    <w:rsid w:val="001F2ADA"/>
    <w:rsid w:val="001F307A"/>
    <w:rsid w:val="001F492E"/>
    <w:rsid w:val="001F5D52"/>
    <w:rsid w:val="001F6B06"/>
    <w:rsid w:val="001F6DA3"/>
    <w:rsid w:val="001F7173"/>
    <w:rsid w:val="002010BC"/>
    <w:rsid w:val="00202E03"/>
    <w:rsid w:val="002030CF"/>
    <w:rsid w:val="0020492C"/>
    <w:rsid w:val="00205705"/>
    <w:rsid w:val="00206FC5"/>
    <w:rsid w:val="00207FDC"/>
    <w:rsid w:val="00214572"/>
    <w:rsid w:val="002170D4"/>
    <w:rsid w:val="002210E1"/>
    <w:rsid w:val="00222A1F"/>
    <w:rsid w:val="00222D8F"/>
    <w:rsid w:val="00223C25"/>
    <w:rsid w:val="00224DB9"/>
    <w:rsid w:val="00233775"/>
    <w:rsid w:val="00237B9F"/>
    <w:rsid w:val="00242E7E"/>
    <w:rsid w:val="00242FBB"/>
    <w:rsid w:val="002511EF"/>
    <w:rsid w:val="00251745"/>
    <w:rsid w:val="00253FD4"/>
    <w:rsid w:val="00256743"/>
    <w:rsid w:val="0026171E"/>
    <w:rsid w:val="00263AC0"/>
    <w:rsid w:val="00265C4C"/>
    <w:rsid w:val="002672BB"/>
    <w:rsid w:val="0026772D"/>
    <w:rsid w:val="0027041E"/>
    <w:rsid w:val="00270BDE"/>
    <w:rsid w:val="00277FDF"/>
    <w:rsid w:val="00282721"/>
    <w:rsid w:val="00283508"/>
    <w:rsid w:val="00285892"/>
    <w:rsid w:val="00285D35"/>
    <w:rsid w:val="00285EF4"/>
    <w:rsid w:val="00286874"/>
    <w:rsid w:val="0028705C"/>
    <w:rsid w:val="0028792A"/>
    <w:rsid w:val="00291A70"/>
    <w:rsid w:val="00292D04"/>
    <w:rsid w:val="00294A6C"/>
    <w:rsid w:val="00296959"/>
    <w:rsid w:val="00296B65"/>
    <w:rsid w:val="0029763A"/>
    <w:rsid w:val="002A2A2B"/>
    <w:rsid w:val="002A7DEF"/>
    <w:rsid w:val="002B28B7"/>
    <w:rsid w:val="002C2602"/>
    <w:rsid w:val="002D0AA2"/>
    <w:rsid w:val="002D142A"/>
    <w:rsid w:val="002D5C68"/>
    <w:rsid w:val="002E1BE5"/>
    <w:rsid w:val="002E2A7A"/>
    <w:rsid w:val="002E2BFC"/>
    <w:rsid w:val="002E75DE"/>
    <w:rsid w:val="002F6687"/>
    <w:rsid w:val="002F7986"/>
    <w:rsid w:val="00301B40"/>
    <w:rsid w:val="00304952"/>
    <w:rsid w:val="00305CC8"/>
    <w:rsid w:val="00307382"/>
    <w:rsid w:val="00307F6D"/>
    <w:rsid w:val="00311132"/>
    <w:rsid w:val="003119F4"/>
    <w:rsid w:val="003148C7"/>
    <w:rsid w:val="0031679C"/>
    <w:rsid w:val="00316E13"/>
    <w:rsid w:val="003177A2"/>
    <w:rsid w:val="003271B5"/>
    <w:rsid w:val="00327A1E"/>
    <w:rsid w:val="00331264"/>
    <w:rsid w:val="00331B8F"/>
    <w:rsid w:val="00334C8D"/>
    <w:rsid w:val="00337E11"/>
    <w:rsid w:val="00347E6A"/>
    <w:rsid w:val="003518B3"/>
    <w:rsid w:val="003536B7"/>
    <w:rsid w:val="00356C9E"/>
    <w:rsid w:val="00356F32"/>
    <w:rsid w:val="00357065"/>
    <w:rsid w:val="00357189"/>
    <w:rsid w:val="00366F86"/>
    <w:rsid w:val="00367AED"/>
    <w:rsid w:val="003708F8"/>
    <w:rsid w:val="003711FA"/>
    <w:rsid w:val="00381B2B"/>
    <w:rsid w:val="00382953"/>
    <w:rsid w:val="003846F1"/>
    <w:rsid w:val="003878A2"/>
    <w:rsid w:val="00395A93"/>
    <w:rsid w:val="003A00C2"/>
    <w:rsid w:val="003A210C"/>
    <w:rsid w:val="003A3621"/>
    <w:rsid w:val="003A62F6"/>
    <w:rsid w:val="003B4B33"/>
    <w:rsid w:val="003B6AE9"/>
    <w:rsid w:val="003B7E70"/>
    <w:rsid w:val="003C22A1"/>
    <w:rsid w:val="003C492E"/>
    <w:rsid w:val="003C51AE"/>
    <w:rsid w:val="003D073C"/>
    <w:rsid w:val="003D2533"/>
    <w:rsid w:val="003D3E42"/>
    <w:rsid w:val="003E022E"/>
    <w:rsid w:val="003E0309"/>
    <w:rsid w:val="003E3FD8"/>
    <w:rsid w:val="003E5584"/>
    <w:rsid w:val="003E5A5E"/>
    <w:rsid w:val="003F3FAD"/>
    <w:rsid w:val="00402707"/>
    <w:rsid w:val="00402BA3"/>
    <w:rsid w:val="00406AC2"/>
    <w:rsid w:val="00415628"/>
    <w:rsid w:val="0042285F"/>
    <w:rsid w:val="0043187C"/>
    <w:rsid w:val="00432A71"/>
    <w:rsid w:val="004363AC"/>
    <w:rsid w:val="00437DA3"/>
    <w:rsid w:val="00441151"/>
    <w:rsid w:val="00446992"/>
    <w:rsid w:val="004502D8"/>
    <w:rsid w:val="00450B54"/>
    <w:rsid w:val="00453FBF"/>
    <w:rsid w:val="0046047C"/>
    <w:rsid w:val="00460FAB"/>
    <w:rsid w:val="004628B9"/>
    <w:rsid w:val="00462F66"/>
    <w:rsid w:val="004632D1"/>
    <w:rsid w:val="00463AA7"/>
    <w:rsid w:val="00463B9B"/>
    <w:rsid w:val="00471846"/>
    <w:rsid w:val="00472014"/>
    <w:rsid w:val="00476CFF"/>
    <w:rsid w:val="00480B4B"/>
    <w:rsid w:val="00482D77"/>
    <w:rsid w:val="00485DC4"/>
    <w:rsid w:val="004876E6"/>
    <w:rsid w:val="0049074A"/>
    <w:rsid w:val="00492455"/>
    <w:rsid w:val="004927B3"/>
    <w:rsid w:val="0049375A"/>
    <w:rsid w:val="00494E21"/>
    <w:rsid w:val="004A25BA"/>
    <w:rsid w:val="004A43D1"/>
    <w:rsid w:val="004A539E"/>
    <w:rsid w:val="004A606D"/>
    <w:rsid w:val="004A6B2A"/>
    <w:rsid w:val="004B18EB"/>
    <w:rsid w:val="004B4412"/>
    <w:rsid w:val="004B6048"/>
    <w:rsid w:val="004C348C"/>
    <w:rsid w:val="004C400B"/>
    <w:rsid w:val="004C50BD"/>
    <w:rsid w:val="004D0F3A"/>
    <w:rsid w:val="004D433A"/>
    <w:rsid w:val="004D55BA"/>
    <w:rsid w:val="004D6A18"/>
    <w:rsid w:val="004D74DD"/>
    <w:rsid w:val="004E0A28"/>
    <w:rsid w:val="004E1871"/>
    <w:rsid w:val="004E22EC"/>
    <w:rsid w:val="004E3D40"/>
    <w:rsid w:val="005021F3"/>
    <w:rsid w:val="005078E3"/>
    <w:rsid w:val="00512673"/>
    <w:rsid w:val="00513FA5"/>
    <w:rsid w:val="00516B53"/>
    <w:rsid w:val="00516C78"/>
    <w:rsid w:val="00523DF5"/>
    <w:rsid w:val="00526B40"/>
    <w:rsid w:val="00527193"/>
    <w:rsid w:val="00530128"/>
    <w:rsid w:val="00532467"/>
    <w:rsid w:val="00543CDC"/>
    <w:rsid w:val="00545E41"/>
    <w:rsid w:val="00553771"/>
    <w:rsid w:val="0056080A"/>
    <w:rsid w:val="00562632"/>
    <w:rsid w:val="00563B0A"/>
    <w:rsid w:val="00564A4D"/>
    <w:rsid w:val="005654EA"/>
    <w:rsid w:val="005669D8"/>
    <w:rsid w:val="00567BA5"/>
    <w:rsid w:val="00571B35"/>
    <w:rsid w:val="00571D57"/>
    <w:rsid w:val="00575AB5"/>
    <w:rsid w:val="00577A09"/>
    <w:rsid w:val="00580BF9"/>
    <w:rsid w:val="005829C2"/>
    <w:rsid w:val="0058361C"/>
    <w:rsid w:val="0058411E"/>
    <w:rsid w:val="00584D8F"/>
    <w:rsid w:val="00587C01"/>
    <w:rsid w:val="00587C76"/>
    <w:rsid w:val="005969BF"/>
    <w:rsid w:val="005A0A4C"/>
    <w:rsid w:val="005A3D05"/>
    <w:rsid w:val="005A404D"/>
    <w:rsid w:val="005A7B05"/>
    <w:rsid w:val="005B1E3C"/>
    <w:rsid w:val="005B2B96"/>
    <w:rsid w:val="005B5C4D"/>
    <w:rsid w:val="005C26CC"/>
    <w:rsid w:val="005C2EDB"/>
    <w:rsid w:val="005C4261"/>
    <w:rsid w:val="005C54CB"/>
    <w:rsid w:val="005C7F2E"/>
    <w:rsid w:val="005D0CE5"/>
    <w:rsid w:val="005D1435"/>
    <w:rsid w:val="005D3886"/>
    <w:rsid w:val="005E0B33"/>
    <w:rsid w:val="005E4A87"/>
    <w:rsid w:val="005F724F"/>
    <w:rsid w:val="005F7836"/>
    <w:rsid w:val="00604AA5"/>
    <w:rsid w:val="00604DB9"/>
    <w:rsid w:val="006123E4"/>
    <w:rsid w:val="0061508E"/>
    <w:rsid w:val="00615C6B"/>
    <w:rsid w:val="00615F1C"/>
    <w:rsid w:val="00620C6B"/>
    <w:rsid w:val="00623C38"/>
    <w:rsid w:val="00624715"/>
    <w:rsid w:val="00630C9A"/>
    <w:rsid w:val="006319EE"/>
    <w:rsid w:val="006321E1"/>
    <w:rsid w:val="00632D6D"/>
    <w:rsid w:val="00634D61"/>
    <w:rsid w:val="006352A2"/>
    <w:rsid w:val="0063741B"/>
    <w:rsid w:val="00640830"/>
    <w:rsid w:val="0064116C"/>
    <w:rsid w:val="0064144F"/>
    <w:rsid w:val="0064166D"/>
    <w:rsid w:val="00642C3E"/>
    <w:rsid w:val="00644FDB"/>
    <w:rsid w:val="006554C0"/>
    <w:rsid w:val="00663DAD"/>
    <w:rsid w:val="00670957"/>
    <w:rsid w:val="0067368E"/>
    <w:rsid w:val="00676679"/>
    <w:rsid w:val="00680D69"/>
    <w:rsid w:val="006819BE"/>
    <w:rsid w:val="00681DE2"/>
    <w:rsid w:val="00682B61"/>
    <w:rsid w:val="00686DDD"/>
    <w:rsid w:val="00691422"/>
    <w:rsid w:val="006919E8"/>
    <w:rsid w:val="00693E29"/>
    <w:rsid w:val="006A1735"/>
    <w:rsid w:val="006A1D5F"/>
    <w:rsid w:val="006A2776"/>
    <w:rsid w:val="006A2CF4"/>
    <w:rsid w:val="006A3591"/>
    <w:rsid w:val="006B0806"/>
    <w:rsid w:val="006B4CF9"/>
    <w:rsid w:val="006B4F8F"/>
    <w:rsid w:val="006B5A64"/>
    <w:rsid w:val="006B7AC8"/>
    <w:rsid w:val="006B7D09"/>
    <w:rsid w:val="006C1FEB"/>
    <w:rsid w:val="006C5178"/>
    <w:rsid w:val="006C51D4"/>
    <w:rsid w:val="006C5D4B"/>
    <w:rsid w:val="006C74C7"/>
    <w:rsid w:val="006D3CDD"/>
    <w:rsid w:val="006D443B"/>
    <w:rsid w:val="006D4C02"/>
    <w:rsid w:val="006D550F"/>
    <w:rsid w:val="006D73CF"/>
    <w:rsid w:val="006F38BB"/>
    <w:rsid w:val="006F72AA"/>
    <w:rsid w:val="00701CAB"/>
    <w:rsid w:val="00706706"/>
    <w:rsid w:val="00707563"/>
    <w:rsid w:val="00712D94"/>
    <w:rsid w:val="00714384"/>
    <w:rsid w:val="00714418"/>
    <w:rsid w:val="00717C47"/>
    <w:rsid w:val="00721139"/>
    <w:rsid w:val="0072348C"/>
    <w:rsid w:val="00723A9E"/>
    <w:rsid w:val="00724A37"/>
    <w:rsid w:val="00727DE1"/>
    <w:rsid w:val="007303C3"/>
    <w:rsid w:val="00733278"/>
    <w:rsid w:val="007333BE"/>
    <w:rsid w:val="007408A8"/>
    <w:rsid w:val="00743223"/>
    <w:rsid w:val="00744886"/>
    <w:rsid w:val="00746E01"/>
    <w:rsid w:val="00747E0B"/>
    <w:rsid w:val="0075558A"/>
    <w:rsid w:val="00757BDF"/>
    <w:rsid w:val="00762B3E"/>
    <w:rsid w:val="00763E5D"/>
    <w:rsid w:val="00765A85"/>
    <w:rsid w:val="00767740"/>
    <w:rsid w:val="0077033D"/>
    <w:rsid w:val="0077267C"/>
    <w:rsid w:val="00772EB6"/>
    <w:rsid w:val="00773A09"/>
    <w:rsid w:val="007746DA"/>
    <w:rsid w:val="007759C0"/>
    <w:rsid w:val="00777EE6"/>
    <w:rsid w:val="00780090"/>
    <w:rsid w:val="0078039F"/>
    <w:rsid w:val="00782EEA"/>
    <w:rsid w:val="007866E5"/>
    <w:rsid w:val="00793504"/>
    <w:rsid w:val="007943F7"/>
    <w:rsid w:val="0079491B"/>
    <w:rsid w:val="00795EF9"/>
    <w:rsid w:val="007A0AE0"/>
    <w:rsid w:val="007A2A12"/>
    <w:rsid w:val="007A356A"/>
    <w:rsid w:val="007A3AE4"/>
    <w:rsid w:val="007A4113"/>
    <w:rsid w:val="007A4D1F"/>
    <w:rsid w:val="007A56DD"/>
    <w:rsid w:val="007A6D08"/>
    <w:rsid w:val="007B2C72"/>
    <w:rsid w:val="007C1C53"/>
    <w:rsid w:val="007C4460"/>
    <w:rsid w:val="007C74BB"/>
    <w:rsid w:val="007E0889"/>
    <w:rsid w:val="007E1059"/>
    <w:rsid w:val="007E1BF6"/>
    <w:rsid w:val="007E4904"/>
    <w:rsid w:val="007E4CB5"/>
    <w:rsid w:val="007E643F"/>
    <w:rsid w:val="007E6D0A"/>
    <w:rsid w:val="007F066B"/>
    <w:rsid w:val="007F126A"/>
    <w:rsid w:val="007F16B6"/>
    <w:rsid w:val="007F1DA0"/>
    <w:rsid w:val="008022B5"/>
    <w:rsid w:val="008033C4"/>
    <w:rsid w:val="00805F4F"/>
    <w:rsid w:val="00806C88"/>
    <w:rsid w:val="0081034E"/>
    <w:rsid w:val="00812B02"/>
    <w:rsid w:val="008177AB"/>
    <w:rsid w:val="00821E13"/>
    <w:rsid w:val="00824AE2"/>
    <w:rsid w:val="00827157"/>
    <w:rsid w:val="008308C9"/>
    <w:rsid w:val="008328FA"/>
    <w:rsid w:val="008344F6"/>
    <w:rsid w:val="0083510F"/>
    <w:rsid w:val="00840AF2"/>
    <w:rsid w:val="00843704"/>
    <w:rsid w:val="00851209"/>
    <w:rsid w:val="00852D2C"/>
    <w:rsid w:val="008568FE"/>
    <w:rsid w:val="00863943"/>
    <w:rsid w:val="008657D1"/>
    <w:rsid w:val="00865B38"/>
    <w:rsid w:val="00865C26"/>
    <w:rsid w:val="00880E6A"/>
    <w:rsid w:val="0088145E"/>
    <w:rsid w:val="008837AC"/>
    <w:rsid w:val="00890366"/>
    <w:rsid w:val="00891A5C"/>
    <w:rsid w:val="008951DF"/>
    <w:rsid w:val="008A2A3D"/>
    <w:rsid w:val="008A34CB"/>
    <w:rsid w:val="008A3E3C"/>
    <w:rsid w:val="008A587D"/>
    <w:rsid w:val="008B15ED"/>
    <w:rsid w:val="008B16C9"/>
    <w:rsid w:val="008B1F4E"/>
    <w:rsid w:val="008B4B6D"/>
    <w:rsid w:val="008C1F90"/>
    <w:rsid w:val="008C2AFE"/>
    <w:rsid w:val="008C38FC"/>
    <w:rsid w:val="008C480E"/>
    <w:rsid w:val="008C5486"/>
    <w:rsid w:val="008C75E4"/>
    <w:rsid w:val="008D1661"/>
    <w:rsid w:val="008D52AE"/>
    <w:rsid w:val="008D54BF"/>
    <w:rsid w:val="008D7D63"/>
    <w:rsid w:val="008E00F6"/>
    <w:rsid w:val="008E112C"/>
    <w:rsid w:val="008E3937"/>
    <w:rsid w:val="008E440D"/>
    <w:rsid w:val="008E4BE3"/>
    <w:rsid w:val="008E7031"/>
    <w:rsid w:val="008F2354"/>
    <w:rsid w:val="008F2709"/>
    <w:rsid w:val="008F3342"/>
    <w:rsid w:val="008F4386"/>
    <w:rsid w:val="009028A6"/>
    <w:rsid w:val="00905048"/>
    <w:rsid w:val="00913061"/>
    <w:rsid w:val="0092185D"/>
    <w:rsid w:val="009233EE"/>
    <w:rsid w:val="00923955"/>
    <w:rsid w:val="00930007"/>
    <w:rsid w:val="00934A4F"/>
    <w:rsid w:val="00944882"/>
    <w:rsid w:val="009460AA"/>
    <w:rsid w:val="00951978"/>
    <w:rsid w:val="00962853"/>
    <w:rsid w:val="009661DE"/>
    <w:rsid w:val="00966ABC"/>
    <w:rsid w:val="00967440"/>
    <w:rsid w:val="00970CF9"/>
    <w:rsid w:val="00971C8B"/>
    <w:rsid w:val="00975095"/>
    <w:rsid w:val="009776C9"/>
    <w:rsid w:val="00981DA2"/>
    <w:rsid w:val="009839BC"/>
    <w:rsid w:val="009856B7"/>
    <w:rsid w:val="00985ACB"/>
    <w:rsid w:val="00990868"/>
    <w:rsid w:val="0099732F"/>
    <w:rsid w:val="009A5E4C"/>
    <w:rsid w:val="009A5FC3"/>
    <w:rsid w:val="009A6CFD"/>
    <w:rsid w:val="009B46F3"/>
    <w:rsid w:val="009B6547"/>
    <w:rsid w:val="009B74B0"/>
    <w:rsid w:val="009C1294"/>
    <w:rsid w:val="009C3D26"/>
    <w:rsid w:val="009C5C9C"/>
    <w:rsid w:val="009C7F9C"/>
    <w:rsid w:val="009D09A5"/>
    <w:rsid w:val="009D4069"/>
    <w:rsid w:val="009D6B46"/>
    <w:rsid w:val="009E2C17"/>
    <w:rsid w:val="009E34FF"/>
    <w:rsid w:val="009E66E6"/>
    <w:rsid w:val="009F1088"/>
    <w:rsid w:val="009F4940"/>
    <w:rsid w:val="009F5BA1"/>
    <w:rsid w:val="009F6AF9"/>
    <w:rsid w:val="00A026BC"/>
    <w:rsid w:val="00A02A88"/>
    <w:rsid w:val="00A04364"/>
    <w:rsid w:val="00A04D10"/>
    <w:rsid w:val="00A0562E"/>
    <w:rsid w:val="00A0726D"/>
    <w:rsid w:val="00A1196A"/>
    <w:rsid w:val="00A176A8"/>
    <w:rsid w:val="00A22495"/>
    <w:rsid w:val="00A2661C"/>
    <w:rsid w:val="00A27D11"/>
    <w:rsid w:val="00A31F4D"/>
    <w:rsid w:val="00A32FBB"/>
    <w:rsid w:val="00A35D6F"/>
    <w:rsid w:val="00A3706A"/>
    <w:rsid w:val="00A4458E"/>
    <w:rsid w:val="00A4478A"/>
    <w:rsid w:val="00A44852"/>
    <w:rsid w:val="00A45637"/>
    <w:rsid w:val="00A51FD7"/>
    <w:rsid w:val="00A55263"/>
    <w:rsid w:val="00A57D04"/>
    <w:rsid w:val="00A60023"/>
    <w:rsid w:val="00A60A26"/>
    <w:rsid w:val="00A61598"/>
    <w:rsid w:val="00A64637"/>
    <w:rsid w:val="00A663F3"/>
    <w:rsid w:val="00A70090"/>
    <w:rsid w:val="00A7459A"/>
    <w:rsid w:val="00A747D0"/>
    <w:rsid w:val="00A75077"/>
    <w:rsid w:val="00A80AEC"/>
    <w:rsid w:val="00A84E0D"/>
    <w:rsid w:val="00A84E41"/>
    <w:rsid w:val="00A84F46"/>
    <w:rsid w:val="00A871F4"/>
    <w:rsid w:val="00A87CF2"/>
    <w:rsid w:val="00A92DBE"/>
    <w:rsid w:val="00A93568"/>
    <w:rsid w:val="00A942CC"/>
    <w:rsid w:val="00AA2745"/>
    <w:rsid w:val="00AA28D0"/>
    <w:rsid w:val="00AA308D"/>
    <w:rsid w:val="00AA3C34"/>
    <w:rsid w:val="00AA4CD4"/>
    <w:rsid w:val="00AA74E2"/>
    <w:rsid w:val="00AB0A09"/>
    <w:rsid w:val="00AB1216"/>
    <w:rsid w:val="00AB6C61"/>
    <w:rsid w:val="00AC094D"/>
    <w:rsid w:val="00AC1B2C"/>
    <w:rsid w:val="00AC3264"/>
    <w:rsid w:val="00AC4626"/>
    <w:rsid w:val="00AC4D9A"/>
    <w:rsid w:val="00AD1B6E"/>
    <w:rsid w:val="00AD6EFE"/>
    <w:rsid w:val="00AE1BF1"/>
    <w:rsid w:val="00AE22D1"/>
    <w:rsid w:val="00AE646D"/>
    <w:rsid w:val="00AF0857"/>
    <w:rsid w:val="00AF0DD2"/>
    <w:rsid w:val="00AF1ED6"/>
    <w:rsid w:val="00AF4A7D"/>
    <w:rsid w:val="00B01B3E"/>
    <w:rsid w:val="00B06860"/>
    <w:rsid w:val="00B06AEA"/>
    <w:rsid w:val="00B07156"/>
    <w:rsid w:val="00B0720C"/>
    <w:rsid w:val="00B12244"/>
    <w:rsid w:val="00B13048"/>
    <w:rsid w:val="00B16156"/>
    <w:rsid w:val="00B16D2F"/>
    <w:rsid w:val="00B1716D"/>
    <w:rsid w:val="00B17A1D"/>
    <w:rsid w:val="00B207A0"/>
    <w:rsid w:val="00B2106C"/>
    <w:rsid w:val="00B22401"/>
    <w:rsid w:val="00B24133"/>
    <w:rsid w:val="00B24DC7"/>
    <w:rsid w:val="00B2641B"/>
    <w:rsid w:val="00B26AD2"/>
    <w:rsid w:val="00B3079A"/>
    <w:rsid w:val="00B3311A"/>
    <w:rsid w:val="00B35D20"/>
    <w:rsid w:val="00B3638F"/>
    <w:rsid w:val="00B36D5A"/>
    <w:rsid w:val="00B37085"/>
    <w:rsid w:val="00B37E38"/>
    <w:rsid w:val="00B445AF"/>
    <w:rsid w:val="00B44EC2"/>
    <w:rsid w:val="00B469EA"/>
    <w:rsid w:val="00B514DD"/>
    <w:rsid w:val="00B52AF0"/>
    <w:rsid w:val="00B56E03"/>
    <w:rsid w:val="00B618BB"/>
    <w:rsid w:val="00B62063"/>
    <w:rsid w:val="00B622B5"/>
    <w:rsid w:val="00B623F1"/>
    <w:rsid w:val="00B624BB"/>
    <w:rsid w:val="00B63A64"/>
    <w:rsid w:val="00B66E2B"/>
    <w:rsid w:val="00B8080B"/>
    <w:rsid w:val="00B843E5"/>
    <w:rsid w:val="00B84568"/>
    <w:rsid w:val="00B87C39"/>
    <w:rsid w:val="00B9037E"/>
    <w:rsid w:val="00B927D8"/>
    <w:rsid w:val="00B958EC"/>
    <w:rsid w:val="00B9764C"/>
    <w:rsid w:val="00BA023F"/>
    <w:rsid w:val="00BA1524"/>
    <w:rsid w:val="00BA3C98"/>
    <w:rsid w:val="00BA4665"/>
    <w:rsid w:val="00BB1EFD"/>
    <w:rsid w:val="00BB26FC"/>
    <w:rsid w:val="00BB2BCB"/>
    <w:rsid w:val="00BB2FB2"/>
    <w:rsid w:val="00BB3304"/>
    <w:rsid w:val="00BC44DA"/>
    <w:rsid w:val="00BD3446"/>
    <w:rsid w:val="00BD626F"/>
    <w:rsid w:val="00BD7FEB"/>
    <w:rsid w:val="00BE1F1B"/>
    <w:rsid w:val="00BE47B5"/>
    <w:rsid w:val="00BE4DAC"/>
    <w:rsid w:val="00BE4F27"/>
    <w:rsid w:val="00BE5CE5"/>
    <w:rsid w:val="00BF1280"/>
    <w:rsid w:val="00BF5F61"/>
    <w:rsid w:val="00BF6ABF"/>
    <w:rsid w:val="00C00402"/>
    <w:rsid w:val="00C10D08"/>
    <w:rsid w:val="00C24DED"/>
    <w:rsid w:val="00C25FA6"/>
    <w:rsid w:val="00C4112F"/>
    <w:rsid w:val="00C42C9F"/>
    <w:rsid w:val="00C43FB6"/>
    <w:rsid w:val="00C4588D"/>
    <w:rsid w:val="00C511AF"/>
    <w:rsid w:val="00C52430"/>
    <w:rsid w:val="00C538A9"/>
    <w:rsid w:val="00C53B5A"/>
    <w:rsid w:val="00C54F5A"/>
    <w:rsid w:val="00C569B4"/>
    <w:rsid w:val="00C67A92"/>
    <w:rsid w:val="00C70F7F"/>
    <w:rsid w:val="00C735FF"/>
    <w:rsid w:val="00C80376"/>
    <w:rsid w:val="00C8079E"/>
    <w:rsid w:val="00C83AD6"/>
    <w:rsid w:val="00C85EB3"/>
    <w:rsid w:val="00C86679"/>
    <w:rsid w:val="00C91B7C"/>
    <w:rsid w:val="00C92900"/>
    <w:rsid w:val="00C92EA2"/>
    <w:rsid w:val="00C94CB5"/>
    <w:rsid w:val="00C967E6"/>
    <w:rsid w:val="00C97E3C"/>
    <w:rsid w:val="00CA489E"/>
    <w:rsid w:val="00CB3ADB"/>
    <w:rsid w:val="00CB666B"/>
    <w:rsid w:val="00CC213C"/>
    <w:rsid w:val="00CC3E70"/>
    <w:rsid w:val="00CC7F1D"/>
    <w:rsid w:val="00CD2BCC"/>
    <w:rsid w:val="00CE26A9"/>
    <w:rsid w:val="00CE34E8"/>
    <w:rsid w:val="00CF2403"/>
    <w:rsid w:val="00CF32B3"/>
    <w:rsid w:val="00CF457F"/>
    <w:rsid w:val="00D0021B"/>
    <w:rsid w:val="00D01CF0"/>
    <w:rsid w:val="00D036CF"/>
    <w:rsid w:val="00D0442A"/>
    <w:rsid w:val="00D04946"/>
    <w:rsid w:val="00D05116"/>
    <w:rsid w:val="00D053CA"/>
    <w:rsid w:val="00D05D74"/>
    <w:rsid w:val="00D16DA5"/>
    <w:rsid w:val="00D229E6"/>
    <w:rsid w:val="00D27C85"/>
    <w:rsid w:val="00D30DD5"/>
    <w:rsid w:val="00D31631"/>
    <w:rsid w:val="00D41759"/>
    <w:rsid w:val="00D467EC"/>
    <w:rsid w:val="00D50F21"/>
    <w:rsid w:val="00D5340A"/>
    <w:rsid w:val="00D61388"/>
    <w:rsid w:val="00D61A54"/>
    <w:rsid w:val="00D64DEA"/>
    <w:rsid w:val="00D715FE"/>
    <w:rsid w:val="00D7168E"/>
    <w:rsid w:val="00D71E57"/>
    <w:rsid w:val="00D73778"/>
    <w:rsid w:val="00D73E3E"/>
    <w:rsid w:val="00D77891"/>
    <w:rsid w:val="00D80603"/>
    <w:rsid w:val="00D80893"/>
    <w:rsid w:val="00D81EF4"/>
    <w:rsid w:val="00D86E97"/>
    <w:rsid w:val="00D92CF1"/>
    <w:rsid w:val="00D92D38"/>
    <w:rsid w:val="00D935B3"/>
    <w:rsid w:val="00D94A1A"/>
    <w:rsid w:val="00D94F49"/>
    <w:rsid w:val="00D950F5"/>
    <w:rsid w:val="00D970CE"/>
    <w:rsid w:val="00D97BB5"/>
    <w:rsid w:val="00DA481E"/>
    <w:rsid w:val="00DA4B51"/>
    <w:rsid w:val="00DA57AD"/>
    <w:rsid w:val="00DB0F93"/>
    <w:rsid w:val="00DB148F"/>
    <w:rsid w:val="00DB1A67"/>
    <w:rsid w:val="00DB1C30"/>
    <w:rsid w:val="00DB5074"/>
    <w:rsid w:val="00DB723B"/>
    <w:rsid w:val="00DB743A"/>
    <w:rsid w:val="00DC0A70"/>
    <w:rsid w:val="00DC1D44"/>
    <w:rsid w:val="00DC3B8E"/>
    <w:rsid w:val="00DC4EEE"/>
    <w:rsid w:val="00DC7279"/>
    <w:rsid w:val="00DC7719"/>
    <w:rsid w:val="00DC7981"/>
    <w:rsid w:val="00DD3F30"/>
    <w:rsid w:val="00DD6BDA"/>
    <w:rsid w:val="00DD7744"/>
    <w:rsid w:val="00DE11AF"/>
    <w:rsid w:val="00DE1615"/>
    <w:rsid w:val="00DE2B0F"/>
    <w:rsid w:val="00DE4096"/>
    <w:rsid w:val="00DE4EFA"/>
    <w:rsid w:val="00DE5520"/>
    <w:rsid w:val="00DE5B8B"/>
    <w:rsid w:val="00DF1F2E"/>
    <w:rsid w:val="00E04818"/>
    <w:rsid w:val="00E0510F"/>
    <w:rsid w:val="00E06442"/>
    <w:rsid w:val="00E12823"/>
    <w:rsid w:val="00E1378B"/>
    <w:rsid w:val="00E137FB"/>
    <w:rsid w:val="00E16751"/>
    <w:rsid w:val="00E16A0E"/>
    <w:rsid w:val="00E2267B"/>
    <w:rsid w:val="00E22820"/>
    <w:rsid w:val="00E23993"/>
    <w:rsid w:val="00E25B8C"/>
    <w:rsid w:val="00E55054"/>
    <w:rsid w:val="00E60A07"/>
    <w:rsid w:val="00E61EEB"/>
    <w:rsid w:val="00E65C85"/>
    <w:rsid w:val="00E65EE4"/>
    <w:rsid w:val="00E66199"/>
    <w:rsid w:val="00E66DDB"/>
    <w:rsid w:val="00E75334"/>
    <w:rsid w:val="00E755EC"/>
    <w:rsid w:val="00E7624D"/>
    <w:rsid w:val="00E7695F"/>
    <w:rsid w:val="00E81AB2"/>
    <w:rsid w:val="00E841E3"/>
    <w:rsid w:val="00E85F46"/>
    <w:rsid w:val="00E86C79"/>
    <w:rsid w:val="00E90566"/>
    <w:rsid w:val="00E9732D"/>
    <w:rsid w:val="00E97981"/>
    <w:rsid w:val="00E97A4B"/>
    <w:rsid w:val="00E97C70"/>
    <w:rsid w:val="00EA1387"/>
    <w:rsid w:val="00EA22B8"/>
    <w:rsid w:val="00EA3D42"/>
    <w:rsid w:val="00EA64BB"/>
    <w:rsid w:val="00EA66DC"/>
    <w:rsid w:val="00EA6B1B"/>
    <w:rsid w:val="00EA736C"/>
    <w:rsid w:val="00EB29C8"/>
    <w:rsid w:val="00EB505D"/>
    <w:rsid w:val="00EB6C9B"/>
    <w:rsid w:val="00EC09AE"/>
    <w:rsid w:val="00EC13D1"/>
    <w:rsid w:val="00EC548D"/>
    <w:rsid w:val="00EC597C"/>
    <w:rsid w:val="00EC786D"/>
    <w:rsid w:val="00ED29B6"/>
    <w:rsid w:val="00ED388F"/>
    <w:rsid w:val="00ED514E"/>
    <w:rsid w:val="00ED5229"/>
    <w:rsid w:val="00EE28F3"/>
    <w:rsid w:val="00EE59D8"/>
    <w:rsid w:val="00EF1AEB"/>
    <w:rsid w:val="00EF3B73"/>
    <w:rsid w:val="00EF5110"/>
    <w:rsid w:val="00EF5396"/>
    <w:rsid w:val="00F00E20"/>
    <w:rsid w:val="00F01E9D"/>
    <w:rsid w:val="00F02EB9"/>
    <w:rsid w:val="00F05135"/>
    <w:rsid w:val="00F15882"/>
    <w:rsid w:val="00F171E0"/>
    <w:rsid w:val="00F17714"/>
    <w:rsid w:val="00F205C6"/>
    <w:rsid w:val="00F20BD3"/>
    <w:rsid w:val="00F21B56"/>
    <w:rsid w:val="00F2619C"/>
    <w:rsid w:val="00F34486"/>
    <w:rsid w:val="00F373A5"/>
    <w:rsid w:val="00F47559"/>
    <w:rsid w:val="00F51936"/>
    <w:rsid w:val="00F5381F"/>
    <w:rsid w:val="00F5680F"/>
    <w:rsid w:val="00F60993"/>
    <w:rsid w:val="00F6214F"/>
    <w:rsid w:val="00F63CEA"/>
    <w:rsid w:val="00F64C7B"/>
    <w:rsid w:val="00F6506D"/>
    <w:rsid w:val="00F66875"/>
    <w:rsid w:val="00F66CF6"/>
    <w:rsid w:val="00F676DD"/>
    <w:rsid w:val="00F71778"/>
    <w:rsid w:val="00F75A26"/>
    <w:rsid w:val="00F762B5"/>
    <w:rsid w:val="00F826BD"/>
    <w:rsid w:val="00F835C9"/>
    <w:rsid w:val="00F83FAD"/>
    <w:rsid w:val="00F952A0"/>
    <w:rsid w:val="00FA3483"/>
    <w:rsid w:val="00FA3C7F"/>
    <w:rsid w:val="00FA49C0"/>
    <w:rsid w:val="00FA4C7F"/>
    <w:rsid w:val="00FB74E2"/>
    <w:rsid w:val="00FC08CE"/>
    <w:rsid w:val="00FC1E0C"/>
    <w:rsid w:val="00FC6164"/>
    <w:rsid w:val="00FC6E6D"/>
    <w:rsid w:val="00FD08F9"/>
    <w:rsid w:val="00FD21EB"/>
    <w:rsid w:val="00FD5614"/>
    <w:rsid w:val="00FE0BE1"/>
    <w:rsid w:val="00FE1DE9"/>
    <w:rsid w:val="00FE39C2"/>
    <w:rsid w:val="00FE3C32"/>
    <w:rsid w:val="00FE4E1F"/>
    <w:rsid w:val="00FE64AE"/>
    <w:rsid w:val="00FE67A7"/>
    <w:rsid w:val="00FE772A"/>
    <w:rsid w:val="00FF545C"/>
    <w:rsid w:val="00FF6C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2"/>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2"/>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2"/>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2"/>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2"/>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2"/>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2"/>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2"/>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2"/>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38"/>
      </w:numPr>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7"/>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18"/>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25"/>
      </w:numPr>
      <w:tabs>
        <w:tab w:val="clear" w:pos="340"/>
        <w:tab w:val="left" w:pos="680"/>
      </w:tabs>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19"/>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1"/>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DB743A"/>
    <w:pPr>
      <w:spacing w:line="240" w:lineRule="auto"/>
    </w:pPr>
    <w:rPr>
      <w:sz w:val="20"/>
      <w:szCs w:val="20"/>
    </w:rPr>
  </w:style>
  <w:style w:type="character" w:customStyle="1" w:styleId="CommentTextChar">
    <w:name w:val="Comment Text Char"/>
    <w:basedOn w:val="DefaultParagraphFont"/>
    <w:link w:val="CommentText"/>
    <w:uiPriority w:val="99"/>
    <w:semiHidden/>
    <w:rsid w:val="00DB74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743A"/>
    <w:rPr>
      <w:b/>
      <w:bCs/>
    </w:rPr>
  </w:style>
  <w:style w:type="character" w:customStyle="1" w:styleId="CommentSubjectChar">
    <w:name w:val="Comment Subject Char"/>
    <w:basedOn w:val="CommentTextChar"/>
    <w:link w:val="CommentSubject"/>
    <w:uiPriority w:val="99"/>
    <w:semiHidden/>
    <w:rsid w:val="00DB743A"/>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2"/>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2"/>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2"/>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2"/>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2"/>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2"/>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2"/>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2"/>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2"/>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38"/>
      </w:numPr>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7"/>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18"/>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25"/>
      </w:numPr>
      <w:tabs>
        <w:tab w:val="clear" w:pos="340"/>
        <w:tab w:val="left" w:pos="680"/>
      </w:tabs>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19"/>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1"/>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DB743A"/>
    <w:pPr>
      <w:spacing w:line="240" w:lineRule="auto"/>
    </w:pPr>
    <w:rPr>
      <w:sz w:val="20"/>
      <w:szCs w:val="20"/>
    </w:rPr>
  </w:style>
  <w:style w:type="character" w:customStyle="1" w:styleId="CommentTextChar">
    <w:name w:val="Comment Text Char"/>
    <w:basedOn w:val="DefaultParagraphFont"/>
    <w:link w:val="CommentText"/>
    <w:uiPriority w:val="99"/>
    <w:semiHidden/>
    <w:rsid w:val="00DB74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743A"/>
    <w:rPr>
      <w:b/>
      <w:bCs/>
    </w:rPr>
  </w:style>
  <w:style w:type="character" w:customStyle="1" w:styleId="CommentSubjectChar">
    <w:name w:val="Comment Subject Char"/>
    <w:basedOn w:val="CommentTextChar"/>
    <w:link w:val="CommentSubject"/>
    <w:uiPriority w:val="99"/>
    <w:semiHidden/>
    <w:rsid w:val="00DB743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erexemptions@aer.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yperlink" Target="mailto:aerexemptions@aer.gov.au"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aerexemptions@aer.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node/476" TargetMode="External"/><Relationship Id="rId2" Type="http://schemas.openxmlformats.org/officeDocument/2006/relationships/hyperlink" Target="file:///\\cdchnas-evs02\home$\tstev\trimdata\TRIM\TEMP\HPTRIM.8484\www.measurement.gov.au" TargetMode="External"/><Relationship Id="rId1" Type="http://schemas.openxmlformats.org/officeDocument/2006/relationships/hyperlink" Target="http://www.aer.gov.au/node/469" TargetMode="External"/><Relationship Id="rId5" Type="http://schemas.openxmlformats.org/officeDocument/2006/relationships/hyperlink" Target="http://www.aer.gov.au/node/484" TargetMode="External"/><Relationship Id="rId4" Type="http://schemas.openxmlformats.org/officeDocument/2006/relationships/hyperlink" Target="http://www.aer.gov.au/node/2446"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A04C6C-19EA-465D-ACB7-1ACDB911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24281</Words>
  <Characters>138408</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2016-12-02T02:33:00Z</dcterms:created>
  <dcterms:modified xsi:type="dcterms:W3CDTF">2016-12-02T02:34:00Z</dcterms:modified>
</cp:coreProperties>
</file>