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38" w:rsidRPr="002A4EF8" w:rsidRDefault="00792938" w:rsidP="0079293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2A4EF8">
        <w:rPr>
          <w:rFonts w:asciiTheme="minorHAnsi" w:hAnsiTheme="minorHAnsi" w:cstheme="minorHAnsi"/>
          <w:b/>
          <w:noProof/>
          <w:color w:val="FFFFFF" w:themeColor="background1"/>
          <w:sz w:val="36"/>
          <w:szCs w:val="36"/>
          <w:lang w:eastAsia="en-AU"/>
        </w:rPr>
        <w:drawing>
          <wp:anchor distT="0" distB="0" distL="114300" distR="114300" simplePos="0" relativeHeight="251659264" behindDoc="1" locked="0" layoutInCell="1" allowOverlap="1" wp14:anchorId="0BB5238B" wp14:editId="3F214BDC">
            <wp:simplePos x="0" y="0"/>
            <wp:positionH relativeFrom="column">
              <wp:posOffset>0</wp:posOffset>
            </wp:positionH>
            <wp:positionV relativeFrom="paragraph">
              <wp:posOffset>7800</wp:posOffset>
            </wp:positionV>
            <wp:extent cx="5693434" cy="923502"/>
            <wp:effectExtent l="0" t="0" r="2540" b="0"/>
            <wp:wrapNone/>
            <wp:docPr id="24" name="Picture 24"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2A4EF8">
        <w:rPr>
          <w:rFonts w:asciiTheme="minorHAnsi" w:hAnsiTheme="minorHAnsi" w:cstheme="minorHAnsi"/>
          <w:b/>
          <w:color w:val="FFFFFF" w:themeColor="background1"/>
          <w:sz w:val="36"/>
          <w:szCs w:val="36"/>
        </w:rPr>
        <w:t>Electricity Report</w:t>
      </w:r>
    </w:p>
    <w:p w:rsidR="00792938" w:rsidRDefault="00792938" w:rsidP="00792938"/>
    <w:p w:rsidR="00792938" w:rsidRDefault="00792938" w:rsidP="00792938"/>
    <w:p w:rsidR="00792938" w:rsidRPr="002A4EF8" w:rsidRDefault="001849E9" w:rsidP="00792938">
      <w:pPr>
        <w:rPr>
          <w:b/>
          <w:sz w:val="36"/>
          <w:szCs w:val="36"/>
        </w:rPr>
      </w:pPr>
      <w:r>
        <w:rPr>
          <w:b/>
          <w:sz w:val="36"/>
          <w:szCs w:val="36"/>
        </w:rPr>
        <w:t>25 – 31</w:t>
      </w:r>
      <w:r w:rsidR="00792938" w:rsidRPr="002A4EF8">
        <w:rPr>
          <w:b/>
          <w:sz w:val="36"/>
          <w:szCs w:val="36"/>
        </w:rPr>
        <w:t xml:space="preserve"> </w:t>
      </w:r>
      <w:r>
        <w:rPr>
          <w:b/>
          <w:sz w:val="36"/>
          <w:szCs w:val="36"/>
        </w:rPr>
        <w:t>Octo</w:t>
      </w:r>
      <w:r w:rsidR="00792938" w:rsidRPr="002A4EF8">
        <w:rPr>
          <w:b/>
          <w:sz w:val="36"/>
          <w:szCs w:val="36"/>
        </w:rPr>
        <w:t>ber 2015</w:t>
      </w:r>
    </w:p>
    <w:p w:rsidR="00792938" w:rsidRPr="000E2946" w:rsidRDefault="00792938" w:rsidP="00792938">
      <w:pPr>
        <w:pStyle w:val="AERHeading1"/>
      </w:pPr>
      <w:r w:rsidRPr="000E2946">
        <w:t>Introduction</w:t>
      </w:r>
    </w:p>
    <w:p w:rsidR="00792938" w:rsidRPr="00215E19" w:rsidRDefault="00792938" w:rsidP="00792938">
      <w:pPr>
        <w:pStyle w:val="AERbodytext"/>
        <w:spacing w:before="120" w:after="120"/>
        <w:rPr>
          <w:bCs/>
          <w:lang w:eastAsia="en-AU"/>
        </w:rPr>
      </w:pPr>
      <w:r w:rsidRPr="00215E19">
        <w:rPr>
          <w:bCs/>
          <w:lang w:eastAsia="en-AU"/>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5D22D7" w:rsidRDefault="001D0CE3" w:rsidP="000A1017">
      <w:pPr>
        <w:jc w:val="both"/>
        <w:rPr>
          <w:rFonts w:cs="Arial"/>
        </w:rPr>
      </w:pPr>
      <w:r>
        <w:rPr>
          <w:rFonts w:cs="Arial"/>
        </w:rPr>
        <w:fldChar w:fldCharType="begin"/>
      </w:r>
      <w:r>
        <w:rPr>
          <w:rFonts w:cs="Arial"/>
        </w:rPr>
        <w:instrText xml:space="preserve"> REF _Ref410382491 \h </w:instrText>
      </w:r>
      <w:r w:rsidR="000A1017">
        <w:rPr>
          <w:rFonts w:cs="Arial"/>
        </w:rPr>
        <w:instrText xml:space="preserve"> \* MERGEFORMAT </w:instrText>
      </w:r>
      <w:r>
        <w:rPr>
          <w:rFonts w:cs="Arial"/>
        </w:rPr>
      </w:r>
      <w:r>
        <w:rPr>
          <w:rFonts w:cs="Arial"/>
        </w:rPr>
        <w:fldChar w:fldCharType="separate"/>
      </w:r>
      <w:r w:rsidR="00E44AC9" w:rsidRPr="000E2946">
        <w:t xml:space="preserve">Figure </w:t>
      </w:r>
      <w:r w:rsidR="00E44AC9">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33768E">
        <w:rPr>
          <w:rFonts w:cs="Arial"/>
        </w:rPr>
        <w:t>25</w:t>
      </w:r>
      <w:r w:rsidR="00760FD8">
        <w:rPr>
          <w:rFonts w:cs="Arial"/>
        </w:rPr>
        <w:t xml:space="preserve"> </w:t>
      </w:r>
      <w:r w:rsidR="0033768E">
        <w:rPr>
          <w:rFonts w:cs="Arial"/>
        </w:rPr>
        <w:t>to 31 October</w:t>
      </w:r>
      <w:r w:rsidR="00EF5AFC">
        <w:rPr>
          <w:rFonts w:cs="Arial"/>
        </w:rPr>
        <w:t xml:space="preserve"> </w:t>
      </w:r>
      <w:r w:rsidR="00AF7058">
        <w:rPr>
          <w:rFonts w:cs="Arial"/>
        </w:rPr>
        <w:t>2015</w:t>
      </w:r>
      <w:r w:rsidR="00AF7058" w:rsidRPr="003061FA">
        <w:rPr>
          <w:rFonts w:cs="Arial"/>
        </w:rPr>
        <w:t xml:space="preserve">. </w:t>
      </w:r>
      <w:r w:rsidR="00B4128D" w:rsidRPr="003061FA">
        <w:rPr>
          <w:rFonts w:cs="Arial"/>
        </w:rPr>
        <w:t>T</w:t>
      </w:r>
      <w:r w:rsidR="003061FA" w:rsidRPr="003061FA">
        <w:rPr>
          <w:rFonts w:cs="Arial"/>
        </w:rPr>
        <w:t>here w</w:t>
      </w:r>
      <w:r w:rsidR="00764C7F">
        <w:rPr>
          <w:rFonts w:cs="Arial"/>
        </w:rPr>
        <w:t xml:space="preserve">ere </w:t>
      </w:r>
      <w:r w:rsidR="008E7A66">
        <w:rPr>
          <w:rFonts w:cs="Arial"/>
        </w:rPr>
        <w:t>two</w:t>
      </w:r>
      <w:r w:rsidR="0005282C">
        <w:rPr>
          <w:rFonts w:cs="Arial"/>
        </w:rPr>
        <w:t xml:space="preserve"> </w:t>
      </w:r>
      <w:r w:rsidR="007D53A8">
        <w:rPr>
          <w:rFonts w:cs="Arial"/>
        </w:rPr>
        <w:t>occasion</w:t>
      </w:r>
      <w:r w:rsidR="00764C7F">
        <w:rPr>
          <w:rFonts w:cs="Arial"/>
        </w:rPr>
        <w:t>s</w:t>
      </w:r>
      <w:r w:rsidR="00627B2D">
        <w:rPr>
          <w:rFonts w:cs="Arial"/>
        </w:rPr>
        <w:t xml:space="preserve"> where the </w:t>
      </w:r>
      <w:r w:rsidR="00100142" w:rsidRPr="00100142">
        <w:rPr>
          <w:rFonts w:cs="Arial"/>
        </w:rPr>
        <w:t>spot price exceeded the AER reporting threshold</w:t>
      </w:r>
      <w:r w:rsidR="00942DD0">
        <w:rPr>
          <w:rFonts w:cs="Arial"/>
        </w:rPr>
        <w:t xml:space="preserve">, </w:t>
      </w:r>
      <w:r w:rsidR="008E7A66">
        <w:rPr>
          <w:rFonts w:cs="Arial"/>
        </w:rPr>
        <w:t>both</w:t>
      </w:r>
      <w:r w:rsidR="00942DD0">
        <w:rPr>
          <w:rFonts w:cs="Arial"/>
        </w:rPr>
        <w:t xml:space="preserve"> in</w:t>
      </w:r>
      <w:r w:rsidR="00BA4E5E">
        <w:rPr>
          <w:rFonts w:cs="Arial"/>
        </w:rPr>
        <w:t xml:space="preserve"> </w:t>
      </w:r>
      <w:r w:rsidR="00942DD0">
        <w:rPr>
          <w:rFonts w:cs="Arial"/>
        </w:rPr>
        <w:t>Tasmania</w:t>
      </w:r>
      <w:r w:rsidR="008E7A66">
        <w:rPr>
          <w:rFonts w:cs="Arial"/>
        </w:rPr>
        <w:t>.</w:t>
      </w:r>
    </w:p>
    <w:p w:rsidR="008E7A66" w:rsidRDefault="00275002" w:rsidP="00405B42">
      <w:pPr>
        <w:pStyle w:val="Caption"/>
      </w:pPr>
      <w:bookmarkStart w:id="6" w:name="_Ref410382491"/>
      <w:bookmarkStart w:id="7" w:name="OLE_LINK28"/>
      <w:bookmarkStart w:id="8" w:name="OLE_LINK29"/>
      <w:r w:rsidRPr="000E2946">
        <w:t xml:space="preserve">Figure </w:t>
      </w:r>
      <w:fldSimple w:instr=" SEQ Figure \* ARABIC ">
        <w:r w:rsidR="00E44AC9">
          <w:rPr>
            <w:noProof/>
          </w:rPr>
          <w:t>1</w:t>
        </w:r>
      </w:fldSimple>
      <w:bookmarkEnd w:id="6"/>
      <w:r w:rsidRPr="000E2946">
        <w:t>: Spot price by region ($/MWh)</w:t>
      </w:r>
      <w:r w:rsidR="005C3DEC" w:rsidRPr="005C3DEC">
        <w:rPr>
          <w:noProof/>
          <w:lang w:eastAsia="en-AU"/>
        </w:rPr>
        <w:t xml:space="preserve"> </w:t>
      </w:r>
    </w:p>
    <w:p w:rsidR="008426FD" w:rsidRDefault="001849E9" w:rsidP="008E7A66">
      <w:pPr>
        <w:pStyle w:val="Caption"/>
      </w:pPr>
      <w:r w:rsidRPr="001849E9">
        <w:rPr>
          <w:noProof/>
          <w:lang w:eastAsia="en-AU"/>
        </w:rPr>
        <w:drawing>
          <wp:inline distT="0" distB="0" distL="0" distR="0" wp14:anchorId="7B681D62" wp14:editId="643C34C2">
            <wp:extent cx="5990382" cy="3218213"/>
            <wp:effectExtent l="0" t="0" r="0" b="1270"/>
            <wp:docPr id="11" name="Picture 11" descr="Figure 1 shows the spot prices for this week in each region. The markers indicate the daily maximum and minimum spot prices in each region." title="Figure 1: Spot price by region ($/MW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7062" cy="3221802"/>
                    </a:xfrm>
                    <a:prstGeom prst="rect">
                      <a:avLst/>
                    </a:prstGeom>
                    <a:noFill/>
                    <a:ln>
                      <a:noFill/>
                    </a:ln>
                  </pic:spPr>
                </pic:pic>
              </a:graphicData>
            </a:graphic>
          </wp:inline>
        </w:drawing>
      </w:r>
    </w:p>
    <w:p w:rsidR="008E7A66" w:rsidRPr="008E7A66" w:rsidRDefault="008E7A66" w:rsidP="008E7A66"/>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E44AC9">
        <w:t xml:space="preserve">Figure </w:t>
      </w:r>
      <w:r w:rsidR="00E44AC9">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E44AC9">
        <w:t>Table</w:t>
      </w:r>
      <w:r w:rsidR="00E44AC9">
        <w:rPr>
          <w:noProof/>
        </w:rPr>
        <w:t xml:space="preserve"> 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9" w:name="_Ref410382517"/>
      <w:r>
        <w:lastRenderedPageBreak/>
        <w:t xml:space="preserve">Figure </w:t>
      </w:r>
      <w:fldSimple w:instr=" SEQ Figure \* ARABIC ">
        <w:r w:rsidR="00E44AC9">
          <w:rPr>
            <w:noProof/>
          </w:rPr>
          <w:t>2</w:t>
        </w:r>
      </w:fldSimple>
      <w:bookmarkEnd w:id="9"/>
      <w:r>
        <w:t>:</w:t>
      </w:r>
      <w:r w:rsidRPr="00037176">
        <w:t xml:space="preserve"> Volume weighted average spot price by region ($/MWh)</w:t>
      </w:r>
    </w:p>
    <w:p w:rsidR="00275002" w:rsidRPr="0031019A" w:rsidRDefault="001849E9" w:rsidP="00275002">
      <w:r w:rsidRPr="001849E9">
        <w:rPr>
          <w:noProof/>
          <w:lang w:eastAsia="en-AU"/>
        </w:rPr>
        <w:drawing>
          <wp:inline distT="0" distB="0" distL="0" distR="0" wp14:anchorId="74C0CF90" wp14:editId="23E7C665">
            <wp:extent cx="5731510" cy="2861620"/>
            <wp:effectExtent l="0" t="0" r="2540" b="0"/>
            <wp:docPr id="13" name="Picture 13" descr="Figure 2 shows the volume weighted average (VWA) prices for this week (with prices shown in Table 1) and the preceding 12 weeks, as well as the VWA price over the previous 3 financial years." title="Figure 2: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1620"/>
                    </a:xfrm>
                    <a:prstGeom prst="rect">
                      <a:avLst/>
                    </a:prstGeom>
                    <a:noFill/>
                    <a:ln>
                      <a:noFill/>
                    </a:ln>
                  </pic:spPr>
                </pic:pic>
              </a:graphicData>
            </a:graphic>
          </wp:inline>
        </w:drawing>
      </w:r>
    </w:p>
    <w:p w:rsidR="00275002" w:rsidRPr="0031019A" w:rsidRDefault="00275002" w:rsidP="000E2946">
      <w:pPr>
        <w:pStyle w:val="Caption"/>
      </w:pPr>
      <w:bookmarkStart w:id="10" w:name="_Ref410382587"/>
      <w:r>
        <w:t xml:space="preserve">Table </w:t>
      </w:r>
      <w:fldSimple w:instr=" SEQ Table \* ARABIC ">
        <w:r w:rsidR="00E44AC9">
          <w:rPr>
            <w:noProof/>
          </w:rPr>
          <w:t>1</w:t>
        </w:r>
      </w:fldSimple>
      <w:bookmarkEnd w:id="10"/>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1849E9" w:rsidRPr="00E35AE8" w:rsidTr="00A03C9E">
        <w:trPr>
          <w:trHeight w:hRule="exact" w:val="340"/>
        </w:trPr>
        <w:tc>
          <w:tcPr>
            <w:tcW w:w="1357" w:type="pct"/>
            <w:noWrap/>
            <w:vAlign w:val="center"/>
            <w:hideMark/>
          </w:tcPr>
          <w:p w:rsidR="001849E9" w:rsidRPr="009B21F2" w:rsidRDefault="001849E9"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1849E9" w:rsidRDefault="001849E9" w:rsidP="00C322B7">
            <w:pPr>
              <w:spacing w:before="0" w:after="0" w:line="240" w:lineRule="auto"/>
              <w:jc w:val="center"/>
              <w:rPr>
                <w:rFonts w:cs="Arial"/>
                <w:sz w:val="20"/>
                <w:szCs w:val="20"/>
              </w:rPr>
            </w:pPr>
            <w:r>
              <w:rPr>
                <w:rFonts w:cs="Arial"/>
                <w:sz w:val="20"/>
                <w:szCs w:val="20"/>
              </w:rPr>
              <w:t>36</w:t>
            </w:r>
          </w:p>
        </w:tc>
        <w:tc>
          <w:tcPr>
            <w:tcW w:w="729" w:type="pct"/>
            <w:noWrap/>
            <w:vAlign w:val="center"/>
          </w:tcPr>
          <w:p w:rsidR="001849E9" w:rsidRDefault="001849E9" w:rsidP="00C322B7">
            <w:pPr>
              <w:spacing w:before="0" w:after="0" w:line="240" w:lineRule="auto"/>
              <w:jc w:val="center"/>
              <w:rPr>
                <w:rFonts w:cs="Arial"/>
                <w:sz w:val="20"/>
                <w:szCs w:val="20"/>
              </w:rPr>
            </w:pPr>
            <w:r>
              <w:rPr>
                <w:rFonts w:cs="Arial"/>
                <w:sz w:val="20"/>
                <w:szCs w:val="20"/>
              </w:rPr>
              <w:t>35</w:t>
            </w:r>
          </w:p>
        </w:tc>
        <w:tc>
          <w:tcPr>
            <w:tcW w:w="728" w:type="pct"/>
            <w:noWrap/>
            <w:vAlign w:val="center"/>
          </w:tcPr>
          <w:p w:rsidR="001849E9" w:rsidRDefault="001849E9" w:rsidP="00C322B7">
            <w:pPr>
              <w:spacing w:before="0" w:after="0" w:line="240" w:lineRule="auto"/>
              <w:jc w:val="center"/>
              <w:rPr>
                <w:rFonts w:cs="Arial"/>
                <w:sz w:val="20"/>
                <w:szCs w:val="20"/>
              </w:rPr>
            </w:pPr>
            <w:r>
              <w:rPr>
                <w:rFonts w:cs="Arial"/>
                <w:sz w:val="20"/>
                <w:szCs w:val="20"/>
              </w:rPr>
              <w:t>34</w:t>
            </w:r>
          </w:p>
        </w:tc>
        <w:tc>
          <w:tcPr>
            <w:tcW w:w="729" w:type="pct"/>
            <w:noWrap/>
            <w:vAlign w:val="center"/>
          </w:tcPr>
          <w:p w:rsidR="001849E9" w:rsidRDefault="001849E9" w:rsidP="00C322B7">
            <w:pPr>
              <w:spacing w:before="0" w:after="0" w:line="240" w:lineRule="auto"/>
              <w:jc w:val="center"/>
              <w:rPr>
                <w:rFonts w:cs="Arial"/>
                <w:sz w:val="20"/>
                <w:szCs w:val="20"/>
              </w:rPr>
            </w:pPr>
            <w:r>
              <w:rPr>
                <w:rFonts w:cs="Arial"/>
                <w:sz w:val="20"/>
                <w:szCs w:val="20"/>
              </w:rPr>
              <w:t>44</w:t>
            </w:r>
          </w:p>
        </w:tc>
        <w:tc>
          <w:tcPr>
            <w:tcW w:w="729" w:type="pct"/>
            <w:noWrap/>
            <w:vAlign w:val="center"/>
          </w:tcPr>
          <w:p w:rsidR="001849E9" w:rsidRDefault="001849E9" w:rsidP="00C322B7">
            <w:pPr>
              <w:spacing w:before="0" w:after="0" w:line="240" w:lineRule="auto"/>
              <w:jc w:val="center"/>
              <w:rPr>
                <w:rFonts w:cs="Arial"/>
                <w:sz w:val="20"/>
                <w:szCs w:val="20"/>
              </w:rPr>
            </w:pPr>
            <w:r>
              <w:rPr>
                <w:rFonts w:cs="Arial"/>
                <w:sz w:val="20"/>
                <w:szCs w:val="20"/>
              </w:rPr>
              <w:t>70</w:t>
            </w:r>
          </w:p>
        </w:tc>
      </w:tr>
      <w:tr w:rsidR="001849E9" w:rsidRPr="00E35AE8" w:rsidTr="00A03C9E">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1849E9" w:rsidRPr="00B65CAC" w:rsidRDefault="001849E9"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1849E9" w:rsidRDefault="001849E9" w:rsidP="00C322B7">
            <w:pPr>
              <w:spacing w:before="0" w:after="0" w:line="240" w:lineRule="auto"/>
              <w:jc w:val="center"/>
              <w:rPr>
                <w:rFonts w:cs="Arial"/>
                <w:szCs w:val="20"/>
              </w:rPr>
            </w:pPr>
            <w:r>
              <w:rPr>
                <w:rFonts w:cs="Arial"/>
                <w:szCs w:val="20"/>
              </w:rPr>
              <w:t>30</w:t>
            </w:r>
          </w:p>
        </w:tc>
        <w:tc>
          <w:tcPr>
            <w:tcW w:w="729" w:type="pct"/>
            <w:noWrap/>
            <w:vAlign w:val="center"/>
          </w:tcPr>
          <w:p w:rsidR="001849E9" w:rsidRDefault="001849E9" w:rsidP="00C322B7">
            <w:pPr>
              <w:spacing w:before="0" w:after="0" w:line="240" w:lineRule="auto"/>
              <w:jc w:val="center"/>
              <w:rPr>
                <w:rFonts w:cs="Arial"/>
                <w:szCs w:val="20"/>
              </w:rPr>
            </w:pPr>
            <w:r>
              <w:rPr>
                <w:rFonts w:cs="Arial"/>
                <w:szCs w:val="20"/>
              </w:rPr>
              <w:t>38</w:t>
            </w:r>
          </w:p>
        </w:tc>
        <w:tc>
          <w:tcPr>
            <w:tcW w:w="728" w:type="pct"/>
            <w:noWrap/>
            <w:vAlign w:val="center"/>
          </w:tcPr>
          <w:p w:rsidR="001849E9" w:rsidRDefault="001849E9" w:rsidP="00C322B7">
            <w:pPr>
              <w:spacing w:before="0" w:after="0" w:line="240" w:lineRule="auto"/>
              <w:jc w:val="center"/>
              <w:rPr>
                <w:rFonts w:cs="Arial"/>
                <w:szCs w:val="20"/>
              </w:rPr>
            </w:pPr>
            <w:r>
              <w:rPr>
                <w:rFonts w:cs="Arial"/>
                <w:szCs w:val="20"/>
              </w:rPr>
              <w:t>35</w:t>
            </w:r>
          </w:p>
        </w:tc>
        <w:tc>
          <w:tcPr>
            <w:tcW w:w="729" w:type="pct"/>
            <w:noWrap/>
            <w:vAlign w:val="center"/>
          </w:tcPr>
          <w:p w:rsidR="001849E9" w:rsidRDefault="001849E9" w:rsidP="00C322B7">
            <w:pPr>
              <w:spacing w:before="0" w:after="0" w:line="240" w:lineRule="auto"/>
              <w:jc w:val="center"/>
              <w:rPr>
                <w:rFonts w:cs="Arial"/>
                <w:szCs w:val="20"/>
              </w:rPr>
            </w:pPr>
            <w:r>
              <w:rPr>
                <w:rFonts w:cs="Arial"/>
                <w:szCs w:val="20"/>
              </w:rPr>
              <w:t>44</w:t>
            </w:r>
          </w:p>
        </w:tc>
        <w:tc>
          <w:tcPr>
            <w:tcW w:w="729" w:type="pct"/>
            <w:noWrap/>
            <w:vAlign w:val="center"/>
          </w:tcPr>
          <w:p w:rsidR="001849E9" w:rsidRDefault="001849E9" w:rsidP="00C322B7">
            <w:pPr>
              <w:spacing w:before="0" w:after="0" w:line="240" w:lineRule="auto"/>
              <w:jc w:val="center"/>
              <w:rPr>
                <w:rFonts w:cs="Arial"/>
                <w:szCs w:val="20"/>
              </w:rPr>
            </w:pPr>
            <w:r>
              <w:rPr>
                <w:rFonts w:cs="Arial"/>
                <w:szCs w:val="20"/>
              </w:rPr>
              <w:t>36</w:t>
            </w:r>
          </w:p>
        </w:tc>
      </w:tr>
      <w:tr w:rsidR="001849E9" w:rsidRPr="00E35AE8" w:rsidTr="00A03C9E">
        <w:trPr>
          <w:trHeight w:hRule="exact" w:val="340"/>
        </w:trPr>
        <w:tc>
          <w:tcPr>
            <w:tcW w:w="1357" w:type="pct"/>
            <w:noWrap/>
            <w:vAlign w:val="center"/>
            <w:hideMark/>
          </w:tcPr>
          <w:p w:rsidR="001849E9" w:rsidRPr="00B65CAC" w:rsidRDefault="001849E9"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1849E9" w:rsidRDefault="001849E9" w:rsidP="00C322B7">
            <w:pPr>
              <w:spacing w:before="0" w:after="0" w:line="240" w:lineRule="auto"/>
              <w:jc w:val="center"/>
              <w:rPr>
                <w:rFonts w:cs="Arial"/>
                <w:sz w:val="20"/>
                <w:szCs w:val="20"/>
              </w:rPr>
            </w:pPr>
            <w:r>
              <w:rPr>
                <w:rFonts w:cs="Arial"/>
                <w:sz w:val="20"/>
                <w:szCs w:val="20"/>
              </w:rPr>
              <w:t>43</w:t>
            </w:r>
          </w:p>
        </w:tc>
        <w:tc>
          <w:tcPr>
            <w:tcW w:w="729" w:type="pct"/>
            <w:noWrap/>
            <w:vAlign w:val="center"/>
          </w:tcPr>
          <w:p w:rsidR="001849E9" w:rsidRDefault="001849E9" w:rsidP="00C322B7">
            <w:pPr>
              <w:spacing w:before="0" w:after="0" w:line="240" w:lineRule="auto"/>
              <w:jc w:val="center"/>
              <w:rPr>
                <w:rFonts w:cs="Arial"/>
                <w:sz w:val="20"/>
                <w:szCs w:val="20"/>
              </w:rPr>
            </w:pPr>
            <w:r>
              <w:rPr>
                <w:rFonts w:cs="Arial"/>
                <w:sz w:val="20"/>
                <w:szCs w:val="20"/>
              </w:rPr>
              <w:t>44</w:t>
            </w:r>
          </w:p>
        </w:tc>
        <w:tc>
          <w:tcPr>
            <w:tcW w:w="728" w:type="pct"/>
            <w:noWrap/>
            <w:vAlign w:val="center"/>
          </w:tcPr>
          <w:p w:rsidR="001849E9" w:rsidRDefault="001849E9" w:rsidP="00C322B7">
            <w:pPr>
              <w:spacing w:before="0" w:after="0" w:line="240" w:lineRule="auto"/>
              <w:jc w:val="center"/>
              <w:rPr>
                <w:rFonts w:cs="Arial"/>
                <w:sz w:val="20"/>
                <w:szCs w:val="20"/>
              </w:rPr>
            </w:pPr>
            <w:r>
              <w:rPr>
                <w:rFonts w:cs="Arial"/>
                <w:sz w:val="20"/>
                <w:szCs w:val="20"/>
              </w:rPr>
              <w:t>39</w:t>
            </w:r>
          </w:p>
        </w:tc>
        <w:tc>
          <w:tcPr>
            <w:tcW w:w="729" w:type="pct"/>
            <w:noWrap/>
            <w:vAlign w:val="center"/>
          </w:tcPr>
          <w:p w:rsidR="001849E9" w:rsidRDefault="001849E9" w:rsidP="00C322B7">
            <w:pPr>
              <w:spacing w:before="0" w:after="0" w:line="240" w:lineRule="auto"/>
              <w:jc w:val="center"/>
              <w:rPr>
                <w:rFonts w:cs="Arial"/>
                <w:sz w:val="20"/>
                <w:szCs w:val="20"/>
              </w:rPr>
            </w:pPr>
            <w:r>
              <w:rPr>
                <w:rFonts w:cs="Arial"/>
                <w:sz w:val="20"/>
                <w:szCs w:val="20"/>
              </w:rPr>
              <w:t>63</w:t>
            </w:r>
          </w:p>
        </w:tc>
        <w:tc>
          <w:tcPr>
            <w:tcW w:w="729" w:type="pct"/>
            <w:noWrap/>
            <w:vAlign w:val="center"/>
          </w:tcPr>
          <w:p w:rsidR="001849E9" w:rsidRDefault="001849E9" w:rsidP="00C322B7">
            <w:pPr>
              <w:spacing w:before="0" w:after="0" w:line="240" w:lineRule="auto"/>
              <w:jc w:val="center"/>
              <w:rPr>
                <w:rFonts w:cs="Arial"/>
                <w:sz w:val="20"/>
                <w:szCs w:val="20"/>
              </w:rPr>
            </w:pPr>
            <w:r>
              <w:rPr>
                <w:rFonts w:cs="Arial"/>
                <w:sz w:val="20"/>
                <w:szCs w:val="20"/>
              </w:rPr>
              <w:t>43</w:t>
            </w:r>
          </w:p>
        </w:tc>
      </w:tr>
    </w:tbl>
    <w:p w:rsidR="008426FD" w:rsidRPr="008E7A66" w:rsidRDefault="00275002" w:rsidP="008E7A66">
      <w:pPr>
        <w:spacing w:before="120" w:after="120"/>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bookmarkEnd w:id="7"/>
      <w:bookmarkEnd w:id="8"/>
    </w:p>
    <w:p w:rsidR="00275002" w:rsidRPr="0031019A" w:rsidRDefault="00275002" w:rsidP="000E2946">
      <w:pPr>
        <w:pStyle w:val="AERHeading1"/>
      </w:pPr>
      <w:r w:rsidRPr="0031019A">
        <w:t>Spot market price forecast variations</w:t>
      </w:r>
    </w:p>
    <w:p w:rsidR="00275002"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6A6EDD" w:rsidP="00857917">
      <w:pPr>
        <w:jc w:val="both"/>
      </w:pPr>
      <w:r>
        <w:t xml:space="preserve">There were </w:t>
      </w:r>
      <w:r w:rsidR="001849E9">
        <w:t>273</w:t>
      </w:r>
      <w:r w:rsidR="0003564D">
        <w:t xml:space="preserve"> </w:t>
      </w:r>
      <w:r w:rsidR="00857917">
        <w:t>trading intervals throughout the week where actual prices varied significantly from forecasts. This compares to the weekly average in 2014 of 71 counts and the average in 2013 of 97</w:t>
      </w:r>
      <w:r w:rsidR="00B92CD5">
        <w:t>.</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E44AC9">
        <w:t xml:space="preserve">Table </w:t>
      </w:r>
      <w:r w:rsidR="00E44AC9">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lastRenderedPageBreak/>
        <w:t xml:space="preserve">Table </w:t>
      </w:r>
      <w:fldSimple w:instr=" SEQ Table \* ARABIC ">
        <w:r w:rsidR="00E44AC9">
          <w:rPr>
            <w:noProof/>
          </w:rPr>
          <w:t>2</w:t>
        </w:r>
      </w:fldSimple>
      <w:bookmarkEnd w:id="11"/>
      <w:r w:rsidRPr="00BC7912">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1849E9" w:rsidRPr="00003169" w:rsidTr="00C322B7">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1849E9" w:rsidRPr="00E35AE8" w:rsidRDefault="001849E9" w:rsidP="00B65CAC">
            <w:pPr>
              <w:spacing w:after="0" w:line="240" w:lineRule="auto"/>
              <w:jc w:val="center"/>
              <w:rPr>
                <w:sz w:val="20"/>
                <w:szCs w:val="20"/>
              </w:rPr>
            </w:pPr>
            <w:r w:rsidRPr="00E35AE8">
              <w:rPr>
                <w:sz w:val="20"/>
                <w:szCs w:val="20"/>
              </w:rPr>
              <w:t>% of total above forecast</w:t>
            </w:r>
          </w:p>
        </w:tc>
        <w:tc>
          <w:tcPr>
            <w:tcW w:w="1571" w:type="dxa"/>
            <w:noWrap/>
            <w:vAlign w:val="center"/>
          </w:tcPr>
          <w:p w:rsidR="001849E9" w:rsidRDefault="001849E9" w:rsidP="00C322B7">
            <w:pPr>
              <w:spacing w:after="0" w:line="240" w:lineRule="auto"/>
              <w:jc w:val="center"/>
              <w:rPr>
                <w:rFonts w:cs="Arial"/>
                <w:sz w:val="20"/>
                <w:szCs w:val="20"/>
              </w:rPr>
            </w:pPr>
            <w:r>
              <w:rPr>
                <w:rFonts w:cs="Arial"/>
                <w:sz w:val="20"/>
                <w:szCs w:val="20"/>
              </w:rPr>
              <w:t>7</w:t>
            </w:r>
          </w:p>
        </w:tc>
        <w:tc>
          <w:tcPr>
            <w:tcW w:w="1572" w:type="dxa"/>
            <w:noWrap/>
            <w:vAlign w:val="center"/>
          </w:tcPr>
          <w:p w:rsidR="001849E9" w:rsidRDefault="001849E9" w:rsidP="00C322B7">
            <w:pPr>
              <w:spacing w:after="0" w:line="240" w:lineRule="auto"/>
              <w:jc w:val="center"/>
              <w:rPr>
                <w:rFonts w:cs="Arial"/>
                <w:sz w:val="20"/>
                <w:szCs w:val="20"/>
              </w:rPr>
            </w:pPr>
            <w:r>
              <w:rPr>
                <w:rFonts w:cs="Arial"/>
                <w:sz w:val="20"/>
                <w:szCs w:val="20"/>
              </w:rPr>
              <w:t>17</w:t>
            </w:r>
          </w:p>
        </w:tc>
        <w:tc>
          <w:tcPr>
            <w:tcW w:w="1572" w:type="dxa"/>
            <w:noWrap/>
            <w:vAlign w:val="center"/>
          </w:tcPr>
          <w:p w:rsidR="001849E9" w:rsidRDefault="001849E9" w:rsidP="00C322B7">
            <w:pPr>
              <w:spacing w:after="0" w:line="240" w:lineRule="auto"/>
              <w:jc w:val="center"/>
              <w:rPr>
                <w:rFonts w:cs="Arial"/>
                <w:sz w:val="20"/>
                <w:szCs w:val="20"/>
              </w:rPr>
            </w:pPr>
            <w:r>
              <w:rPr>
                <w:rFonts w:cs="Arial"/>
                <w:sz w:val="20"/>
                <w:szCs w:val="20"/>
              </w:rPr>
              <w:t>0</w:t>
            </w:r>
          </w:p>
        </w:tc>
        <w:tc>
          <w:tcPr>
            <w:tcW w:w="1572" w:type="dxa"/>
            <w:vAlign w:val="center"/>
          </w:tcPr>
          <w:p w:rsidR="001849E9" w:rsidRDefault="001849E9" w:rsidP="00C322B7">
            <w:pPr>
              <w:spacing w:after="0" w:line="240" w:lineRule="auto"/>
              <w:jc w:val="center"/>
              <w:rPr>
                <w:rFonts w:cs="Arial"/>
                <w:sz w:val="20"/>
                <w:szCs w:val="20"/>
              </w:rPr>
            </w:pPr>
            <w:r>
              <w:rPr>
                <w:rFonts w:cs="Arial"/>
                <w:sz w:val="20"/>
                <w:szCs w:val="20"/>
              </w:rPr>
              <w:t>1</w:t>
            </w:r>
          </w:p>
        </w:tc>
      </w:tr>
      <w:tr w:rsidR="001849E9" w:rsidRPr="00003169" w:rsidTr="00C322B7">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1849E9" w:rsidRPr="00E35AE8" w:rsidRDefault="001849E9" w:rsidP="00B65CAC">
            <w:pPr>
              <w:spacing w:after="0" w:line="240" w:lineRule="auto"/>
              <w:jc w:val="center"/>
              <w:rPr>
                <w:sz w:val="20"/>
                <w:szCs w:val="20"/>
              </w:rPr>
            </w:pPr>
            <w:r w:rsidRPr="00E35AE8">
              <w:rPr>
                <w:sz w:val="20"/>
                <w:szCs w:val="20"/>
              </w:rPr>
              <w:t>% of total below forecast</w:t>
            </w:r>
          </w:p>
        </w:tc>
        <w:tc>
          <w:tcPr>
            <w:tcW w:w="1571" w:type="dxa"/>
            <w:noWrap/>
            <w:vAlign w:val="center"/>
          </w:tcPr>
          <w:p w:rsidR="001849E9" w:rsidRDefault="001849E9" w:rsidP="00C322B7">
            <w:pPr>
              <w:spacing w:after="0" w:line="240" w:lineRule="auto"/>
              <w:jc w:val="center"/>
              <w:rPr>
                <w:rFonts w:cs="Arial"/>
                <w:sz w:val="20"/>
                <w:szCs w:val="20"/>
              </w:rPr>
            </w:pPr>
            <w:r>
              <w:rPr>
                <w:rFonts w:cs="Arial"/>
                <w:sz w:val="20"/>
                <w:szCs w:val="20"/>
              </w:rPr>
              <w:t>72</w:t>
            </w:r>
          </w:p>
        </w:tc>
        <w:tc>
          <w:tcPr>
            <w:tcW w:w="1572" w:type="dxa"/>
            <w:noWrap/>
            <w:vAlign w:val="center"/>
          </w:tcPr>
          <w:p w:rsidR="001849E9" w:rsidRDefault="001849E9" w:rsidP="00C322B7">
            <w:pPr>
              <w:spacing w:after="0" w:line="240" w:lineRule="auto"/>
              <w:jc w:val="center"/>
              <w:rPr>
                <w:rFonts w:cs="Arial"/>
                <w:sz w:val="20"/>
                <w:szCs w:val="20"/>
              </w:rPr>
            </w:pPr>
            <w:r>
              <w:rPr>
                <w:rFonts w:cs="Arial"/>
                <w:sz w:val="20"/>
                <w:szCs w:val="20"/>
              </w:rPr>
              <w:t>2</w:t>
            </w:r>
          </w:p>
        </w:tc>
        <w:tc>
          <w:tcPr>
            <w:tcW w:w="1572" w:type="dxa"/>
            <w:noWrap/>
            <w:vAlign w:val="center"/>
          </w:tcPr>
          <w:p w:rsidR="001849E9" w:rsidRDefault="001849E9" w:rsidP="00C322B7">
            <w:pPr>
              <w:spacing w:after="0" w:line="240" w:lineRule="auto"/>
              <w:jc w:val="center"/>
              <w:rPr>
                <w:rFonts w:cs="Arial"/>
                <w:sz w:val="20"/>
                <w:szCs w:val="20"/>
              </w:rPr>
            </w:pPr>
            <w:r>
              <w:rPr>
                <w:rFonts w:cs="Arial"/>
                <w:sz w:val="20"/>
                <w:szCs w:val="20"/>
              </w:rPr>
              <w:t>0</w:t>
            </w:r>
          </w:p>
        </w:tc>
        <w:tc>
          <w:tcPr>
            <w:tcW w:w="1572" w:type="dxa"/>
            <w:vAlign w:val="center"/>
          </w:tcPr>
          <w:p w:rsidR="001849E9" w:rsidRDefault="001849E9" w:rsidP="00C322B7">
            <w:pPr>
              <w:spacing w:after="0" w:line="240" w:lineRule="auto"/>
              <w:jc w:val="center"/>
              <w:rPr>
                <w:rFonts w:cs="Arial"/>
                <w:sz w:val="20"/>
                <w:szCs w:val="20"/>
              </w:rPr>
            </w:pPr>
            <w:r>
              <w:rPr>
                <w:rFonts w:cs="Arial"/>
                <w:sz w:val="20"/>
                <w:szCs w:val="20"/>
              </w:rPr>
              <w:t>1</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E44AC9" w:rsidRDefault="00275002" w:rsidP="00E44AC9">
      <w:pPr>
        <w:jc w:val="both"/>
        <w:rPr>
          <w:noProof/>
        </w:rPr>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E44AC9">
        <w:t xml:space="preserve">Figure </w:t>
      </w:r>
      <w:r w:rsidR="00E44AC9">
        <w:rPr>
          <w:noProof/>
        </w:rPr>
        <w:t>3</w:t>
      </w:r>
      <w:r>
        <w:fldChar w:fldCharType="end"/>
      </w:r>
      <w:r w:rsidRPr="0031019A">
        <w:t xml:space="preserve"> t</w:t>
      </w:r>
      <w:r w:rsidR="001F5132">
        <w:t xml:space="preserve">o </w:t>
      </w:r>
      <w:proofErr w:type="gramStart"/>
      <w:r>
        <w:fldChar w:fldCharType="begin"/>
      </w:r>
      <w:r>
        <w:instrText xml:space="preserve"> REF _Ref410383520 \h </w:instrText>
      </w:r>
      <w:r w:rsidR="009A3D22">
        <w:instrText xml:space="preserve"> \* MERGEFORMAT </w:instrText>
      </w:r>
      <w:r>
        <w:fldChar w:fldCharType="separate"/>
      </w:r>
    </w:p>
    <w:p w:rsidR="003A0810" w:rsidRDefault="00E44AC9" w:rsidP="009A3D22">
      <w:pPr>
        <w:jc w:val="both"/>
      </w:pPr>
      <w:r>
        <w:rPr>
          <w:noProof/>
        </w:rPr>
        <w:t>Figure 7</w:t>
      </w:r>
      <w:r w:rsidR="00275002">
        <w:fldChar w:fldCharType="end"/>
      </w:r>
      <w:r w:rsidR="00275002" w:rsidRPr="0031019A">
        <w:t xml:space="preserve"> show</w:t>
      </w:r>
      <w:proofErr w:type="gramEnd"/>
      <w:r w:rsidR="00275002" w:rsidRPr="0031019A">
        <w:t xml:space="preserve">,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fldSimple w:instr=" SEQ Figure \* ARABIC ">
        <w:r w:rsidR="00E44AC9">
          <w:rPr>
            <w:noProof/>
          </w:rPr>
          <w:t>3</w:t>
        </w:r>
      </w:fldSimple>
      <w:bookmarkEnd w:id="13"/>
      <w:r>
        <w:t xml:space="preserve">: Queensland </w:t>
      </w:r>
      <w:r w:rsidRPr="00690328">
        <w:t>generation and bidding patterns</w:t>
      </w:r>
    </w:p>
    <w:p w:rsidR="00275002" w:rsidRDefault="001849E9" w:rsidP="00275002">
      <w:r w:rsidRPr="001849E9">
        <w:rPr>
          <w:noProof/>
          <w:lang w:eastAsia="en-AU"/>
        </w:rPr>
        <w:drawing>
          <wp:inline distT="0" distB="0" distL="0" distR="0" wp14:anchorId="0DB2C691" wp14:editId="1E787328">
            <wp:extent cx="5731510" cy="4116968"/>
            <wp:effectExtent l="0" t="0" r="2540" b="0"/>
            <wp:docPr id="14" name="Picture 14"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title="Figure 3: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6968"/>
                    </a:xfrm>
                    <a:prstGeom prst="rect">
                      <a:avLst/>
                    </a:prstGeom>
                    <a:noFill/>
                    <a:ln>
                      <a:noFill/>
                    </a:ln>
                  </pic:spPr>
                </pic:pic>
              </a:graphicData>
            </a:graphic>
          </wp:inline>
        </w:drawing>
      </w:r>
    </w:p>
    <w:p w:rsidR="00275002" w:rsidRDefault="00275002" w:rsidP="000E2946">
      <w:pPr>
        <w:pStyle w:val="Caption"/>
      </w:pPr>
      <w:bookmarkStart w:id="14" w:name="_Ref428273135"/>
      <w:r>
        <w:lastRenderedPageBreak/>
        <w:t xml:space="preserve">Figure </w:t>
      </w:r>
      <w:fldSimple w:instr=" SEQ Figure \* ARABIC ">
        <w:r w:rsidR="00E44AC9">
          <w:rPr>
            <w:noProof/>
          </w:rPr>
          <w:t>4</w:t>
        </w:r>
      </w:fldSimple>
      <w:bookmarkEnd w:id="14"/>
      <w:r>
        <w:t xml:space="preserve">: </w:t>
      </w:r>
      <w:r w:rsidRPr="00CC5077">
        <w:t>New South Wales generation and bidding patterns</w:t>
      </w:r>
    </w:p>
    <w:p w:rsidR="00181C46" w:rsidRPr="00181C46" w:rsidRDefault="001849E9" w:rsidP="00181C46">
      <w:r w:rsidRPr="001849E9">
        <w:rPr>
          <w:noProof/>
          <w:lang w:eastAsia="en-AU"/>
        </w:rPr>
        <w:drawing>
          <wp:inline distT="0" distB="0" distL="0" distR="0" wp14:anchorId="0DE68E24" wp14:editId="60E7AEED">
            <wp:extent cx="5731510" cy="4125646"/>
            <wp:effectExtent l="0" t="0" r="2540" b="8255"/>
            <wp:docPr id="15" name="Picture 15"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title="Figure 4: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5646"/>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E44AC9">
          <w:rPr>
            <w:noProof/>
          </w:rPr>
          <w:t>5</w:t>
        </w:r>
      </w:fldSimple>
      <w:r w:rsidRPr="0003635A">
        <w:t>: Victoria generation and bidding patterns</w:t>
      </w:r>
    </w:p>
    <w:p w:rsidR="00181C46" w:rsidRPr="00181C46" w:rsidRDefault="001849E9" w:rsidP="00181C46">
      <w:r w:rsidRPr="001849E9">
        <w:rPr>
          <w:noProof/>
          <w:lang w:eastAsia="en-AU"/>
        </w:rPr>
        <w:drawing>
          <wp:inline distT="0" distB="0" distL="0" distR="0" wp14:anchorId="332EAE9D" wp14:editId="20ED81D2">
            <wp:extent cx="5731510" cy="4116968"/>
            <wp:effectExtent l="0" t="0" r="2540" b="0"/>
            <wp:docPr id="16" name="Picture 16"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title="Figure 5: Victor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6968"/>
                    </a:xfrm>
                    <a:prstGeom prst="rect">
                      <a:avLst/>
                    </a:prstGeom>
                    <a:noFill/>
                    <a:ln>
                      <a:noFill/>
                    </a:ln>
                  </pic:spPr>
                </pic:pic>
              </a:graphicData>
            </a:graphic>
          </wp:inline>
        </w:drawing>
      </w:r>
    </w:p>
    <w:p w:rsidR="00275002" w:rsidRDefault="00275002" w:rsidP="000E2946">
      <w:pPr>
        <w:pStyle w:val="Caption"/>
      </w:pPr>
      <w:bookmarkStart w:id="15" w:name="_Ref423965683"/>
      <w:r>
        <w:lastRenderedPageBreak/>
        <w:t xml:space="preserve">Figure </w:t>
      </w:r>
      <w:fldSimple w:instr=" SEQ Figure \* ARABIC ">
        <w:r w:rsidR="00E44AC9">
          <w:rPr>
            <w:noProof/>
          </w:rPr>
          <w:t>6</w:t>
        </w:r>
      </w:fldSimple>
      <w:bookmarkEnd w:id="15"/>
      <w:r>
        <w:t>:</w:t>
      </w:r>
      <w:r w:rsidRPr="00BD00EB">
        <w:t xml:space="preserve"> South Australia generation and bidding patterns</w:t>
      </w:r>
    </w:p>
    <w:p w:rsidR="00440D85" w:rsidRDefault="00140E51" w:rsidP="00977521">
      <w:r w:rsidRPr="00140E51">
        <w:rPr>
          <w:noProof/>
          <w:lang w:eastAsia="en-AU"/>
        </w:rPr>
        <w:drawing>
          <wp:inline distT="0" distB="0" distL="0" distR="0" wp14:anchorId="529A2563" wp14:editId="7E992778">
            <wp:extent cx="5731510" cy="4124639"/>
            <wp:effectExtent l="0" t="0" r="2540" b="9525"/>
            <wp:docPr id="1" name="Picture 1"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4639"/>
                    </a:xfrm>
                    <a:prstGeom prst="rect">
                      <a:avLst/>
                    </a:prstGeom>
                    <a:noFill/>
                    <a:ln>
                      <a:noFill/>
                    </a:ln>
                  </pic:spPr>
                </pic:pic>
              </a:graphicData>
            </a:graphic>
          </wp:inline>
        </w:drawing>
      </w:r>
      <w:bookmarkStart w:id="16" w:name="_Ref410383520"/>
    </w:p>
    <w:p w:rsidR="00275002" w:rsidRDefault="00275002" w:rsidP="000E2946">
      <w:pPr>
        <w:pStyle w:val="Caption"/>
      </w:pPr>
      <w:r>
        <w:t xml:space="preserve">Figure </w:t>
      </w:r>
      <w:fldSimple w:instr=" SEQ Figure \* ARABIC ">
        <w:r w:rsidR="00E44AC9">
          <w:rPr>
            <w:noProof/>
          </w:rPr>
          <w:t>7</w:t>
        </w:r>
      </w:fldSimple>
      <w:bookmarkEnd w:id="16"/>
      <w:r>
        <w:t xml:space="preserve">: </w:t>
      </w:r>
      <w:r w:rsidRPr="008837C4">
        <w:t>Tasmania generation and bidding patterns</w:t>
      </w:r>
    </w:p>
    <w:p w:rsidR="00983EEC" w:rsidRDefault="001849E9" w:rsidP="00275002">
      <w:r w:rsidRPr="001849E9">
        <w:rPr>
          <w:noProof/>
          <w:lang w:eastAsia="en-AU"/>
        </w:rPr>
        <w:drawing>
          <wp:inline distT="0" distB="0" distL="0" distR="0" wp14:anchorId="548C24FF" wp14:editId="1F7434F6">
            <wp:extent cx="5731510" cy="4116968"/>
            <wp:effectExtent l="0" t="0" r="2540" b="0"/>
            <wp:docPr id="18" name="Picture 18"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6968"/>
                    </a:xfrm>
                    <a:prstGeom prst="rect">
                      <a:avLst/>
                    </a:prstGeom>
                    <a:noFill/>
                    <a:ln>
                      <a:noFill/>
                    </a:ln>
                  </pic:spPr>
                </pic:pic>
              </a:graphicData>
            </a:graphic>
          </wp:inline>
        </w:drawing>
      </w:r>
    </w:p>
    <w:p w:rsidR="00275002" w:rsidRPr="0031019A" w:rsidRDefault="00275002" w:rsidP="00914A87">
      <w:pPr>
        <w:pStyle w:val="AERHeading1"/>
      </w:pPr>
      <w:r w:rsidRPr="0031019A">
        <w:lastRenderedPageBreak/>
        <w:t>Frequency control ancillary services markets</w:t>
      </w:r>
    </w:p>
    <w:p w:rsidR="00275002" w:rsidRPr="0031019A" w:rsidRDefault="00275002" w:rsidP="00B52A51">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B52A51">
      <w:pPr>
        <w:pStyle w:val="Bulletpoint"/>
        <w:jc w:val="both"/>
      </w:pPr>
      <w:r w:rsidRPr="0031019A">
        <w:t>fast services, which arrest a frequency deviation within the first 6 seconds of a contingent event (raise and lower 6 second)</w:t>
      </w:r>
    </w:p>
    <w:p w:rsidR="00275002" w:rsidRPr="0031019A" w:rsidRDefault="00275002" w:rsidP="00B52A51">
      <w:pPr>
        <w:pStyle w:val="Bulletpoint"/>
        <w:jc w:val="both"/>
      </w:pPr>
      <w:r w:rsidRPr="0031019A">
        <w:t>slow services, which stabilise frequency deviations within 60 seconds of the event (raise and lower 60 second)</w:t>
      </w:r>
    </w:p>
    <w:p w:rsidR="00275002" w:rsidRPr="0031019A" w:rsidRDefault="00275002" w:rsidP="00B52A51">
      <w:pPr>
        <w:pStyle w:val="Bulletpoint"/>
        <w:jc w:val="both"/>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B52A51">
      <w:pPr>
        <w:spacing w:before="120" w:after="120"/>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857917" w:rsidRDefault="00857917" w:rsidP="00B52A51">
      <w:pPr>
        <w:pStyle w:val="AERbodytext"/>
        <w:spacing w:before="120" w:after="120"/>
        <w:rPr>
          <w:b/>
          <w:bCs/>
        </w:rPr>
      </w:pPr>
      <w:bookmarkStart w:id="17" w:name="_Ref410383413"/>
      <w:r w:rsidRPr="00857917">
        <w:t>The total cost of FCAS on the mainland for the</w:t>
      </w:r>
      <w:r w:rsidR="005F7247">
        <w:t xml:space="preserve"> week was $</w:t>
      </w:r>
      <w:r w:rsidR="008624D6">
        <w:t>5 679 500</w:t>
      </w:r>
      <w:r>
        <w:t xml:space="preserve"> or </w:t>
      </w:r>
      <w:r w:rsidR="008624D6">
        <w:t xml:space="preserve">around </w:t>
      </w:r>
      <w:r w:rsidR="00C364F7">
        <w:t>5</w:t>
      </w:r>
      <w:r w:rsidRPr="00857917">
        <w:t xml:space="preserve"> per cent of energy turnover on the mainland.</w:t>
      </w:r>
    </w:p>
    <w:p w:rsidR="00411897" w:rsidRDefault="00857917" w:rsidP="00B52A51">
      <w:pPr>
        <w:pStyle w:val="AERbodytext"/>
        <w:rPr>
          <w:b/>
          <w:bCs/>
        </w:rPr>
      </w:pPr>
      <w:r w:rsidRPr="00857917">
        <w:t>The total cost of FCAS in Tasmania for the week was $</w:t>
      </w:r>
      <w:r w:rsidR="008624D6">
        <w:t>569 500</w:t>
      </w:r>
      <w:r w:rsidR="00613DEC">
        <w:t xml:space="preserve"> or </w:t>
      </w:r>
      <w:r w:rsidR="00837F64">
        <w:t>around</w:t>
      </w:r>
      <w:r w:rsidR="00942DD0">
        <w:t xml:space="preserve"> </w:t>
      </w:r>
      <w:r w:rsidR="008624D6">
        <w:t>4.</w:t>
      </w:r>
      <w:r w:rsidR="00C364F7">
        <w:t xml:space="preserve">5 </w:t>
      </w:r>
      <w:r w:rsidRPr="00857917">
        <w:t>per cent of energy turnover in Tasmania.</w:t>
      </w:r>
    </w:p>
    <w:p w:rsidR="00F3590E" w:rsidRDefault="00F3590E" w:rsidP="00B52A51">
      <w:pPr>
        <w:jc w:val="both"/>
        <w:rPr>
          <w:rFonts w:cs="Arial"/>
        </w:rPr>
      </w:pPr>
      <w:r>
        <w:fldChar w:fldCharType="begin"/>
      </w:r>
      <w:r>
        <w:instrText xml:space="preserve"> REF _Ref418082853 \h </w:instrText>
      </w:r>
      <w:r w:rsidR="00B52A51">
        <w:instrText xml:space="preserve"> \* MERGEFORMAT </w:instrText>
      </w:r>
      <w:r>
        <w:fldChar w:fldCharType="separate"/>
      </w:r>
      <w:r w:rsidR="00E44AC9">
        <w:t xml:space="preserve">Figure </w:t>
      </w:r>
      <w:r w:rsidR="00E44AC9">
        <w:rPr>
          <w:noProof/>
        </w:rPr>
        <w:t>8</w:t>
      </w:r>
      <w:r>
        <w:fldChar w:fldCharType="end"/>
      </w:r>
      <w:r>
        <w:t xml:space="preserve"> </w:t>
      </w:r>
      <w:r w:rsidRPr="0031019A">
        <w:t>shows the daily breakdown of cost for each FCAS for the NEM, as well as the average cost since the beginning of the previ</w:t>
      </w:r>
      <w:r w:rsidRPr="008366CD">
        <w:t xml:space="preserve">ous financial year. </w:t>
      </w:r>
    </w:p>
    <w:p w:rsidR="00275002" w:rsidRDefault="00275002" w:rsidP="000E2946">
      <w:pPr>
        <w:pStyle w:val="Caption"/>
      </w:pPr>
      <w:bookmarkStart w:id="18" w:name="_Ref418082853"/>
      <w:r>
        <w:t xml:space="preserve">Figure </w:t>
      </w:r>
      <w:fldSimple w:instr=" SEQ Figure \* ARABIC ">
        <w:r w:rsidR="00E44AC9">
          <w:rPr>
            <w:noProof/>
          </w:rPr>
          <w:t>8</w:t>
        </w:r>
      </w:fldSimple>
      <w:bookmarkEnd w:id="17"/>
      <w:bookmarkEnd w:id="18"/>
      <w:r w:rsidRPr="007707C6">
        <w:t>: Daily frequency control ancillary service cost</w:t>
      </w:r>
    </w:p>
    <w:p w:rsidR="005707D4" w:rsidRDefault="004B54EA" w:rsidP="005707D4">
      <w:r w:rsidRPr="004B54EA">
        <w:rPr>
          <w:noProof/>
          <w:lang w:eastAsia="en-AU"/>
        </w:rPr>
        <w:drawing>
          <wp:inline distT="0" distB="0" distL="0" distR="0" wp14:anchorId="4820918A" wp14:editId="247C429C">
            <wp:extent cx="5128591" cy="3777490"/>
            <wp:effectExtent l="0" t="0" r="0" b="0"/>
            <wp:docPr id="2" name="Picture 2" descr="Figure 8 shows the daily breakdown of cost for each FCAS for the NEM, as well as the average cost since the beginning of the previous financial year.&#10;Should you require a description of the data for the week under review, please email us at  AERInquiry@aer.gov.au." title="Figure 8: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34432" cy="3781793"/>
                    </a:xfrm>
                    <a:prstGeom prst="rect">
                      <a:avLst/>
                    </a:prstGeom>
                    <a:noFill/>
                    <a:ln>
                      <a:noFill/>
                    </a:ln>
                  </pic:spPr>
                </pic:pic>
              </a:graphicData>
            </a:graphic>
          </wp:inline>
        </w:drawing>
      </w:r>
    </w:p>
    <w:p w:rsidR="00990874" w:rsidRDefault="00034C10" w:rsidP="00585F36">
      <w:pPr>
        <w:jc w:val="both"/>
      </w:pPr>
      <w:r>
        <w:lastRenderedPageBreak/>
        <w:t xml:space="preserve">The 35 MW </w:t>
      </w:r>
      <w:proofErr w:type="gramStart"/>
      <w:r>
        <w:t>requirement</w:t>
      </w:r>
      <w:proofErr w:type="gramEnd"/>
      <w:r>
        <w:t xml:space="preserve"> for local raise and lower regulation services in South Australia, that was imposed for the duration of network outages needed for the Heywood upgrade commencing </w:t>
      </w:r>
      <w:r w:rsidR="00990874">
        <w:t>11 October,</w:t>
      </w:r>
      <w:r w:rsidR="00585F36">
        <w:t xml:space="preserve"> </w:t>
      </w:r>
      <w:r>
        <w:t>continued this week</w:t>
      </w:r>
      <w:r w:rsidR="00585F36">
        <w:t xml:space="preserve">. </w:t>
      </w:r>
    </w:p>
    <w:p w:rsidR="00585F36" w:rsidRDefault="00585F36" w:rsidP="00585F36">
      <w:pPr>
        <w:jc w:val="both"/>
      </w:pPr>
      <w:r>
        <w:t xml:space="preserve">The price for regulation services </w:t>
      </w:r>
      <w:r w:rsidR="00C364F7">
        <w:t xml:space="preserve">exceeded </w:t>
      </w:r>
      <w:r>
        <w:t xml:space="preserve">$5000/MW for a significant period on 25 October resulting in a breach of the Cumulative Price Threshold for both lower and raise regulation services. </w:t>
      </w:r>
      <w:r w:rsidR="00034C10">
        <w:t xml:space="preserve">Consequently </w:t>
      </w:r>
      <w:r>
        <w:t>AEMO issued an administered price declaration notice and the price for these services was capped at $300/MW.</w:t>
      </w:r>
    </w:p>
    <w:p w:rsidR="00585F36" w:rsidRPr="005D22D7" w:rsidRDefault="00585F36" w:rsidP="00585F36">
      <w:pPr>
        <w:jc w:val="both"/>
        <w:rPr>
          <w:rFonts w:cs="Arial"/>
        </w:rPr>
      </w:pPr>
      <w:r w:rsidRPr="00990874">
        <w:rPr>
          <w:rFonts w:cs="Arial"/>
        </w:rPr>
        <w:t>As required under clause 3.8.17 of the National Electricity Rules, the AER will publish a separate report into the events on that day.</w:t>
      </w:r>
      <w:r w:rsidR="00B13009" w:rsidRPr="00990874">
        <w:rPr>
          <w:rFonts w:cs="Arial"/>
        </w:rPr>
        <w:t xml:space="preserve"> </w:t>
      </w:r>
    </w:p>
    <w:p w:rsidR="00034C10" w:rsidRDefault="00034C10" w:rsidP="00B52A51">
      <w:pPr>
        <w:jc w:val="both"/>
      </w:pPr>
      <w:r>
        <w:t>The completion of a network outage Monday 26 October removed t</w:t>
      </w:r>
      <w:r w:rsidR="00826DA1">
        <w:t xml:space="preserve">he </w:t>
      </w:r>
      <w:r>
        <w:t xml:space="preserve">35 MW </w:t>
      </w:r>
      <w:proofErr w:type="gramStart"/>
      <w:r w:rsidR="00826DA1">
        <w:t>requirement</w:t>
      </w:r>
      <w:proofErr w:type="gramEnd"/>
      <w:r w:rsidR="00826DA1">
        <w:t xml:space="preserve"> for r</w:t>
      </w:r>
      <w:r w:rsidR="00A34B8C">
        <w:t xml:space="preserve">egulation services in South Australia </w:t>
      </w:r>
      <w:r>
        <w:t xml:space="preserve">until the next outage commenced on </w:t>
      </w:r>
      <w:r w:rsidR="00A34B8C">
        <w:t xml:space="preserve">the morning of 29 October. </w:t>
      </w:r>
      <w:r>
        <w:t xml:space="preserve">Price administration continued until the 27 October when prices were again unconstrained. </w:t>
      </w:r>
    </w:p>
    <w:p w:rsidR="00585F36" w:rsidRDefault="00034C10" w:rsidP="00B52A51">
      <w:pPr>
        <w:jc w:val="both"/>
      </w:pPr>
      <w:r>
        <w:t>F</w:t>
      </w:r>
      <w:r w:rsidR="00A34B8C">
        <w:t>rom 4 am on 31 October, regulation service prices in the region increased to just over $600/</w:t>
      </w:r>
      <w:r w:rsidR="00C364F7">
        <w:t>MW with occasional prices around $1400/MW</w:t>
      </w:r>
      <w:r w:rsidR="007C4C33">
        <w:t xml:space="preserve">. </w:t>
      </w:r>
    </w:p>
    <w:p w:rsidR="00C322B7" w:rsidRDefault="00C322B7" w:rsidP="00B52A51">
      <w:pPr>
        <w:jc w:val="both"/>
      </w:pPr>
      <w:r>
        <w:t>The total cost for regulation services in South Australia for the week was around $5.5million.</w:t>
      </w:r>
    </w:p>
    <w:p w:rsidR="009D1302" w:rsidRDefault="008921BB" w:rsidP="009D1302">
      <w:pPr>
        <w:jc w:val="both"/>
      </w:pPr>
      <w:r>
        <w:t>In Tasmania, significant costs accrued for raise 6 second serv</w:t>
      </w:r>
      <w:r w:rsidR="00C505EE">
        <w:t>ices over a number of days,</w:t>
      </w:r>
      <w:r>
        <w:t xml:space="preserve"> $162 468 on Monday 26 October, $112 849 on Thursday 29 October and $138 241 on Saturday 31 October.</w:t>
      </w:r>
      <w:r w:rsidR="00C505EE">
        <w:t xml:space="preserve"> </w:t>
      </w:r>
      <w:r w:rsidR="00C61319">
        <w:t>These costs arose due to high prices which occurred as a result of the interaction between the energy and FCAS markets, when a system normal constraint was either binding or violated.</w:t>
      </w:r>
    </w:p>
    <w:p w:rsidR="00DB7D2E" w:rsidRDefault="003328B9" w:rsidP="003328B9">
      <w:pPr>
        <w:jc w:val="both"/>
      </w:pPr>
      <w:r>
        <w:t xml:space="preserve">The constraint </w:t>
      </w:r>
      <w:r w:rsidRPr="00DA028D">
        <w:t xml:space="preserve">manages the raise 6 second FCAS requirement in Tasmania for the loss of a Smithton to Woolnorth 110 kV line, or Norwood to </w:t>
      </w:r>
      <w:proofErr w:type="spellStart"/>
      <w:r w:rsidRPr="00DA028D">
        <w:t>Scotsdale</w:t>
      </w:r>
      <w:proofErr w:type="spellEnd"/>
      <w:r w:rsidRPr="00DA028D">
        <w:t xml:space="preserve"> to Derby 110 kV lines</w:t>
      </w:r>
      <w:r w:rsidRPr="009D1302">
        <w:t xml:space="preserve">. While the constraint was binding or violating </w:t>
      </w:r>
      <w:proofErr w:type="spellStart"/>
      <w:r w:rsidRPr="009D1302">
        <w:t>Basslink</w:t>
      </w:r>
      <w:proofErr w:type="spellEnd"/>
      <w:r w:rsidRPr="009D1302">
        <w:t xml:space="preserve"> was unable to transfer FCAS and the region had to source the service locally. </w:t>
      </w:r>
    </w:p>
    <w:p w:rsidR="003328B9" w:rsidRDefault="00DB7D2E" w:rsidP="003328B9">
      <w:pPr>
        <w:jc w:val="both"/>
      </w:pPr>
      <w:r>
        <w:t>On 26 October, i</w:t>
      </w:r>
      <w:r w:rsidR="003328B9" w:rsidRPr="009D1302">
        <w:t xml:space="preserve">ncreased raise 6 second requirements saw </w:t>
      </w:r>
      <w:r w:rsidR="003328B9">
        <w:t>prices spike to $4684/MW at 10.35 am, $1331/MW at 5 pm and $4702/MW at 6 pm. On 29 October, prices spiked to $4341/MW four times from 2.55 am. On 31 October, prices were set at $1341/MW, $1329/MW and $1341/MW for three consecutive dispatch intervals from 1 pm.</w:t>
      </w:r>
    </w:p>
    <w:p w:rsidR="00C322B7" w:rsidRDefault="00C322B7">
      <w:pPr>
        <w:spacing w:line="240" w:lineRule="auto"/>
      </w:pPr>
      <w:r>
        <w:br w:type="page"/>
      </w:r>
    </w:p>
    <w:bookmarkEnd w:id="0"/>
    <w:bookmarkEnd w:id="1"/>
    <w:bookmarkEnd w:id="2"/>
    <w:bookmarkEnd w:id="3"/>
    <w:bookmarkEnd w:id="4"/>
    <w:bookmarkEnd w:id="5"/>
    <w:p w:rsidR="005F7247" w:rsidRPr="00405CDE" w:rsidRDefault="005F7247" w:rsidP="00627B2D">
      <w:pPr>
        <w:pStyle w:val="AERHeading1"/>
        <w:keepNext/>
        <w:rPr>
          <w:rFonts w:cs="Arial"/>
        </w:rPr>
      </w:pPr>
      <w:r w:rsidRPr="00405CDE">
        <w:rPr>
          <w:rFonts w:cs="Arial"/>
        </w:rPr>
        <w:lastRenderedPageBreak/>
        <w:t>Detailed market analysis of significant price events</w:t>
      </w:r>
    </w:p>
    <w:p w:rsidR="007F54CC" w:rsidRDefault="005F7247" w:rsidP="00C3711F">
      <w:pPr>
        <w:jc w:val="both"/>
      </w:pPr>
      <w:r w:rsidRPr="00405CDE">
        <w:rPr>
          <w:rFonts w:cs="Arial"/>
        </w:rPr>
        <w:t>We provide more detailed analysis of events where the spot price was greater than three times the weekly average price in a region and above $</w:t>
      </w:r>
      <w:r w:rsidR="00A67D14">
        <w:rPr>
          <w:rFonts w:cs="Arial"/>
        </w:rPr>
        <w:t xml:space="preserve">250/MWh or was below </w:t>
      </w:r>
      <w:r w:rsidR="00A67D14">
        <w:rPr>
          <w:rFonts w:cs="Arial"/>
        </w:rPr>
        <w:noBreakHyphen/>
        <w:t>$100/MWh.</w:t>
      </w:r>
      <w:r w:rsidR="00551D05">
        <w:t xml:space="preserve"> </w:t>
      </w:r>
      <w:r w:rsidR="00BA4E5E">
        <w:t xml:space="preserve">There </w:t>
      </w:r>
      <w:r w:rsidR="008E7A66">
        <w:t>were</w:t>
      </w:r>
      <w:r w:rsidR="00551D05">
        <w:t xml:space="preserve"> two occasions in Tasmania that exceeded this threshold.</w:t>
      </w:r>
    </w:p>
    <w:p w:rsidR="003E5574" w:rsidRDefault="003E5574" w:rsidP="003E5574">
      <w:pPr>
        <w:pStyle w:val="AERHeading3"/>
      </w:pPr>
      <w:r>
        <w:t>Tasmania</w:t>
      </w:r>
      <w:r w:rsidRPr="00002B2F">
        <w:t xml:space="preserve"> </w:t>
      </w:r>
    </w:p>
    <w:p w:rsidR="00A22BEE" w:rsidRDefault="008E7A66" w:rsidP="00A22BEE">
      <w:pPr>
        <w:pStyle w:val="AERHeading3"/>
      </w:pPr>
      <w:r>
        <w:t>Monday, 26</w:t>
      </w:r>
      <w:r w:rsidR="00A22BEE">
        <w:t xml:space="preserve"> </w:t>
      </w:r>
      <w:r>
        <w:t>Octo</w:t>
      </w:r>
      <w:r w:rsidR="00A22BEE">
        <w:t xml:space="preserve">ber </w:t>
      </w:r>
    </w:p>
    <w:p w:rsidR="00A22BEE" w:rsidRPr="005D2FBD" w:rsidRDefault="00A22BEE" w:rsidP="00A22BEE">
      <w:pPr>
        <w:pStyle w:val="Caption"/>
      </w:pPr>
      <w:r>
        <w:t xml:space="preserve">Table </w:t>
      </w:r>
      <w:fldSimple w:instr=" SEQ Table \* ARABIC ">
        <w:r w:rsidR="00E44AC9">
          <w:rPr>
            <w:noProof/>
          </w:rPr>
          <w:t>3</w:t>
        </w:r>
      </w:fldSimple>
      <w:r>
        <w:t>:</w:t>
      </w:r>
      <w:r w:rsidRPr="00431FC4">
        <w:t xml:space="preserve"> </w:t>
      </w:r>
      <w:r w:rsidR="00A272EB">
        <w:t>11</w:t>
      </w:r>
      <w:r w:rsidR="00AB73C3">
        <w:t> </w:t>
      </w:r>
      <w:proofErr w:type="gramStart"/>
      <w:r w:rsidR="008E7A66">
        <w:t>am</w:t>
      </w:r>
      <w:proofErr w:type="gramEnd"/>
      <w:r>
        <w:t xml:space="preserve"> </w:t>
      </w:r>
      <w:r w:rsidRPr="00431FC4">
        <w:t>Price, Demand and Availability</w:t>
      </w:r>
    </w:p>
    <w:tbl>
      <w:tblPr>
        <w:tblStyle w:val="AERTable-Text"/>
        <w:tblW w:w="0" w:type="auto"/>
        <w:jc w:val="center"/>
        <w:tblInd w:w="-318" w:type="dxa"/>
        <w:tblLook w:val="04A0" w:firstRow="1" w:lastRow="0" w:firstColumn="1" w:lastColumn="0" w:noHBand="0" w:noVBand="1"/>
      </w:tblPr>
      <w:tblGrid>
        <w:gridCol w:w="1067"/>
        <w:gridCol w:w="772"/>
        <w:gridCol w:w="1017"/>
        <w:gridCol w:w="1042"/>
        <w:gridCol w:w="772"/>
        <w:gridCol w:w="1017"/>
        <w:gridCol w:w="1042"/>
        <w:gridCol w:w="772"/>
        <w:gridCol w:w="1017"/>
        <w:gridCol w:w="1042"/>
      </w:tblGrid>
      <w:tr w:rsidR="00B15121" w:rsidRPr="00405CDE" w:rsidTr="008E7A66">
        <w:trPr>
          <w:cnfStyle w:val="100000000000" w:firstRow="1" w:lastRow="0" w:firstColumn="0" w:lastColumn="0" w:oddVBand="0" w:evenVBand="0" w:oddHBand="0" w:evenHBand="0" w:firstRowFirstColumn="0" w:firstRowLastColumn="0" w:lastRowFirstColumn="0" w:lastRowLastColumn="0"/>
          <w:tblHeader/>
          <w:jc w:val="center"/>
        </w:trPr>
        <w:tc>
          <w:tcPr>
            <w:tcW w:w="1067" w:type="dxa"/>
          </w:tcPr>
          <w:p w:rsidR="00B15121" w:rsidRPr="00DC24BF" w:rsidRDefault="00B15121" w:rsidP="00F77F21">
            <w:pPr>
              <w:pStyle w:val="TableHeading"/>
              <w:jc w:val="center"/>
              <w:rPr>
                <w:rFonts w:cs="Arial"/>
                <w:sz w:val="20"/>
                <w:szCs w:val="20"/>
              </w:rPr>
            </w:pPr>
            <w:r>
              <w:rPr>
                <w:rFonts w:cs="Arial"/>
                <w:sz w:val="20"/>
                <w:szCs w:val="20"/>
              </w:rPr>
              <w:t>Time</w:t>
            </w:r>
          </w:p>
        </w:tc>
        <w:tc>
          <w:tcPr>
            <w:tcW w:w="0" w:type="auto"/>
            <w:gridSpan w:val="3"/>
            <w:hideMark/>
          </w:tcPr>
          <w:p w:rsidR="00B15121" w:rsidRPr="00DC24BF" w:rsidRDefault="00B15121" w:rsidP="00F77F21">
            <w:pPr>
              <w:pStyle w:val="TableHeading"/>
              <w:jc w:val="center"/>
              <w:rPr>
                <w:rFonts w:cs="Arial"/>
                <w:sz w:val="20"/>
                <w:szCs w:val="20"/>
              </w:rPr>
            </w:pPr>
            <w:r w:rsidRPr="00DC24BF">
              <w:rPr>
                <w:rFonts w:cs="Arial"/>
                <w:sz w:val="20"/>
                <w:szCs w:val="20"/>
              </w:rPr>
              <w:t>Price ($/MWh)</w:t>
            </w:r>
          </w:p>
        </w:tc>
        <w:tc>
          <w:tcPr>
            <w:tcW w:w="0" w:type="auto"/>
            <w:gridSpan w:val="3"/>
            <w:hideMark/>
          </w:tcPr>
          <w:p w:rsidR="00B15121" w:rsidRPr="00DC24BF" w:rsidRDefault="00B15121" w:rsidP="00F77F21">
            <w:pPr>
              <w:pStyle w:val="TableHeading"/>
              <w:jc w:val="center"/>
              <w:rPr>
                <w:rFonts w:cs="Arial"/>
                <w:sz w:val="20"/>
                <w:szCs w:val="20"/>
              </w:rPr>
            </w:pPr>
            <w:r w:rsidRPr="00DC24BF">
              <w:rPr>
                <w:rFonts w:cs="Arial"/>
                <w:sz w:val="20"/>
                <w:szCs w:val="20"/>
              </w:rPr>
              <w:t>Demand (MW)</w:t>
            </w:r>
          </w:p>
        </w:tc>
        <w:tc>
          <w:tcPr>
            <w:tcW w:w="0" w:type="auto"/>
            <w:gridSpan w:val="3"/>
            <w:hideMark/>
          </w:tcPr>
          <w:p w:rsidR="00B15121" w:rsidRPr="00DC24BF" w:rsidRDefault="00B15121" w:rsidP="00F77F21">
            <w:pPr>
              <w:pStyle w:val="TableHeading"/>
              <w:jc w:val="center"/>
              <w:rPr>
                <w:rFonts w:cs="Arial"/>
                <w:sz w:val="20"/>
                <w:szCs w:val="20"/>
              </w:rPr>
            </w:pPr>
            <w:r w:rsidRPr="00DC24BF">
              <w:rPr>
                <w:rFonts w:cs="Arial"/>
                <w:sz w:val="20"/>
                <w:szCs w:val="20"/>
              </w:rPr>
              <w:t>Availability (MW)</w:t>
            </w:r>
          </w:p>
        </w:tc>
      </w:tr>
      <w:tr w:rsidR="008E7A66" w:rsidRPr="00405CDE" w:rsidTr="008E7A66">
        <w:trPr>
          <w:cnfStyle w:val="100000000000" w:firstRow="1" w:lastRow="0" w:firstColumn="0" w:lastColumn="0" w:oddVBand="0" w:evenVBand="0" w:oddHBand="0" w:evenHBand="0" w:firstRowFirstColumn="0" w:firstRowLastColumn="0" w:lastRowFirstColumn="0" w:lastRowLastColumn="0"/>
          <w:tblHeader/>
          <w:jc w:val="center"/>
        </w:trPr>
        <w:tc>
          <w:tcPr>
            <w:tcW w:w="1067" w:type="dxa"/>
            <w:shd w:val="clear" w:color="auto" w:fill="007192" w:themeFill="accent3" w:themeFillShade="BF"/>
          </w:tcPr>
          <w:p w:rsidR="00B15121" w:rsidRPr="00DC24BF" w:rsidRDefault="00B15121" w:rsidP="00F77F21">
            <w:pPr>
              <w:pStyle w:val="tableheadingline2"/>
              <w:rPr>
                <w:rFonts w:cs="Arial"/>
                <w:sz w:val="20"/>
                <w:szCs w:val="20"/>
              </w:rPr>
            </w:pP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Actual</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4 hr forecast</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12 hr forecast</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Actual</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4 hr forecast</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12 hr forecast</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Actual</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4 hr forecast</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12 hr forecast</w:t>
            </w:r>
          </w:p>
        </w:tc>
      </w:tr>
      <w:tr w:rsidR="008E7A66" w:rsidRPr="00405CDE" w:rsidTr="008E7A66">
        <w:trPr>
          <w:trHeight w:val="510"/>
          <w:jc w:val="center"/>
        </w:trPr>
        <w:tc>
          <w:tcPr>
            <w:tcW w:w="1067" w:type="dxa"/>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bCs/>
                <w:sz w:val="18"/>
                <w:szCs w:val="16"/>
              </w:rPr>
              <w:t xml:space="preserve">11:00 </w:t>
            </w:r>
            <w:r>
              <w:rPr>
                <w:rFonts w:asciiTheme="minorHAnsi" w:hAnsiTheme="minorHAnsi" w:cstheme="minorHAnsi"/>
                <w:bCs/>
                <w:sz w:val="18"/>
                <w:szCs w:val="16"/>
              </w:rPr>
              <w:t>am</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378.97</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60.63</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59.52</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1059</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1036</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1074</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2084</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2065</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2177</w:t>
            </w:r>
          </w:p>
        </w:tc>
      </w:tr>
    </w:tbl>
    <w:p w:rsidR="00F15C5C" w:rsidRDefault="00C501B4" w:rsidP="00B52A51">
      <w:pPr>
        <w:pStyle w:val="AERHeading3"/>
        <w:jc w:val="both"/>
        <w:rPr>
          <w:b w:val="0"/>
          <w:color w:val="000000" w:themeColor="text1"/>
          <w:sz w:val="22"/>
        </w:rPr>
      </w:pPr>
      <w:r>
        <w:rPr>
          <w:b w:val="0"/>
          <w:color w:val="000000" w:themeColor="text1"/>
          <w:sz w:val="22"/>
        </w:rPr>
        <w:t>Conditions at the time saw d</w:t>
      </w:r>
      <w:r w:rsidR="00F15C5C">
        <w:rPr>
          <w:b w:val="0"/>
          <w:color w:val="000000" w:themeColor="text1"/>
          <w:sz w:val="22"/>
        </w:rPr>
        <w:t xml:space="preserve">emand and </w:t>
      </w:r>
      <w:r>
        <w:rPr>
          <w:b w:val="0"/>
          <w:color w:val="000000" w:themeColor="text1"/>
          <w:sz w:val="22"/>
        </w:rPr>
        <w:t xml:space="preserve">available capacity </w:t>
      </w:r>
      <w:r w:rsidR="00F15C5C">
        <w:rPr>
          <w:b w:val="0"/>
          <w:color w:val="000000" w:themeColor="text1"/>
          <w:sz w:val="22"/>
        </w:rPr>
        <w:t>close to forecast</w:t>
      </w:r>
      <w:r>
        <w:rPr>
          <w:b w:val="0"/>
          <w:color w:val="000000" w:themeColor="text1"/>
          <w:sz w:val="22"/>
        </w:rPr>
        <w:t>.</w:t>
      </w:r>
    </w:p>
    <w:p w:rsidR="00A61B64" w:rsidRDefault="00A61B64" w:rsidP="00B52A51">
      <w:pPr>
        <w:pStyle w:val="AERHeading3"/>
        <w:jc w:val="both"/>
        <w:rPr>
          <w:b w:val="0"/>
          <w:color w:val="000000" w:themeColor="text1"/>
          <w:sz w:val="22"/>
        </w:rPr>
      </w:pPr>
      <w:r>
        <w:rPr>
          <w:b w:val="0"/>
          <w:color w:val="000000" w:themeColor="text1"/>
          <w:sz w:val="22"/>
        </w:rPr>
        <w:t>At 10.</w:t>
      </w:r>
      <w:r w:rsidR="00CA2959">
        <w:rPr>
          <w:b w:val="0"/>
          <w:color w:val="000000" w:themeColor="text1"/>
          <w:sz w:val="22"/>
        </w:rPr>
        <w:t>35 </w:t>
      </w:r>
      <w:r>
        <w:rPr>
          <w:b w:val="0"/>
          <w:color w:val="000000" w:themeColor="text1"/>
          <w:sz w:val="22"/>
        </w:rPr>
        <w:t>am</w:t>
      </w:r>
      <w:r w:rsidR="0020098D">
        <w:rPr>
          <w:b w:val="0"/>
          <w:color w:val="000000" w:themeColor="text1"/>
          <w:sz w:val="22"/>
        </w:rPr>
        <w:t xml:space="preserve">, the price of the raise 6 second ancillary service increased to $4684/MW following the violation of a constraint managing the </w:t>
      </w:r>
      <w:r w:rsidR="00B275DE">
        <w:rPr>
          <w:b w:val="0"/>
          <w:color w:val="000000" w:themeColor="text1"/>
          <w:sz w:val="22"/>
        </w:rPr>
        <w:t xml:space="preserve">service </w:t>
      </w:r>
      <w:r w:rsidR="0020098D">
        <w:rPr>
          <w:b w:val="0"/>
          <w:color w:val="000000" w:themeColor="text1"/>
          <w:sz w:val="22"/>
        </w:rPr>
        <w:t>requirement.</w:t>
      </w:r>
      <w:r>
        <w:rPr>
          <w:b w:val="0"/>
          <w:color w:val="000000" w:themeColor="text1"/>
          <w:sz w:val="22"/>
        </w:rPr>
        <w:t xml:space="preserve"> </w:t>
      </w:r>
      <w:r w:rsidR="0020098D">
        <w:rPr>
          <w:b w:val="0"/>
          <w:color w:val="000000" w:themeColor="text1"/>
          <w:sz w:val="22"/>
        </w:rPr>
        <w:t xml:space="preserve">At the same time, </w:t>
      </w:r>
      <w:r>
        <w:rPr>
          <w:b w:val="0"/>
          <w:color w:val="000000" w:themeColor="text1"/>
          <w:sz w:val="22"/>
        </w:rPr>
        <w:t xml:space="preserve">the </w:t>
      </w:r>
      <w:r w:rsidR="0020098D">
        <w:rPr>
          <w:b w:val="0"/>
          <w:color w:val="000000" w:themeColor="text1"/>
          <w:sz w:val="22"/>
        </w:rPr>
        <w:t xml:space="preserve">energy </w:t>
      </w:r>
      <w:r>
        <w:rPr>
          <w:b w:val="0"/>
          <w:color w:val="000000" w:themeColor="text1"/>
          <w:sz w:val="22"/>
        </w:rPr>
        <w:t xml:space="preserve">dispatch price rose to $2030/MWh as a result of </w:t>
      </w:r>
      <w:r w:rsidR="00CA2959">
        <w:rPr>
          <w:b w:val="0"/>
          <w:color w:val="000000" w:themeColor="text1"/>
          <w:sz w:val="22"/>
        </w:rPr>
        <w:t>the interaction of the FCAS and Energy markets</w:t>
      </w:r>
      <w:r w:rsidR="008921BB">
        <w:rPr>
          <w:b w:val="0"/>
          <w:color w:val="000000" w:themeColor="text1"/>
          <w:sz w:val="22"/>
        </w:rPr>
        <w:t xml:space="preserve"> (described </w:t>
      </w:r>
      <w:r w:rsidR="0020098D">
        <w:rPr>
          <w:b w:val="0"/>
          <w:color w:val="000000" w:themeColor="text1"/>
          <w:sz w:val="22"/>
        </w:rPr>
        <w:t>in the previous section</w:t>
      </w:r>
      <w:r w:rsidR="008921BB">
        <w:rPr>
          <w:b w:val="0"/>
          <w:color w:val="000000" w:themeColor="text1"/>
          <w:sz w:val="22"/>
        </w:rPr>
        <w:t>),</w:t>
      </w:r>
      <w:r>
        <w:rPr>
          <w:b w:val="0"/>
          <w:color w:val="000000" w:themeColor="text1"/>
          <w:sz w:val="22"/>
        </w:rPr>
        <w:t xml:space="preserve"> before falling to $69/MWh at 10.40</w:t>
      </w:r>
      <w:r w:rsidR="00C322B7">
        <w:rPr>
          <w:b w:val="0"/>
          <w:color w:val="000000" w:themeColor="text1"/>
          <w:sz w:val="22"/>
        </w:rPr>
        <w:t> </w:t>
      </w:r>
      <w:r>
        <w:rPr>
          <w:b w:val="0"/>
          <w:color w:val="000000" w:themeColor="text1"/>
          <w:sz w:val="22"/>
        </w:rPr>
        <w:t xml:space="preserve">am. </w:t>
      </w:r>
    </w:p>
    <w:p w:rsidR="008E7A66" w:rsidRDefault="008E7A66" w:rsidP="008E7A66">
      <w:pPr>
        <w:pStyle w:val="AERHeading3"/>
      </w:pPr>
      <w:r>
        <w:t xml:space="preserve">Tuesday, 27 October </w:t>
      </w:r>
    </w:p>
    <w:p w:rsidR="00C501B4" w:rsidRDefault="00343189" w:rsidP="00A272EB">
      <w:pPr>
        <w:pStyle w:val="Caption"/>
      </w:pPr>
      <w:r w:rsidRPr="00C501B4">
        <w:t xml:space="preserve">Table </w:t>
      </w:r>
      <w:r>
        <w:fldChar w:fldCharType="begin"/>
      </w:r>
      <w:r>
        <w:instrText xml:space="preserve"> SEQ Table \* ARABIC </w:instrText>
      </w:r>
      <w:r>
        <w:fldChar w:fldCharType="separate"/>
      </w:r>
      <w:r w:rsidR="00E44AC9">
        <w:rPr>
          <w:noProof/>
        </w:rPr>
        <w:t>4</w:t>
      </w:r>
      <w:r>
        <w:rPr>
          <w:noProof/>
        </w:rPr>
        <w:fldChar w:fldCharType="end"/>
      </w:r>
      <w:r w:rsidR="00A272EB">
        <w:t>:</w:t>
      </w:r>
      <w:r w:rsidR="00A272EB" w:rsidRPr="00431FC4">
        <w:t xml:space="preserve"> </w:t>
      </w:r>
      <w:r w:rsidR="00A272EB">
        <w:t>1</w:t>
      </w:r>
      <w:r w:rsidR="00AB73C3">
        <w:t> </w:t>
      </w:r>
      <w:bookmarkStart w:id="19" w:name="_GoBack"/>
      <w:bookmarkEnd w:id="19"/>
      <w:r w:rsidR="00A272EB">
        <w:t xml:space="preserve">pm </w:t>
      </w:r>
      <w:r w:rsidR="00A272EB" w:rsidRPr="00431FC4">
        <w:t>Price, Demand and Availability</w:t>
      </w:r>
    </w:p>
    <w:tbl>
      <w:tblPr>
        <w:tblStyle w:val="AERTable-Text"/>
        <w:tblW w:w="0" w:type="auto"/>
        <w:jc w:val="center"/>
        <w:tblInd w:w="-176" w:type="dxa"/>
        <w:tblLook w:val="04A0" w:firstRow="1" w:lastRow="0" w:firstColumn="1" w:lastColumn="0" w:noHBand="0" w:noVBand="1"/>
      </w:tblPr>
      <w:tblGrid>
        <w:gridCol w:w="901"/>
        <w:gridCol w:w="772"/>
        <w:gridCol w:w="1021"/>
        <w:gridCol w:w="1046"/>
        <w:gridCol w:w="772"/>
        <w:gridCol w:w="1021"/>
        <w:gridCol w:w="1046"/>
        <w:gridCol w:w="772"/>
        <w:gridCol w:w="1021"/>
        <w:gridCol w:w="1046"/>
      </w:tblGrid>
      <w:tr w:rsidR="008E7A66" w:rsidRPr="00405CDE" w:rsidTr="008E7A66">
        <w:trPr>
          <w:cnfStyle w:val="100000000000" w:firstRow="1" w:lastRow="0" w:firstColumn="0" w:lastColumn="0" w:oddVBand="0" w:evenVBand="0" w:oddHBand="0" w:evenHBand="0" w:firstRowFirstColumn="0" w:firstRowLastColumn="0" w:lastRowFirstColumn="0" w:lastRowLastColumn="0"/>
          <w:tblHeader/>
          <w:jc w:val="center"/>
        </w:trPr>
        <w:tc>
          <w:tcPr>
            <w:tcW w:w="901" w:type="dxa"/>
          </w:tcPr>
          <w:p w:rsidR="008E7A66" w:rsidRPr="00DC24BF" w:rsidRDefault="008E7A66" w:rsidP="00A272EB">
            <w:pPr>
              <w:pStyle w:val="TableHeading"/>
              <w:jc w:val="center"/>
              <w:rPr>
                <w:rFonts w:cs="Arial"/>
                <w:sz w:val="20"/>
                <w:szCs w:val="20"/>
              </w:rPr>
            </w:pPr>
            <w:r>
              <w:rPr>
                <w:rFonts w:cs="Arial"/>
                <w:sz w:val="20"/>
                <w:szCs w:val="20"/>
              </w:rPr>
              <w:t>Time</w:t>
            </w:r>
          </w:p>
        </w:tc>
        <w:tc>
          <w:tcPr>
            <w:tcW w:w="0" w:type="auto"/>
            <w:gridSpan w:val="3"/>
            <w:hideMark/>
          </w:tcPr>
          <w:p w:rsidR="008E7A66" w:rsidRPr="00DC24BF" w:rsidRDefault="008E7A66" w:rsidP="00A272EB">
            <w:pPr>
              <w:pStyle w:val="TableHeading"/>
              <w:jc w:val="center"/>
              <w:rPr>
                <w:rFonts w:cs="Arial"/>
                <w:sz w:val="20"/>
                <w:szCs w:val="20"/>
              </w:rPr>
            </w:pPr>
            <w:r w:rsidRPr="00DC24BF">
              <w:rPr>
                <w:rFonts w:cs="Arial"/>
                <w:sz w:val="20"/>
                <w:szCs w:val="20"/>
              </w:rPr>
              <w:t>Price ($/MWh)</w:t>
            </w:r>
          </w:p>
        </w:tc>
        <w:tc>
          <w:tcPr>
            <w:tcW w:w="0" w:type="auto"/>
            <w:gridSpan w:val="3"/>
            <w:hideMark/>
          </w:tcPr>
          <w:p w:rsidR="008E7A66" w:rsidRPr="00DC24BF" w:rsidRDefault="008E7A66" w:rsidP="00A272EB">
            <w:pPr>
              <w:pStyle w:val="TableHeading"/>
              <w:jc w:val="center"/>
              <w:rPr>
                <w:rFonts w:cs="Arial"/>
                <w:sz w:val="20"/>
                <w:szCs w:val="20"/>
              </w:rPr>
            </w:pPr>
            <w:r w:rsidRPr="00DC24BF">
              <w:rPr>
                <w:rFonts w:cs="Arial"/>
                <w:sz w:val="20"/>
                <w:szCs w:val="20"/>
              </w:rPr>
              <w:t>Demand (MW)</w:t>
            </w:r>
          </w:p>
        </w:tc>
        <w:tc>
          <w:tcPr>
            <w:tcW w:w="0" w:type="auto"/>
            <w:gridSpan w:val="3"/>
            <w:hideMark/>
          </w:tcPr>
          <w:p w:rsidR="008E7A66" w:rsidRPr="00DC24BF" w:rsidRDefault="008E7A66" w:rsidP="00A272EB">
            <w:pPr>
              <w:pStyle w:val="TableHeading"/>
              <w:jc w:val="center"/>
              <w:rPr>
                <w:rFonts w:cs="Arial"/>
                <w:sz w:val="20"/>
                <w:szCs w:val="20"/>
              </w:rPr>
            </w:pPr>
            <w:r w:rsidRPr="00DC24BF">
              <w:rPr>
                <w:rFonts w:cs="Arial"/>
                <w:sz w:val="20"/>
                <w:szCs w:val="20"/>
              </w:rPr>
              <w:t>Availability (MW)</w:t>
            </w:r>
          </w:p>
        </w:tc>
      </w:tr>
      <w:tr w:rsidR="008E7A66" w:rsidRPr="00405CDE" w:rsidTr="008E7A66">
        <w:trPr>
          <w:cnfStyle w:val="100000000000" w:firstRow="1" w:lastRow="0" w:firstColumn="0" w:lastColumn="0" w:oddVBand="0" w:evenVBand="0" w:oddHBand="0" w:evenHBand="0" w:firstRowFirstColumn="0" w:firstRowLastColumn="0" w:lastRowFirstColumn="0" w:lastRowLastColumn="0"/>
          <w:tblHeader/>
          <w:jc w:val="center"/>
        </w:trPr>
        <w:tc>
          <w:tcPr>
            <w:tcW w:w="901" w:type="dxa"/>
            <w:shd w:val="clear" w:color="auto" w:fill="007192" w:themeFill="accent3" w:themeFillShade="BF"/>
          </w:tcPr>
          <w:p w:rsidR="008E7A66" w:rsidRPr="00DC24BF" w:rsidRDefault="008E7A66" w:rsidP="00A272EB">
            <w:pPr>
              <w:pStyle w:val="tableheadingline2"/>
              <w:rPr>
                <w:rFonts w:cs="Arial"/>
                <w:sz w:val="20"/>
                <w:szCs w:val="20"/>
              </w:rPr>
            </w:pPr>
          </w:p>
        </w:tc>
        <w:tc>
          <w:tcPr>
            <w:tcW w:w="0" w:type="auto"/>
            <w:shd w:val="clear" w:color="auto" w:fill="007192" w:themeFill="accent3" w:themeFillShade="BF"/>
            <w:hideMark/>
          </w:tcPr>
          <w:p w:rsidR="008E7A66" w:rsidRPr="00DC24BF" w:rsidRDefault="008E7A66" w:rsidP="00A272EB">
            <w:pPr>
              <w:pStyle w:val="tableheadingline2"/>
              <w:rPr>
                <w:rFonts w:cs="Arial"/>
                <w:sz w:val="20"/>
                <w:szCs w:val="20"/>
              </w:rPr>
            </w:pPr>
            <w:r w:rsidRPr="00DC24BF">
              <w:rPr>
                <w:rFonts w:cs="Arial"/>
                <w:sz w:val="20"/>
                <w:szCs w:val="20"/>
              </w:rPr>
              <w:t>Actual</w:t>
            </w:r>
          </w:p>
        </w:tc>
        <w:tc>
          <w:tcPr>
            <w:tcW w:w="0" w:type="auto"/>
            <w:shd w:val="clear" w:color="auto" w:fill="007192" w:themeFill="accent3" w:themeFillShade="BF"/>
            <w:hideMark/>
          </w:tcPr>
          <w:p w:rsidR="008E7A66" w:rsidRPr="00DC24BF" w:rsidRDefault="008E7A66" w:rsidP="00A272EB">
            <w:pPr>
              <w:pStyle w:val="tableheadingline2"/>
              <w:rPr>
                <w:rFonts w:cs="Arial"/>
                <w:sz w:val="20"/>
                <w:szCs w:val="20"/>
              </w:rPr>
            </w:pPr>
            <w:r w:rsidRPr="00DC24BF">
              <w:rPr>
                <w:rFonts w:cs="Arial"/>
                <w:sz w:val="20"/>
                <w:szCs w:val="20"/>
              </w:rPr>
              <w:t>4 hr forecast</w:t>
            </w:r>
          </w:p>
        </w:tc>
        <w:tc>
          <w:tcPr>
            <w:tcW w:w="0" w:type="auto"/>
            <w:shd w:val="clear" w:color="auto" w:fill="007192" w:themeFill="accent3" w:themeFillShade="BF"/>
            <w:hideMark/>
          </w:tcPr>
          <w:p w:rsidR="008E7A66" w:rsidRPr="00DC24BF" w:rsidRDefault="008E7A66" w:rsidP="00A272EB">
            <w:pPr>
              <w:pStyle w:val="tableheadingline2"/>
              <w:rPr>
                <w:rFonts w:cs="Arial"/>
                <w:sz w:val="20"/>
                <w:szCs w:val="20"/>
              </w:rPr>
            </w:pPr>
            <w:r w:rsidRPr="00DC24BF">
              <w:rPr>
                <w:rFonts w:cs="Arial"/>
                <w:sz w:val="20"/>
                <w:szCs w:val="20"/>
              </w:rPr>
              <w:t>12 hr forecast</w:t>
            </w:r>
          </w:p>
        </w:tc>
        <w:tc>
          <w:tcPr>
            <w:tcW w:w="0" w:type="auto"/>
            <w:shd w:val="clear" w:color="auto" w:fill="007192" w:themeFill="accent3" w:themeFillShade="BF"/>
            <w:hideMark/>
          </w:tcPr>
          <w:p w:rsidR="008E7A66" w:rsidRPr="00DC24BF" w:rsidRDefault="008E7A66" w:rsidP="00A272EB">
            <w:pPr>
              <w:pStyle w:val="tableheadingline2"/>
              <w:rPr>
                <w:rFonts w:cs="Arial"/>
                <w:sz w:val="20"/>
                <w:szCs w:val="20"/>
              </w:rPr>
            </w:pPr>
            <w:r w:rsidRPr="00DC24BF">
              <w:rPr>
                <w:rFonts w:cs="Arial"/>
                <w:sz w:val="20"/>
                <w:szCs w:val="20"/>
              </w:rPr>
              <w:t>Actual</w:t>
            </w:r>
          </w:p>
        </w:tc>
        <w:tc>
          <w:tcPr>
            <w:tcW w:w="0" w:type="auto"/>
            <w:shd w:val="clear" w:color="auto" w:fill="007192" w:themeFill="accent3" w:themeFillShade="BF"/>
            <w:hideMark/>
          </w:tcPr>
          <w:p w:rsidR="008E7A66" w:rsidRPr="00DC24BF" w:rsidRDefault="008E7A66" w:rsidP="00A272EB">
            <w:pPr>
              <w:pStyle w:val="tableheadingline2"/>
              <w:rPr>
                <w:rFonts w:cs="Arial"/>
                <w:sz w:val="20"/>
                <w:szCs w:val="20"/>
              </w:rPr>
            </w:pPr>
            <w:r w:rsidRPr="00DC24BF">
              <w:rPr>
                <w:rFonts w:cs="Arial"/>
                <w:sz w:val="20"/>
                <w:szCs w:val="20"/>
              </w:rPr>
              <w:t>4 hr forecast</w:t>
            </w:r>
          </w:p>
        </w:tc>
        <w:tc>
          <w:tcPr>
            <w:tcW w:w="0" w:type="auto"/>
            <w:shd w:val="clear" w:color="auto" w:fill="007192" w:themeFill="accent3" w:themeFillShade="BF"/>
            <w:hideMark/>
          </w:tcPr>
          <w:p w:rsidR="008E7A66" w:rsidRPr="00DC24BF" w:rsidRDefault="008E7A66" w:rsidP="00A272EB">
            <w:pPr>
              <w:pStyle w:val="tableheadingline2"/>
              <w:rPr>
                <w:rFonts w:cs="Arial"/>
                <w:sz w:val="20"/>
                <w:szCs w:val="20"/>
              </w:rPr>
            </w:pPr>
            <w:r w:rsidRPr="00DC24BF">
              <w:rPr>
                <w:rFonts w:cs="Arial"/>
                <w:sz w:val="20"/>
                <w:szCs w:val="20"/>
              </w:rPr>
              <w:t>12 hr forecast</w:t>
            </w:r>
          </w:p>
        </w:tc>
        <w:tc>
          <w:tcPr>
            <w:tcW w:w="0" w:type="auto"/>
            <w:shd w:val="clear" w:color="auto" w:fill="007192" w:themeFill="accent3" w:themeFillShade="BF"/>
            <w:hideMark/>
          </w:tcPr>
          <w:p w:rsidR="008E7A66" w:rsidRPr="00DC24BF" w:rsidRDefault="008E7A66" w:rsidP="00A272EB">
            <w:pPr>
              <w:pStyle w:val="tableheadingline2"/>
              <w:rPr>
                <w:rFonts w:cs="Arial"/>
                <w:sz w:val="20"/>
                <w:szCs w:val="20"/>
              </w:rPr>
            </w:pPr>
            <w:r w:rsidRPr="00DC24BF">
              <w:rPr>
                <w:rFonts w:cs="Arial"/>
                <w:sz w:val="20"/>
                <w:szCs w:val="20"/>
              </w:rPr>
              <w:t>Actual</w:t>
            </w:r>
          </w:p>
        </w:tc>
        <w:tc>
          <w:tcPr>
            <w:tcW w:w="0" w:type="auto"/>
            <w:shd w:val="clear" w:color="auto" w:fill="007192" w:themeFill="accent3" w:themeFillShade="BF"/>
            <w:hideMark/>
          </w:tcPr>
          <w:p w:rsidR="008E7A66" w:rsidRPr="00DC24BF" w:rsidRDefault="008E7A66" w:rsidP="00A272EB">
            <w:pPr>
              <w:pStyle w:val="tableheadingline2"/>
              <w:rPr>
                <w:rFonts w:cs="Arial"/>
                <w:sz w:val="20"/>
                <w:szCs w:val="20"/>
              </w:rPr>
            </w:pPr>
            <w:r w:rsidRPr="00DC24BF">
              <w:rPr>
                <w:rFonts w:cs="Arial"/>
                <w:sz w:val="20"/>
                <w:szCs w:val="20"/>
              </w:rPr>
              <w:t>4 hr forecast</w:t>
            </w:r>
          </w:p>
        </w:tc>
        <w:tc>
          <w:tcPr>
            <w:tcW w:w="0" w:type="auto"/>
            <w:shd w:val="clear" w:color="auto" w:fill="007192" w:themeFill="accent3" w:themeFillShade="BF"/>
            <w:hideMark/>
          </w:tcPr>
          <w:p w:rsidR="008E7A66" w:rsidRPr="00DC24BF" w:rsidRDefault="008E7A66" w:rsidP="00A272EB">
            <w:pPr>
              <w:pStyle w:val="tableheadingline2"/>
              <w:rPr>
                <w:rFonts w:cs="Arial"/>
                <w:sz w:val="20"/>
                <w:szCs w:val="20"/>
              </w:rPr>
            </w:pPr>
            <w:r w:rsidRPr="00DC24BF">
              <w:rPr>
                <w:rFonts w:cs="Arial"/>
                <w:sz w:val="20"/>
                <w:szCs w:val="20"/>
              </w:rPr>
              <w:t>12 hr forecast</w:t>
            </w:r>
          </w:p>
        </w:tc>
      </w:tr>
      <w:tr w:rsidR="008E7A66" w:rsidRPr="00405CDE" w:rsidTr="008E7A66">
        <w:trPr>
          <w:trHeight w:val="510"/>
          <w:jc w:val="center"/>
        </w:trPr>
        <w:tc>
          <w:tcPr>
            <w:tcW w:w="901" w:type="dxa"/>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bCs/>
                <w:sz w:val="18"/>
                <w:szCs w:val="16"/>
              </w:rPr>
              <w:t xml:space="preserve">1 </w:t>
            </w:r>
            <w:r>
              <w:rPr>
                <w:rFonts w:asciiTheme="minorHAnsi" w:hAnsiTheme="minorHAnsi" w:cstheme="minorHAnsi"/>
                <w:bCs/>
                <w:sz w:val="18"/>
                <w:szCs w:val="16"/>
              </w:rPr>
              <w:t>pm</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250.56</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81.30</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98.20</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1027</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1037</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1080</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2013</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1953</w:t>
            </w:r>
          </w:p>
        </w:tc>
        <w:tc>
          <w:tcPr>
            <w:tcW w:w="0" w:type="auto"/>
            <w:vAlign w:val="center"/>
          </w:tcPr>
          <w:p w:rsidR="008E7A66" w:rsidRPr="008E7A66" w:rsidRDefault="008E7A66">
            <w:pPr>
              <w:pStyle w:val="NormalWeb"/>
              <w:jc w:val="center"/>
              <w:rPr>
                <w:rFonts w:asciiTheme="minorHAnsi" w:hAnsiTheme="minorHAnsi" w:cstheme="minorHAnsi"/>
                <w:sz w:val="18"/>
              </w:rPr>
            </w:pPr>
            <w:r w:rsidRPr="008E7A66">
              <w:rPr>
                <w:rFonts w:asciiTheme="minorHAnsi" w:hAnsiTheme="minorHAnsi" w:cstheme="minorHAnsi"/>
                <w:sz w:val="18"/>
                <w:szCs w:val="16"/>
              </w:rPr>
              <w:t>1950</w:t>
            </w:r>
          </w:p>
        </w:tc>
      </w:tr>
    </w:tbl>
    <w:p w:rsidR="008E7A66" w:rsidRDefault="00C501B4" w:rsidP="00B52A51">
      <w:pPr>
        <w:pStyle w:val="AERHeading3"/>
        <w:jc w:val="both"/>
        <w:rPr>
          <w:b w:val="0"/>
          <w:color w:val="000000" w:themeColor="text1"/>
          <w:sz w:val="22"/>
        </w:rPr>
      </w:pPr>
      <w:r>
        <w:rPr>
          <w:b w:val="0"/>
          <w:color w:val="000000" w:themeColor="text1"/>
          <w:sz w:val="22"/>
        </w:rPr>
        <w:t>Conditions at the time saw demand and available capacity close to forecast.</w:t>
      </w:r>
    </w:p>
    <w:p w:rsidR="00C501B4" w:rsidRPr="00C501B4" w:rsidRDefault="00C501B4" w:rsidP="00C501B4">
      <w:pPr>
        <w:pStyle w:val="Caption"/>
      </w:pPr>
      <w:r w:rsidRPr="00C501B4">
        <w:t xml:space="preserve">Table </w:t>
      </w:r>
      <w:fldSimple w:instr=" SEQ Table \* ARABIC ">
        <w:r w:rsidR="00E44AC9">
          <w:rPr>
            <w:noProof/>
          </w:rPr>
          <w:t>5</w:t>
        </w:r>
      </w:fldSimple>
      <w:r w:rsidRPr="00C501B4">
        <w:t xml:space="preserve">: </w:t>
      </w:r>
      <w:r w:rsidRPr="00C501B4">
        <w:rPr>
          <w:rFonts w:eastAsia="Times New Roman" w:cs="Arial"/>
          <w:color w:val="076A92"/>
          <w:szCs w:val="24"/>
          <w:lang w:eastAsia="en-AU"/>
        </w:rPr>
        <w:t>Rebids the</w:t>
      </w:r>
      <w:r w:rsidR="00A272EB">
        <w:rPr>
          <w:rFonts w:eastAsia="Times New Roman" w:cs="Arial"/>
          <w:color w:val="076A92"/>
          <w:szCs w:val="24"/>
          <w:lang w:eastAsia="en-AU"/>
        </w:rPr>
        <w:t xml:space="preserve"> 1</w:t>
      </w:r>
      <w:r w:rsidR="00AB73C3">
        <w:rPr>
          <w:rFonts w:eastAsia="Times New Roman" w:cs="Arial"/>
          <w:color w:val="076A92"/>
          <w:szCs w:val="24"/>
          <w:lang w:eastAsia="en-AU"/>
        </w:rPr>
        <w:t> </w:t>
      </w:r>
      <w:r w:rsidRPr="00C501B4">
        <w:rPr>
          <w:rFonts w:eastAsia="Times New Roman" w:cs="Arial"/>
          <w:color w:val="076A92"/>
          <w:szCs w:val="24"/>
          <w:lang w:eastAsia="en-AU"/>
        </w:rPr>
        <w:t>pm trading interval</w:t>
      </w:r>
    </w:p>
    <w:tbl>
      <w:tblPr>
        <w:tblW w:w="9412" w:type="dxa"/>
        <w:tblBorders>
          <w:bottom w:val="single" w:sz="4" w:space="0" w:color="auto"/>
        </w:tblBorders>
        <w:tblCellMar>
          <w:left w:w="0" w:type="dxa"/>
          <w:right w:w="0" w:type="dxa"/>
        </w:tblCellMar>
        <w:tblLook w:val="04A0" w:firstRow="1" w:lastRow="0" w:firstColumn="1" w:lastColumn="0" w:noHBand="0" w:noVBand="1"/>
      </w:tblPr>
      <w:tblGrid>
        <w:gridCol w:w="1104"/>
        <w:gridCol w:w="956"/>
        <w:gridCol w:w="1666"/>
        <w:gridCol w:w="992"/>
        <w:gridCol w:w="992"/>
        <w:gridCol w:w="851"/>
        <w:gridCol w:w="799"/>
        <w:gridCol w:w="2052"/>
      </w:tblGrid>
      <w:tr w:rsidR="00973E89" w:rsidRPr="00C501B4" w:rsidTr="00973E89">
        <w:trPr>
          <w:trHeight w:val="210"/>
        </w:trPr>
        <w:tc>
          <w:tcPr>
            <w:tcW w:w="1104" w:type="dxa"/>
            <w:shd w:val="clear" w:color="auto" w:fill="076A92"/>
            <w:tcMar>
              <w:top w:w="40" w:type="dxa"/>
              <w:left w:w="40" w:type="dxa"/>
              <w:bottom w:w="40" w:type="dxa"/>
              <w:right w:w="40" w:type="dxa"/>
            </w:tcMar>
            <w:hideMark/>
          </w:tcPr>
          <w:p w:rsidR="00973E89" w:rsidRPr="00C501B4" w:rsidRDefault="00973E89" w:rsidP="00A272EB">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Submitted</w:t>
            </w:r>
            <w:r w:rsidRPr="00C501B4">
              <w:rPr>
                <w:rFonts w:eastAsia="Times New Roman" w:cs="Arial"/>
                <w:b/>
                <w:color w:val="FFFFFF"/>
                <w:sz w:val="18"/>
                <w:szCs w:val="18"/>
                <w:lang w:eastAsia="en-AU"/>
              </w:rPr>
              <w:br/>
              <w:t>time</w:t>
            </w:r>
          </w:p>
        </w:tc>
        <w:tc>
          <w:tcPr>
            <w:tcW w:w="956" w:type="dxa"/>
            <w:shd w:val="clear" w:color="auto" w:fill="076A92"/>
            <w:tcMar>
              <w:top w:w="40" w:type="dxa"/>
              <w:left w:w="40" w:type="dxa"/>
              <w:bottom w:w="40" w:type="dxa"/>
              <w:right w:w="40" w:type="dxa"/>
            </w:tcMar>
            <w:hideMark/>
          </w:tcPr>
          <w:p w:rsidR="00973E89" w:rsidRPr="00C501B4" w:rsidRDefault="00973E89" w:rsidP="00A272EB">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Time</w:t>
            </w:r>
            <w:r w:rsidRPr="00C501B4">
              <w:rPr>
                <w:rFonts w:eastAsia="Times New Roman" w:cs="Arial"/>
                <w:b/>
                <w:color w:val="FFFFFF"/>
                <w:sz w:val="18"/>
                <w:szCs w:val="18"/>
                <w:lang w:eastAsia="en-AU"/>
              </w:rPr>
              <w:br/>
              <w:t>effective</w:t>
            </w:r>
          </w:p>
        </w:tc>
        <w:tc>
          <w:tcPr>
            <w:tcW w:w="1666" w:type="dxa"/>
            <w:shd w:val="clear" w:color="auto" w:fill="076A92"/>
            <w:tcMar>
              <w:top w:w="40" w:type="dxa"/>
              <w:left w:w="40" w:type="dxa"/>
              <w:bottom w:w="40" w:type="dxa"/>
              <w:right w:w="40" w:type="dxa"/>
            </w:tcMar>
            <w:hideMark/>
          </w:tcPr>
          <w:p w:rsidR="00973E89" w:rsidRPr="00C501B4" w:rsidRDefault="00973E89" w:rsidP="00A272EB">
            <w:pPr>
              <w:spacing w:before="0" w:line="240" w:lineRule="auto"/>
              <w:jc w:val="center"/>
              <w:textAlignment w:val="top"/>
              <w:rPr>
                <w:rFonts w:eastAsia="Times New Roman" w:cs="Arial"/>
                <w:b/>
                <w:color w:val="FFFFFF"/>
                <w:sz w:val="18"/>
                <w:szCs w:val="18"/>
                <w:lang w:eastAsia="en-AU"/>
              </w:rPr>
            </w:pPr>
            <w:r w:rsidRPr="00C501B4">
              <w:rPr>
                <w:rFonts w:eastAsia="Times New Roman" w:cs="Arial"/>
                <w:b/>
                <w:color w:val="FFFFFF"/>
                <w:sz w:val="18"/>
                <w:szCs w:val="18"/>
                <w:lang w:eastAsia="en-AU"/>
              </w:rPr>
              <w:t>Participant</w:t>
            </w:r>
          </w:p>
        </w:tc>
        <w:tc>
          <w:tcPr>
            <w:tcW w:w="992" w:type="dxa"/>
            <w:shd w:val="clear" w:color="auto" w:fill="076A92"/>
            <w:tcMar>
              <w:top w:w="40" w:type="dxa"/>
              <w:left w:w="40" w:type="dxa"/>
              <w:bottom w:w="40" w:type="dxa"/>
              <w:right w:w="40" w:type="dxa"/>
            </w:tcMar>
            <w:hideMark/>
          </w:tcPr>
          <w:p w:rsidR="00973E89" w:rsidRPr="00C501B4" w:rsidRDefault="00973E89" w:rsidP="00A272EB">
            <w:pPr>
              <w:spacing w:before="0" w:line="240" w:lineRule="auto"/>
              <w:jc w:val="center"/>
              <w:textAlignment w:val="top"/>
              <w:rPr>
                <w:rFonts w:eastAsia="Times New Roman" w:cs="Arial"/>
                <w:b/>
                <w:color w:val="FFFFFF"/>
                <w:sz w:val="18"/>
                <w:szCs w:val="18"/>
                <w:lang w:eastAsia="en-AU"/>
              </w:rPr>
            </w:pPr>
            <w:r w:rsidRPr="00C501B4">
              <w:rPr>
                <w:rFonts w:eastAsia="Times New Roman" w:cs="Arial"/>
                <w:b/>
                <w:color w:val="FFFFFF"/>
                <w:sz w:val="18"/>
                <w:szCs w:val="18"/>
                <w:lang w:eastAsia="en-AU"/>
              </w:rPr>
              <w:t>Station</w:t>
            </w:r>
          </w:p>
        </w:tc>
        <w:tc>
          <w:tcPr>
            <w:tcW w:w="992" w:type="dxa"/>
            <w:shd w:val="clear" w:color="auto" w:fill="076A92"/>
            <w:tcMar>
              <w:top w:w="40" w:type="dxa"/>
              <w:left w:w="40" w:type="dxa"/>
              <w:bottom w:w="40" w:type="dxa"/>
              <w:right w:w="40" w:type="dxa"/>
            </w:tcMar>
            <w:hideMark/>
          </w:tcPr>
          <w:p w:rsidR="00973E89" w:rsidRPr="00C501B4" w:rsidRDefault="00973E89" w:rsidP="00A272EB">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Capacity rebid</w:t>
            </w:r>
            <w:r w:rsidRPr="00C501B4">
              <w:rPr>
                <w:rFonts w:eastAsia="Times New Roman" w:cs="Arial"/>
                <w:b/>
                <w:color w:val="FFFFFF"/>
                <w:sz w:val="18"/>
                <w:szCs w:val="18"/>
                <w:lang w:eastAsia="en-AU"/>
              </w:rPr>
              <w:br/>
              <w:t>(MW)</w:t>
            </w:r>
          </w:p>
        </w:tc>
        <w:tc>
          <w:tcPr>
            <w:tcW w:w="851" w:type="dxa"/>
            <w:shd w:val="clear" w:color="auto" w:fill="076A92"/>
            <w:tcMar>
              <w:top w:w="40" w:type="dxa"/>
              <w:left w:w="40" w:type="dxa"/>
              <w:bottom w:w="40" w:type="dxa"/>
              <w:right w:w="40" w:type="dxa"/>
            </w:tcMar>
            <w:hideMark/>
          </w:tcPr>
          <w:p w:rsidR="00973E89" w:rsidRPr="00C501B4" w:rsidRDefault="00973E89" w:rsidP="00A272EB">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Price from</w:t>
            </w:r>
            <w:r w:rsidRPr="00C501B4">
              <w:rPr>
                <w:rFonts w:eastAsia="Times New Roman" w:cs="Arial"/>
                <w:b/>
                <w:color w:val="FFFFFF"/>
                <w:sz w:val="18"/>
                <w:szCs w:val="18"/>
                <w:lang w:eastAsia="en-AU"/>
              </w:rPr>
              <w:br/>
              <w:t>($/MWh)</w:t>
            </w:r>
          </w:p>
        </w:tc>
        <w:tc>
          <w:tcPr>
            <w:tcW w:w="799" w:type="dxa"/>
            <w:shd w:val="clear" w:color="auto" w:fill="076A92"/>
            <w:tcMar>
              <w:top w:w="40" w:type="dxa"/>
              <w:left w:w="40" w:type="dxa"/>
              <w:bottom w:w="40" w:type="dxa"/>
              <w:right w:w="40" w:type="dxa"/>
            </w:tcMar>
            <w:hideMark/>
          </w:tcPr>
          <w:p w:rsidR="00973E89" w:rsidRPr="00C501B4" w:rsidRDefault="00973E89" w:rsidP="00A272EB">
            <w:pPr>
              <w:spacing w:before="0" w:line="240" w:lineRule="auto"/>
              <w:jc w:val="center"/>
              <w:textAlignment w:val="top"/>
              <w:rPr>
                <w:rFonts w:ascii="Times New Roman" w:eastAsia="Times New Roman" w:hAnsi="Times New Roman" w:cs="Times New Roman"/>
                <w:b/>
                <w:sz w:val="2"/>
                <w:szCs w:val="2"/>
                <w:lang w:eastAsia="en-AU"/>
              </w:rPr>
            </w:pPr>
            <w:r w:rsidRPr="00C501B4">
              <w:rPr>
                <w:rFonts w:eastAsia="Times New Roman" w:cs="Arial"/>
                <w:b/>
                <w:color w:val="FFFFFF"/>
                <w:sz w:val="18"/>
                <w:szCs w:val="18"/>
                <w:lang w:eastAsia="en-AU"/>
              </w:rPr>
              <w:t>Price to</w:t>
            </w:r>
            <w:r w:rsidRPr="00C501B4">
              <w:rPr>
                <w:rFonts w:eastAsia="Times New Roman" w:cs="Arial"/>
                <w:b/>
                <w:color w:val="FFFFFF"/>
                <w:sz w:val="18"/>
                <w:szCs w:val="18"/>
                <w:lang w:eastAsia="en-AU"/>
              </w:rPr>
              <w:br/>
              <w:t>($/MWh)</w:t>
            </w:r>
          </w:p>
        </w:tc>
        <w:tc>
          <w:tcPr>
            <w:tcW w:w="2052" w:type="dxa"/>
            <w:shd w:val="clear" w:color="auto" w:fill="076A92"/>
            <w:tcMar>
              <w:top w:w="40" w:type="dxa"/>
              <w:left w:w="40" w:type="dxa"/>
              <w:bottom w:w="40" w:type="dxa"/>
              <w:right w:w="40" w:type="dxa"/>
            </w:tcMar>
            <w:hideMark/>
          </w:tcPr>
          <w:p w:rsidR="00973E89" w:rsidRPr="00C501B4" w:rsidRDefault="00973E89" w:rsidP="00A272EB">
            <w:pPr>
              <w:spacing w:before="0" w:line="240" w:lineRule="auto"/>
              <w:jc w:val="center"/>
              <w:textAlignment w:val="top"/>
              <w:rPr>
                <w:rFonts w:eastAsia="Times New Roman" w:cs="Arial"/>
                <w:b/>
                <w:color w:val="FFFFFF"/>
                <w:sz w:val="18"/>
                <w:szCs w:val="18"/>
                <w:lang w:eastAsia="en-AU"/>
              </w:rPr>
            </w:pPr>
            <w:r w:rsidRPr="00C501B4">
              <w:rPr>
                <w:rFonts w:eastAsia="Times New Roman" w:cs="Arial"/>
                <w:b/>
                <w:color w:val="FFFFFF"/>
                <w:sz w:val="18"/>
                <w:szCs w:val="18"/>
                <w:lang w:eastAsia="en-AU"/>
              </w:rPr>
              <w:t>Rebid reason</w:t>
            </w:r>
          </w:p>
        </w:tc>
      </w:tr>
      <w:tr w:rsidR="00973E89" w:rsidRPr="00C501B4" w:rsidTr="00973E89">
        <w:trPr>
          <w:trHeight w:val="582"/>
        </w:trPr>
        <w:tc>
          <w:tcPr>
            <w:tcW w:w="1104" w:type="dxa"/>
            <w:tcBorders>
              <w:bottom w:val="nil"/>
            </w:tcBorders>
            <w:shd w:val="clear" w:color="auto" w:fill="auto"/>
            <w:tcMar>
              <w:top w:w="40" w:type="dxa"/>
              <w:left w:w="40" w:type="dxa"/>
              <w:bottom w:w="40" w:type="dxa"/>
              <w:right w:w="40" w:type="dxa"/>
            </w:tcMar>
            <w:vAlign w:val="center"/>
          </w:tcPr>
          <w:p w:rsidR="00973E89" w:rsidRPr="00C501B4" w:rsidRDefault="00973E89" w:rsidP="00A272EB">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12.30</w:t>
            </w:r>
            <w:r w:rsidRPr="00C501B4">
              <w:rPr>
                <w:rFonts w:eastAsia="Times New Roman" w:cs="Arial"/>
                <w:color w:val="000000"/>
                <w:sz w:val="18"/>
                <w:szCs w:val="18"/>
                <w:lang w:eastAsia="en-AU"/>
              </w:rPr>
              <w:t> pm</w:t>
            </w:r>
          </w:p>
        </w:tc>
        <w:tc>
          <w:tcPr>
            <w:tcW w:w="956" w:type="dxa"/>
            <w:tcBorders>
              <w:bottom w:val="nil"/>
            </w:tcBorders>
            <w:shd w:val="clear" w:color="auto" w:fill="auto"/>
            <w:tcMar>
              <w:top w:w="40" w:type="dxa"/>
              <w:left w:w="40" w:type="dxa"/>
              <w:bottom w:w="40" w:type="dxa"/>
              <w:right w:w="40" w:type="dxa"/>
            </w:tcMar>
            <w:vAlign w:val="center"/>
          </w:tcPr>
          <w:p w:rsidR="00973E89" w:rsidRPr="00C501B4" w:rsidRDefault="00973E89" w:rsidP="00A272EB">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12.4</w:t>
            </w:r>
            <w:r w:rsidRPr="00C501B4">
              <w:rPr>
                <w:rFonts w:eastAsia="Times New Roman" w:cs="Arial"/>
                <w:color w:val="000000"/>
                <w:sz w:val="18"/>
                <w:szCs w:val="18"/>
                <w:lang w:eastAsia="en-AU"/>
              </w:rPr>
              <w:t>0 pm</w:t>
            </w:r>
          </w:p>
        </w:tc>
        <w:tc>
          <w:tcPr>
            <w:tcW w:w="1666" w:type="dxa"/>
            <w:tcBorders>
              <w:bottom w:val="nil"/>
            </w:tcBorders>
            <w:shd w:val="clear" w:color="auto" w:fill="auto"/>
            <w:tcMar>
              <w:top w:w="40" w:type="dxa"/>
              <w:left w:w="40" w:type="dxa"/>
              <w:bottom w:w="40" w:type="dxa"/>
              <w:right w:w="40" w:type="dxa"/>
            </w:tcMar>
            <w:vAlign w:val="center"/>
          </w:tcPr>
          <w:p w:rsidR="00973E89" w:rsidRPr="00C501B4" w:rsidRDefault="00973E89" w:rsidP="00A272EB">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Hydro Tasmania</w:t>
            </w:r>
          </w:p>
        </w:tc>
        <w:tc>
          <w:tcPr>
            <w:tcW w:w="992" w:type="dxa"/>
            <w:tcBorders>
              <w:bottom w:val="nil"/>
            </w:tcBorders>
            <w:shd w:val="clear" w:color="auto" w:fill="auto"/>
            <w:tcMar>
              <w:top w:w="40" w:type="dxa"/>
              <w:left w:w="40" w:type="dxa"/>
              <w:bottom w:w="40" w:type="dxa"/>
              <w:right w:w="40" w:type="dxa"/>
            </w:tcMar>
            <w:vAlign w:val="center"/>
          </w:tcPr>
          <w:p w:rsidR="00973E89" w:rsidRPr="00C501B4" w:rsidRDefault="00973E89" w:rsidP="00A272EB">
            <w:pPr>
              <w:spacing w:before="0" w:line="240" w:lineRule="auto"/>
              <w:textAlignment w:val="center"/>
              <w:rPr>
                <w:rFonts w:eastAsia="Times New Roman" w:cs="Arial"/>
                <w:color w:val="000000"/>
                <w:sz w:val="18"/>
                <w:szCs w:val="18"/>
                <w:lang w:eastAsia="en-AU"/>
              </w:rPr>
            </w:pPr>
            <w:proofErr w:type="spellStart"/>
            <w:r>
              <w:rPr>
                <w:rFonts w:eastAsia="Times New Roman" w:cs="Arial"/>
                <w:color w:val="000000"/>
                <w:sz w:val="18"/>
                <w:szCs w:val="18"/>
                <w:lang w:eastAsia="en-AU"/>
              </w:rPr>
              <w:t>Cethena</w:t>
            </w:r>
            <w:proofErr w:type="spellEnd"/>
          </w:p>
        </w:tc>
        <w:tc>
          <w:tcPr>
            <w:tcW w:w="992" w:type="dxa"/>
            <w:tcBorders>
              <w:bottom w:val="nil"/>
            </w:tcBorders>
            <w:shd w:val="clear" w:color="auto" w:fill="auto"/>
            <w:tcMar>
              <w:top w:w="40" w:type="dxa"/>
              <w:left w:w="40" w:type="dxa"/>
              <w:bottom w:w="40" w:type="dxa"/>
              <w:right w:w="40" w:type="dxa"/>
            </w:tcMar>
            <w:vAlign w:val="center"/>
          </w:tcPr>
          <w:p w:rsidR="00973E89" w:rsidRPr="00C501B4" w:rsidRDefault="00973E89" w:rsidP="00A272EB">
            <w:pPr>
              <w:spacing w:before="0" w:line="240" w:lineRule="auto"/>
              <w:jc w:val="center"/>
              <w:textAlignment w:val="center"/>
              <w:rPr>
                <w:rFonts w:eastAsia="Times New Roman" w:cs="Arial"/>
                <w:color w:val="000000"/>
                <w:sz w:val="18"/>
                <w:szCs w:val="18"/>
                <w:lang w:eastAsia="en-AU"/>
              </w:rPr>
            </w:pPr>
            <w:r w:rsidRPr="00C501B4">
              <w:rPr>
                <w:rFonts w:eastAsia="Times New Roman" w:cs="Arial"/>
                <w:color w:val="000000"/>
                <w:sz w:val="18"/>
                <w:szCs w:val="18"/>
                <w:lang w:eastAsia="en-AU"/>
              </w:rPr>
              <w:t>70</w:t>
            </w:r>
          </w:p>
        </w:tc>
        <w:tc>
          <w:tcPr>
            <w:tcW w:w="851" w:type="dxa"/>
            <w:tcBorders>
              <w:bottom w:val="nil"/>
            </w:tcBorders>
            <w:shd w:val="clear" w:color="auto" w:fill="auto"/>
            <w:tcMar>
              <w:top w:w="40" w:type="dxa"/>
              <w:left w:w="40" w:type="dxa"/>
              <w:bottom w:w="40" w:type="dxa"/>
              <w:right w:w="40" w:type="dxa"/>
            </w:tcMar>
            <w:vAlign w:val="center"/>
          </w:tcPr>
          <w:p w:rsidR="00973E89" w:rsidRPr="00C501B4" w:rsidRDefault="00973E89" w:rsidP="00A272EB">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w:t>
            </w:r>
          </w:p>
        </w:tc>
        <w:tc>
          <w:tcPr>
            <w:tcW w:w="799" w:type="dxa"/>
            <w:tcBorders>
              <w:bottom w:val="nil"/>
            </w:tcBorders>
            <w:shd w:val="clear" w:color="auto" w:fill="auto"/>
            <w:tcMar>
              <w:top w:w="40" w:type="dxa"/>
              <w:left w:w="40" w:type="dxa"/>
              <w:bottom w:w="40" w:type="dxa"/>
              <w:right w:w="40" w:type="dxa"/>
            </w:tcMar>
            <w:vAlign w:val="center"/>
          </w:tcPr>
          <w:p w:rsidR="00973E89" w:rsidRPr="00C501B4" w:rsidRDefault="00973E89" w:rsidP="00A272EB">
            <w:pPr>
              <w:spacing w:before="0" w:line="240" w:lineRule="auto"/>
              <w:jc w:val="center"/>
              <w:textAlignment w:val="center"/>
              <w:rPr>
                <w:rFonts w:eastAsia="Times New Roman" w:cs="Arial"/>
                <w:color w:val="000000"/>
                <w:sz w:val="18"/>
                <w:szCs w:val="18"/>
                <w:lang w:eastAsia="en-AU"/>
              </w:rPr>
            </w:pPr>
            <w:r w:rsidRPr="00C501B4">
              <w:rPr>
                <w:rFonts w:eastAsia="Times New Roman" w:cs="Arial"/>
                <w:color w:val="000000"/>
                <w:sz w:val="18"/>
                <w:szCs w:val="18"/>
                <w:lang w:eastAsia="en-AU"/>
              </w:rPr>
              <w:t>N/A</w:t>
            </w:r>
          </w:p>
        </w:tc>
        <w:tc>
          <w:tcPr>
            <w:tcW w:w="2052" w:type="dxa"/>
            <w:tcBorders>
              <w:bottom w:val="nil"/>
            </w:tcBorders>
            <w:shd w:val="clear" w:color="auto" w:fill="auto"/>
            <w:tcMar>
              <w:top w:w="40" w:type="dxa"/>
              <w:left w:w="40" w:type="dxa"/>
              <w:bottom w:w="40" w:type="dxa"/>
              <w:right w:w="40" w:type="dxa"/>
            </w:tcMar>
            <w:vAlign w:val="center"/>
          </w:tcPr>
          <w:p w:rsidR="00973E89" w:rsidRPr="00C501B4" w:rsidRDefault="00973E89" w:rsidP="00A272EB">
            <w:pPr>
              <w:spacing w:before="0" w:line="240" w:lineRule="auto"/>
              <w:textAlignment w:val="center"/>
              <w:rPr>
                <w:rFonts w:eastAsia="Times New Roman" w:cs="Arial"/>
                <w:color w:val="000000"/>
                <w:sz w:val="18"/>
                <w:szCs w:val="18"/>
                <w:lang w:eastAsia="en-AU"/>
              </w:rPr>
            </w:pPr>
            <w:r>
              <w:rPr>
                <w:rFonts w:cs="Arial"/>
                <w:sz w:val="16"/>
                <w:szCs w:val="16"/>
              </w:rPr>
              <w:t>1230P CHANGE IN OUTAGE SCHEDULE : CETHANA</w:t>
            </w:r>
          </w:p>
        </w:tc>
      </w:tr>
      <w:tr w:rsidR="00973E89" w:rsidRPr="00C501B4" w:rsidTr="00973E89">
        <w:trPr>
          <w:trHeight w:val="582"/>
        </w:trPr>
        <w:tc>
          <w:tcPr>
            <w:tcW w:w="1104" w:type="dxa"/>
            <w:shd w:val="clear" w:color="auto" w:fill="DBE5F1"/>
            <w:tcMar>
              <w:top w:w="40" w:type="dxa"/>
              <w:left w:w="40" w:type="dxa"/>
              <w:bottom w:w="40" w:type="dxa"/>
              <w:right w:w="40" w:type="dxa"/>
            </w:tcMar>
            <w:vAlign w:val="center"/>
            <w:hideMark/>
          </w:tcPr>
          <w:p w:rsidR="00973E89" w:rsidRPr="00C501B4" w:rsidRDefault="00973E89" w:rsidP="004525E9">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12.43</w:t>
            </w:r>
            <w:r w:rsidRPr="00C501B4">
              <w:rPr>
                <w:rFonts w:eastAsia="Times New Roman" w:cs="Arial"/>
                <w:color w:val="000000"/>
                <w:sz w:val="18"/>
                <w:szCs w:val="18"/>
                <w:lang w:eastAsia="en-AU"/>
              </w:rPr>
              <w:t> pm</w:t>
            </w:r>
          </w:p>
        </w:tc>
        <w:tc>
          <w:tcPr>
            <w:tcW w:w="956" w:type="dxa"/>
            <w:shd w:val="clear" w:color="auto" w:fill="DBE5F1"/>
            <w:tcMar>
              <w:top w:w="40" w:type="dxa"/>
              <w:left w:w="40" w:type="dxa"/>
              <w:bottom w:w="40" w:type="dxa"/>
              <w:right w:w="40" w:type="dxa"/>
            </w:tcMar>
            <w:vAlign w:val="center"/>
            <w:hideMark/>
          </w:tcPr>
          <w:p w:rsidR="00973E89" w:rsidRPr="00C501B4" w:rsidRDefault="00973E89" w:rsidP="004525E9">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12.50</w:t>
            </w:r>
            <w:r w:rsidRPr="00C501B4">
              <w:rPr>
                <w:rFonts w:eastAsia="Times New Roman" w:cs="Arial"/>
                <w:color w:val="000000"/>
                <w:sz w:val="18"/>
                <w:szCs w:val="18"/>
                <w:lang w:eastAsia="en-AU"/>
              </w:rPr>
              <w:t> pm</w:t>
            </w:r>
          </w:p>
        </w:tc>
        <w:tc>
          <w:tcPr>
            <w:tcW w:w="1666" w:type="dxa"/>
            <w:shd w:val="clear" w:color="auto" w:fill="DBE5F1"/>
            <w:tcMar>
              <w:top w:w="40" w:type="dxa"/>
              <w:left w:w="40" w:type="dxa"/>
              <w:bottom w:w="40" w:type="dxa"/>
              <w:right w:w="40" w:type="dxa"/>
            </w:tcMar>
            <w:vAlign w:val="center"/>
            <w:hideMark/>
          </w:tcPr>
          <w:p w:rsidR="00973E89" w:rsidRPr="00C501B4" w:rsidRDefault="00973E89" w:rsidP="004525E9">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Hydro Tasmania</w:t>
            </w:r>
          </w:p>
        </w:tc>
        <w:tc>
          <w:tcPr>
            <w:tcW w:w="992" w:type="dxa"/>
            <w:shd w:val="clear" w:color="auto" w:fill="DBE5F1"/>
            <w:tcMar>
              <w:top w:w="40" w:type="dxa"/>
              <w:left w:w="40" w:type="dxa"/>
              <w:bottom w:w="40" w:type="dxa"/>
              <w:right w:w="40" w:type="dxa"/>
            </w:tcMar>
            <w:vAlign w:val="center"/>
            <w:hideMark/>
          </w:tcPr>
          <w:p w:rsidR="00973E89" w:rsidRPr="00C501B4" w:rsidRDefault="00973E89" w:rsidP="004525E9">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Gordon</w:t>
            </w:r>
          </w:p>
        </w:tc>
        <w:tc>
          <w:tcPr>
            <w:tcW w:w="992" w:type="dxa"/>
            <w:shd w:val="clear" w:color="auto" w:fill="DBE5F1"/>
            <w:tcMar>
              <w:top w:w="40" w:type="dxa"/>
              <w:left w:w="40" w:type="dxa"/>
              <w:bottom w:w="40" w:type="dxa"/>
              <w:right w:w="40" w:type="dxa"/>
            </w:tcMar>
            <w:vAlign w:val="center"/>
            <w:hideMark/>
          </w:tcPr>
          <w:p w:rsidR="00973E89" w:rsidRPr="00C501B4" w:rsidRDefault="00973E89" w:rsidP="004525E9">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188</w:t>
            </w:r>
          </w:p>
        </w:tc>
        <w:tc>
          <w:tcPr>
            <w:tcW w:w="851" w:type="dxa"/>
            <w:shd w:val="clear" w:color="auto" w:fill="DBE5F1"/>
            <w:tcMar>
              <w:top w:w="40" w:type="dxa"/>
              <w:left w:w="40" w:type="dxa"/>
              <w:bottom w:w="40" w:type="dxa"/>
              <w:right w:w="40" w:type="dxa"/>
            </w:tcMar>
            <w:vAlign w:val="center"/>
            <w:hideMark/>
          </w:tcPr>
          <w:p w:rsidR="00973E89" w:rsidRPr="00C501B4" w:rsidRDefault="00973E89" w:rsidP="004525E9">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61</w:t>
            </w:r>
          </w:p>
        </w:tc>
        <w:tc>
          <w:tcPr>
            <w:tcW w:w="799" w:type="dxa"/>
            <w:shd w:val="clear" w:color="auto" w:fill="DBE5F1"/>
            <w:tcMar>
              <w:top w:w="40" w:type="dxa"/>
              <w:left w:w="40" w:type="dxa"/>
              <w:bottom w:w="40" w:type="dxa"/>
              <w:right w:w="40" w:type="dxa"/>
            </w:tcMar>
            <w:vAlign w:val="center"/>
            <w:hideMark/>
          </w:tcPr>
          <w:p w:rsidR="00973E89" w:rsidRPr="00C501B4" w:rsidRDefault="00973E89" w:rsidP="004525E9">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306</w:t>
            </w:r>
          </w:p>
        </w:tc>
        <w:tc>
          <w:tcPr>
            <w:tcW w:w="2052" w:type="dxa"/>
            <w:shd w:val="clear" w:color="auto" w:fill="DBE5F1"/>
            <w:tcMar>
              <w:top w:w="40" w:type="dxa"/>
              <w:left w:w="40" w:type="dxa"/>
              <w:bottom w:w="40" w:type="dxa"/>
              <w:right w:w="40" w:type="dxa"/>
            </w:tcMar>
            <w:vAlign w:val="center"/>
            <w:hideMark/>
          </w:tcPr>
          <w:p w:rsidR="00973E89" w:rsidRPr="00C501B4" w:rsidRDefault="00973E89" w:rsidP="004525E9">
            <w:pPr>
              <w:spacing w:before="0" w:line="240" w:lineRule="auto"/>
              <w:textAlignment w:val="center"/>
              <w:rPr>
                <w:rFonts w:eastAsia="Times New Roman" w:cs="Arial"/>
                <w:color w:val="000000"/>
                <w:sz w:val="18"/>
                <w:szCs w:val="18"/>
                <w:lang w:eastAsia="en-AU"/>
              </w:rPr>
            </w:pPr>
            <w:r>
              <w:rPr>
                <w:rFonts w:cs="Arial"/>
                <w:sz w:val="16"/>
                <w:szCs w:val="16"/>
              </w:rPr>
              <w:t>1230A DEMAND LOWER THAN FORECAST: TAS+ENV CNST</w:t>
            </w:r>
          </w:p>
        </w:tc>
      </w:tr>
    </w:tbl>
    <w:p w:rsidR="008E7A66" w:rsidRDefault="00EA46AA" w:rsidP="00B52A51">
      <w:pPr>
        <w:pStyle w:val="AERHeading3"/>
        <w:jc w:val="both"/>
        <w:rPr>
          <w:b w:val="0"/>
          <w:color w:val="000000" w:themeColor="text1"/>
          <w:sz w:val="22"/>
        </w:rPr>
      </w:pPr>
      <w:r>
        <w:rPr>
          <w:b w:val="0"/>
          <w:color w:val="000000" w:themeColor="text1"/>
          <w:sz w:val="22"/>
        </w:rPr>
        <w:t>T</w:t>
      </w:r>
      <w:r w:rsidR="00A61B64">
        <w:rPr>
          <w:b w:val="0"/>
          <w:color w:val="000000" w:themeColor="text1"/>
          <w:sz w:val="22"/>
        </w:rPr>
        <w:t>he 12.</w:t>
      </w:r>
      <w:r w:rsidR="00CA2959">
        <w:rPr>
          <w:b w:val="0"/>
          <w:color w:val="000000" w:themeColor="text1"/>
          <w:sz w:val="22"/>
        </w:rPr>
        <w:t>50 </w:t>
      </w:r>
      <w:r w:rsidR="00A61B64">
        <w:rPr>
          <w:b w:val="0"/>
          <w:color w:val="000000" w:themeColor="text1"/>
          <w:sz w:val="22"/>
        </w:rPr>
        <w:t xml:space="preserve">pm </w:t>
      </w:r>
      <w:r w:rsidR="00CA2959">
        <w:rPr>
          <w:b w:val="0"/>
          <w:color w:val="000000" w:themeColor="text1"/>
          <w:sz w:val="22"/>
        </w:rPr>
        <w:t xml:space="preserve">the </w:t>
      </w:r>
      <w:r w:rsidR="00A61B64">
        <w:rPr>
          <w:b w:val="0"/>
          <w:color w:val="000000" w:themeColor="text1"/>
          <w:sz w:val="22"/>
        </w:rPr>
        <w:t xml:space="preserve">dispatch price </w:t>
      </w:r>
      <w:r>
        <w:rPr>
          <w:b w:val="0"/>
          <w:color w:val="000000" w:themeColor="text1"/>
          <w:sz w:val="22"/>
        </w:rPr>
        <w:t xml:space="preserve">increased </w:t>
      </w:r>
      <w:r w:rsidR="00A61B64">
        <w:rPr>
          <w:b w:val="0"/>
          <w:color w:val="000000" w:themeColor="text1"/>
          <w:sz w:val="22"/>
        </w:rPr>
        <w:t>to $306/MWh</w:t>
      </w:r>
      <w:r>
        <w:rPr>
          <w:b w:val="0"/>
          <w:color w:val="000000" w:themeColor="text1"/>
          <w:sz w:val="22"/>
        </w:rPr>
        <w:t xml:space="preserve"> following a rebid by Hydro Tasmania</w:t>
      </w:r>
      <w:r w:rsidR="00A61B64">
        <w:rPr>
          <w:b w:val="0"/>
          <w:color w:val="000000" w:themeColor="text1"/>
          <w:sz w:val="22"/>
        </w:rPr>
        <w:t>. The dispatch price then rose to $709/MWh at 12.</w:t>
      </w:r>
      <w:r w:rsidR="00CA2959">
        <w:rPr>
          <w:b w:val="0"/>
          <w:color w:val="000000" w:themeColor="text1"/>
          <w:sz w:val="22"/>
        </w:rPr>
        <w:t>55 </w:t>
      </w:r>
      <w:r w:rsidR="00A61B64">
        <w:rPr>
          <w:b w:val="0"/>
          <w:color w:val="000000" w:themeColor="text1"/>
          <w:sz w:val="22"/>
        </w:rPr>
        <w:t>pm</w:t>
      </w:r>
      <w:r w:rsidR="00CA2959">
        <w:rPr>
          <w:b w:val="0"/>
          <w:color w:val="000000" w:themeColor="text1"/>
          <w:sz w:val="22"/>
        </w:rPr>
        <w:t>,</w:t>
      </w:r>
      <w:r w:rsidR="00A61B64">
        <w:rPr>
          <w:b w:val="0"/>
          <w:color w:val="000000" w:themeColor="text1"/>
          <w:sz w:val="22"/>
        </w:rPr>
        <w:t xml:space="preserve"> </w:t>
      </w:r>
      <w:r w:rsidR="00CA2959">
        <w:rPr>
          <w:b w:val="0"/>
          <w:color w:val="000000" w:themeColor="text1"/>
          <w:sz w:val="22"/>
        </w:rPr>
        <w:t xml:space="preserve">as a result of the interaction of Energy and FCAS markets, </w:t>
      </w:r>
      <w:r w:rsidR="00A61B64">
        <w:rPr>
          <w:b w:val="0"/>
          <w:color w:val="000000" w:themeColor="text1"/>
          <w:sz w:val="22"/>
        </w:rPr>
        <w:t>before falling to $306/MWh at 1</w:t>
      </w:r>
      <w:r w:rsidR="00CA2959">
        <w:rPr>
          <w:b w:val="0"/>
          <w:color w:val="000000" w:themeColor="text1"/>
          <w:sz w:val="22"/>
        </w:rPr>
        <w:t> </w:t>
      </w:r>
      <w:r w:rsidR="00A61B64">
        <w:rPr>
          <w:b w:val="0"/>
          <w:color w:val="000000" w:themeColor="text1"/>
          <w:sz w:val="22"/>
        </w:rPr>
        <w:t xml:space="preserve">pm. </w:t>
      </w:r>
    </w:p>
    <w:p w:rsidR="00C322B7" w:rsidRDefault="00C322B7" w:rsidP="00B52A51">
      <w:pPr>
        <w:pStyle w:val="AERHeading3"/>
        <w:jc w:val="both"/>
        <w:rPr>
          <w:b w:val="0"/>
          <w:color w:val="000000" w:themeColor="text1"/>
          <w:sz w:val="22"/>
        </w:rPr>
      </w:pPr>
    </w:p>
    <w:p w:rsidR="00275002" w:rsidRPr="0031019A" w:rsidRDefault="00275002" w:rsidP="005F6ADE">
      <w:pPr>
        <w:pStyle w:val="Heading2"/>
      </w:pPr>
      <w:r w:rsidRPr="0031019A">
        <w:lastRenderedPageBreak/>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E44AC9">
        <w:t xml:space="preserve">Figure </w:t>
      </w:r>
      <w:r w:rsidR="00E44AC9">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r w:rsidR="00034C10">
        <w:fldChar w:fldCharType="begin"/>
      </w:r>
      <w:r w:rsidR="00034C10">
        <w:instrText xml:space="preserve"> REF _Ref435608489 \h </w:instrText>
      </w:r>
      <w:r w:rsidR="00034C10">
        <w:fldChar w:fldCharType="separate"/>
      </w:r>
      <w:r w:rsidR="00E44AC9">
        <w:t xml:space="preserve">Figure </w:t>
      </w:r>
      <w:r w:rsidR="00E44AC9">
        <w:rPr>
          <w:noProof/>
        </w:rPr>
        <w:t>10</w:t>
      </w:r>
      <w:r w:rsidR="00034C10">
        <w:fldChar w:fldCharType="end"/>
      </w:r>
      <w:r w:rsidR="00034C10">
        <w:t xml:space="preserve"> shows the quarterly base contract prices for the preceding week </w:t>
      </w:r>
      <w:r w:rsidR="00034C10" w:rsidRPr="00034C10">
        <w:t>(18 -</w:t>
      </w:r>
      <w:r w:rsidR="00AB73C3">
        <w:t xml:space="preserve"> </w:t>
      </w:r>
      <w:r w:rsidR="00034C10" w:rsidRPr="00034C10">
        <w:t>24 October)</w:t>
      </w:r>
      <w:r w:rsidR="00B275DE">
        <w:t>.  The increase in contract prices out to Q4 2016 is quite dramatic, increasing in most cases between $10/MWh and $15/MWh on the back of a small number of trades.  These graphs highlight the relative paucity of trade in contracts in South Australia to that of the other NEM states.</w:t>
      </w:r>
    </w:p>
    <w:p w:rsidR="00D73D17" w:rsidRDefault="00275002" w:rsidP="00C322B7">
      <w:pPr>
        <w:pStyle w:val="Caption"/>
        <w:spacing w:before="120" w:after="0" w:line="240" w:lineRule="auto"/>
        <w:rPr>
          <w:b w:val="0"/>
          <w:bCs w:val="0"/>
          <w:noProof/>
          <w:lang w:eastAsia="en-AU"/>
        </w:rPr>
      </w:pPr>
      <w:bookmarkStart w:id="20" w:name="_Ref410386540"/>
      <w:r>
        <w:t xml:space="preserve">Figure </w:t>
      </w:r>
      <w:fldSimple w:instr=" SEQ Figure \* ARABIC ">
        <w:r w:rsidR="00E44AC9">
          <w:rPr>
            <w:noProof/>
          </w:rPr>
          <w:t>9</w:t>
        </w:r>
      </w:fldSimple>
      <w:bookmarkEnd w:id="20"/>
      <w:r w:rsidR="002515C3">
        <w:t>:</w:t>
      </w:r>
      <w:r>
        <w:t xml:space="preserve"> </w:t>
      </w:r>
      <w:r w:rsidRPr="007A6ACB">
        <w:t>Quarterly base future prices Q</w:t>
      </w:r>
      <w:r w:rsidR="004B54EA">
        <w:t>4</w:t>
      </w:r>
      <w:r w:rsidRPr="007A6ACB">
        <w:t xml:space="preserve"> 2015 – Q</w:t>
      </w:r>
      <w:r w:rsidR="004B54EA">
        <w:t>3</w:t>
      </w:r>
      <w:r w:rsidRPr="007A6ACB">
        <w:t xml:space="preserve"> 201</w:t>
      </w:r>
      <w:r w:rsidR="00F87EBA">
        <w:t>9</w:t>
      </w:r>
      <w:r w:rsidR="00034C10">
        <w:t xml:space="preserve"> (current week)</w:t>
      </w:r>
    </w:p>
    <w:p w:rsidR="00D73D17" w:rsidRPr="00D73D17" w:rsidRDefault="008B391D" w:rsidP="00C322B7">
      <w:pPr>
        <w:spacing w:before="120" w:line="240" w:lineRule="auto"/>
        <w:rPr>
          <w:lang w:eastAsia="en-AU"/>
        </w:rPr>
      </w:pPr>
      <w:r w:rsidRPr="008B391D">
        <w:rPr>
          <w:noProof/>
          <w:lang w:eastAsia="en-AU"/>
        </w:rPr>
        <w:drawing>
          <wp:inline distT="0" distB="0" distL="0" distR="0" wp14:anchorId="54920CA6" wp14:editId="01FC2F66">
            <wp:extent cx="5731510" cy="2883012"/>
            <wp:effectExtent l="0" t="0" r="2540" b="0"/>
            <wp:docPr id="21" name="Picture 21" descr="Figure 9 shows for all mainland regions the prices for base contracts (and total traded quantities for the week) for each quarter for the next four financial years." title="Figure 9: Quarterly base future prices Q4 2015 – Q3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3012"/>
                    </a:xfrm>
                    <a:prstGeom prst="rect">
                      <a:avLst/>
                    </a:prstGeom>
                    <a:noFill/>
                    <a:ln>
                      <a:noFill/>
                    </a:ln>
                  </pic:spPr>
                </pic:pic>
              </a:graphicData>
            </a:graphic>
          </wp:inline>
        </w:drawing>
      </w:r>
    </w:p>
    <w:p w:rsidR="00275002" w:rsidRPr="00A64EBB" w:rsidRDefault="00275002" w:rsidP="00C322B7">
      <w:pPr>
        <w:pStyle w:val="Caption"/>
        <w:keepNext w:val="0"/>
        <w:spacing w:before="120" w:after="0" w:line="240" w:lineRule="auto"/>
        <w:rPr>
          <w:b w:val="0"/>
          <w:bCs w:val="0"/>
          <w:color w:val="auto"/>
        </w:rPr>
      </w:pPr>
      <w:proofErr w:type="gramStart"/>
      <w:r w:rsidRPr="00A64EBB">
        <w:rPr>
          <w:b w:val="0"/>
          <w:bCs w:val="0"/>
          <w:color w:val="auto"/>
          <w:sz w:val="16"/>
          <w:szCs w:val="16"/>
        </w:rPr>
        <w:t>Source</w:t>
      </w:r>
      <w:r w:rsidR="00F72F41">
        <w:rPr>
          <w:b w:val="0"/>
          <w:bCs w:val="0"/>
          <w:color w:val="auto"/>
          <w:sz w:val="16"/>
          <w:szCs w:val="16"/>
        </w:rPr>
        <w:t>.</w:t>
      </w:r>
      <w:proofErr w:type="gramEnd"/>
      <w:r w:rsidRPr="00A64EBB">
        <w:rPr>
          <w:b w:val="0"/>
          <w:bCs w:val="0"/>
          <w:color w:val="auto"/>
          <w:sz w:val="16"/>
          <w:szCs w:val="16"/>
        </w:rPr>
        <w:t xml:space="preserve"> </w:t>
      </w:r>
      <w:hyperlink r:id="rId21" w:history="1">
        <w:r w:rsidRPr="00A64EBB">
          <w:rPr>
            <w:b w:val="0"/>
            <w:bCs w:val="0"/>
            <w:color w:val="auto"/>
            <w:sz w:val="16"/>
            <w:szCs w:val="16"/>
          </w:rPr>
          <w:t>ASXEnergy.com.au</w:t>
        </w:r>
      </w:hyperlink>
    </w:p>
    <w:p w:rsidR="00034C10" w:rsidRDefault="00034C10" w:rsidP="00034C10">
      <w:pPr>
        <w:pStyle w:val="Caption"/>
      </w:pPr>
      <w:bookmarkStart w:id="21" w:name="_Ref435608489"/>
      <w:r>
        <w:t xml:space="preserve">Figure </w:t>
      </w:r>
      <w:fldSimple w:instr=" SEQ Figure \* ARABIC ">
        <w:r w:rsidR="00E44AC9">
          <w:rPr>
            <w:noProof/>
          </w:rPr>
          <w:t>10</w:t>
        </w:r>
      </w:fldSimple>
      <w:bookmarkEnd w:id="21"/>
      <w:r>
        <w:t xml:space="preserve">: </w:t>
      </w:r>
      <w:r w:rsidRPr="007A6ACB">
        <w:t>Quarterly base future prices Q</w:t>
      </w:r>
      <w:r>
        <w:t>4</w:t>
      </w:r>
      <w:r w:rsidRPr="007A6ACB">
        <w:t xml:space="preserve"> 2015 – Q</w:t>
      </w:r>
      <w:r>
        <w:t>3</w:t>
      </w:r>
      <w:r w:rsidRPr="007A6ACB">
        <w:t xml:space="preserve"> 201</w:t>
      </w:r>
      <w:r>
        <w:t>9 (18 -</w:t>
      </w:r>
      <w:r w:rsidR="00AB73C3">
        <w:t xml:space="preserve"> </w:t>
      </w:r>
      <w:r>
        <w:t>24 October)</w:t>
      </w:r>
    </w:p>
    <w:p w:rsidR="00034C10" w:rsidRPr="00EB456D" w:rsidRDefault="00034C10" w:rsidP="00034C10">
      <w:r w:rsidRPr="00EB456D">
        <w:rPr>
          <w:noProof/>
          <w:lang w:eastAsia="en-AU"/>
        </w:rPr>
        <w:drawing>
          <wp:inline distT="0" distB="0" distL="0" distR="0" wp14:anchorId="70BAC7F4" wp14:editId="4895D82C">
            <wp:extent cx="5732890" cy="2735249"/>
            <wp:effectExtent l="0" t="0" r="1270" b="8255"/>
            <wp:docPr id="12" name="Picture 12" descr="Figure 9 shows for all mainland regions the prices for base contracts (and total traded quantities for the week) for each quarter for the next four financial years." title="Figure 9: Quarterly base future prices Q4 2015 - Q3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734591"/>
                    </a:xfrm>
                    <a:prstGeom prst="rect">
                      <a:avLst/>
                    </a:prstGeom>
                    <a:noFill/>
                    <a:ln>
                      <a:noFill/>
                    </a:ln>
                  </pic:spPr>
                </pic:pic>
              </a:graphicData>
            </a:graphic>
          </wp:inline>
        </w:drawing>
      </w:r>
    </w:p>
    <w:p w:rsidR="00B275DE" w:rsidRPr="00A64EBB" w:rsidRDefault="00B275DE" w:rsidP="00B275DE">
      <w:pPr>
        <w:pStyle w:val="Caption"/>
        <w:keepNext w:val="0"/>
        <w:spacing w:before="120" w:after="0" w:line="240" w:lineRule="auto"/>
        <w:rPr>
          <w:b w:val="0"/>
          <w:bCs w:val="0"/>
          <w:color w:val="auto"/>
        </w:rPr>
      </w:pPr>
      <w:proofErr w:type="gramStart"/>
      <w:r w:rsidRPr="00A64EBB">
        <w:rPr>
          <w:b w:val="0"/>
          <w:bCs w:val="0"/>
          <w:color w:val="auto"/>
          <w:sz w:val="16"/>
          <w:szCs w:val="16"/>
        </w:rPr>
        <w:t>Source</w:t>
      </w:r>
      <w:r>
        <w:rPr>
          <w:b w:val="0"/>
          <w:bCs w:val="0"/>
          <w:color w:val="auto"/>
          <w:sz w:val="16"/>
          <w:szCs w:val="16"/>
        </w:rPr>
        <w:t>.</w:t>
      </w:r>
      <w:proofErr w:type="gramEnd"/>
      <w:r w:rsidRPr="00A64EBB">
        <w:rPr>
          <w:b w:val="0"/>
          <w:bCs w:val="0"/>
          <w:color w:val="auto"/>
          <w:sz w:val="16"/>
          <w:szCs w:val="16"/>
        </w:rPr>
        <w:t xml:space="preserve"> </w:t>
      </w:r>
      <w:hyperlink r:id="rId23" w:history="1">
        <w:r w:rsidRPr="00A64EBB">
          <w:rPr>
            <w:b w:val="0"/>
            <w:bCs w:val="0"/>
            <w:color w:val="auto"/>
            <w:sz w:val="16"/>
            <w:szCs w:val="16"/>
          </w:rPr>
          <w:t>ASXEnergy.com.au</w:t>
        </w:r>
      </w:hyperlink>
    </w:p>
    <w:p w:rsidR="00275002" w:rsidRDefault="00275002" w:rsidP="009A3D22">
      <w:pPr>
        <w:jc w:val="both"/>
      </w:pPr>
      <w:r>
        <w:fldChar w:fldCharType="begin"/>
      </w:r>
      <w:r>
        <w:instrText xml:space="preserve"> REF _Ref410380382 \h </w:instrText>
      </w:r>
      <w:r w:rsidR="009A3D22">
        <w:instrText xml:space="preserve"> \* MERGEFORMAT </w:instrText>
      </w:r>
      <w:r>
        <w:fldChar w:fldCharType="separate"/>
      </w:r>
      <w:r w:rsidR="00E44AC9">
        <w:t xml:space="preserve">Figure </w:t>
      </w:r>
      <w:r w:rsidR="00E44AC9">
        <w:rPr>
          <w:noProof/>
        </w:rPr>
        <w:t>11</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w:t>
      </w:r>
      <w:r w:rsidR="00837F64">
        <w:t xml:space="preserve"> but this week there were trades in South Australian contracts</w:t>
      </w:r>
      <w:r w:rsidR="00B275DE">
        <w:t xml:space="preserve"> and the increase in price over previous weeks is clearly evident</w:t>
      </w:r>
      <w:r w:rsidRPr="0031019A">
        <w:t xml:space="preserve">. </w:t>
      </w:r>
    </w:p>
    <w:p w:rsidR="00275002" w:rsidRDefault="00275002" w:rsidP="000E2946">
      <w:pPr>
        <w:pStyle w:val="Caption"/>
      </w:pPr>
      <w:bookmarkStart w:id="22" w:name="_Ref410380382"/>
      <w:r>
        <w:lastRenderedPageBreak/>
        <w:t xml:space="preserve">Figure </w:t>
      </w:r>
      <w:fldSimple w:instr=" SEQ Figure \* ARABIC ">
        <w:r w:rsidR="00E44AC9">
          <w:rPr>
            <w:noProof/>
          </w:rPr>
          <w:t>11</w:t>
        </w:r>
      </w:fldSimple>
      <w:bookmarkEnd w:id="22"/>
      <w:r w:rsidR="002515C3">
        <w:t>:</w:t>
      </w:r>
      <w:r w:rsidRPr="00DF093A">
        <w:t xml:space="preserve"> Price of Q1 201</w:t>
      </w:r>
      <w:r w:rsidR="00F87EBA">
        <w:t>6</w:t>
      </w:r>
      <w:r w:rsidRPr="00DF093A">
        <w:t xml:space="preserve"> base contracts over the past 10 weeks (and the past 2 years)</w:t>
      </w:r>
    </w:p>
    <w:p w:rsidR="00275002" w:rsidRPr="0031019A" w:rsidRDefault="008B391D" w:rsidP="00544C6F">
      <w:pPr>
        <w:spacing w:before="120" w:line="240" w:lineRule="auto"/>
      </w:pPr>
      <w:r w:rsidRPr="008B391D">
        <w:rPr>
          <w:noProof/>
          <w:lang w:eastAsia="en-AU"/>
        </w:rPr>
        <w:drawing>
          <wp:inline distT="0" distB="0" distL="0" distR="0" wp14:anchorId="7ADD7B1C" wp14:editId="1DC8D47D">
            <wp:extent cx="5724939" cy="2862469"/>
            <wp:effectExtent l="0" t="0" r="0" b="0"/>
            <wp:docPr id="23" name="Picture 23"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title="Figure 10: Price of Q1 2016 base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65754"/>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544C6F">
      <w:pPr>
        <w:pStyle w:val="Source"/>
        <w:spacing w:before="12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6" w:history="1">
        <w:r w:rsidR="00C322B7">
          <w:rPr>
            <w:rStyle w:val="Hyperlink"/>
          </w:rPr>
          <w:t>Industry Statistics</w:t>
        </w:r>
      </w:hyperlink>
      <w:r w:rsidR="00D615F9">
        <w:t xml:space="preserve"> s</w:t>
      </w:r>
      <w:r w:rsidRPr="0031019A">
        <w:t>ection of our website.</w:t>
      </w:r>
    </w:p>
    <w:p w:rsidR="00275002" w:rsidRDefault="008C094A" w:rsidP="009A3D22">
      <w:pPr>
        <w:jc w:val="both"/>
      </w:pPr>
      <w:r>
        <w:fldChar w:fldCharType="begin"/>
      </w:r>
      <w:r>
        <w:instrText xml:space="preserve"> REF _Ref428276233 \h </w:instrText>
      </w:r>
      <w:r>
        <w:fldChar w:fldCharType="separate"/>
      </w:r>
      <w:r w:rsidR="00E44AC9">
        <w:t xml:space="preserve">Figure </w:t>
      </w:r>
      <w:r w:rsidR="00E44AC9">
        <w:rPr>
          <w:noProof/>
        </w:rPr>
        <w:t>12</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0E2946">
      <w:pPr>
        <w:pStyle w:val="Caption"/>
      </w:pPr>
      <w:bookmarkStart w:id="23" w:name="_Ref428276233"/>
      <w:bookmarkStart w:id="24" w:name="_Ref410744936"/>
      <w:r>
        <w:t xml:space="preserve">Figure </w:t>
      </w:r>
      <w:fldSimple w:instr=" SEQ Figure \* ARABIC ">
        <w:r w:rsidR="00E44AC9">
          <w:rPr>
            <w:noProof/>
          </w:rPr>
          <w:t>12</w:t>
        </w:r>
      </w:fldSimple>
      <w:bookmarkEnd w:id="23"/>
      <w:r w:rsidR="002515C3">
        <w:t>:</w:t>
      </w:r>
      <w:r w:rsidRPr="0074419D">
        <w:t xml:space="preserve"> Price of Q1 201</w:t>
      </w:r>
      <w:r w:rsidR="00F87EBA">
        <w:t>6</w:t>
      </w:r>
      <w:r w:rsidRPr="0074419D">
        <w:t xml:space="preserve"> cap contracts over the past 10 weeks (and the past 2 years)</w:t>
      </w:r>
      <w:bookmarkEnd w:id="24"/>
    </w:p>
    <w:p w:rsidR="00275002" w:rsidRPr="0031019A" w:rsidRDefault="008B391D" w:rsidP="00544C6F">
      <w:pPr>
        <w:spacing w:before="120" w:line="240" w:lineRule="auto"/>
      </w:pPr>
      <w:r w:rsidRPr="008B391D">
        <w:rPr>
          <w:noProof/>
          <w:lang w:eastAsia="en-AU"/>
        </w:rPr>
        <w:drawing>
          <wp:inline distT="0" distB="0" distL="0" distR="0" wp14:anchorId="1C28FCB0" wp14:editId="6B72B763">
            <wp:extent cx="5732137" cy="2782956"/>
            <wp:effectExtent l="0" t="0" r="2540" b="0"/>
            <wp:docPr id="25" name="Picture 25" descr="Figure 11 shows how the price for each regional Quarter 1 2016 cap contract has changed over the last 10 weeks (as well as the total number of trades each week). The closing quarter 1 2014 and quarter 1 2015 prices are also shown." title="Figure 11: Price of Q1 2016 cap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2782652"/>
                    </a:xfrm>
                    <a:prstGeom prst="rect">
                      <a:avLst/>
                    </a:prstGeom>
                    <a:noFill/>
                    <a:ln>
                      <a:noFill/>
                    </a:ln>
                  </pic:spPr>
                </pic:pic>
              </a:graphicData>
            </a:graphic>
          </wp:inline>
        </w:drawing>
      </w:r>
    </w:p>
    <w:p w:rsidR="00275002" w:rsidRPr="002A7439" w:rsidRDefault="00275002" w:rsidP="00544C6F">
      <w:pPr>
        <w:pStyle w:val="Source"/>
        <w:spacing w:before="120" w:after="0" w:line="240" w:lineRule="auto"/>
      </w:pPr>
      <w:proofErr w:type="gramStart"/>
      <w:r w:rsidRPr="002A7439">
        <w:t>Source</w:t>
      </w:r>
      <w:r w:rsidR="00F72F41">
        <w:t>.</w:t>
      </w:r>
      <w:proofErr w:type="gramEnd"/>
      <w:r w:rsidRPr="002A7439">
        <w:t xml:space="preserve"> </w:t>
      </w:r>
      <w:hyperlink r:id="rId28" w:history="1">
        <w:r w:rsidRPr="002A7439">
          <w:rPr>
            <w:rStyle w:val="Hyperlink"/>
            <w:color w:val="auto"/>
            <w:sz w:val="16"/>
            <w:u w:val="none"/>
          </w:rPr>
          <w:t>ASXEnergy.com.au</w:t>
        </w:r>
      </w:hyperlink>
    </w:p>
    <w:p w:rsidR="0052344A" w:rsidRPr="00B52A51" w:rsidRDefault="00275002" w:rsidP="0052344A">
      <w:pPr>
        <w:pStyle w:val="Heading4notnumbered"/>
      </w:pPr>
      <w:r w:rsidRPr="0031019A">
        <w:t>Australian Energy Regulator</w:t>
      </w:r>
      <w:r w:rsidR="005B0EF5">
        <w:br/>
      </w:r>
      <w:r w:rsidR="000D383C">
        <w:t>Novembe</w:t>
      </w:r>
      <w:r w:rsidR="00564507">
        <w:t>r</w:t>
      </w:r>
      <w:r w:rsidR="004D5447" w:rsidRPr="0031019A">
        <w:t xml:space="preserve"> </w:t>
      </w:r>
      <w:r w:rsidRPr="0031019A">
        <w:t>2015</w:t>
      </w:r>
    </w:p>
    <w:sectPr w:rsidR="0052344A" w:rsidRPr="00B52A51" w:rsidSect="00B275DE">
      <w:footerReference w:type="even" r:id="rId29"/>
      <w:footerReference w:type="default" r:id="rId30"/>
      <w:footerReference w:type="first" r:id="rId31"/>
      <w:pgSz w:w="11906" w:h="16838"/>
      <w:pgMar w:top="993" w:right="1440" w:bottom="851"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2EB" w:rsidRDefault="00A272EB" w:rsidP="004B4412">
      <w:pPr>
        <w:spacing w:before="0"/>
      </w:pPr>
      <w:r>
        <w:separator/>
      </w:r>
    </w:p>
  </w:endnote>
  <w:endnote w:type="continuationSeparator" w:id="0">
    <w:p w:rsidR="00A272EB" w:rsidRDefault="00A272E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EB" w:rsidRPr="00A91A9E" w:rsidRDefault="00A272E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A272EB" w:rsidRDefault="00A272EB"/>
  <w:p w:rsidR="00A272EB" w:rsidRDefault="00A272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EB" w:rsidRPr="00A94D89" w:rsidRDefault="00A272EB" w:rsidP="009E1AF6">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44AC9">
      <w:rPr>
        <w:rFonts w:cs="Arial"/>
        <w:i/>
        <w:noProof/>
      </w:rPr>
      <w:t>8</w:t>
    </w:r>
    <w:r w:rsidRPr="001F1B78">
      <w:rPr>
        <w:rFonts w:cs="Arial"/>
        <w:i/>
        <w:noProof/>
      </w:rPr>
      <w:fldChar w:fldCharType="end"/>
    </w:r>
    <w:r w:rsidRPr="00F52F00">
      <w:rPr>
        <w:rFonts w:cs="Arial"/>
        <w:i/>
      </w:rPr>
      <w:tab/>
    </w:r>
  </w:p>
  <w:p w:rsidR="00A272EB" w:rsidRPr="009E1AF6" w:rsidRDefault="00A272EB" w:rsidP="009E1A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EB" w:rsidRPr="00A94D89" w:rsidRDefault="00A272EB" w:rsidP="001B4E02">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44AC9">
      <w:rPr>
        <w:rFonts w:cs="Arial"/>
        <w:i/>
        <w:noProof/>
      </w:rPr>
      <w:t>1</w:t>
    </w:r>
    <w:r w:rsidRPr="001F1B78">
      <w:rPr>
        <w:rFonts w:cs="Arial"/>
        <w:i/>
        <w:noProof/>
      </w:rPr>
      <w:fldChar w:fldCharType="end"/>
    </w:r>
    <w:r w:rsidRPr="00F52F00">
      <w:rPr>
        <w:rFonts w:cs="Arial"/>
        <w:i/>
      </w:rPr>
      <w:tab/>
      <w:t xml:space="preserve">AER reference: 39220 – </w:t>
    </w:r>
    <w:r w:rsidR="001F5132" w:rsidRPr="001F5132">
      <w:rPr>
        <w:rFonts w:cs="Arial"/>
        <w:i/>
        <w:szCs w:val="18"/>
      </w:rPr>
      <w:t>D15/167008</w:t>
    </w:r>
  </w:p>
  <w:p w:rsidR="00A272EB" w:rsidRDefault="00A27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2EB" w:rsidRDefault="00A272EB" w:rsidP="004B4412">
      <w:pPr>
        <w:spacing w:before="0"/>
      </w:pPr>
      <w:r>
        <w:separator/>
      </w:r>
    </w:p>
  </w:footnote>
  <w:footnote w:type="continuationSeparator" w:id="0">
    <w:p w:rsidR="00A272EB" w:rsidRDefault="00A272E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2A03C1F"/>
    <w:multiLevelType w:val="hybridMultilevel"/>
    <w:tmpl w:val="58F06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nsid w:val="5C1D16B2"/>
    <w:multiLevelType w:val="hybridMultilevel"/>
    <w:tmpl w:val="E2880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6"/>
  </w:num>
  <w:num w:numId="14">
    <w:abstractNumId w:val="9"/>
  </w:num>
  <w:num w:numId="15">
    <w:abstractNumId w:val="13"/>
  </w:num>
  <w:num w:numId="16">
    <w:abstractNumId w:val="17"/>
  </w:num>
  <w:num w:numId="17">
    <w:abstractNumId w:val="15"/>
  </w:num>
  <w:num w:numId="18">
    <w:abstractNumId w:val="18"/>
  </w:num>
  <w:num w:numId="19">
    <w:abstractNumId w:val="22"/>
  </w:num>
  <w:num w:numId="20">
    <w:abstractNumId w:val="19"/>
  </w:num>
  <w:num w:numId="21">
    <w:abstractNumId w:val="12"/>
  </w:num>
  <w:num w:numId="22">
    <w:abstractNumId w:val="14"/>
  </w:num>
  <w:num w:numId="23">
    <w:abstractNumId w:val="10"/>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rae\Desktop\AER electricity weekly report - 25 – 31 October 2015.docx"/>
  </w:docVars>
  <w:rsids>
    <w:rsidRoot w:val="00275002"/>
    <w:rsid w:val="00003169"/>
    <w:rsid w:val="00007624"/>
    <w:rsid w:val="0001415C"/>
    <w:rsid w:val="000147C1"/>
    <w:rsid w:val="00017DD0"/>
    <w:rsid w:val="00021202"/>
    <w:rsid w:val="00022F09"/>
    <w:rsid w:val="000242E7"/>
    <w:rsid w:val="00024C84"/>
    <w:rsid w:val="00027E26"/>
    <w:rsid w:val="00030794"/>
    <w:rsid w:val="0003093C"/>
    <w:rsid w:val="000316E7"/>
    <w:rsid w:val="00033902"/>
    <w:rsid w:val="00034C10"/>
    <w:rsid w:val="0003564D"/>
    <w:rsid w:val="0003578C"/>
    <w:rsid w:val="00035C67"/>
    <w:rsid w:val="000377F7"/>
    <w:rsid w:val="00040E4C"/>
    <w:rsid w:val="00043FA7"/>
    <w:rsid w:val="000442BA"/>
    <w:rsid w:val="000452BA"/>
    <w:rsid w:val="00051880"/>
    <w:rsid w:val="0005282C"/>
    <w:rsid w:val="000528FD"/>
    <w:rsid w:val="00061869"/>
    <w:rsid w:val="00061CE2"/>
    <w:rsid w:val="00063247"/>
    <w:rsid w:val="00066157"/>
    <w:rsid w:val="00070F9F"/>
    <w:rsid w:val="0007137B"/>
    <w:rsid w:val="000717BC"/>
    <w:rsid w:val="00074A4E"/>
    <w:rsid w:val="000766E2"/>
    <w:rsid w:val="00077616"/>
    <w:rsid w:val="00085663"/>
    <w:rsid w:val="00085EBF"/>
    <w:rsid w:val="00086CF3"/>
    <w:rsid w:val="00087C4A"/>
    <w:rsid w:val="0009584C"/>
    <w:rsid w:val="000A1017"/>
    <w:rsid w:val="000A29ED"/>
    <w:rsid w:val="000A62D6"/>
    <w:rsid w:val="000A6F14"/>
    <w:rsid w:val="000B0149"/>
    <w:rsid w:val="000B0311"/>
    <w:rsid w:val="000B3C8A"/>
    <w:rsid w:val="000B518D"/>
    <w:rsid w:val="000D122C"/>
    <w:rsid w:val="000D383C"/>
    <w:rsid w:val="000D3C77"/>
    <w:rsid w:val="000D68C5"/>
    <w:rsid w:val="000E1819"/>
    <w:rsid w:val="000E1A1B"/>
    <w:rsid w:val="000E2946"/>
    <w:rsid w:val="000E4F81"/>
    <w:rsid w:val="000E6C72"/>
    <w:rsid w:val="000E77BB"/>
    <w:rsid w:val="000E7E24"/>
    <w:rsid w:val="000F1D61"/>
    <w:rsid w:val="000F56F6"/>
    <w:rsid w:val="000F5855"/>
    <w:rsid w:val="000F6FA7"/>
    <w:rsid w:val="00100142"/>
    <w:rsid w:val="00105CDA"/>
    <w:rsid w:val="001066F1"/>
    <w:rsid w:val="001123CF"/>
    <w:rsid w:val="001158FE"/>
    <w:rsid w:val="00116EB2"/>
    <w:rsid w:val="00117741"/>
    <w:rsid w:val="00124609"/>
    <w:rsid w:val="00125112"/>
    <w:rsid w:val="00125F4F"/>
    <w:rsid w:val="00127CAB"/>
    <w:rsid w:val="001337EF"/>
    <w:rsid w:val="00133FC8"/>
    <w:rsid w:val="00136716"/>
    <w:rsid w:val="00136A08"/>
    <w:rsid w:val="001373F1"/>
    <w:rsid w:val="00140E51"/>
    <w:rsid w:val="00142214"/>
    <w:rsid w:val="0014511E"/>
    <w:rsid w:val="00145982"/>
    <w:rsid w:val="001472B8"/>
    <w:rsid w:val="00151F61"/>
    <w:rsid w:val="0015451B"/>
    <w:rsid w:val="00155113"/>
    <w:rsid w:val="001566F6"/>
    <w:rsid w:val="001573E4"/>
    <w:rsid w:val="00160756"/>
    <w:rsid w:val="00163E4E"/>
    <w:rsid w:val="00164FB1"/>
    <w:rsid w:val="001654FA"/>
    <w:rsid w:val="001711CC"/>
    <w:rsid w:val="0017232E"/>
    <w:rsid w:val="00174102"/>
    <w:rsid w:val="00180157"/>
    <w:rsid w:val="00181AB6"/>
    <w:rsid w:val="00181C46"/>
    <w:rsid w:val="001832C7"/>
    <w:rsid w:val="001849E9"/>
    <w:rsid w:val="00186F77"/>
    <w:rsid w:val="001901A4"/>
    <w:rsid w:val="00191C6F"/>
    <w:rsid w:val="00192441"/>
    <w:rsid w:val="001926A4"/>
    <w:rsid w:val="00193ED7"/>
    <w:rsid w:val="001B0C3B"/>
    <w:rsid w:val="001B45A0"/>
    <w:rsid w:val="001B4E02"/>
    <w:rsid w:val="001B6C15"/>
    <w:rsid w:val="001C027D"/>
    <w:rsid w:val="001C17B3"/>
    <w:rsid w:val="001C1BC0"/>
    <w:rsid w:val="001C2EE8"/>
    <w:rsid w:val="001C72F8"/>
    <w:rsid w:val="001C792A"/>
    <w:rsid w:val="001D055E"/>
    <w:rsid w:val="001D0CE3"/>
    <w:rsid w:val="001E01B4"/>
    <w:rsid w:val="001E14C2"/>
    <w:rsid w:val="001E4665"/>
    <w:rsid w:val="001E48B3"/>
    <w:rsid w:val="001E5AEE"/>
    <w:rsid w:val="001F03EF"/>
    <w:rsid w:val="001F0EC9"/>
    <w:rsid w:val="001F1B78"/>
    <w:rsid w:val="001F492E"/>
    <w:rsid w:val="001F5132"/>
    <w:rsid w:val="001F6DA3"/>
    <w:rsid w:val="001F7575"/>
    <w:rsid w:val="001F7677"/>
    <w:rsid w:val="0020098D"/>
    <w:rsid w:val="00201136"/>
    <w:rsid w:val="00203300"/>
    <w:rsid w:val="0020376D"/>
    <w:rsid w:val="0020489F"/>
    <w:rsid w:val="002050F5"/>
    <w:rsid w:val="002072A2"/>
    <w:rsid w:val="00212D2F"/>
    <w:rsid w:val="00213CF6"/>
    <w:rsid w:val="00214FBA"/>
    <w:rsid w:val="00216865"/>
    <w:rsid w:val="00216A93"/>
    <w:rsid w:val="00224DB9"/>
    <w:rsid w:val="002276F0"/>
    <w:rsid w:val="00227C97"/>
    <w:rsid w:val="00232A71"/>
    <w:rsid w:val="0023776A"/>
    <w:rsid w:val="002515C3"/>
    <w:rsid w:val="00251745"/>
    <w:rsid w:val="00251C37"/>
    <w:rsid w:val="00262F65"/>
    <w:rsid w:val="00263AC0"/>
    <w:rsid w:val="002649D2"/>
    <w:rsid w:val="002649D8"/>
    <w:rsid w:val="00265486"/>
    <w:rsid w:val="0026772D"/>
    <w:rsid w:val="00270A51"/>
    <w:rsid w:val="00270DD5"/>
    <w:rsid w:val="00275002"/>
    <w:rsid w:val="00275927"/>
    <w:rsid w:val="0028440E"/>
    <w:rsid w:val="00286874"/>
    <w:rsid w:val="0029246F"/>
    <w:rsid w:val="00294838"/>
    <w:rsid w:val="00296B65"/>
    <w:rsid w:val="002A3CF2"/>
    <w:rsid w:val="002A7439"/>
    <w:rsid w:val="002A7DEF"/>
    <w:rsid w:val="002B0DAE"/>
    <w:rsid w:val="002C581B"/>
    <w:rsid w:val="002C6DD3"/>
    <w:rsid w:val="002D1734"/>
    <w:rsid w:val="002D37FB"/>
    <w:rsid w:val="002D484E"/>
    <w:rsid w:val="002D4A1F"/>
    <w:rsid w:val="002D5364"/>
    <w:rsid w:val="002E4587"/>
    <w:rsid w:val="002E6254"/>
    <w:rsid w:val="002F2675"/>
    <w:rsid w:val="002F7986"/>
    <w:rsid w:val="003061FA"/>
    <w:rsid w:val="00307F6D"/>
    <w:rsid w:val="003153EB"/>
    <w:rsid w:val="00317182"/>
    <w:rsid w:val="003177A2"/>
    <w:rsid w:val="00321853"/>
    <w:rsid w:val="003271B5"/>
    <w:rsid w:val="00331264"/>
    <w:rsid w:val="003328B9"/>
    <w:rsid w:val="00332F5D"/>
    <w:rsid w:val="00334C8D"/>
    <w:rsid w:val="00336149"/>
    <w:rsid w:val="00336D50"/>
    <w:rsid w:val="0033768E"/>
    <w:rsid w:val="003401B9"/>
    <w:rsid w:val="00341169"/>
    <w:rsid w:val="00342870"/>
    <w:rsid w:val="00343189"/>
    <w:rsid w:val="003518B3"/>
    <w:rsid w:val="00352DA8"/>
    <w:rsid w:val="00354887"/>
    <w:rsid w:val="00360D41"/>
    <w:rsid w:val="00362735"/>
    <w:rsid w:val="00363FB3"/>
    <w:rsid w:val="00366515"/>
    <w:rsid w:val="003714C6"/>
    <w:rsid w:val="00371F3A"/>
    <w:rsid w:val="003754D0"/>
    <w:rsid w:val="00375B90"/>
    <w:rsid w:val="003846F1"/>
    <w:rsid w:val="00384A55"/>
    <w:rsid w:val="00384B54"/>
    <w:rsid w:val="00386C86"/>
    <w:rsid w:val="00395B4C"/>
    <w:rsid w:val="003A0810"/>
    <w:rsid w:val="003A3E2D"/>
    <w:rsid w:val="003A41E0"/>
    <w:rsid w:val="003A7DC0"/>
    <w:rsid w:val="003B6F90"/>
    <w:rsid w:val="003C24A9"/>
    <w:rsid w:val="003C2B22"/>
    <w:rsid w:val="003C3C98"/>
    <w:rsid w:val="003C62E9"/>
    <w:rsid w:val="003C7EFA"/>
    <w:rsid w:val="003D2093"/>
    <w:rsid w:val="003E1341"/>
    <w:rsid w:val="003E47DC"/>
    <w:rsid w:val="003E5574"/>
    <w:rsid w:val="003E78A9"/>
    <w:rsid w:val="003F0289"/>
    <w:rsid w:val="003F54CB"/>
    <w:rsid w:val="003F57F1"/>
    <w:rsid w:val="003F75C8"/>
    <w:rsid w:val="00402142"/>
    <w:rsid w:val="00403473"/>
    <w:rsid w:val="00405B42"/>
    <w:rsid w:val="00411897"/>
    <w:rsid w:val="00412176"/>
    <w:rsid w:val="00414488"/>
    <w:rsid w:val="00415788"/>
    <w:rsid w:val="004157C0"/>
    <w:rsid w:val="00416641"/>
    <w:rsid w:val="00440D85"/>
    <w:rsid w:val="00456C20"/>
    <w:rsid w:val="00462CFF"/>
    <w:rsid w:val="00471E68"/>
    <w:rsid w:val="00480B4B"/>
    <w:rsid w:val="004831F8"/>
    <w:rsid w:val="00485752"/>
    <w:rsid w:val="00485DC4"/>
    <w:rsid w:val="00492A06"/>
    <w:rsid w:val="00493B02"/>
    <w:rsid w:val="00493B74"/>
    <w:rsid w:val="0049744A"/>
    <w:rsid w:val="00497975"/>
    <w:rsid w:val="004B1045"/>
    <w:rsid w:val="004B104F"/>
    <w:rsid w:val="004B3505"/>
    <w:rsid w:val="004B4412"/>
    <w:rsid w:val="004B4786"/>
    <w:rsid w:val="004B54EA"/>
    <w:rsid w:val="004C348C"/>
    <w:rsid w:val="004C515B"/>
    <w:rsid w:val="004C63B9"/>
    <w:rsid w:val="004C6C5B"/>
    <w:rsid w:val="004C7FC1"/>
    <w:rsid w:val="004D5447"/>
    <w:rsid w:val="004D55BA"/>
    <w:rsid w:val="004E1E95"/>
    <w:rsid w:val="004E34E7"/>
    <w:rsid w:val="004E7D10"/>
    <w:rsid w:val="004F18F3"/>
    <w:rsid w:val="004F2E2D"/>
    <w:rsid w:val="004F4B4B"/>
    <w:rsid w:val="004F6ED0"/>
    <w:rsid w:val="004F74D0"/>
    <w:rsid w:val="00502843"/>
    <w:rsid w:val="005177C0"/>
    <w:rsid w:val="00522486"/>
    <w:rsid w:val="00522668"/>
    <w:rsid w:val="0052344A"/>
    <w:rsid w:val="005279B6"/>
    <w:rsid w:val="00530128"/>
    <w:rsid w:val="00532467"/>
    <w:rsid w:val="0053491C"/>
    <w:rsid w:val="00535DD4"/>
    <w:rsid w:val="00543945"/>
    <w:rsid w:val="00543BEC"/>
    <w:rsid w:val="00544C6F"/>
    <w:rsid w:val="00547DC4"/>
    <w:rsid w:val="005502E7"/>
    <w:rsid w:val="00551D05"/>
    <w:rsid w:val="00555667"/>
    <w:rsid w:val="00556B64"/>
    <w:rsid w:val="005575B9"/>
    <w:rsid w:val="00562CEE"/>
    <w:rsid w:val="00564507"/>
    <w:rsid w:val="00564A4D"/>
    <w:rsid w:val="005656E2"/>
    <w:rsid w:val="005707D4"/>
    <w:rsid w:val="00571680"/>
    <w:rsid w:val="00571B35"/>
    <w:rsid w:val="00572D20"/>
    <w:rsid w:val="00574241"/>
    <w:rsid w:val="00575C43"/>
    <w:rsid w:val="005772D2"/>
    <w:rsid w:val="00577A09"/>
    <w:rsid w:val="00577F68"/>
    <w:rsid w:val="005819F3"/>
    <w:rsid w:val="00582446"/>
    <w:rsid w:val="00584D8F"/>
    <w:rsid w:val="00585F36"/>
    <w:rsid w:val="00595ED0"/>
    <w:rsid w:val="005A1339"/>
    <w:rsid w:val="005A404D"/>
    <w:rsid w:val="005B0461"/>
    <w:rsid w:val="005B0EF5"/>
    <w:rsid w:val="005B1E3C"/>
    <w:rsid w:val="005B7F8F"/>
    <w:rsid w:val="005C26CC"/>
    <w:rsid w:val="005C3411"/>
    <w:rsid w:val="005C3D54"/>
    <w:rsid w:val="005C3DEC"/>
    <w:rsid w:val="005C532D"/>
    <w:rsid w:val="005C546A"/>
    <w:rsid w:val="005C592F"/>
    <w:rsid w:val="005C5E72"/>
    <w:rsid w:val="005D22D7"/>
    <w:rsid w:val="005D2FBD"/>
    <w:rsid w:val="005D69AF"/>
    <w:rsid w:val="005E0B7E"/>
    <w:rsid w:val="005E6B50"/>
    <w:rsid w:val="005E6FFA"/>
    <w:rsid w:val="005F6ADE"/>
    <w:rsid w:val="005F7247"/>
    <w:rsid w:val="00603914"/>
    <w:rsid w:val="00604DB6"/>
    <w:rsid w:val="00607BA0"/>
    <w:rsid w:val="00612006"/>
    <w:rsid w:val="00613324"/>
    <w:rsid w:val="00613DEC"/>
    <w:rsid w:val="006146F0"/>
    <w:rsid w:val="00615619"/>
    <w:rsid w:val="00615C6B"/>
    <w:rsid w:val="00616CEC"/>
    <w:rsid w:val="00620B1B"/>
    <w:rsid w:val="00621545"/>
    <w:rsid w:val="0062525D"/>
    <w:rsid w:val="00627B2D"/>
    <w:rsid w:val="0063066D"/>
    <w:rsid w:val="00630A15"/>
    <w:rsid w:val="00631560"/>
    <w:rsid w:val="006319C1"/>
    <w:rsid w:val="00632D6D"/>
    <w:rsid w:val="0063567F"/>
    <w:rsid w:val="00636936"/>
    <w:rsid w:val="00642C3E"/>
    <w:rsid w:val="006471D4"/>
    <w:rsid w:val="00647804"/>
    <w:rsid w:val="0065049E"/>
    <w:rsid w:val="00651005"/>
    <w:rsid w:val="0065226B"/>
    <w:rsid w:val="006569A5"/>
    <w:rsid w:val="00661F88"/>
    <w:rsid w:val="00663DAD"/>
    <w:rsid w:val="00673D15"/>
    <w:rsid w:val="00676679"/>
    <w:rsid w:val="00676EA4"/>
    <w:rsid w:val="006777D7"/>
    <w:rsid w:val="00687AA8"/>
    <w:rsid w:val="00690B70"/>
    <w:rsid w:val="00694FD6"/>
    <w:rsid w:val="006A6EDD"/>
    <w:rsid w:val="006B0C7B"/>
    <w:rsid w:val="006B4CF9"/>
    <w:rsid w:val="006B7AC8"/>
    <w:rsid w:val="006C196C"/>
    <w:rsid w:val="006C1E8B"/>
    <w:rsid w:val="006C447D"/>
    <w:rsid w:val="006C7D78"/>
    <w:rsid w:val="006D3561"/>
    <w:rsid w:val="006D550F"/>
    <w:rsid w:val="006D5B9F"/>
    <w:rsid w:val="006D7923"/>
    <w:rsid w:val="006E1E7D"/>
    <w:rsid w:val="006F3750"/>
    <w:rsid w:val="006F393C"/>
    <w:rsid w:val="006F3FCB"/>
    <w:rsid w:val="006F4C38"/>
    <w:rsid w:val="006F7EB4"/>
    <w:rsid w:val="00700DAB"/>
    <w:rsid w:val="00701CAB"/>
    <w:rsid w:val="00707011"/>
    <w:rsid w:val="00707563"/>
    <w:rsid w:val="00710BEE"/>
    <w:rsid w:val="00712D03"/>
    <w:rsid w:val="007146A5"/>
    <w:rsid w:val="00720AB2"/>
    <w:rsid w:val="0072348C"/>
    <w:rsid w:val="007247EC"/>
    <w:rsid w:val="00724827"/>
    <w:rsid w:val="00724A37"/>
    <w:rsid w:val="00724BF3"/>
    <w:rsid w:val="007303C3"/>
    <w:rsid w:val="00731F13"/>
    <w:rsid w:val="00733680"/>
    <w:rsid w:val="00740D11"/>
    <w:rsid w:val="00741763"/>
    <w:rsid w:val="00741D03"/>
    <w:rsid w:val="00743223"/>
    <w:rsid w:val="00746063"/>
    <w:rsid w:val="00746E01"/>
    <w:rsid w:val="00747D2F"/>
    <w:rsid w:val="00751821"/>
    <w:rsid w:val="00751869"/>
    <w:rsid w:val="007532DD"/>
    <w:rsid w:val="00753ADA"/>
    <w:rsid w:val="0075453A"/>
    <w:rsid w:val="00760FD8"/>
    <w:rsid w:val="00762D41"/>
    <w:rsid w:val="00763E5D"/>
    <w:rsid w:val="00764C7F"/>
    <w:rsid w:val="00767740"/>
    <w:rsid w:val="00772A95"/>
    <w:rsid w:val="00777EE6"/>
    <w:rsid w:val="00780452"/>
    <w:rsid w:val="00781A01"/>
    <w:rsid w:val="00782EEA"/>
    <w:rsid w:val="00784059"/>
    <w:rsid w:val="0078423F"/>
    <w:rsid w:val="00784A7E"/>
    <w:rsid w:val="0079277A"/>
    <w:rsid w:val="00792938"/>
    <w:rsid w:val="007A1428"/>
    <w:rsid w:val="007A1AB0"/>
    <w:rsid w:val="007A33E8"/>
    <w:rsid w:val="007B1732"/>
    <w:rsid w:val="007B2C72"/>
    <w:rsid w:val="007B3F68"/>
    <w:rsid w:val="007C1C53"/>
    <w:rsid w:val="007C2EE8"/>
    <w:rsid w:val="007C4C33"/>
    <w:rsid w:val="007C62FE"/>
    <w:rsid w:val="007C7E9F"/>
    <w:rsid w:val="007D2028"/>
    <w:rsid w:val="007D53A8"/>
    <w:rsid w:val="007D6FC9"/>
    <w:rsid w:val="007E1516"/>
    <w:rsid w:val="007E1BD5"/>
    <w:rsid w:val="007E3318"/>
    <w:rsid w:val="007E4904"/>
    <w:rsid w:val="007E4CB5"/>
    <w:rsid w:val="007E5597"/>
    <w:rsid w:val="007E796F"/>
    <w:rsid w:val="007F066B"/>
    <w:rsid w:val="007F0AB6"/>
    <w:rsid w:val="007F0F77"/>
    <w:rsid w:val="007F2BBD"/>
    <w:rsid w:val="007F475F"/>
    <w:rsid w:val="007F54CC"/>
    <w:rsid w:val="008033C4"/>
    <w:rsid w:val="00806C88"/>
    <w:rsid w:val="00807A5C"/>
    <w:rsid w:val="0081034E"/>
    <w:rsid w:val="0081253D"/>
    <w:rsid w:val="00812E7B"/>
    <w:rsid w:val="00813CE4"/>
    <w:rsid w:val="008238B2"/>
    <w:rsid w:val="00826DA1"/>
    <w:rsid w:val="008344B4"/>
    <w:rsid w:val="008344F6"/>
    <w:rsid w:val="00834687"/>
    <w:rsid w:val="0083510F"/>
    <w:rsid w:val="008366CD"/>
    <w:rsid w:val="00837F64"/>
    <w:rsid w:val="00840C6C"/>
    <w:rsid w:val="008426FD"/>
    <w:rsid w:val="00847ED9"/>
    <w:rsid w:val="00851209"/>
    <w:rsid w:val="0085188E"/>
    <w:rsid w:val="00852B3D"/>
    <w:rsid w:val="00857917"/>
    <w:rsid w:val="008606A6"/>
    <w:rsid w:val="00861AED"/>
    <w:rsid w:val="008624D6"/>
    <w:rsid w:val="00867506"/>
    <w:rsid w:val="00867F2A"/>
    <w:rsid w:val="00870903"/>
    <w:rsid w:val="0087280A"/>
    <w:rsid w:val="00873B1F"/>
    <w:rsid w:val="008837AC"/>
    <w:rsid w:val="00884D30"/>
    <w:rsid w:val="00886BAB"/>
    <w:rsid w:val="00886CEC"/>
    <w:rsid w:val="00887EBF"/>
    <w:rsid w:val="008921BB"/>
    <w:rsid w:val="008A4DB6"/>
    <w:rsid w:val="008A587D"/>
    <w:rsid w:val="008A6198"/>
    <w:rsid w:val="008A7580"/>
    <w:rsid w:val="008B00E9"/>
    <w:rsid w:val="008B391D"/>
    <w:rsid w:val="008B416B"/>
    <w:rsid w:val="008B6DA5"/>
    <w:rsid w:val="008C094A"/>
    <w:rsid w:val="008C1D7C"/>
    <w:rsid w:val="008C1FE0"/>
    <w:rsid w:val="008C5486"/>
    <w:rsid w:val="008C6B16"/>
    <w:rsid w:val="008E1E8E"/>
    <w:rsid w:val="008E535A"/>
    <w:rsid w:val="008E6CAE"/>
    <w:rsid w:val="008E7031"/>
    <w:rsid w:val="008E7A66"/>
    <w:rsid w:val="008F6FC7"/>
    <w:rsid w:val="008F781F"/>
    <w:rsid w:val="0090239D"/>
    <w:rsid w:val="009057E0"/>
    <w:rsid w:val="00911236"/>
    <w:rsid w:val="009130D3"/>
    <w:rsid w:val="00914975"/>
    <w:rsid w:val="00914A87"/>
    <w:rsid w:val="00915BFF"/>
    <w:rsid w:val="00922ACF"/>
    <w:rsid w:val="009233EE"/>
    <w:rsid w:val="0092422F"/>
    <w:rsid w:val="00925640"/>
    <w:rsid w:val="009335AE"/>
    <w:rsid w:val="00933B55"/>
    <w:rsid w:val="009377D8"/>
    <w:rsid w:val="00942DD0"/>
    <w:rsid w:val="00952CF7"/>
    <w:rsid w:val="009569F4"/>
    <w:rsid w:val="00956C19"/>
    <w:rsid w:val="00957591"/>
    <w:rsid w:val="0095772E"/>
    <w:rsid w:val="00960AC5"/>
    <w:rsid w:val="009661DE"/>
    <w:rsid w:val="009729F8"/>
    <w:rsid w:val="00972A40"/>
    <w:rsid w:val="00973E89"/>
    <w:rsid w:val="00977521"/>
    <w:rsid w:val="00981578"/>
    <w:rsid w:val="00982FEB"/>
    <w:rsid w:val="009837D1"/>
    <w:rsid w:val="00983EEC"/>
    <w:rsid w:val="009856B7"/>
    <w:rsid w:val="009856DF"/>
    <w:rsid w:val="00985A66"/>
    <w:rsid w:val="00990874"/>
    <w:rsid w:val="009928BC"/>
    <w:rsid w:val="00996A78"/>
    <w:rsid w:val="00996B87"/>
    <w:rsid w:val="009A3D22"/>
    <w:rsid w:val="009A6D69"/>
    <w:rsid w:val="009B0884"/>
    <w:rsid w:val="009B21F2"/>
    <w:rsid w:val="009B4E65"/>
    <w:rsid w:val="009B533B"/>
    <w:rsid w:val="009B6644"/>
    <w:rsid w:val="009B69AA"/>
    <w:rsid w:val="009B74B0"/>
    <w:rsid w:val="009B7A3C"/>
    <w:rsid w:val="009C6A83"/>
    <w:rsid w:val="009D1302"/>
    <w:rsid w:val="009D3016"/>
    <w:rsid w:val="009D3151"/>
    <w:rsid w:val="009D6B46"/>
    <w:rsid w:val="009E1AF6"/>
    <w:rsid w:val="009E6668"/>
    <w:rsid w:val="009E7749"/>
    <w:rsid w:val="009E7AC6"/>
    <w:rsid w:val="009E7D2D"/>
    <w:rsid w:val="009F1B45"/>
    <w:rsid w:val="009F1D03"/>
    <w:rsid w:val="009F1E42"/>
    <w:rsid w:val="009F4806"/>
    <w:rsid w:val="009F4940"/>
    <w:rsid w:val="00A03C9E"/>
    <w:rsid w:val="00A041F4"/>
    <w:rsid w:val="00A04F9F"/>
    <w:rsid w:val="00A10939"/>
    <w:rsid w:val="00A159BF"/>
    <w:rsid w:val="00A22BEE"/>
    <w:rsid w:val="00A2302C"/>
    <w:rsid w:val="00A272EB"/>
    <w:rsid w:val="00A34B8C"/>
    <w:rsid w:val="00A3632A"/>
    <w:rsid w:val="00A4478A"/>
    <w:rsid w:val="00A44852"/>
    <w:rsid w:val="00A47A82"/>
    <w:rsid w:val="00A52A18"/>
    <w:rsid w:val="00A57D04"/>
    <w:rsid w:val="00A57D69"/>
    <w:rsid w:val="00A60A26"/>
    <w:rsid w:val="00A61598"/>
    <w:rsid w:val="00A61B64"/>
    <w:rsid w:val="00A64EBB"/>
    <w:rsid w:val="00A67D14"/>
    <w:rsid w:val="00A700B5"/>
    <w:rsid w:val="00A71AA6"/>
    <w:rsid w:val="00A75AAA"/>
    <w:rsid w:val="00A81EF8"/>
    <w:rsid w:val="00A84E2D"/>
    <w:rsid w:val="00A84F46"/>
    <w:rsid w:val="00A871F4"/>
    <w:rsid w:val="00A91A4B"/>
    <w:rsid w:val="00A923DD"/>
    <w:rsid w:val="00A94D89"/>
    <w:rsid w:val="00AA0CEB"/>
    <w:rsid w:val="00AA476F"/>
    <w:rsid w:val="00AA649A"/>
    <w:rsid w:val="00AB6478"/>
    <w:rsid w:val="00AB73C3"/>
    <w:rsid w:val="00AC0FE9"/>
    <w:rsid w:val="00AC1B2C"/>
    <w:rsid w:val="00AC1CF3"/>
    <w:rsid w:val="00AC3264"/>
    <w:rsid w:val="00AC79B7"/>
    <w:rsid w:val="00AD592F"/>
    <w:rsid w:val="00AE0399"/>
    <w:rsid w:val="00AE1BF1"/>
    <w:rsid w:val="00AF0DD2"/>
    <w:rsid w:val="00AF46F3"/>
    <w:rsid w:val="00AF66A7"/>
    <w:rsid w:val="00AF7058"/>
    <w:rsid w:val="00B0517B"/>
    <w:rsid w:val="00B057C8"/>
    <w:rsid w:val="00B109DD"/>
    <w:rsid w:val="00B11C09"/>
    <w:rsid w:val="00B1285B"/>
    <w:rsid w:val="00B13009"/>
    <w:rsid w:val="00B13048"/>
    <w:rsid w:val="00B14CE4"/>
    <w:rsid w:val="00B15121"/>
    <w:rsid w:val="00B1716D"/>
    <w:rsid w:val="00B17A1D"/>
    <w:rsid w:val="00B207A0"/>
    <w:rsid w:val="00B26AAA"/>
    <w:rsid w:val="00B275DE"/>
    <w:rsid w:val="00B31071"/>
    <w:rsid w:val="00B35810"/>
    <w:rsid w:val="00B4128D"/>
    <w:rsid w:val="00B41686"/>
    <w:rsid w:val="00B41B7F"/>
    <w:rsid w:val="00B44E99"/>
    <w:rsid w:val="00B47411"/>
    <w:rsid w:val="00B52A51"/>
    <w:rsid w:val="00B56E03"/>
    <w:rsid w:val="00B6084D"/>
    <w:rsid w:val="00B63E2C"/>
    <w:rsid w:val="00B65CAC"/>
    <w:rsid w:val="00B674DC"/>
    <w:rsid w:val="00B70CA5"/>
    <w:rsid w:val="00B752C5"/>
    <w:rsid w:val="00B8080B"/>
    <w:rsid w:val="00B85D8A"/>
    <w:rsid w:val="00B87C39"/>
    <w:rsid w:val="00B87DD6"/>
    <w:rsid w:val="00B904FF"/>
    <w:rsid w:val="00B92CD5"/>
    <w:rsid w:val="00B956D7"/>
    <w:rsid w:val="00BA0D4A"/>
    <w:rsid w:val="00BA1F27"/>
    <w:rsid w:val="00BA390A"/>
    <w:rsid w:val="00BA3992"/>
    <w:rsid w:val="00BA4665"/>
    <w:rsid w:val="00BA47CB"/>
    <w:rsid w:val="00BA4E5E"/>
    <w:rsid w:val="00BB2FB2"/>
    <w:rsid w:val="00BB3304"/>
    <w:rsid w:val="00BB4732"/>
    <w:rsid w:val="00BB7780"/>
    <w:rsid w:val="00BC675F"/>
    <w:rsid w:val="00BD0BD0"/>
    <w:rsid w:val="00BD3446"/>
    <w:rsid w:val="00BD5467"/>
    <w:rsid w:val="00BD71BD"/>
    <w:rsid w:val="00BE1F1B"/>
    <w:rsid w:val="00BE47B5"/>
    <w:rsid w:val="00BF65C1"/>
    <w:rsid w:val="00BF771C"/>
    <w:rsid w:val="00C008FE"/>
    <w:rsid w:val="00C01734"/>
    <w:rsid w:val="00C05504"/>
    <w:rsid w:val="00C05C48"/>
    <w:rsid w:val="00C064A7"/>
    <w:rsid w:val="00C07A89"/>
    <w:rsid w:val="00C154C0"/>
    <w:rsid w:val="00C16B2C"/>
    <w:rsid w:val="00C22E0E"/>
    <w:rsid w:val="00C30BBE"/>
    <w:rsid w:val="00C322B7"/>
    <w:rsid w:val="00C34065"/>
    <w:rsid w:val="00C364F7"/>
    <w:rsid w:val="00C3711F"/>
    <w:rsid w:val="00C433A5"/>
    <w:rsid w:val="00C434B1"/>
    <w:rsid w:val="00C4709E"/>
    <w:rsid w:val="00C501B4"/>
    <w:rsid w:val="00C505EE"/>
    <w:rsid w:val="00C50EC2"/>
    <w:rsid w:val="00C538A9"/>
    <w:rsid w:val="00C53B5A"/>
    <w:rsid w:val="00C54F5A"/>
    <w:rsid w:val="00C56506"/>
    <w:rsid w:val="00C565C5"/>
    <w:rsid w:val="00C61319"/>
    <w:rsid w:val="00C62797"/>
    <w:rsid w:val="00C6290C"/>
    <w:rsid w:val="00C672E0"/>
    <w:rsid w:val="00C729B4"/>
    <w:rsid w:val="00C73A47"/>
    <w:rsid w:val="00C73C83"/>
    <w:rsid w:val="00C74A11"/>
    <w:rsid w:val="00C75BD1"/>
    <w:rsid w:val="00C75BEE"/>
    <w:rsid w:val="00C81F18"/>
    <w:rsid w:val="00C8473D"/>
    <w:rsid w:val="00C86679"/>
    <w:rsid w:val="00C86919"/>
    <w:rsid w:val="00C872DB"/>
    <w:rsid w:val="00C950AF"/>
    <w:rsid w:val="00C96A92"/>
    <w:rsid w:val="00CA04F2"/>
    <w:rsid w:val="00CA2959"/>
    <w:rsid w:val="00CA51FE"/>
    <w:rsid w:val="00CB666B"/>
    <w:rsid w:val="00CB695E"/>
    <w:rsid w:val="00CC1D64"/>
    <w:rsid w:val="00CC2C03"/>
    <w:rsid w:val="00CD40AD"/>
    <w:rsid w:val="00CD4E7F"/>
    <w:rsid w:val="00CE1831"/>
    <w:rsid w:val="00CE7926"/>
    <w:rsid w:val="00CF0E01"/>
    <w:rsid w:val="00CF1908"/>
    <w:rsid w:val="00CF455C"/>
    <w:rsid w:val="00CF5382"/>
    <w:rsid w:val="00D01CF0"/>
    <w:rsid w:val="00D0442A"/>
    <w:rsid w:val="00D05FA8"/>
    <w:rsid w:val="00D07128"/>
    <w:rsid w:val="00D22BD4"/>
    <w:rsid w:val="00D2306D"/>
    <w:rsid w:val="00D270E1"/>
    <w:rsid w:val="00D323D0"/>
    <w:rsid w:val="00D32767"/>
    <w:rsid w:val="00D44037"/>
    <w:rsid w:val="00D4681D"/>
    <w:rsid w:val="00D46DDB"/>
    <w:rsid w:val="00D5111E"/>
    <w:rsid w:val="00D61388"/>
    <w:rsid w:val="00D615F9"/>
    <w:rsid w:val="00D61A54"/>
    <w:rsid w:val="00D63E96"/>
    <w:rsid w:val="00D64DEA"/>
    <w:rsid w:val="00D66943"/>
    <w:rsid w:val="00D67D07"/>
    <w:rsid w:val="00D71771"/>
    <w:rsid w:val="00D73D17"/>
    <w:rsid w:val="00D74261"/>
    <w:rsid w:val="00D74971"/>
    <w:rsid w:val="00D80893"/>
    <w:rsid w:val="00D834A9"/>
    <w:rsid w:val="00D86899"/>
    <w:rsid w:val="00D87097"/>
    <w:rsid w:val="00D92CF1"/>
    <w:rsid w:val="00D92D38"/>
    <w:rsid w:val="00D936B6"/>
    <w:rsid w:val="00D950F5"/>
    <w:rsid w:val="00DA028D"/>
    <w:rsid w:val="00DB0F93"/>
    <w:rsid w:val="00DB16A7"/>
    <w:rsid w:val="00DB196A"/>
    <w:rsid w:val="00DB20BF"/>
    <w:rsid w:val="00DB4CC4"/>
    <w:rsid w:val="00DB779A"/>
    <w:rsid w:val="00DB7D2E"/>
    <w:rsid w:val="00DC153A"/>
    <w:rsid w:val="00DC24BF"/>
    <w:rsid w:val="00DC2907"/>
    <w:rsid w:val="00DC4787"/>
    <w:rsid w:val="00DC5E54"/>
    <w:rsid w:val="00DC7981"/>
    <w:rsid w:val="00DD15C2"/>
    <w:rsid w:val="00DE4EFA"/>
    <w:rsid w:val="00DE4F3A"/>
    <w:rsid w:val="00DE5520"/>
    <w:rsid w:val="00DE7345"/>
    <w:rsid w:val="00DF3D54"/>
    <w:rsid w:val="00DF5944"/>
    <w:rsid w:val="00DF6187"/>
    <w:rsid w:val="00DF7793"/>
    <w:rsid w:val="00E00EC9"/>
    <w:rsid w:val="00E03069"/>
    <w:rsid w:val="00E04818"/>
    <w:rsid w:val="00E06442"/>
    <w:rsid w:val="00E135DB"/>
    <w:rsid w:val="00E13C85"/>
    <w:rsid w:val="00E227A4"/>
    <w:rsid w:val="00E23993"/>
    <w:rsid w:val="00E25B8C"/>
    <w:rsid w:val="00E32A8C"/>
    <w:rsid w:val="00E35AE8"/>
    <w:rsid w:val="00E3678B"/>
    <w:rsid w:val="00E3724C"/>
    <w:rsid w:val="00E37F0B"/>
    <w:rsid w:val="00E40B9C"/>
    <w:rsid w:val="00E418EF"/>
    <w:rsid w:val="00E4482C"/>
    <w:rsid w:val="00E44AC9"/>
    <w:rsid w:val="00E4680F"/>
    <w:rsid w:val="00E47EAD"/>
    <w:rsid w:val="00E5183B"/>
    <w:rsid w:val="00E52A27"/>
    <w:rsid w:val="00E65C85"/>
    <w:rsid w:val="00E65CF4"/>
    <w:rsid w:val="00E66199"/>
    <w:rsid w:val="00E715D5"/>
    <w:rsid w:val="00E737E3"/>
    <w:rsid w:val="00E73868"/>
    <w:rsid w:val="00E7472E"/>
    <w:rsid w:val="00E755EC"/>
    <w:rsid w:val="00E7624D"/>
    <w:rsid w:val="00E823D9"/>
    <w:rsid w:val="00E838D3"/>
    <w:rsid w:val="00E8569F"/>
    <w:rsid w:val="00E86851"/>
    <w:rsid w:val="00E93909"/>
    <w:rsid w:val="00E9533D"/>
    <w:rsid w:val="00E97390"/>
    <w:rsid w:val="00EA3D42"/>
    <w:rsid w:val="00EA46AA"/>
    <w:rsid w:val="00EA6B1B"/>
    <w:rsid w:val="00EB049F"/>
    <w:rsid w:val="00EB540F"/>
    <w:rsid w:val="00EB7D7F"/>
    <w:rsid w:val="00EC317E"/>
    <w:rsid w:val="00EC67D4"/>
    <w:rsid w:val="00ED3C5B"/>
    <w:rsid w:val="00ED4A25"/>
    <w:rsid w:val="00ED6CA7"/>
    <w:rsid w:val="00ED6E24"/>
    <w:rsid w:val="00EE164B"/>
    <w:rsid w:val="00EE28F3"/>
    <w:rsid w:val="00EE347F"/>
    <w:rsid w:val="00EF013A"/>
    <w:rsid w:val="00EF3FB8"/>
    <w:rsid w:val="00EF5110"/>
    <w:rsid w:val="00EF5AFC"/>
    <w:rsid w:val="00F02D9B"/>
    <w:rsid w:val="00F031FE"/>
    <w:rsid w:val="00F06B5B"/>
    <w:rsid w:val="00F07106"/>
    <w:rsid w:val="00F113FD"/>
    <w:rsid w:val="00F13EAA"/>
    <w:rsid w:val="00F15882"/>
    <w:rsid w:val="00F15C5C"/>
    <w:rsid w:val="00F1785E"/>
    <w:rsid w:val="00F20BD3"/>
    <w:rsid w:val="00F244A0"/>
    <w:rsid w:val="00F32D35"/>
    <w:rsid w:val="00F3431A"/>
    <w:rsid w:val="00F3590E"/>
    <w:rsid w:val="00F373A5"/>
    <w:rsid w:val="00F45618"/>
    <w:rsid w:val="00F45B2F"/>
    <w:rsid w:val="00F46AB5"/>
    <w:rsid w:val="00F47559"/>
    <w:rsid w:val="00F55548"/>
    <w:rsid w:val="00F61AA8"/>
    <w:rsid w:val="00F64C7B"/>
    <w:rsid w:val="00F64F82"/>
    <w:rsid w:val="00F662F1"/>
    <w:rsid w:val="00F66967"/>
    <w:rsid w:val="00F676DD"/>
    <w:rsid w:val="00F70811"/>
    <w:rsid w:val="00F71486"/>
    <w:rsid w:val="00F72F41"/>
    <w:rsid w:val="00F75A26"/>
    <w:rsid w:val="00F77D49"/>
    <w:rsid w:val="00F77F21"/>
    <w:rsid w:val="00F83FAD"/>
    <w:rsid w:val="00F87EBA"/>
    <w:rsid w:val="00F952A0"/>
    <w:rsid w:val="00F965FC"/>
    <w:rsid w:val="00FA3830"/>
    <w:rsid w:val="00FA3C7F"/>
    <w:rsid w:val="00FB153F"/>
    <w:rsid w:val="00FB411D"/>
    <w:rsid w:val="00FB41E6"/>
    <w:rsid w:val="00FB74E2"/>
    <w:rsid w:val="00FC191B"/>
    <w:rsid w:val="00FC447B"/>
    <w:rsid w:val="00FD0763"/>
    <w:rsid w:val="00FD166D"/>
    <w:rsid w:val="00FD1D8E"/>
    <w:rsid w:val="00FD2F97"/>
    <w:rsid w:val="00FD5316"/>
    <w:rsid w:val="00FD5614"/>
    <w:rsid w:val="00FD72DC"/>
    <w:rsid w:val="00FE0BE1"/>
    <w:rsid w:val="00FE1DE9"/>
    <w:rsid w:val="00FE39C2"/>
    <w:rsid w:val="00FE3E67"/>
    <w:rsid w:val="00FE64AE"/>
    <w:rsid w:val="00FF3373"/>
    <w:rsid w:val="00FF6561"/>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9463">
      <w:bodyDiv w:val="1"/>
      <w:marLeft w:val="0"/>
      <w:marRight w:val="0"/>
      <w:marTop w:val="0"/>
      <w:marBottom w:val="0"/>
      <w:divBdr>
        <w:top w:val="none" w:sz="0" w:space="0" w:color="auto"/>
        <w:left w:val="none" w:sz="0" w:space="0" w:color="auto"/>
        <w:bottom w:val="none" w:sz="0" w:space="0" w:color="auto"/>
        <w:right w:val="none" w:sz="0" w:space="0" w:color="auto"/>
      </w:divBdr>
      <w:divsChild>
        <w:div w:id="597057229">
          <w:marLeft w:val="0"/>
          <w:marRight w:val="0"/>
          <w:marTop w:val="0"/>
          <w:marBottom w:val="0"/>
          <w:divBdr>
            <w:top w:val="none" w:sz="0" w:space="0" w:color="auto"/>
            <w:left w:val="none" w:sz="0" w:space="0" w:color="auto"/>
            <w:bottom w:val="none" w:sz="0" w:space="0" w:color="auto"/>
            <w:right w:val="none" w:sz="0" w:space="0" w:color="auto"/>
          </w:divBdr>
          <w:divsChild>
            <w:div w:id="533344921">
              <w:marLeft w:val="0"/>
              <w:marRight w:val="0"/>
              <w:marTop w:val="0"/>
              <w:marBottom w:val="0"/>
              <w:divBdr>
                <w:top w:val="none" w:sz="0" w:space="0" w:color="auto"/>
                <w:left w:val="none" w:sz="0" w:space="0" w:color="auto"/>
                <w:bottom w:val="none" w:sz="0" w:space="0" w:color="auto"/>
                <w:right w:val="none" w:sz="0" w:space="0" w:color="auto"/>
              </w:divBdr>
              <w:divsChild>
                <w:div w:id="807207367">
                  <w:marLeft w:val="0"/>
                  <w:marRight w:val="0"/>
                  <w:marTop w:val="0"/>
                  <w:marBottom w:val="0"/>
                  <w:divBdr>
                    <w:top w:val="none" w:sz="0" w:space="0" w:color="auto"/>
                    <w:left w:val="none" w:sz="0" w:space="0" w:color="auto"/>
                    <w:bottom w:val="none" w:sz="0" w:space="0" w:color="auto"/>
                    <w:right w:val="none" w:sz="0" w:space="0" w:color="auto"/>
                  </w:divBdr>
                  <w:divsChild>
                    <w:div w:id="2087023497">
                      <w:marLeft w:val="0"/>
                      <w:marRight w:val="0"/>
                      <w:marTop w:val="0"/>
                      <w:marBottom w:val="0"/>
                      <w:divBdr>
                        <w:top w:val="none" w:sz="0" w:space="0" w:color="auto"/>
                        <w:left w:val="none" w:sz="0" w:space="0" w:color="auto"/>
                        <w:bottom w:val="none" w:sz="0" w:space="0" w:color="auto"/>
                        <w:right w:val="none" w:sz="0" w:space="0" w:color="auto"/>
                      </w:divBdr>
                      <w:divsChild>
                        <w:div w:id="1522429696">
                          <w:marLeft w:val="0"/>
                          <w:marRight w:val="0"/>
                          <w:marTop w:val="0"/>
                          <w:marBottom w:val="0"/>
                          <w:divBdr>
                            <w:top w:val="none" w:sz="0" w:space="0" w:color="auto"/>
                            <w:left w:val="none" w:sz="0" w:space="0" w:color="auto"/>
                            <w:bottom w:val="none" w:sz="0" w:space="0" w:color="auto"/>
                            <w:right w:val="none" w:sz="0" w:space="0" w:color="auto"/>
                          </w:divBdr>
                        </w:div>
                      </w:divsChild>
                    </w:div>
                    <w:div w:id="1972518105">
                      <w:marLeft w:val="0"/>
                      <w:marRight w:val="0"/>
                      <w:marTop w:val="0"/>
                      <w:marBottom w:val="0"/>
                      <w:divBdr>
                        <w:top w:val="none" w:sz="0" w:space="0" w:color="auto"/>
                        <w:left w:val="none" w:sz="0" w:space="0" w:color="auto"/>
                        <w:bottom w:val="none" w:sz="0" w:space="0" w:color="auto"/>
                        <w:right w:val="none" w:sz="0" w:space="0" w:color="auto"/>
                      </w:divBdr>
                      <w:divsChild>
                        <w:div w:id="2018578800">
                          <w:marLeft w:val="0"/>
                          <w:marRight w:val="0"/>
                          <w:marTop w:val="0"/>
                          <w:marBottom w:val="0"/>
                          <w:divBdr>
                            <w:top w:val="none" w:sz="0" w:space="0" w:color="auto"/>
                            <w:left w:val="none" w:sz="0" w:space="0" w:color="auto"/>
                            <w:bottom w:val="none" w:sz="0" w:space="0" w:color="auto"/>
                            <w:right w:val="none" w:sz="0" w:space="0" w:color="auto"/>
                          </w:divBdr>
                        </w:div>
                      </w:divsChild>
                    </w:div>
                    <w:div w:id="1669556795">
                      <w:marLeft w:val="0"/>
                      <w:marRight w:val="0"/>
                      <w:marTop w:val="0"/>
                      <w:marBottom w:val="0"/>
                      <w:divBdr>
                        <w:top w:val="none" w:sz="0" w:space="0" w:color="auto"/>
                        <w:left w:val="none" w:sz="0" w:space="0" w:color="auto"/>
                        <w:bottom w:val="none" w:sz="0" w:space="0" w:color="auto"/>
                        <w:right w:val="none" w:sz="0" w:space="0" w:color="auto"/>
                      </w:divBdr>
                      <w:divsChild>
                        <w:div w:id="1515068761">
                          <w:marLeft w:val="0"/>
                          <w:marRight w:val="0"/>
                          <w:marTop w:val="0"/>
                          <w:marBottom w:val="0"/>
                          <w:divBdr>
                            <w:top w:val="none" w:sz="0" w:space="0" w:color="auto"/>
                            <w:left w:val="none" w:sz="0" w:space="0" w:color="auto"/>
                            <w:bottom w:val="none" w:sz="0" w:space="0" w:color="auto"/>
                            <w:right w:val="none" w:sz="0" w:space="0" w:color="auto"/>
                          </w:divBdr>
                        </w:div>
                      </w:divsChild>
                    </w:div>
                    <w:div w:id="1286738585">
                      <w:marLeft w:val="0"/>
                      <w:marRight w:val="0"/>
                      <w:marTop w:val="0"/>
                      <w:marBottom w:val="0"/>
                      <w:divBdr>
                        <w:top w:val="none" w:sz="0" w:space="0" w:color="auto"/>
                        <w:left w:val="none" w:sz="0" w:space="0" w:color="auto"/>
                        <w:bottom w:val="none" w:sz="0" w:space="0" w:color="auto"/>
                        <w:right w:val="none" w:sz="0" w:space="0" w:color="auto"/>
                      </w:divBdr>
                      <w:divsChild>
                        <w:div w:id="1863744282">
                          <w:marLeft w:val="0"/>
                          <w:marRight w:val="0"/>
                          <w:marTop w:val="0"/>
                          <w:marBottom w:val="0"/>
                          <w:divBdr>
                            <w:top w:val="none" w:sz="0" w:space="0" w:color="auto"/>
                            <w:left w:val="none" w:sz="0" w:space="0" w:color="auto"/>
                            <w:bottom w:val="none" w:sz="0" w:space="0" w:color="auto"/>
                            <w:right w:val="none" w:sz="0" w:space="0" w:color="auto"/>
                          </w:divBdr>
                        </w:div>
                      </w:divsChild>
                    </w:div>
                    <w:div w:id="191964704">
                      <w:marLeft w:val="0"/>
                      <w:marRight w:val="0"/>
                      <w:marTop w:val="0"/>
                      <w:marBottom w:val="0"/>
                      <w:divBdr>
                        <w:top w:val="none" w:sz="0" w:space="0" w:color="auto"/>
                        <w:left w:val="none" w:sz="0" w:space="0" w:color="auto"/>
                        <w:bottom w:val="none" w:sz="0" w:space="0" w:color="auto"/>
                        <w:right w:val="none" w:sz="0" w:space="0" w:color="auto"/>
                      </w:divBdr>
                      <w:divsChild>
                        <w:div w:id="19380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61225259">
      <w:bodyDiv w:val="1"/>
      <w:marLeft w:val="0"/>
      <w:marRight w:val="0"/>
      <w:marTop w:val="0"/>
      <w:marBottom w:val="0"/>
      <w:divBdr>
        <w:top w:val="none" w:sz="0" w:space="0" w:color="auto"/>
        <w:left w:val="none" w:sz="0" w:space="0" w:color="auto"/>
        <w:bottom w:val="none" w:sz="0" w:space="0" w:color="auto"/>
        <w:right w:val="none" w:sz="0" w:space="0" w:color="auto"/>
      </w:divBdr>
      <w:divsChild>
        <w:div w:id="1227884906">
          <w:marLeft w:val="0"/>
          <w:marRight w:val="0"/>
          <w:marTop w:val="0"/>
          <w:marBottom w:val="0"/>
          <w:divBdr>
            <w:top w:val="none" w:sz="0" w:space="0" w:color="auto"/>
            <w:left w:val="none" w:sz="0" w:space="0" w:color="auto"/>
            <w:bottom w:val="none" w:sz="0" w:space="0" w:color="auto"/>
            <w:right w:val="none" w:sz="0" w:space="0" w:color="auto"/>
          </w:divBdr>
          <w:divsChild>
            <w:div w:id="611984945">
              <w:marLeft w:val="0"/>
              <w:marRight w:val="0"/>
              <w:marTop w:val="0"/>
              <w:marBottom w:val="0"/>
              <w:divBdr>
                <w:top w:val="none" w:sz="0" w:space="0" w:color="auto"/>
                <w:left w:val="none" w:sz="0" w:space="0" w:color="auto"/>
                <w:bottom w:val="none" w:sz="0" w:space="0" w:color="auto"/>
                <w:right w:val="none" w:sz="0" w:space="0" w:color="auto"/>
              </w:divBdr>
              <w:divsChild>
                <w:div w:id="1805150296">
                  <w:marLeft w:val="0"/>
                  <w:marRight w:val="0"/>
                  <w:marTop w:val="0"/>
                  <w:marBottom w:val="0"/>
                  <w:divBdr>
                    <w:top w:val="none" w:sz="0" w:space="0" w:color="auto"/>
                    <w:left w:val="none" w:sz="0" w:space="0" w:color="auto"/>
                    <w:bottom w:val="none" w:sz="0" w:space="0" w:color="auto"/>
                    <w:right w:val="none" w:sz="0" w:space="0" w:color="auto"/>
                  </w:divBdr>
                  <w:divsChild>
                    <w:div w:id="1506364540">
                      <w:marLeft w:val="0"/>
                      <w:marRight w:val="0"/>
                      <w:marTop w:val="0"/>
                      <w:marBottom w:val="0"/>
                      <w:divBdr>
                        <w:top w:val="none" w:sz="0" w:space="0" w:color="auto"/>
                        <w:left w:val="none" w:sz="0" w:space="0" w:color="auto"/>
                        <w:bottom w:val="none" w:sz="0" w:space="0" w:color="auto"/>
                        <w:right w:val="none" w:sz="0" w:space="0" w:color="auto"/>
                      </w:divBdr>
                      <w:divsChild>
                        <w:div w:id="1704868420">
                          <w:marLeft w:val="0"/>
                          <w:marRight w:val="0"/>
                          <w:marTop w:val="0"/>
                          <w:marBottom w:val="0"/>
                          <w:divBdr>
                            <w:top w:val="none" w:sz="0" w:space="0" w:color="auto"/>
                            <w:left w:val="none" w:sz="0" w:space="0" w:color="auto"/>
                            <w:bottom w:val="none" w:sz="0" w:space="0" w:color="auto"/>
                            <w:right w:val="none" w:sz="0" w:space="0" w:color="auto"/>
                          </w:divBdr>
                        </w:div>
                      </w:divsChild>
                    </w:div>
                    <w:div w:id="1049381367">
                      <w:marLeft w:val="0"/>
                      <w:marRight w:val="0"/>
                      <w:marTop w:val="0"/>
                      <w:marBottom w:val="0"/>
                      <w:divBdr>
                        <w:top w:val="none" w:sz="0" w:space="0" w:color="auto"/>
                        <w:left w:val="none" w:sz="0" w:space="0" w:color="auto"/>
                        <w:bottom w:val="none" w:sz="0" w:space="0" w:color="auto"/>
                        <w:right w:val="none" w:sz="0" w:space="0" w:color="auto"/>
                      </w:divBdr>
                      <w:divsChild>
                        <w:div w:id="1492941427">
                          <w:marLeft w:val="0"/>
                          <w:marRight w:val="0"/>
                          <w:marTop w:val="0"/>
                          <w:marBottom w:val="0"/>
                          <w:divBdr>
                            <w:top w:val="none" w:sz="0" w:space="0" w:color="auto"/>
                            <w:left w:val="none" w:sz="0" w:space="0" w:color="auto"/>
                            <w:bottom w:val="none" w:sz="0" w:space="0" w:color="auto"/>
                            <w:right w:val="none" w:sz="0" w:space="0" w:color="auto"/>
                          </w:divBdr>
                        </w:div>
                      </w:divsChild>
                    </w:div>
                    <w:div w:id="680281476">
                      <w:marLeft w:val="0"/>
                      <w:marRight w:val="0"/>
                      <w:marTop w:val="0"/>
                      <w:marBottom w:val="0"/>
                      <w:divBdr>
                        <w:top w:val="none" w:sz="0" w:space="0" w:color="auto"/>
                        <w:left w:val="none" w:sz="0" w:space="0" w:color="auto"/>
                        <w:bottom w:val="none" w:sz="0" w:space="0" w:color="auto"/>
                        <w:right w:val="none" w:sz="0" w:space="0" w:color="auto"/>
                      </w:divBdr>
                      <w:divsChild>
                        <w:div w:id="846020563">
                          <w:marLeft w:val="0"/>
                          <w:marRight w:val="0"/>
                          <w:marTop w:val="0"/>
                          <w:marBottom w:val="0"/>
                          <w:divBdr>
                            <w:top w:val="none" w:sz="0" w:space="0" w:color="auto"/>
                            <w:left w:val="none" w:sz="0" w:space="0" w:color="auto"/>
                            <w:bottom w:val="none" w:sz="0" w:space="0" w:color="auto"/>
                            <w:right w:val="none" w:sz="0" w:space="0" w:color="auto"/>
                          </w:divBdr>
                        </w:div>
                      </w:divsChild>
                    </w:div>
                    <w:div w:id="1023048190">
                      <w:marLeft w:val="0"/>
                      <w:marRight w:val="0"/>
                      <w:marTop w:val="0"/>
                      <w:marBottom w:val="0"/>
                      <w:divBdr>
                        <w:top w:val="none" w:sz="0" w:space="0" w:color="auto"/>
                        <w:left w:val="none" w:sz="0" w:space="0" w:color="auto"/>
                        <w:bottom w:val="none" w:sz="0" w:space="0" w:color="auto"/>
                        <w:right w:val="none" w:sz="0" w:space="0" w:color="auto"/>
                      </w:divBdr>
                      <w:divsChild>
                        <w:div w:id="112872268">
                          <w:marLeft w:val="0"/>
                          <w:marRight w:val="0"/>
                          <w:marTop w:val="0"/>
                          <w:marBottom w:val="0"/>
                          <w:divBdr>
                            <w:top w:val="none" w:sz="0" w:space="0" w:color="auto"/>
                            <w:left w:val="none" w:sz="0" w:space="0" w:color="auto"/>
                            <w:bottom w:val="none" w:sz="0" w:space="0" w:color="auto"/>
                            <w:right w:val="none" w:sz="0" w:space="0" w:color="auto"/>
                          </w:divBdr>
                        </w:div>
                      </w:divsChild>
                    </w:div>
                    <w:div w:id="1901674387">
                      <w:marLeft w:val="0"/>
                      <w:marRight w:val="0"/>
                      <w:marTop w:val="0"/>
                      <w:marBottom w:val="0"/>
                      <w:divBdr>
                        <w:top w:val="none" w:sz="0" w:space="0" w:color="auto"/>
                        <w:left w:val="none" w:sz="0" w:space="0" w:color="auto"/>
                        <w:bottom w:val="none" w:sz="0" w:space="0" w:color="auto"/>
                        <w:right w:val="none" w:sz="0" w:space="0" w:color="auto"/>
                      </w:divBdr>
                      <w:divsChild>
                        <w:div w:id="10389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98492220">
      <w:bodyDiv w:val="1"/>
      <w:marLeft w:val="0"/>
      <w:marRight w:val="0"/>
      <w:marTop w:val="0"/>
      <w:marBottom w:val="0"/>
      <w:divBdr>
        <w:top w:val="none" w:sz="0" w:space="0" w:color="auto"/>
        <w:left w:val="none" w:sz="0" w:space="0" w:color="auto"/>
        <w:bottom w:val="none" w:sz="0" w:space="0" w:color="auto"/>
        <w:right w:val="none" w:sz="0" w:space="0" w:color="auto"/>
      </w:divBdr>
      <w:divsChild>
        <w:div w:id="162939627">
          <w:marLeft w:val="0"/>
          <w:marRight w:val="0"/>
          <w:marTop w:val="0"/>
          <w:marBottom w:val="0"/>
          <w:divBdr>
            <w:top w:val="none" w:sz="0" w:space="0" w:color="auto"/>
            <w:left w:val="none" w:sz="0" w:space="0" w:color="auto"/>
            <w:bottom w:val="none" w:sz="0" w:space="0" w:color="auto"/>
            <w:right w:val="none" w:sz="0" w:space="0" w:color="auto"/>
          </w:divBdr>
          <w:divsChild>
            <w:div w:id="2007897687">
              <w:marLeft w:val="0"/>
              <w:marRight w:val="0"/>
              <w:marTop w:val="0"/>
              <w:marBottom w:val="0"/>
              <w:divBdr>
                <w:top w:val="none" w:sz="0" w:space="0" w:color="auto"/>
                <w:left w:val="none" w:sz="0" w:space="0" w:color="auto"/>
                <w:bottom w:val="none" w:sz="0" w:space="0" w:color="auto"/>
                <w:right w:val="none" w:sz="0" w:space="0" w:color="auto"/>
              </w:divBdr>
              <w:divsChild>
                <w:div w:id="879824818">
                  <w:marLeft w:val="0"/>
                  <w:marRight w:val="0"/>
                  <w:marTop w:val="0"/>
                  <w:marBottom w:val="0"/>
                  <w:divBdr>
                    <w:top w:val="none" w:sz="0" w:space="0" w:color="auto"/>
                    <w:left w:val="none" w:sz="0" w:space="0" w:color="auto"/>
                    <w:bottom w:val="none" w:sz="0" w:space="0" w:color="auto"/>
                    <w:right w:val="none" w:sz="0" w:space="0" w:color="auto"/>
                  </w:divBdr>
                  <w:divsChild>
                    <w:div w:id="381095377">
                      <w:marLeft w:val="0"/>
                      <w:marRight w:val="0"/>
                      <w:marTop w:val="0"/>
                      <w:marBottom w:val="0"/>
                      <w:divBdr>
                        <w:top w:val="none" w:sz="0" w:space="0" w:color="auto"/>
                        <w:left w:val="none" w:sz="0" w:space="0" w:color="auto"/>
                        <w:bottom w:val="none" w:sz="0" w:space="0" w:color="auto"/>
                        <w:right w:val="none" w:sz="0" w:space="0" w:color="auto"/>
                      </w:divBdr>
                      <w:divsChild>
                        <w:div w:id="1406489900">
                          <w:marLeft w:val="0"/>
                          <w:marRight w:val="0"/>
                          <w:marTop w:val="0"/>
                          <w:marBottom w:val="0"/>
                          <w:divBdr>
                            <w:top w:val="none" w:sz="0" w:space="0" w:color="auto"/>
                            <w:left w:val="none" w:sz="0" w:space="0" w:color="auto"/>
                            <w:bottom w:val="none" w:sz="0" w:space="0" w:color="auto"/>
                            <w:right w:val="none" w:sz="0" w:space="0" w:color="auto"/>
                          </w:divBdr>
                        </w:div>
                      </w:divsChild>
                    </w:div>
                    <w:div w:id="1692225694">
                      <w:marLeft w:val="0"/>
                      <w:marRight w:val="0"/>
                      <w:marTop w:val="0"/>
                      <w:marBottom w:val="0"/>
                      <w:divBdr>
                        <w:top w:val="none" w:sz="0" w:space="0" w:color="auto"/>
                        <w:left w:val="none" w:sz="0" w:space="0" w:color="auto"/>
                        <w:bottom w:val="none" w:sz="0" w:space="0" w:color="auto"/>
                        <w:right w:val="none" w:sz="0" w:space="0" w:color="auto"/>
                      </w:divBdr>
                      <w:divsChild>
                        <w:div w:id="529224155">
                          <w:marLeft w:val="0"/>
                          <w:marRight w:val="0"/>
                          <w:marTop w:val="0"/>
                          <w:marBottom w:val="0"/>
                          <w:divBdr>
                            <w:top w:val="none" w:sz="0" w:space="0" w:color="auto"/>
                            <w:left w:val="none" w:sz="0" w:space="0" w:color="auto"/>
                            <w:bottom w:val="none" w:sz="0" w:space="0" w:color="auto"/>
                            <w:right w:val="none" w:sz="0" w:space="0" w:color="auto"/>
                          </w:divBdr>
                        </w:div>
                      </w:divsChild>
                    </w:div>
                    <w:div w:id="1708261902">
                      <w:marLeft w:val="0"/>
                      <w:marRight w:val="0"/>
                      <w:marTop w:val="0"/>
                      <w:marBottom w:val="0"/>
                      <w:divBdr>
                        <w:top w:val="none" w:sz="0" w:space="0" w:color="auto"/>
                        <w:left w:val="none" w:sz="0" w:space="0" w:color="auto"/>
                        <w:bottom w:val="none" w:sz="0" w:space="0" w:color="auto"/>
                        <w:right w:val="none" w:sz="0" w:space="0" w:color="auto"/>
                      </w:divBdr>
                      <w:divsChild>
                        <w:div w:id="1560048994">
                          <w:marLeft w:val="0"/>
                          <w:marRight w:val="0"/>
                          <w:marTop w:val="0"/>
                          <w:marBottom w:val="0"/>
                          <w:divBdr>
                            <w:top w:val="none" w:sz="0" w:space="0" w:color="auto"/>
                            <w:left w:val="none" w:sz="0" w:space="0" w:color="auto"/>
                            <w:bottom w:val="none" w:sz="0" w:space="0" w:color="auto"/>
                            <w:right w:val="none" w:sz="0" w:space="0" w:color="auto"/>
                          </w:divBdr>
                        </w:div>
                      </w:divsChild>
                    </w:div>
                    <w:div w:id="11540161">
                      <w:marLeft w:val="0"/>
                      <w:marRight w:val="0"/>
                      <w:marTop w:val="0"/>
                      <w:marBottom w:val="0"/>
                      <w:divBdr>
                        <w:top w:val="none" w:sz="0" w:space="0" w:color="auto"/>
                        <w:left w:val="none" w:sz="0" w:space="0" w:color="auto"/>
                        <w:bottom w:val="none" w:sz="0" w:space="0" w:color="auto"/>
                        <w:right w:val="none" w:sz="0" w:space="0" w:color="auto"/>
                      </w:divBdr>
                      <w:divsChild>
                        <w:div w:id="1216236889">
                          <w:marLeft w:val="0"/>
                          <w:marRight w:val="0"/>
                          <w:marTop w:val="0"/>
                          <w:marBottom w:val="0"/>
                          <w:divBdr>
                            <w:top w:val="none" w:sz="0" w:space="0" w:color="auto"/>
                            <w:left w:val="none" w:sz="0" w:space="0" w:color="auto"/>
                            <w:bottom w:val="none" w:sz="0" w:space="0" w:color="auto"/>
                            <w:right w:val="none" w:sz="0" w:space="0" w:color="auto"/>
                          </w:divBdr>
                        </w:div>
                      </w:divsChild>
                    </w:div>
                    <w:div w:id="1713842414">
                      <w:marLeft w:val="0"/>
                      <w:marRight w:val="0"/>
                      <w:marTop w:val="0"/>
                      <w:marBottom w:val="0"/>
                      <w:divBdr>
                        <w:top w:val="none" w:sz="0" w:space="0" w:color="auto"/>
                        <w:left w:val="none" w:sz="0" w:space="0" w:color="auto"/>
                        <w:bottom w:val="none" w:sz="0" w:space="0" w:color="auto"/>
                        <w:right w:val="none" w:sz="0" w:space="0" w:color="auto"/>
                      </w:divBdr>
                      <w:divsChild>
                        <w:div w:id="20284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www.aer.gov.au/industry-information/industry-statistics"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hyperlink" Target="https://asxenergy.com.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12.emf"/><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hyperlink" Target="https://asxenergy.com.au/" TargetMode="Externa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image" Target="media/image13.emf"/><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FE767A-800E-499A-9240-4A48D999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B6CA4A77.dotm</Template>
  <TotalTime>0</TotalTime>
  <Pages>10</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2015-11-18T02:57:00Z</dcterms:created>
  <dcterms:modified xsi:type="dcterms:W3CDTF">2015-11-18T03:07:00Z</dcterms:modified>
</cp:coreProperties>
</file>