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CB740D">
      <w:pPr>
        <w:pStyle w:val="AERbodytextnospace"/>
        <w:numPr>
          <w:ilvl w:val="0"/>
          <w:numId w:val="6"/>
        </w:numPr>
      </w:pPr>
      <w:bookmarkStart w:id="0" w:name="_GoBack"/>
      <w:bookmarkEnd w:id="0"/>
      <w:r w:rsidRPr="00824CC8">
        <w:rPr>
          <w:noProof/>
          <w:lang w:eastAsia="en-AU"/>
        </w:rPr>
        <w:drawing>
          <wp:anchor distT="0" distB="0" distL="114300" distR="114300" simplePos="0" relativeHeight="251663360" behindDoc="1" locked="0" layoutInCell="1" allowOverlap="1" wp14:anchorId="6F788DBE" wp14:editId="7EE29959">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5F6082" w:rsidP="005F6082">
      <w:pPr>
        <w:pStyle w:val="AERtitle1"/>
      </w:pPr>
      <w:r>
        <w:t>Explanatory Statement</w:t>
      </w:r>
    </w:p>
    <w:p w:rsidR="005F6082" w:rsidRDefault="00136190" w:rsidP="005F6082">
      <w:pPr>
        <w:pStyle w:val="AERtitle1"/>
      </w:pPr>
      <w:r>
        <w:t>Efficiency Benefit Sharing Scheme</w:t>
      </w:r>
    </w:p>
    <w:p w:rsidR="00AC7582" w:rsidRDefault="00AC7582" w:rsidP="005F6082">
      <w:pPr>
        <w:pStyle w:val="AERtitle1"/>
      </w:pPr>
      <w:proofErr w:type="gramStart"/>
      <w:r w:rsidRPr="00AC7582">
        <w:t>for</w:t>
      </w:r>
      <w:proofErr w:type="gramEnd"/>
      <w:r w:rsidRPr="00AC7582">
        <w:t xml:space="preserve"> Electricity Network Service Providers</w:t>
      </w: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CB740D">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CB740D">
      <w:pPr>
        <w:pStyle w:val="AERbodytextnospace"/>
        <w:numPr>
          <w:ilvl w:val="0"/>
          <w:numId w:val="6"/>
        </w:numPr>
      </w:pPr>
      <w:r>
        <w:t>Australian Energy Regulator</w:t>
      </w:r>
    </w:p>
    <w:p w:rsidR="005F6082" w:rsidRDefault="005F6082" w:rsidP="00CB740D">
      <w:pPr>
        <w:pStyle w:val="AERbodytextnospace"/>
        <w:numPr>
          <w:ilvl w:val="0"/>
          <w:numId w:val="6"/>
        </w:numPr>
      </w:pPr>
      <w:r>
        <w:t>GPO Box 520</w:t>
      </w:r>
    </w:p>
    <w:p w:rsidR="005F6082" w:rsidRDefault="005F6082" w:rsidP="00CB740D">
      <w:pPr>
        <w:pStyle w:val="AERbodytextnospace"/>
        <w:numPr>
          <w:ilvl w:val="0"/>
          <w:numId w:val="6"/>
        </w:numPr>
      </w:pPr>
      <w:r>
        <w:t>Melbourne</w:t>
      </w:r>
      <w:r w:rsidR="00754B2B">
        <w:t xml:space="preserve"> </w:t>
      </w:r>
      <w:r>
        <w:t>Vic</w:t>
      </w:r>
      <w:r w:rsidR="00754B2B">
        <w:t xml:space="preserve"> </w:t>
      </w:r>
      <w:r>
        <w:t>3001</w:t>
      </w:r>
    </w:p>
    <w:p w:rsidR="005F6082" w:rsidRDefault="005F6082" w:rsidP="00CB740D">
      <w:pPr>
        <w:pStyle w:val="AERbodytextnospace"/>
        <w:numPr>
          <w:ilvl w:val="0"/>
          <w:numId w:val="6"/>
        </w:numPr>
      </w:pPr>
      <w:r>
        <w:t>Tel: (03) 9290 1444</w:t>
      </w:r>
    </w:p>
    <w:p w:rsidR="005F6082" w:rsidRDefault="005F6082" w:rsidP="00CB740D">
      <w:pPr>
        <w:pStyle w:val="AERbodytextnospace"/>
        <w:numPr>
          <w:ilvl w:val="0"/>
          <w:numId w:val="6"/>
        </w:numPr>
      </w:pPr>
      <w:r>
        <w:t>Fax: (03) 9290 1457</w:t>
      </w:r>
    </w:p>
    <w:p w:rsidR="005F6082" w:rsidRDefault="005F6082" w:rsidP="00CB740D">
      <w:pPr>
        <w:pStyle w:val="AERbodytextnospace"/>
        <w:numPr>
          <w:ilvl w:val="0"/>
          <w:numId w:val="6"/>
        </w:numPr>
      </w:pPr>
      <w:r>
        <w:t xml:space="preserve">Email: </w:t>
      </w:r>
      <w:hyperlink r:id="rId10" w:history="1">
        <w:r w:rsidRPr="003E184A">
          <w:rPr>
            <w:rStyle w:val="Hyperlink"/>
          </w:rPr>
          <w:t>AERInquiry@aer.gov.au</w:t>
        </w:r>
      </w:hyperlink>
    </w:p>
    <w:p w:rsidR="005F6082" w:rsidRPr="008F1A4A" w:rsidRDefault="005F6082" w:rsidP="005F6082"/>
    <w:p w:rsidR="005F6082" w:rsidRDefault="005F6082" w:rsidP="005F6082">
      <w:r>
        <w:t>AER reference:</w:t>
      </w:r>
      <w:r w:rsidR="00754B2B">
        <w:t xml:space="preserve"> </w:t>
      </w:r>
      <w:r w:rsidR="00F67D3E">
        <w:t>50390</w:t>
      </w:r>
    </w:p>
    <w:p w:rsidR="005F6082" w:rsidRPr="003324F7" w:rsidRDefault="005F6082" w:rsidP="00CB740D">
      <w:pPr>
        <w:pStyle w:val="AERbodytext"/>
        <w:numPr>
          <w:ilvl w:val="0"/>
          <w:numId w:val="6"/>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5F6082" w:rsidRDefault="005F6082" w:rsidP="00CB740D">
      <w:pPr>
        <w:pStyle w:val="UnnumberedHeading"/>
        <w:numPr>
          <w:ilvl w:val="0"/>
          <w:numId w:val="1"/>
        </w:numPr>
      </w:pPr>
      <w:bookmarkStart w:id="1" w:name="_Toc373159414"/>
      <w:bookmarkStart w:id="2" w:name="_Toc360023682"/>
      <w:bookmarkStart w:id="3" w:name="_Toc360024843"/>
      <w:r>
        <w:lastRenderedPageBreak/>
        <w:t>Shortened forms</w:t>
      </w:r>
      <w:bookmarkEnd w:id="1"/>
    </w:p>
    <w:tbl>
      <w:tblPr>
        <w:tblStyle w:val="AERtable-text"/>
        <w:tblW w:w="0" w:type="auto"/>
        <w:tblLook w:val="04A0" w:firstRow="1" w:lastRow="0" w:firstColumn="1" w:lastColumn="0" w:noHBand="0" w:noVBand="1"/>
      </w:tblPr>
      <w:tblGrid>
        <w:gridCol w:w="3227"/>
        <w:gridCol w:w="6015"/>
      </w:tblGrid>
      <w:tr w:rsidR="005F6082" w:rsidTr="006F6C85">
        <w:trPr>
          <w:cnfStyle w:val="100000000000" w:firstRow="1" w:lastRow="0" w:firstColumn="0" w:lastColumn="0" w:oddVBand="0" w:evenVBand="0" w:oddHBand="0" w:evenHBand="0" w:firstRowFirstColumn="0" w:firstRowLastColumn="0" w:lastRowFirstColumn="0" w:lastRowLastColumn="0"/>
        </w:trPr>
        <w:tc>
          <w:tcPr>
            <w:tcW w:w="3227" w:type="dxa"/>
          </w:tcPr>
          <w:p w:rsidR="005F6082" w:rsidRPr="005F6082" w:rsidRDefault="005F6082" w:rsidP="005F6082">
            <w:pPr>
              <w:pStyle w:val="AERtabletextleft"/>
            </w:pPr>
            <w:r>
              <w:t>Shortened term</w:t>
            </w:r>
          </w:p>
        </w:tc>
        <w:tc>
          <w:tcPr>
            <w:tcW w:w="6015" w:type="dxa"/>
          </w:tcPr>
          <w:p w:rsidR="005F6082" w:rsidRPr="005F6082" w:rsidRDefault="005F6082" w:rsidP="005F6082">
            <w:pPr>
              <w:pStyle w:val="AERtabletextleft"/>
            </w:pPr>
            <w:r>
              <w:t>Full title</w:t>
            </w:r>
          </w:p>
        </w:tc>
      </w:tr>
      <w:tr w:rsidR="005F6082" w:rsidTr="006F6C85">
        <w:tc>
          <w:tcPr>
            <w:tcW w:w="3227" w:type="dxa"/>
          </w:tcPr>
          <w:p w:rsidR="005F6082" w:rsidRDefault="005F6082" w:rsidP="00136190">
            <w:pPr>
              <w:pStyle w:val="AERtabletextleft"/>
            </w:pPr>
            <w:r>
              <w:t>AER</w:t>
            </w:r>
          </w:p>
        </w:tc>
        <w:tc>
          <w:tcPr>
            <w:tcW w:w="6015" w:type="dxa"/>
          </w:tcPr>
          <w:p w:rsidR="005F6082" w:rsidRDefault="005F6082" w:rsidP="00136190">
            <w:pPr>
              <w:pStyle w:val="AERtabletextleft"/>
            </w:pPr>
            <w:r>
              <w:t>Australian Energy Regulator</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AEMC</w:t>
            </w:r>
          </w:p>
        </w:tc>
        <w:tc>
          <w:tcPr>
            <w:tcW w:w="6015" w:type="dxa"/>
          </w:tcPr>
          <w:p w:rsidR="00136190" w:rsidRPr="00136190" w:rsidRDefault="00136190" w:rsidP="00136190">
            <w:pPr>
              <w:pStyle w:val="AERtabletextleft"/>
            </w:pPr>
            <w:r w:rsidRPr="00136190">
              <w:t>Australian Energy Market Commission</w:t>
            </w:r>
          </w:p>
        </w:tc>
      </w:tr>
      <w:tr w:rsidR="00136190" w:rsidTr="006F6C85">
        <w:tc>
          <w:tcPr>
            <w:tcW w:w="3227" w:type="dxa"/>
          </w:tcPr>
          <w:p w:rsidR="00136190" w:rsidRPr="00136190" w:rsidRDefault="00136190" w:rsidP="00136190">
            <w:pPr>
              <w:pStyle w:val="AERtabletextleft"/>
            </w:pPr>
            <w:r w:rsidRPr="00136190">
              <w:t>capex</w:t>
            </w:r>
          </w:p>
        </w:tc>
        <w:tc>
          <w:tcPr>
            <w:tcW w:w="6015" w:type="dxa"/>
          </w:tcPr>
          <w:p w:rsidR="00136190" w:rsidRPr="00136190" w:rsidRDefault="00136190" w:rsidP="00136190">
            <w:pPr>
              <w:pStyle w:val="AERtabletextleft"/>
            </w:pPr>
            <w:r w:rsidRPr="00136190">
              <w:t>Capital expenditure</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CESS</w:t>
            </w:r>
          </w:p>
        </w:tc>
        <w:tc>
          <w:tcPr>
            <w:tcW w:w="6015" w:type="dxa"/>
          </w:tcPr>
          <w:p w:rsidR="00136190" w:rsidRPr="00136190" w:rsidRDefault="00136190" w:rsidP="00136190">
            <w:pPr>
              <w:pStyle w:val="AERtabletextleft"/>
            </w:pPr>
            <w:r w:rsidRPr="00136190">
              <w:t>Capital Expenditure Sharing Scheme</w:t>
            </w:r>
          </w:p>
        </w:tc>
      </w:tr>
      <w:tr w:rsidR="00136190" w:rsidTr="006F6C85">
        <w:tc>
          <w:tcPr>
            <w:tcW w:w="3227" w:type="dxa"/>
          </w:tcPr>
          <w:p w:rsidR="00136190" w:rsidRPr="00136190" w:rsidRDefault="00136190" w:rsidP="00136190">
            <w:pPr>
              <w:pStyle w:val="AERtabletextleft"/>
            </w:pPr>
            <w:r w:rsidRPr="00136190">
              <w:t>COSBOA</w:t>
            </w:r>
          </w:p>
        </w:tc>
        <w:tc>
          <w:tcPr>
            <w:tcW w:w="6015" w:type="dxa"/>
          </w:tcPr>
          <w:p w:rsidR="00136190" w:rsidRPr="00136190" w:rsidRDefault="00136190" w:rsidP="00136190">
            <w:pPr>
              <w:pStyle w:val="AERtabletextleft"/>
            </w:pPr>
            <w:r w:rsidRPr="00136190">
              <w:t>Council of Small Business Australia</w:t>
            </w:r>
          </w:p>
        </w:tc>
      </w:tr>
      <w:tr w:rsidR="00AD442E" w:rsidTr="00F67D3E">
        <w:trPr>
          <w:cnfStyle w:val="000000010000" w:firstRow="0" w:lastRow="0" w:firstColumn="0" w:lastColumn="0" w:oddVBand="0" w:evenVBand="0" w:oddHBand="0" w:evenHBand="1" w:firstRowFirstColumn="0" w:firstRowLastColumn="0" w:lastRowFirstColumn="0" w:lastRowLastColumn="0"/>
        </w:trPr>
        <w:tc>
          <w:tcPr>
            <w:tcW w:w="3227" w:type="dxa"/>
          </w:tcPr>
          <w:p w:rsidR="00AD442E" w:rsidRPr="00136190" w:rsidRDefault="00AD442E" w:rsidP="00136190">
            <w:pPr>
              <w:pStyle w:val="AERtabletextleft"/>
            </w:pPr>
            <w:r>
              <w:t>CP PC SAPN</w:t>
            </w:r>
          </w:p>
        </w:tc>
        <w:tc>
          <w:tcPr>
            <w:tcW w:w="6015" w:type="dxa"/>
          </w:tcPr>
          <w:p w:rsidR="00AD442E" w:rsidRPr="00136190" w:rsidRDefault="00AD442E" w:rsidP="00136190">
            <w:pPr>
              <w:pStyle w:val="AERtabletextleft"/>
            </w:pPr>
            <w:r>
              <w:t>CitiPower, Powercor and SA Power Networks</w:t>
            </w:r>
          </w:p>
        </w:tc>
      </w:tr>
      <w:tr w:rsidR="00136190" w:rsidTr="006F6C85">
        <w:tc>
          <w:tcPr>
            <w:tcW w:w="3227" w:type="dxa"/>
          </w:tcPr>
          <w:p w:rsidR="00136190" w:rsidRPr="00136190" w:rsidRDefault="00136190" w:rsidP="00136190">
            <w:pPr>
              <w:pStyle w:val="AERtabletextleft"/>
            </w:pPr>
            <w:r w:rsidRPr="00136190">
              <w:t>CRG</w:t>
            </w:r>
          </w:p>
        </w:tc>
        <w:tc>
          <w:tcPr>
            <w:tcW w:w="6015" w:type="dxa"/>
          </w:tcPr>
          <w:p w:rsidR="00136190" w:rsidRPr="00136190" w:rsidRDefault="00136190" w:rsidP="00136190">
            <w:pPr>
              <w:pStyle w:val="AERtabletextleft"/>
            </w:pPr>
            <w:r w:rsidRPr="00136190">
              <w:t>Consumer Reference Group</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DNSP</w:t>
            </w:r>
          </w:p>
        </w:tc>
        <w:tc>
          <w:tcPr>
            <w:tcW w:w="6015" w:type="dxa"/>
          </w:tcPr>
          <w:p w:rsidR="00136190" w:rsidRPr="00136190" w:rsidRDefault="00136190" w:rsidP="00136190">
            <w:pPr>
              <w:pStyle w:val="AERtabletextleft"/>
            </w:pPr>
            <w:r w:rsidRPr="00136190">
              <w:t>Distribution Network Service Provider</w:t>
            </w:r>
          </w:p>
        </w:tc>
      </w:tr>
      <w:tr w:rsidR="00136190" w:rsidTr="006F6C85">
        <w:tc>
          <w:tcPr>
            <w:tcW w:w="3227" w:type="dxa"/>
          </w:tcPr>
          <w:p w:rsidR="00136190" w:rsidRPr="00136190" w:rsidRDefault="00136190" w:rsidP="00136190">
            <w:pPr>
              <w:pStyle w:val="AERtabletextleft"/>
            </w:pPr>
            <w:r w:rsidRPr="00136190">
              <w:t>EBSS</w:t>
            </w:r>
          </w:p>
        </w:tc>
        <w:tc>
          <w:tcPr>
            <w:tcW w:w="6015" w:type="dxa"/>
          </w:tcPr>
          <w:p w:rsidR="00136190" w:rsidRPr="00136190" w:rsidRDefault="00136190" w:rsidP="00136190">
            <w:pPr>
              <w:pStyle w:val="AERtabletextleft"/>
            </w:pPr>
            <w:r w:rsidRPr="00136190">
              <w:t>Efficiency Benefit Sharing Scheme</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754B2B" w:rsidP="00136190">
            <w:pPr>
              <w:pStyle w:val="AERtabletextleft"/>
            </w:pPr>
            <w:r w:rsidRPr="00136190">
              <w:t>ENA</w:t>
            </w:r>
          </w:p>
        </w:tc>
        <w:tc>
          <w:tcPr>
            <w:tcW w:w="6015" w:type="dxa"/>
          </w:tcPr>
          <w:p w:rsidR="00136190" w:rsidRPr="00136190" w:rsidRDefault="00136190" w:rsidP="00136190">
            <w:pPr>
              <w:pStyle w:val="AERtabletextleft"/>
            </w:pPr>
            <w:r w:rsidRPr="00136190">
              <w:t>Energy Networks Australia</w:t>
            </w:r>
          </w:p>
        </w:tc>
      </w:tr>
      <w:tr w:rsidR="00136190" w:rsidTr="006F6C85">
        <w:tc>
          <w:tcPr>
            <w:tcW w:w="3227" w:type="dxa"/>
          </w:tcPr>
          <w:p w:rsidR="00136190" w:rsidRPr="00136190" w:rsidRDefault="00136190" w:rsidP="00136190">
            <w:pPr>
              <w:pStyle w:val="AERtabletextleft"/>
            </w:pPr>
            <w:r w:rsidRPr="00136190">
              <w:t>Capex incentive guidelines</w:t>
            </w:r>
          </w:p>
        </w:tc>
        <w:tc>
          <w:tcPr>
            <w:tcW w:w="6015" w:type="dxa"/>
          </w:tcPr>
          <w:p w:rsidR="00136190" w:rsidRPr="00136190" w:rsidRDefault="00136190" w:rsidP="00136190">
            <w:pPr>
              <w:pStyle w:val="AERtabletextleft"/>
            </w:pPr>
            <w:r w:rsidRPr="00136190">
              <w:t>Capital Expenditure Incentive Guidelines</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Forecasting guidelines</w:t>
            </w:r>
          </w:p>
        </w:tc>
        <w:tc>
          <w:tcPr>
            <w:tcW w:w="6015" w:type="dxa"/>
          </w:tcPr>
          <w:p w:rsidR="00136190" w:rsidRPr="00136190" w:rsidRDefault="00136190" w:rsidP="00136190">
            <w:pPr>
              <w:pStyle w:val="AERtabletextleft"/>
            </w:pPr>
            <w:r w:rsidRPr="00136190">
              <w:t>Expenditure Forecast Assessment Guidelines</w:t>
            </w:r>
          </w:p>
        </w:tc>
      </w:tr>
      <w:tr w:rsidR="00136190" w:rsidTr="006F6C85">
        <w:tc>
          <w:tcPr>
            <w:tcW w:w="3227" w:type="dxa"/>
          </w:tcPr>
          <w:p w:rsidR="00136190" w:rsidRPr="00136190" w:rsidRDefault="00136190" w:rsidP="00136190">
            <w:pPr>
              <w:pStyle w:val="AERtabletextleft"/>
            </w:pPr>
            <w:r w:rsidRPr="00136190">
              <w:t>MEU</w:t>
            </w:r>
          </w:p>
        </w:tc>
        <w:tc>
          <w:tcPr>
            <w:tcW w:w="6015" w:type="dxa"/>
          </w:tcPr>
          <w:p w:rsidR="00136190" w:rsidRPr="00136190" w:rsidRDefault="00136190" w:rsidP="00136190">
            <w:pPr>
              <w:pStyle w:val="AERtabletextleft"/>
            </w:pPr>
            <w:r w:rsidRPr="00136190">
              <w:t>Major Energy Users Inc.</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National Electricity Rules (NER)</w:t>
            </w:r>
          </w:p>
        </w:tc>
        <w:tc>
          <w:tcPr>
            <w:tcW w:w="6015" w:type="dxa"/>
          </w:tcPr>
          <w:p w:rsidR="00136190" w:rsidRPr="00136190" w:rsidRDefault="00136190" w:rsidP="00136190">
            <w:pPr>
              <w:pStyle w:val="AERtabletextleft"/>
            </w:pPr>
            <w:r w:rsidRPr="00136190">
              <w:t>The rules as defined in the National Electricity Law.</w:t>
            </w:r>
          </w:p>
        </w:tc>
      </w:tr>
      <w:tr w:rsidR="00136190" w:rsidTr="006F6C85">
        <w:tc>
          <w:tcPr>
            <w:tcW w:w="3227" w:type="dxa"/>
          </w:tcPr>
          <w:p w:rsidR="00136190" w:rsidRPr="00136190" w:rsidRDefault="00136190" w:rsidP="00136190">
            <w:pPr>
              <w:pStyle w:val="AERtabletextleft"/>
            </w:pPr>
            <w:r w:rsidRPr="00136190">
              <w:t>NPV</w:t>
            </w:r>
          </w:p>
        </w:tc>
        <w:tc>
          <w:tcPr>
            <w:tcW w:w="6015" w:type="dxa"/>
          </w:tcPr>
          <w:p w:rsidR="00136190" w:rsidRPr="00136190" w:rsidRDefault="00136190" w:rsidP="00136190">
            <w:pPr>
              <w:pStyle w:val="AERtabletextleft"/>
            </w:pPr>
            <w:r w:rsidRPr="00136190">
              <w:t>Net Present Value</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NSP</w:t>
            </w:r>
          </w:p>
        </w:tc>
        <w:tc>
          <w:tcPr>
            <w:tcW w:w="6015" w:type="dxa"/>
          </w:tcPr>
          <w:p w:rsidR="00136190" w:rsidRPr="00136190" w:rsidRDefault="00136190" w:rsidP="00136190">
            <w:pPr>
              <w:pStyle w:val="AERtabletextleft"/>
            </w:pPr>
            <w:r w:rsidRPr="00136190">
              <w:t>Network Service Provider</w:t>
            </w:r>
          </w:p>
        </w:tc>
      </w:tr>
      <w:tr w:rsidR="00136190" w:rsidTr="006F6C85">
        <w:tc>
          <w:tcPr>
            <w:tcW w:w="3227" w:type="dxa"/>
          </w:tcPr>
          <w:p w:rsidR="00136190" w:rsidRPr="00136190" w:rsidRDefault="00136190" w:rsidP="00136190">
            <w:pPr>
              <w:pStyle w:val="AERtabletextleft"/>
            </w:pPr>
            <w:r w:rsidRPr="00136190">
              <w:t>opex</w:t>
            </w:r>
          </w:p>
        </w:tc>
        <w:tc>
          <w:tcPr>
            <w:tcW w:w="6015" w:type="dxa"/>
          </w:tcPr>
          <w:p w:rsidR="00136190" w:rsidRPr="00136190" w:rsidRDefault="00136190" w:rsidP="00136190">
            <w:pPr>
              <w:pStyle w:val="AERtabletextleft"/>
            </w:pPr>
            <w:r w:rsidRPr="00136190">
              <w:t>Operating expenditure</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PIAC</w:t>
            </w:r>
          </w:p>
        </w:tc>
        <w:tc>
          <w:tcPr>
            <w:tcW w:w="6015" w:type="dxa"/>
          </w:tcPr>
          <w:p w:rsidR="00136190" w:rsidRPr="00136190" w:rsidRDefault="00136190" w:rsidP="00136190">
            <w:pPr>
              <w:pStyle w:val="AERtabletextleft"/>
            </w:pPr>
            <w:r w:rsidRPr="00136190">
              <w:t>Public Interest Advocacy Centre Ltd.</w:t>
            </w:r>
          </w:p>
        </w:tc>
      </w:tr>
      <w:tr w:rsidR="00136190" w:rsidTr="006F6C85">
        <w:tc>
          <w:tcPr>
            <w:tcW w:w="3227" w:type="dxa"/>
          </w:tcPr>
          <w:p w:rsidR="00136190" w:rsidRPr="00136190" w:rsidRDefault="00136190" w:rsidP="00136190">
            <w:pPr>
              <w:pStyle w:val="AERtabletextleft"/>
            </w:pPr>
            <w:r w:rsidRPr="00136190">
              <w:t>STPIS</w:t>
            </w:r>
          </w:p>
        </w:tc>
        <w:tc>
          <w:tcPr>
            <w:tcW w:w="6015" w:type="dxa"/>
          </w:tcPr>
          <w:p w:rsidR="00136190" w:rsidRPr="00136190" w:rsidRDefault="00136190" w:rsidP="00136190">
            <w:pPr>
              <w:pStyle w:val="AERtabletextleft"/>
            </w:pPr>
            <w:r w:rsidRPr="00136190">
              <w:t>Service Target Performance Incentive Scheme</w:t>
            </w:r>
          </w:p>
        </w:tc>
      </w:tr>
      <w:tr w:rsidR="00136190" w:rsidTr="006F6C85">
        <w:trPr>
          <w:cnfStyle w:val="000000010000" w:firstRow="0" w:lastRow="0" w:firstColumn="0" w:lastColumn="0" w:oddVBand="0" w:evenVBand="0" w:oddHBand="0" w:evenHBand="1" w:firstRowFirstColumn="0" w:firstRowLastColumn="0" w:lastRowFirstColumn="0" w:lastRowLastColumn="0"/>
        </w:trPr>
        <w:tc>
          <w:tcPr>
            <w:tcW w:w="3227" w:type="dxa"/>
          </w:tcPr>
          <w:p w:rsidR="00136190" w:rsidRPr="00136190" w:rsidRDefault="00136190" w:rsidP="00136190">
            <w:pPr>
              <w:pStyle w:val="AERtabletextleft"/>
            </w:pPr>
            <w:r w:rsidRPr="00136190">
              <w:t>TNSP</w:t>
            </w:r>
          </w:p>
        </w:tc>
        <w:tc>
          <w:tcPr>
            <w:tcW w:w="6015" w:type="dxa"/>
          </w:tcPr>
          <w:p w:rsidR="00136190" w:rsidRPr="00136190" w:rsidRDefault="00136190" w:rsidP="00136190">
            <w:pPr>
              <w:pStyle w:val="AERtabletextleft"/>
            </w:pPr>
            <w:r w:rsidRPr="00136190">
              <w:t>Transmission Network Service Provider</w:t>
            </w:r>
          </w:p>
        </w:tc>
      </w:tr>
    </w:tbl>
    <w:p w:rsidR="005F6082" w:rsidRPr="005F6082" w:rsidRDefault="005F6082" w:rsidP="005F6082">
      <w:pPr>
        <w:pStyle w:val="AERbodytext"/>
      </w:pPr>
    </w:p>
    <w:p w:rsidR="00AF3E95" w:rsidRDefault="00AF3E95" w:rsidP="00CB740D">
      <w:pPr>
        <w:pStyle w:val="UnnumberedHeading"/>
        <w:numPr>
          <w:ilvl w:val="0"/>
          <w:numId w:val="1"/>
        </w:numPr>
      </w:pPr>
      <w:bookmarkStart w:id="4" w:name="_Toc373159415"/>
      <w:r>
        <w:lastRenderedPageBreak/>
        <w:t>Contents</w:t>
      </w:r>
      <w:bookmarkEnd w:id="2"/>
      <w:bookmarkEnd w:id="3"/>
      <w:bookmarkEnd w:id="4"/>
    </w:p>
    <w:p w:rsidR="00FB46FA"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3159416" w:history="1">
        <w:r w:rsidR="00FB46FA" w:rsidRPr="00B842BD">
          <w:rPr>
            <w:rStyle w:val="Hyperlink"/>
            <w:noProof/>
          </w:rPr>
          <w:t>Summary</w:t>
        </w:r>
        <w:r w:rsidR="00FB46FA">
          <w:rPr>
            <w:noProof/>
            <w:webHidden/>
          </w:rPr>
          <w:tab/>
        </w:r>
        <w:r w:rsidR="00FB46FA">
          <w:rPr>
            <w:noProof/>
            <w:webHidden/>
          </w:rPr>
          <w:fldChar w:fldCharType="begin"/>
        </w:r>
        <w:r w:rsidR="00FB46FA">
          <w:rPr>
            <w:noProof/>
            <w:webHidden/>
          </w:rPr>
          <w:instrText xml:space="preserve"> PAGEREF _Toc373159416 \h </w:instrText>
        </w:r>
        <w:r w:rsidR="00FB46FA">
          <w:rPr>
            <w:noProof/>
            <w:webHidden/>
          </w:rPr>
        </w:r>
        <w:r w:rsidR="00FB46FA">
          <w:rPr>
            <w:noProof/>
            <w:webHidden/>
          </w:rPr>
          <w:fldChar w:fldCharType="separate"/>
        </w:r>
        <w:r w:rsidR="00C80FA5">
          <w:rPr>
            <w:noProof/>
            <w:webHidden/>
          </w:rPr>
          <w:t>5</w:t>
        </w:r>
        <w:r w:rsidR="00FB46FA">
          <w:rPr>
            <w:noProof/>
            <w:webHidden/>
          </w:rPr>
          <w:fldChar w:fldCharType="end"/>
        </w:r>
      </w:hyperlink>
    </w:p>
    <w:p w:rsidR="00FB46FA" w:rsidRDefault="009C4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159417" w:history="1">
        <w:r w:rsidR="00FB46FA" w:rsidRPr="00B842BD">
          <w:rPr>
            <w:rStyle w:val="Hyperlink"/>
            <w:noProof/>
          </w:rPr>
          <w:t>1</w:t>
        </w:r>
        <w:r w:rsidR="00FB46FA">
          <w:rPr>
            <w:rFonts w:asciiTheme="minorHAnsi" w:eastAsiaTheme="minorEastAsia" w:hAnsiTheme="minorHAnsi" w:cstheme="minorBidi"/>
            <w:b w:val="0"/>
            <w:bCs w:val="0"/>
            <w:noProof/>
            <w:sz w:val="22"/>
            <w:szCs w:val="22"/>
            <w:lang w:eastAsia="en-AU"/>
          </w:rPr>
          <w:tab/>
        </w:r>
        <w:r w:rsidR="00FB46FA" w:rsidRPr="00B842BD">
          <w:rPr>
            <w:rStyle w:val="Hyperlink"/>
            <w:noProof/>
          </w:rPr>
          <w:t>Introduction</w:t>
        </w:r>
        <w:r w:rsidR="00FB46FA">
          <w:rPr>
            <w:noProof/>
            <w:webHidden/>
          </w:rPr>
          <w:tab/>
        </w:r>
        <w:r w:rsidR="00FB46FA">
          <w:rPr>
            <w:noProof/>
            <w:webHidden/>
          </w:rPr>
          <w:fldChar w:fldCharType="begin"/>
        </w:r>
        <w:r w:rsidR="00FB46FA">
          <w:rPr>
            <w:noProof/>
            <w:webHidden/>
          </w:rPr>
          <w:instrText xml:space="preserve"> PAGEREF _Toc373159417 \h </w:instrText>
        </w:r>
        <w:r w:rsidR="00FB46FA">
          <w:rPr>
            <w:noProof/>
            <w:webHidden/>
          </w:rPr>
        </w:r>
        <w:r w:rsidR="00FB46FA">
          <w:rPr>
            <w:noProof/>
            <w:webHidden/>
          </w:rPr>
          <w:fldChar w:fldCharType="separate"/>
        </w:r>
        <w:r w:rsidR="00C80FA5">
          <w:rPr>
            <w:noProof/>
            <w:webHidden/>
          </w:rPr>
          <w:t>7</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18" w:history="1">
        <w:r w:rsidR="00FB46FA" w:rsidRPr="00B842BD">
          <w:rPr>
            <w:rStyle w:val="Hyperlink"/>
            <w:noProof/>
          </w:rPr>
          <w:t>1.1</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Current arrangements</w:t>
        </w:r>
        <w:r w:rsidR="00FB46FA">
          <w:rPr>
            <w:noProof/>
            <w:webHidden/>
          </w:rPr>
          <w:tab/>
        </w:r>
        <w:r w:rsidR="00FB46FA">
          <w:rPr>
            <w:noProof/>
            <w:webHidden/>
          </w:rPr>
          <w:fldChar w:fldCharType="begin"/>
        </w:r>
        <w:r w:rsidR="00FB46FA">
          <w:rPr>
            <w:noProof/>
            <w:webHidden/>
          </w:rPr>
          <w:instrText xml:space="preserve"> PAGEREF _Toc373159418 \h </w:instrText>
        </w:r>
        <w:r w:rsidR="00FB46FA">
          <w:rPr>
            <w:noProof/>
            <w:webHidden/>
          </w:rPr>
        </w:r>
        <w:r w:rsidR="00FB46FA">
          <w:rPr>
            <w:noProof/>
            <w:webHidden/>
          </w:rPr>
          <w:fldChar w:fldCharType="separate"/>
        </w:r>
        <w:r w:rsidR="00C80FA5">
          <w:rPr>
            <w:noProof/>
            <w:webHidden/>
          </w:rPr>
          <w:t>7</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19" w:history="1">
        <w:r w:rsidR="00FB46FA" w:rsidRPr="00B842BD">
          <w:rPr>
            <w:rStyle w:val="Hyperlink"/>
            <w:noProof/>
          </w:rPr>
          <w:t>1.2</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Reasons for reviewing the EBSS</w:t>
        </w:r>
        <w:r w:rsidR="00FB46FA">
          <w:rPr>
            <w:noProof/>
            <w:webHidden/>
          </w:rPr>
          <w:tab/>
        </w:r>
        <w:r w:rsidR="00FB46FA">
          <w:rPr>
            <w:noProof/>
            <w:webHidden/>
          </w:rPr>
          <w:fldChar w:fldCharType="begin"/>
        </w:r>
        <w:r w:rsidR="00FB46FA">
          <w:rPr>
            <w:noProof/>
            <w:webHidden/>
          </w:rPr>
          <w:instrText xml:space="preserve"> PAGEREF _Toc373159419 \h </w:instrText>
        </w:r>
        <w:r w:rsidR="00FB46FA">
          <w:rPr>
            <w:noProof/>
            <w:webHidden/>
          </w:rPr>
        </w:r>
        <w:r w:rsidR="00FB46FA">
          <w:rPr>
            <w:noProof/>
            <w:webHidden/>
          </w:rPr>
          <w:fldChar w:fldCharType="separate"/>
        </w:r>
        <w:r w:rsidR="00C80FA5">
          <w:rPr>
            <w:noProof/>
            <w:webHidden/>
          </w:rPr>
          <w:t>8</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0" w:history="1">
        <w:r w:rsidR="00FB46FA" w:rsidRPr="00B842BD">
          <w:rPr>
            <w:rStyle w:val="Hyperlink"/>
            <w:noProof/>
          </w:rPr>
          <w:t>1.3</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Consultation process</w:t>
        </w:r>
        <w:r w:rsidR="00FB46FA">
          <w:rPr>
            <w:noProof/>
            <w:webHidden/>
          </w:rPr>
          <w:tab/>
        </w:r>
        <w:r w:rsidR="00FB46FA">
          <w:rPr>
            <w:noProof/>
            <w:webHidden/>
          </w:rPr>
          <w:fldChar w:fldCharType="begin"/>
        </w:r>
        <w:r w:rsidR="00FB46FA">
          <w:rPr>
            <w:noProof/>
            <w:webHidden/>
          </w:rPr>
          <w:instrText xml:space="preserve"> PAGEREF _Toc373159420 \h </w:instrText>
        </w:r>
        <w:r w:rsidR="00FB46FA">
          <w:rPr>
            <w:noProof/>
            <w:webHidden/>
          </w:rPr>
        </w:r>
        <w:r w:rsidR="00FB46FA">
          <w:rPr>
            <w:noProof/>
            <w:webHidden/>
          </w:rPr>
          <w:fldChar w:fldCharType="separate"/>
        </w:r>
        <w:r w:rsidR="00C80FA5">
          <w:rPr>
            <w:noProof/>
            <w:webHidden/>
          </w:rPr>
          <w:t>9</w:t>
        </w:r>
        <w:r w:rsidR="00FB46FA">
          <w:rPr>
            <w:noProof/>
            <w:webHidden/>
          </w:rPr>
          <w:fldChar w:fldCharType="end"/>
        </w:r>
      </w:hyperlink>
    </w:p>
    <w:p w:rsidR="00FB46FA" w:rsidRDefault="009C456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159421" w:history="1">
        <w:r w:rsidR="00FB46FA" w:rsidRPr="00B842BD">
          <w:rPr>
            <w:rStyle w:val="Hyperlink"/>
            <w:noProof/>
          </w:rPr>
          <w:t>2</w:t>
        </w:r>
        <w:r w:rsidR="00FB46FA">
          <w:rPr>
            <w:rFonts w:asciiTheme="minorHAnsi" w:eastAsiaTheme="minorEastAsia" w:hAnsiTheme="minorHAnsi" w:cstheme="minorBidi"/>
            <w:b w:val="0"/>
            <w:bCs w:val="0"/>
            <w:noProof/>
            <w:sz w:val="22"/>
            <w:szCs w:val="22"/>
            <w:lang w:eastAsia="en-AU"/>
          </w:rPr>
          <w:tab/>
        </w:r>
        <w:r w:rsidR="00FB46FA" w:rsidRPr="00B842BD">
          <w:rPr>
            <w:rStyle w:val="Hyperlink"/>
            <w:noProof/>
          </w:rPr>
          <w:t>Efficiency benefit sharing scheme</w:t>
        </w:r>
        <w:r w:rsidR="00FB46FA">
          <w:rPr>
            <w:noProof/>
            <w:webHidden/>
          </w:rPr>
          <w:tab/>
        </w:r>
        <w:r w:rsidR="00FB46FA">
          <w:rPr>
            <w:noProof/>
            <w:webHidden/>
          </w:rPr>
          <w:fldChar w:fldCharType="begin"/>
        </w:r>
        <w:r w:rsidR="00FB46FA">
          <w:rPr>
            <w:noProof/>
            <w:webHidden/>
          </w:rPr>
          <w:instrText xml:space="preserve"> PAGEREF _Toc373159421 \h </w:instrText>
        </w:r>
        <w:r w:rsidR="00FB46FA">
          <w:rPr>
            <w:noProof/>
            <w:webHidden/>
          </w:rPr>
        </w:r>
        <w:r w:rsidR="00FB46FA">
          <w:rPr>
            <w:noProof/>
            <w:webHidden/>
          </w:rPr>
          <w:fldChar w:fldCharType="separate"/>
        </w:r>
        <w:r w:rsidR="00C80FA5">
          <w:rPr>
            <w:noProof/>
            <w:webHidden/>
          </w:rPr>
          <w:t>11</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2" w:history="1">
        <w:r w:rsidR="00FB46FA" w:rsidRPr="00B842BD">
          <w:rPr>
            <w:rStyle w:val="Hyperlink"/>
            <w:noProof/>
          </w:rPr>
          <w:t>2.1</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Ex post exclusions from the EBSS</w:t>
        </w:r>
        <w:r w:rsidR="00FB46FA">
          <w:rPr>
            <w:noProof/>
            <w:webHidden/>
          </w:rPr>
          <w:tab/>
        </w:r>
        <w:r w:rsidR="00FB46FA">
          <w:rPr>
            <w:noProof/>
            <w:webHidden/>
          </w:rPr>
          <w:fldChar w:fldCharType="begin"/>
        </w:r>
        <w:r w:rsidR="00FB46FA">
          <w:rPr>
            <w:noProof/>
            <w:webHidden/>
          </w:rPr>
          <w:instrText xml:space="preserve"> PAGEREF _Toc373159422 \h </w:instrText>
        </w:r>
        <w:r w:rsidR="00FB46FA">
          <w:rPr>
            <w:noProof/>
            <w:webHidden/>
          </w:rPr>
        </w:r>
        <w:r w:rsidR="00FB46FA">
          <w:rPr>
            <w:noProof/>
            <w:webHidden/>
          </w:rPr>
          <w:fldChar w:fldCharType="separate"/>
        </w:r>
        <w:r w:rsidR="00C80FA5">
          <w:rPr>
            <w:noProof/>
            <w:webHidden/>
          </w:rPr>
          <w:t>12</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3" w:history="1">
        <w:r w:rsidR="00FB46FA" w:rsidRPr="00B842BD">
          <w:rPr>
            <w:rStyle w:val="Hyperlink"/>
            <w:noProof/>
          </w:rPr>
          <w:t>2.2</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One-off factors in the base year</w:t>
        </w:r>
        <w:r w:rsidR="00FB46FA">
          <w:rPr>
            <w:noProof/>
            <w:webHidden/>
          </w:rPr>
          <w:tab/>
        </w:r>
        <w:r w:rsidR="00FB46FA">
          <w:rPr>
            <w:noProof/>
            <w:webHidden/>
          </w:rPr>
          <w:fldChar w:fldCharType="begin"/>
        </w:r>
        <w:r w:rsidR="00FB46FA">
          <w:rPr>
            <w:noProof/>
            <w:webHidden/>
          </w:rPr>
          <w:instrText xml:space="preserve"> PAGEREF _Toc373159423 \h </w:instrText>
        </w:r>
        <w:r w:rsidR="00FB46FA">
          <w:rPr>
            <w:noProof/>
            <w:webHidden/>
          </w:rPr>
        </w:r>
        <w:r w:rsidR="00FB46FA">
          <w:rPr>
            <w:noProof/>
            <w:webHidden/>
          </w:rPr>
          <w:fldChar w:fldCharType="separate"/>
        </w:r>
        <w:r w:rsidR="00C80FA5">
          <w:rPr>
            <w:noProof/>
            <w:webHidden/>
          </w:rPr>
          <w:t>14</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4" w:history="1">
        <w:r w:rsidR="00FB46FA" w:rsidRPr="00B842BD">
          <w:rPr>
            <w:rStyle w:val="Hyperlink"/>
            <w:noProof/>
          </w:rPr>
          <w:t>2.3</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The length of the carryover period</w:t>
        </w:r>
        <w:r w:rsidR="00FB46FA">
          <w:rPr>
            <w:noProof/>
            <w:webHidden/>
          </w:rPr>
          <w:tab/>
        </w:r>
        <w:r w:rsidR="00FB46FA">
          <w:rPr>
            <w:noProof/>
            <w:webHidden/>
          </w:rPr>
          <w:fldChar w:fldCharType="begin"/>
        </w:r>
        <w:r w:rsidR="00FB46FA">
          <w:rPr>
            <w:noProof/>
            <w:webHidden/>
          </w:rPr>
          <w:instrText xml:space="preserve"> PAGEREF _Toc373159424 \h </w:instrText>
        </w:r>
        <w:r w:rsidR="00FB46FA">
          <w:rPr>
            <w:noProof/>
            <w:webHidden/>
          </w:rPr>
        </w:r>
        <w:r w:rsidR="00FB46FA">
          <w:rPr>
            <w:noProof/>
            <w:webHidden/>
          </w:rPr>
          <w:fldChar w:fldCharType="separate"/>
        </w:r>
        <w:r w:rsidR="00C80FA5">
          <w:rPr>
            <w:noProof/>
            <w:webHidden/>
          </w:rPr>
          <w:t>17</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5" w:history="1">
        <w:r w:rsidR="00FB46FA" w:rsidRPr="00B842BD">
          <w:rPr>
            <w:rStyle w:val="Hyperlink"/>
            <w:noProof/>
          </w:rPr>
          <w:t>2.4</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Treatment of uncontrollable costs</w:t>
        </w:r>
        <w:r w:rsidR="00FB46FA">
          <w:rPr>
            <w:noProof/>
            <w:webHidden/>
          </w:rPr>
          <w:tab/>
        </w:r>
        <w:r w:rsidR="00FB46FA">
          <w:rPr>
            <w:noProof/>
            <w:webHidden/>
          </w:rPr>
          <w:fldChar w:fldCharType="begin"/>
        </w:r>
        <w:r w:rsidR="00FB46FA">
          <w:rPr>
            <w:noProof/>
            <w:webHidden/>
          </w:rPr>
          <w:instrText xml:space="preserve"> PAGEREF _Toc373159425 \h </w:instrText>
        </w:r>
        <w:r w:rsidR="00FB46FA">
          <w:rPr>
            <w:noProof/>
            <w:webHidden/>
          </w:rPr>
        </w:r>
        <w:r w:rsidR="00FB46FA">
          <w:rPr>
            <w:noProof/>
            <w:webHidden/>
          </w:rPr>
          <w:fldChar w:fldCharType="separate"/>
        </w:r>
        <w:r w:rsidR="00C80FA5">
          <w:rPr>
            <w:noProof/>
            <w:webHidden/>
          </w:rPr>
          <w:t>19</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7" w:history="1">
        <w:r w:rsidR="00FB46FA" w:rsidRPr="00B842BD">
          <w:rPr>
            <w:rStyle w:val="Hyperlink"/>
            <w:noProof/>
          </w:rPr>
          <w:t>2.5</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Lumpy expenditure forecasts and the EBSS</w:t>
        </w:r>
        <w:r w:rsidR="00FB46FA">
          <w:rPr>
            <w:noProof/>
            <w:webHidden/>
          </w:rPr>
          <w:tab/>
        </w:r>
        <w:r w:rsidR="00FB46FA">
          <w:rPr>
            <w:noProof/>
            <w:webHidden/>
          </w:rPr>
          <w:fldChar w:fldCharType="begin"/>
        </w:r>
        <w:r w:rsidR="00FB46FA">
          <w:rPr>
            <w:noProof/>
            <w:webHidden/>
          </w:rPr>
          <w:instrText xml:space="preserve"> PAGEREF _Toc373159427 \h </w:instrText>
        </w:r>
        <w:r w:rsidR="00FB46FA">
          <w:rPr>
            <w:noProof/>
            <w:webHidden/>
          </w:rPr>
        </w:r>
        <w:r w:rsidR="00FB46FA">
          <w:rPr>
            <w:noProof/>
            <w:webHidden/>
          </w:rPr>
          <w:fldChar w:fldCharType="separate"/>
        </w:r>
        <w:r w:rsidR="00C80FA5">
          <w:rPr>
            <w:noProof/>
            <w:webHidden/>
          </w:rPr>
          <w:t>21</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28" w:history="1">
        <w:r w:rsidR="00FB46FA" w:rsidRPr="00B842BD">
          <w:rPr>
            <w:rStyle w:val="Hyperlink"/>
            <w:noProof/>
          </w:rPr>
          <w:t>2.6</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Impacts of opex base year adjustments on opex incentives</w:t>
        </w:r>
        <w:r w:rsidR="00FB46FA">
          <w:rPr>
            <w:noProof/>
            <w:webHidden/>
          </w:rPr>
          <w:tab/>
        </w:r>
        <w:r w:rsidR="00FB46FA">
          <w:rPr>
            <w:noProof/>
            <w:webHidden/>
          </w:rPr>
          <w:fldChar w:fldCharType="begin"/>
        </w:r>
        <w:r w:rsidR="00FB46FA">
          <w:rPr>
            <w:noProof/>
            <w:webHidden/>
          </w:rPr>
          <w:instrText xml:space="preserve"> PAGEREF _Toc373159428 \h </w:instrText>
        </w:r>
        <w:r w:rsidR="00FB46FA">
          <w:rPr>
            <w:noProof/>
            <w:webHidden/>
          </w:rPr>
        </w:r>
        <w:r w:rsidR="00FB46FA">
          <w:rPr>
            <w:noProof/>
            <w:webHidden/>
          </w:rPr>
          <w:fldChar w:fldCharType="separate"/>
        </w:r>
        <w:r w:rsidR="00C80FA5">
          <w:rPr>
            <w:noProof/>
            <w:webHidden/>
          </w:rPr>
          <w:t>22</w:t>
        </w:r>
        <w:r w:rsidR="00FB46FA">
          <w:rPr>
            <w:noProof/>
            <w:webHidden/>
          </w:rPr>
          <w:fldChar w:fldCharType="end"/>
        </w:r>
      </w:hyperlink>
    </w:p>
    <w:p w:rsidR="00FB46FA" w:rsidRDefault="009C456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159431" w:history="1">
        <w:r w:rsidR="00FB46FA" w:rsidRPr="00B842BD">
          <w:rPr>
            <w:rStyle w:val="Hyperlink"/>
            <w:noProof/>
          </w:rPr>
          <w:t>2.7</w:t>
        </w:r>
        <w:r w:rsidR="00FB46FA">
          <w:rPr>
            <w:rFonts w:asciiTheme="minorHAnsi" w:eastAsiaTheme="minorEastAsia" w:hAnsiTheme="minorHAnsi" w:cstheme="minorBidi"/>
            <w:iCs w:val="0"/>
            <w:noProof/>
            <w:sz w:val="22"/>
            <w:szCs w:val="22"/>
            <w:lang w:eastAsia="en-AU"/>
          </w:rPr>
          <w:tab/>
        </w:r>
        <w:r w:rsidR="00FB46FA" w:rsidRPr="00B842BD">
          <w:rPr>
            <w:rStyle w:val="Hyperlink"/>
            <w:noProof/>
          </w:rPr>
          <w:t>The impact of tax on opex incentives</w:t>
        </w:r>
        <w:r w:rsidR="00FB46FA">
          <w:rPr>
            <w:noProof/>
            <w:webHidden/>
          </w:rPr>
          <w:tab/>
        </w:r>
        <w:r w:rsidR="00FB46FA">
          <w:rPr>
            <w:noProof/>
            <w:webHidden/>
          </w:rPr>
          <w:fldChar w:fldCharType="begin"/>
        </w:r>
        <w:r w:rsidR="00FB46FA">
          <w:rPr>
            <w:noProof/>
            <w:webHidden/>
          </w:rPr>
          <w:instrText xml:space="preserve"> PAGEREF _Toc373159431 \h </w:instrText>
        </w:r>
        <w:r w:rsidR="00FB46FA">
          <w:rPr>
            <w:noProof/>
            <w:webHidden/>
          </w:rPr>
        </w:r>
        <w:r w:rsidR="00FB46FA">
          <w:rPr>
            <w:noProof/>
            <w:webHidden/>
          </w:rPr>
          <w:fldChar w:fldCharType="separate"/>
        </w:r>
        <w:r w:rsidR="00C80FA5">
          <w:rPr>
            <w:noProof/>
            <w:webHidden/>
          </w:rPr>
          <w:t>23</w:t>
        </w:r>
        <w:r w:rsidR="00FB46FA">
          <w:rPr>
            <w:noProof/>
            <w:webHidden/>
          </w:rPr>
          <w:fldChar w:fldCharType="end"/>
        </w:r>
      </w:hyperlink>
    </w:p>
    <w:p w:rsidR="00AF3E95" w:rsidRDefault="00824CC8" w:rsidP="005F6082">
      <w:pPr>
        <w:pStyle w:val="UnnumberedHeading"/>
      </w:pPr>
      <w:r w:rsidRPr="00AC1B94">
        <w:lastRenderedPageBreak/>
        <w:fldChar w:fldCharType="end"/>
      </w:r>
      <w:bookmarkStart w:id="5" w:name="_Toc373159416"/>
      <w:r w:rsidR="005F6082">
        <w:t>Summary</w:t>
      </w:r>
      <w:bookmarkEnd w:id="5"/>
    </w:p>
    <w:p w:rsidR="00D5620D" w:rsidRPr="00D5620D" w:rsidRDefault="00D5620D" w:rsidP="00D5620D">
      <w:pPr>
        <w:pStyle w:val="AERbodytext"/>
        <w:numPr>
          <w:ilvl w:val="0"/>
          <w:numId w:val="6"/>
        </w:numPr>
      </w:pPr>
      <w:r w:rsidRPr="00D5620D">
        <w:t xml:space="preserve">This explanatory statement accompanies the </w:t>
      </w:r>
      <w:r>
        <w:t>Efficiency Benefit Sharing Scheme</w:t>
      </w:r>
      <w:r w:rsidR="006F6C85">
        <w:t xml:space="preserve"> (EBSS)</w:t>
      </w:r>
      <w:r w:rsidRPr="00D5620D">
        <w:t xml:space="preserve"> which outlines the Australian Energy Regulator's (AER) approach to incentivising electricity network service providers (NSPs) to pursue efficient </w:t>
      </w:r>
      <w:r>
        <w:t>operating</w:t>
      </w:r>
      <w:r w:rsidRPr="00D5620D">
        <w:t xml:space="preserve"> expenditure (</w:t>
      </w:r>
      <w:r>
        <w:t>opex</w:t>
      </w:r>
      <w:r w:rsidRPr="00D5620D">
        <w:t xml:space="preserve">). </w:t>
      </w:r>
      <w:r w:rsidR="00243612" w:rsidRPr="00184A56">
        <w:t>We already have an EBSS for opex in place for NSPs</w:t>
      </w:r>
      <w:r w:rsidR="00243612">
        <w:t>.</w:t>
      </w:r>
      <w:r w:rsidR="00243612">
        <w:rPr>
          <w:rStyle w:val="FootnoteReference"/>
        </w:rPr>
        <w:footnoteReference w:id="1"/>
      </w:r>
      <w:r w:rsidR="00243612">
        <w:t xml:space="preserve"> We have reviewed our EBSS as </w:t>
      </w:r>
      <w:r w:rsidRPr="00D5620D">
        <w:t>part of our Better Regulation program of work</w:t>
      </w:r>
      <w:r w:rsidR="00243612">
        <w:t>,</w:t>
      </w:r>
      <w:r w:rsidRPr="00D5620D">
        <w:t xml:space="preserve"> which delivers an improved regulatory framework focused on the long term interests of consumers.</w:t>
      </w:r>
    </w:p>
    <w:p w:rsidR="00C524CE" w:rsidRPr="00184A56" w:rsidRDefault="00184A56" w:rsidP="00243612">
      <w:pPr>
        <w:pStyle w:val="AERbodytext"/>
        <w:numPr>
          <w:ilvl w:val="0"/>
          <w:numId w:val="6"/>
        </w:numPr>
      </w:pPr>
      <w:r>
        <w:t>The EBSS aims to provide a continuous</w:t>
      </w:r>
      <w:r w:rsidRPr="00184A56">
        <w:t xml:space="preserve"> incentive for NSPs to pursue efficiency improvements in opex and to share efficiency gains between NSPs and network users. </w:t>
      </w:r>
      <w:r w:rsidR="00243612">
        <w:t>It</w:t>
      </w:r>
      <w:r w:rsidR="00B00C52" w:rsidRPr="00B00C52">
        <w:t xml:space="preserve"> is intrinsically linked to our forecasting approach for opex. </w:t>
      </w:r>
      <w:r w:rsidR="00C524CE" w:rsidRPr="00184A56">
        <w:t xml:space="preserve">In our </w:t>
      </w:r>
      <w:r w:rsidR="00961B65" w:rsidRPr="00961B65">
        <w:t>Expenditure Forecast Assessment Guidelines</w:t>
      </w:r>
      <w:r w:rsidR="00C524CE" w:rsidRPr="00184A56">
        <w:t>, we have stated our preference is to conti</w:t>
      </w:r>
      <w:r w:rsidR="007E42A2">
        <w:t>nue with the revealed cost base</w:t>
      </w:r>
      <w:r w:rsidR="007E42A2">
        <w:noBreakHyphen/>
      </w:r>
      <w:r w:rsidR="00C524CE" w:rsidRPr="00184A56">
        <w:t xml:space="preserve">step-trend forecasting approach for </w:t>
      </w:r>
      <w:r w:rsidR="00C524CE">
        <w:t xml:space="preserve">assessing </w:t>
      </w:r>
      <w:r w:rsidR="00C524CE" w:rsidRPr="00184A56">
        <w:t>opex.</w:t>
      </w:r>
      <w:r w:rsidR="00C524CE">
        <w:rPr>
          <w:rStyle w:val="FootnoteReference"/>
        </w:rPr>
        <w:footnoteReference w:id="2"/>
      </w:r>
      <w:r w:rsidR="00C524CE" w:rsidRPr="00184A56">
        <w:t xml:space="preserve"> </w:t>
      </w:r>
      <w:r w:rsidR="0089239B" w:rsidRPr="0089239B">
        <w:t xml:space="preserve">If a NSP has operated under an effective incentive framework, and sought to maximise its profits, the actual opex incurred in a base year should be a good indicator of the efficient opex required. However, we must test this, and if we determine a NSP's revealed costs are not efficient, we will adjust them to remove inefficient costs. </w:t>
      </w:r>
      <w:r w:rsidR="0089239B">
        <w:t>We then</w:t>
      </w:r>
      <w:r w:rsidR="00C524CE" w:rsidRPr="00184A56">
        <w:t xml:space="preserve"> add additional opex not reflected in the base year ('step changes') and trend it forward to reflect forecast changes in input costs, productivity and </w:t>
      </w:r>
      <w:r w:rsidR="00C524CE">
        <w:t>output growth</w:t>
      </w:r>
      <w:r w:rsidR="00C524CE" w:rsidRPr="00184A56">
        <w:t>.</w:t>
      </w:r>
    </w:p>
    <w:p w:rsidR="00B00C52" w:rsidRPr="00B00C52" w:rsidRDefault="00B00C52" w:rsidP="00B00C52">
      <w:pPr>
        <w:pStyle w:val="AERbodytext"/>
        <w:numPr>
          <w:ilvl w:val="0"/>
          <w:numId w:val="6"/>
        </w:numPr>
      </w:pPr>
      <w:r w:rsidRPr="00B00C52">
        <w:t>There are two potential incentive problems with this forecasting approach</w:t>
      </w:r>
      <w:r w:rsidR="00F51AAE">
        <w:t xml:space="preserve"> when an EBSS is not in place</w:t>
      </w:r>
      <w:r w:rsidRPr="00B00C52">
        <w:t>:</w:t>
      </w:r>
    </w:p>
    <w:p w:rsidR="00B00C52" w:rsidRPr="00B00C52" w:rsidRDefault="00FD2874" w:rsidP="00FD2874">
      <w:pPr>
        <w:pStyle w:val="AERnumberedlistfirststyle"/>
      </w:pPr>
      <w:r>
        <w:t>A</w:t>
      </w:r>
      <w:r w:rsidR="00B00C52" w:rsidRPr="00B00C52">
        <w:t xml:space="preserve"> NSP has an incentive to increase opex in the expected 'base year' to increase its forecast opex allowance for the following regulatory control period.</w:t>
      </w:r>
    </w:p>
    <w:p w:rsidR="00B00C52" w:rsidRPr="00B00C52" w:rsidRDefault="00B00C52" w:rsidP="00FD2874">
      <w:pPr>
        <w:pStyle w:val="AERnumberedlistfirststyle"/>
      </w:pPr>
      <w:r w:rsidRPr="00B00C52">
        <w:t xml:space="preserve">A NSP's incentive to </w:t>
      </w:r>
      <w:r w:rsidR="009B5901">
        <w:t xml:space="preserve">make sustainable change to its practices, and </w:t>
      </w:r>
      <w:r w:rsidRPr="00B00C52">
        <w:t xml:space="preserve">reduce </w:t>
      </w:r>
      <w:r w:rsidR="009B5901">
        <w:t xml:space="preserve">its recurrent </w:t>
      </w:r>
      <w:r w:rsidRPr="00B00C52">
        <w:t>opex</w:t>
      </w:r>
      <w:r w:rsidR="009B5901">
        <w:t>,</w:t>
      </w:r>
      <w:r w:rsidRPr="00B00C52">
        <w:t xml:space="preserve"> declines as the regulatory control period progresses</w:t>
      </w:r>
      <w:r w:rsidR="009B5901">
        <w:t>. It</w:t>
      </w:r>
      <w:r w:rsidRPr="00B00C52">
        <w:t xml:space="preserve"> then increases again </w:t>
      </w:r>
      <w:r w:rsidR="009B5901">
        <w:t>after</w:t>
      </w:r>
      <w:r w:rsidR="009B5901" w:rsidRPr="00B00C52">
        <w:t xml:space="preserve"> </w:t>
      </w:r>
      <w:r w:rsidRPr="00B00C52">
        <w:t xml:space="preserve">the </w:t>
      </w:r>
      <w:r w:rsidR="009B5901">
        <w:t>base</w:t>
      </w:r>
      <w:r w:rsidR="009B5901" w:rsidRPr="00B00C52">
        <w:t xml:space="preserve"> </w:t>
      </w:r>
      <w:r w:rsidRPr="00B00C52">
        <w:t xml:space="preserve">year </w:t>
      </w:r>
      <w:r w:rsidR="009B5901">
        <w:t>used to forecast opex for the following regulatory control period</w:t>
      </w:r>
      <w:r w:rsidRPr="00B00C52">
        <w:t xml:space="preserve">. </w:t>
      </w:r>
      <w:r w:rsidR="0016745A">
        <w:t>By deferring these ongoing efficiency gains until after the base year the NSP can retain the benefits of doing so for longer because they won't be reflected in th</w:t>
      </w:r>
      <w:r w:rsidR="00012A9E">
        <w:t>e</w:t>
      </w:r>
      <w:r w:rsidR="0016745A">
        <w:t xml:space="preserve"> opex forecasts for the following period</w:t>
      </w:r>
      <w:r w:rsidRPr="00B00C52">
        <w:t>.</w:t>
      </w:r>
    </w:p>
    <w:p w:rsidR="00B00C52" w:rsidRDefault="00B00C52" w:rsidP="00B00C52">
      <w:pPr>
        <w:pStyle w:val="AERbodytext"/>
        <w:numPr>
          <w:ilvl w:val="0"/>
          <w:numId w:val="6"/>
        </w:numPr>
      </w:pPr>
      <w:r w:rsidRPr="00B00C52">
        <w:t xml:space="preserve">We address these issues by applying an EBSS in combination with a revealed cost base-step-trend forecasting approach. This provides NSPs the same reward for </w:t>
      </w:r>
      <w:proofErr w:type="gramStart"/>
      <w:r w:rsidRPr="00B00C52">
        <w:t>an underspend</w:t>
      </w:r>
      <w:proofErr w:type="gramEnd"/>
      <w:r w:rsidRPr="00B00C52">
        <w:t xml:space="preserve"> and the same penalty for an overspend in each year of the regulatory </w:t>
      </w:r>
      <w:r>
        <w:t>control period.</w:t>
      </w:r>
    </w:p>
    <w:p w:rsidR="00B00C52" w:rsidRPr="00B00C52" w:rsidRDefault="00B00C52" w:rsidP="00B00C52">
      <w:pPr>
        <w:pStyle w:val="AERbodytext"/>
        <w:numPr>
          <w:ilvl w:val="0"/>
          <w:numId w:val="6"/>
        </w:numPr>
      </w:pPr>
      <w:r w:rsidRPr="00B00C52">
        <w:t>The EBSS works as follows:</w:t>
      </w:r>
    </w:p>
    <w:p w:rsidR="00B00C52" w:rsidRPr="00B00C52" w:rsidRDefault="00B00C52" w:rsidP="00493826">
      <w:pPr>
        <w:pStyle w:val="AERbulletlistfirststyle"/>
      </w:pPr>
      <w:r w:rsidRPr="00B00C52">
        <w:t>The regulatory regime provides for ex ante opex forecasts. The NSP keeps the benefit (or incurs the cost) of delivering actual opex lower (higher) than forecast opex in each year of a regulatory control period.</w:t>
      </w:r>
      <w:r w:rsidR="00754B2B">
        <w:t xml:space="preserve"> </w:t>
      </w:r>
      <w:r w:rsidRPr="00B00C52">
        <w:t xml:space="preserve"> </w:t>
      </w:r>
    </w:p>
    <w:p w:rsidR="00B00C52" w:rsidRPr="00B00C52" w:rsidRDefault="00961B65" w:rsidP="00961B65">
      <w:pPr>
        <w:pStyle w:val="AERbulletlistfirststyle"/>
      </w:pPr>
      <w:r>
        <w:t>P</w:t>
      </w:r>
      <w:r w:rsidR="00B00C52" w:rsidRPr="00B00C52">
        <w:t>rior to the start of the next regulatory control period, we calculate carryover amounts for</w:t>
      </w:r>
      <w:r w:rsidR="007E42A2">
        <w:t xml:space="preserve"> </w:t>
      </w:r>
      <w:r w:rsidR="00B00C52" w:rsidRPr="00B00C52">
        <w:t>opex efficiency gains or losses</w:t>
      </w:r>
      <w:r w:rsidR="007E42A2">
        <w:t xml:space="preserve"> </w:t>
      </w:r>
      <w:r w:rsidRPr="00961B65">
        <w:t xml:space="preserve">made in </w:t>
      </w:r>
      <w:r>
        <w:t xml:space="preserve">the </w:t>
      </w:r>
      <w:r w:rsidRPr="00961B65">
        <w:t>regulatory control period</w:t>
      </w:r>
      <w:r w:rsidR="00B00C52" w:rsidRPr="00B00C52">
        <w:t xml:space="preserve">. The NSP receives a carryover amount in each year so it retains incremental efficiency gains or losses for the length of the carryover period (usually five years) after it makes the gain or loss. </w:t>
      </w:r>
    </w:p>
    <w:p w:rsidR="00B00C52" w:rsidRPr="00B00C52" w:rsidRDefault="00B00C52" w:rsidP="00493826">
      <w:pPr>
        <w:pStyle w:val="AERbulletlistfirststyle"/>
      </w:pPr>
      <w:r w:rsidRPr="00B00C52">
        <w:lastRenderedPageBreak/>
        <w:t>We add the carryover amounts as an additional 'building block' when setting the NSP's regulated revenue for the next regulatory control period.</w:t>
      </w:r>
    </w:p>
    <w:p w:rsidR="00B00C52" w:rsidRPr="00B00C52" w:rsidRDefault="00B00C52" w:rsidP="00493826">
      <w:pPr>
        <w:pStyle w:val="AERbulletlistfirststyle"/>
      </w:pPr>
      <w:r w:rsidRPr="00B00C52">
        <w:t xml:space="preserve">The actual opex incurred in the base year is used as the starting point for forecasting opex in the next regulatory </w:t>
      </w:r>
      <w:r w:rsidR="006F6C85">
        <w:t xml:space="preserve">control </w:t>
      </w:r>
      <w:r w:rsidRPr="00B00C52">
        <w:t xml:space="preserve">period. </w:t>
      </w:r>
    </w:p>
    <w:p w:rsidR="00B00C52" w:rsidRDefault="00B00C52" w:rsidP="00B00C52">
      <w:pPr>
        <w:pStyle w:val="AERbodytext"/>
      </w:pPr>
      <w:r w:rsidRPr="00B00C52">
        <w:t>Under this approach, any increase or decrease in opex</w:t>
      </w:r>
      <w:r w:rsidR="0089239B">
        <w:t>, relative to the allowance,</w:t>
      </w:r>
      <w:r w:rsidRPr="00B00C52">
        <w:t xml:space="preserve"> is shared approximately 30:70 between NSPs and consumers.</w:t>
      </w:r>
    </w:p>
    <w:p w:rsidR="00184A56" w:rsidRPr="00184A56" w:rsidRDefault="00184A56" w:rsidP="00B00C52">
      <w:pPr>
        <w:pStyle w:val="AERbodytext"/>
        <w:numPr>
          <w:ilvl w:val="0"/>
          <w:numId w:val="6"/>
        </w:numPr>
      </w:pPr>
      <w:r w:rsidRPr="00184A56">
        <w:t xml:space="preserve">Two of the new guidelines </w:t>
      </w:r>
      <w:r>
        <w:t>we have produced</w:t>
      </w:r>
      <w:r w:rsidRPr="00184A56">
        <w:t xml:space="preserve"> under the Better Regulation program</w:t>
      </w:r>
      <w:r w:rsidR="009E6E3F">
        <w:t xml:space="preserve"> </w:t>
      </w:r>
      <w:r w:rsidR="006D7A87">
        <w:t>will</w:t>
      </w:r>
      <w:r w:rsidRPr="00184A56">
        <w:t xml:space="preserve"> </w:t>
      </w:r>
      <w:r>
        <w:t>influence</w:t>
      </w:r>
      <w:r w:rsidRPr="00184A56">
        <w:t xml:space="preserve"> the </w:t>
      </w:r>
      <w:r w:rsidR="006D7A87">
        <w:t xml:space="preserve">opex </w:t>
      </w:r>
      <w:r w:rsidRPr="00184A56">
        <w:t>incentives facing NSPs. Specifically:</w:t>
      </w:r>
    </w:p>
    <w:p w:rsidR="00184A56" w:rsidRPr="00184A56" w:rsidRDefault="00184A56" w:rsidP="007E42A2">
      <w:pPr>
        <w:pStyle w:val="AERnumberedlistfirststyle"/>
      </w:pPr>
      <w:r w:rsidRPr="00184A56">
        <w:t>the Expenditure Forecast Assessment Guidelines (Forecasting Guidelines)</w:t>
      </w:r>
    </w:p>
    <w:p w:rsidR="00184A56" w:rsidRDefault="00184A56" w:rsidP="007E42A2">
      <w:pPr>
        <w:pStyle w:val="AERnumberedlistfirststyle"/>
      </w:pPr>
      <w:proofErr w:type="gramStart"/>
      <w:r w:rsidRPr="00184A56">
        <w:t>the</w:t>
      </w:r>
      <w:proofErr w:type="gramEnd"/>
      <w:r w:rsidRPr="00184A56">
        <w:t xml:space="preserve"> Capital Expenditure Incentive Guidelines (Capex Incentive Guidelines).</w:t>
      </w:r>
    </w:p>
    <w:p w:rsidR="00961B65" w:rsidRDefault="00184A56" w:rsidP="00184A56">
      <w:pPr>
        <w:pStyle w:val="AERbodytext"/>
      </w:pPr>
      <w:r>
        <w:t>Given these interactions</w:t>
      </w:r>
      <w:r w:rsidRPr="00184A56">
        <w:t>, we considered it timely to also review the EBSS.</w:t>
      </w:r>
      <w:r>
        <w:t xml:space="preserve"> </w:t>
      </w:r>
    </w:p>
    <w:p w:rsidR="00184A56" w:rsidRPr="007E42A2" w:rsidRDefault="00184A56" w:rsidP="007E42A2">
      <w:pPr>
        <w:pStyle w:val="AERbodytext"/>
      </w:pPr>
      <w:r w:rsidRPr="007E42A2">
        <w:t>Having undertaken this review, the EBSS remains largely unchanged</w:t>
      </w:r>
      <w:r w:rsidR="00961B65" w:rsidRPr="007E42A2">
        <w:t>.</w:t>
      </w:r>
      <w:r w:rsidR="00961B65" w:rsidRPr="007E42A2" w:rsidDel="00961B65">
        <w:t xml:space="preserve"> </w:t>
      </w:r>
      <w:r w:rsidRPr="007E42A2">
        <w:t xml:space="preserve">The only changes that </w:t>
      </w:r>
      <w:r w:rsidR="0089239B">
        <w:t>will</w:t>
      </w:r>
      <w:r w:rsidR="0089239B" w:rsidRPr="007E42A2">
        <w:t xml:space="preserve"> </w:t>
      </w:r>
      <w:r w:rsidRPr="007E42A2">
        <w:t>affect how the EBSS operates are changes to the all</w:t>
      </w:r>
      <w:r w:rsidR="002C1EBC" w:rsidRPr="007E42A2">
        <w:t>owed adjustments and exclusions, and accounting for adjustments for one-off factors in the base year when forecasting opex.</w:t>
      </w:r>
      <w:r w:rsidR="00FD2874" w:rsidRPr="007E42A2">
        <w:t xml:space="preserve"> We have also clarified how we will determine the carryover period.</w:t>
      </w:r>
    </w:p>
    <w:p w:rsidR="00184A56" w:rsidRPr="00184A56" w:rsidRDefault="00184A56" w:rsidP="00184A56">
      <w:pPr>
        <w:pStyle w:val="AERbodytext"/>
        <w:numPr>
          <w:ilvl w:val="0"/>
          <w:numId w:val="6"/>
        </w:numPr>
      </w:pPr>
      <w:r w:rsidRPr="00184A56">
        <w:t xml:space="preserve">We </w:t>
      </w:r>
      <w:r w:rsidR="002C1EBC">
        <w:t>have revised the</w:t>
      </w:r>
      <w:r w:rsidRPr="00184A56">
        <w:t xml:space="preserve"> criteria for adjustments and exclusions based on our experience of implementing the EBSS. </w:t>
      </w:r>
      <w:r w:rsidR="00F7436A">
        <w:t>The revised criteria align</w:t>
      </w:r>
      <w:r w:rsidRPr="00184A56">
        <w:t xml:space="preserve"> with the matters that the AER must take into account when designing and imple</w:t>
      </w:r>
      <w:r w:rsidR="002C1EBC">
        <w:t>menting the EBSS under the NER.</w:t>
      </w:r>
      <w:r w:rsidR="002C1EBC">
        <w:rPr>
          <w:rStyle w:val="FootnoteReference"/>
        </w:rPr>
        <w:footnoteReference w:id="3"/>
      </w:r>
    </w:p>
    <w:p w:rsidR="00BA75F1" w:rsidRDefault="00BA75F1" w:rsidP="00BA75F1">
      <w:pPr>
        <w:pStyle w:val="AERbodytext"/>
        <w:numPr>
          <w:ilvl w:val="0"/>
          <w:numId w:val="6"/>
        </w:numPr>
      </w:pPr>
      <w:r w:rsidRPr="00BA75F1">
        <w:t xml:space="preserve">Where </w:t>
      </w:r>
      <w:r>
        <w:t>one-off factors affect opex</w:t>
      </w:r>
      <w:r w:rsidRPr="00BA75F1">
        <w:t xml:space="preserve"> in the base year, the opex forecast by </w:t>
      </w:r>
      <w:proofErr w:type="gramStart"/>
      <w:r w:rsidRPr="00BA75F1">
        <w:t>itself</w:t>
      </w:r>
      <w:proofErr w:type="gramEnd"/>
      <w:r w:rsidRPr="00BA75F1">
        <w:t xml:space="preserve"> may not reflect the ongoing level of efficient opex. We have amended the EBSS to </w:t>
      </w:r>
      <w:r w:rsidR="008E4891">
        <w:t xml:space="preserve">provide flexibility to </w:t>
      </w:r>
      <w:r w:rsidRPr="00BA75F1">
        <w:t>account for any adjustments made to base opex to remove the impacts of one-of</w:t>
      </w:r>
      <w:r w:rsidR="00314137">
        <w:t>f</w:t>
      </w:r>
      <w:r w:rsidRPr="00BA75F1">
        <w:t xml:space="preserve"> factors.</w:t>
      </w:r>
    </w:p>
    <w:p w:rsidR="006379BD" w:rsidRPr="006379BD" w:rsidRDefault="007C5524" w:rsidP="006379BD">
      <w:pPr>
        <w:pStyle w:val="AERbodytext"/>
      </w:pPr>
      <w:r>
        <w:t xml:space="preserve">As previously discussed in the draft version of the </w:t>
      </w:r>
      <w:r w:rsidR="00961B65">
        <w:t>E</w:t>
      </w:r>
      <w:r>
        <w:t>xplanatory Statement, w</w:t>
      </w:r>
      <w:r w:rsidR="006379BD" w:rsidRPr="006379BD">
        <w:t xml:space="preserve">e </w:t>
      </w:r>
      <w:r w:rsidR="006379BD">
        <w:t xml:space="preserve">have </w:t>
      </w:r>
      <w:r w:rsidR="006379BD" w:rsidRPr="006379BD">
        <w:t>merge</w:t>
      </w:r>
      <w:r w:rsidR="006379BD">
        <w:t>d</w:t>
      </w:r>
      <w:r w:rsidR="006379BD" w:rsidRPr="006379BD">
        <w:t xml:space="preserve"> the </w:t>
      </w:r>
      <w:r w:rsidR="006379BD">
        <w:t>two schemes</w:t>
      </w:r>
      <w:r w:rsidR="006379BD" w:rsidRPr="006379BD">
        <w:t xml:space="preserve"> for DNSPs and TNSPs into a single </w:t>
      </w:r>
      <w:r w:rsidR="006379BD">
        <w:t>EBSS</w:t>
      </w:r>
      <w:r w:rsidR="006379BD" w:rsidRPr="006379BD">
        <w:t xml:space="preserve">. </w:t>
      </w:r>
      <w:r w:rsidR="00AE6A21">
        <w:t>The merging of the schemes will have no impact on the operation of the EBSS as it applies to individual DNSPs and TNSPs</w:t>
      </w:r>
      <w:r w:rsidR="006379BD" w:rsidRPr="006379BD">
        <w:t>.</w:t>
      </w:r>
    </w:p>
    <w:p w:rsidR="006379BD" w:rsidRDefault="00243612" w:rsidP="006F6C85">
      <w:pPr>
        <w:pStyle w:val="AERbodytext"/>
      </w:pPr>
      <w:r>
        <w:t>The</w:t>
      </w:r>
      <w:r w:rsidR="006379BD" w:rsidRPr="006379BD">
        <w:t xml:space="preserve"> changes </w:t>
      </w:r>
      <w:r w:rsidR="006379BD">
        <w:t>discussed</w:t>
      </w:r>
      <w:r w:rsidR="006379BD" w:rsidRPr="006379BD">
        <w:t xml:space="preserve"> in this </w:t>
      </w:r>
      <w:r w:rsidR="00961B65">
        <w:t>E</w:t>
      </w:r>
      <w:r w:rsidR="006379BD" w:rsidRPr="006379BD">
        <w:t xml:space="preserve">xplanatory </w:t>
      </w:r>
      <w:r w:rsidR="00961B65">
        <w:t>S</w:t>
      </w:r>
      <w:r w:rsidR="006379BD" w:rsidRPr="006379BD">
        <w:t xml:space="preserve">tatement </w:t>
      </w:r>
      <w:r w:rsidR="00D83F39">
        <w:t>will</w:t>
      </w:r>
      <w:r w:rsidR="00D83F39" w:rsidRPr="006379BD">
        <w:t xml:space="preserve"> </w:t>
      </w:r>
      <w:r w:rsidR="006379BD" w:rsidRPr="006379BD">
        <w:t xml:space="preserve">only affect how </w:t>
      </w:r>
      <w:r w:rsidR="006379BD">
        <w:t xml:space="preserve">we calculate </w:t>
      </w:r>
      <w:r w:rsidR="006379BD" w:rsidRPr="006379BD">
        <w:t>carryover amounts for regulatory control periods</w:t>
      </w:r>
      <w:r w:rsidR="006F6C85">
        <w:t xml:space="preserve"> after these guidelines take effect</w:t>
      </w:r>
      <w:r w:rsidR="006379BD" w:rsidRPr="006379BD">
        <w:t xml:space="preserve">. </w:t>
      </w:r>
      <w:r w:rsidR="00314137">
        <w:t>These changes</w:t>
      </w:r>
      <w:r w:rsidR="00314137" w:rsidRPr="006379BD">
        <w:t xml:space="preserve"> </w:t>
      </w:r>
      <w:r w:rsidR="00AE6A21">
        <w:t>will</w:t>
      </w:r>
      <w:r w:rsidR="00AE6A21" w:rsidRPr="006379BD">
        <w:t xml:space="preserve"> </w:t>
      </w:r>
      <w:r w:rsidR="006379BD" w:rsidRPr="006379BD">
        <w:t>not affect the calculation of carryover</w:t>
      </w:r>
      <w:r w:rsidR="006379BD">
        <w:t>s</w:t>
      </w:r>
      <w:r w:rsidR="006379BD" w:rsidRPr="006379BD">
        <w:t xml:space="preserve"> </w:t>
      </w:r>
      <w:r w:rsidR="006379BD">
        <w:t>accrued in</w:t>
      </w:r>
      <w:r w:rsidR="006379BD" w:rsidRPr="006379BD">
        <w:t xml:space="preserve"> </w:t>
      </w:r>
      <w:r w:rsidR="006F6C85">
        <w:t xml:space="preserve">any preceding </w:t>
      </w:r>
      <w:r w:rsidR="006379BD" w:rsidRPr="006379BD">
        <w:t>regulatory control period</w:t>
      </w:r>
      <w:r w:rsidR="006F6C85">
        <w:t>s</w:t>
      </w:r>
      <w:r w:rsidR="006379BD" w:rsidRPr="006379BD">
        <w:t xml:space="preserve">. </w:t>
      </w:r>
      <w:r w:rsidR="00D83F39">
        <w:t>The c</w:t>
      </w:r>
      <w:r w:rsidR="006379BD" w:rsidRPr="006379BD">
        <w:t xml:space="preserve">alculation of carryover amounts in </w:t>
      </w:r>
      <w:r w:rsidR="006F6C85" w:rsidRPr="006F6C85">
        <w:t xml:space="preserve">any preceding regulatory control periods </w:t>
      </w:r>
      <w:r w:rsidR="006379BD" w:rsidRPr="006379BD">
        <w:t xml:space="preserve">is subject to the </w:t>
      </w:r>
      <w:r w:rsidR="006F6C85">
        <w:t>previous</w:t>
      </w:r>
      <w:r w:rsidR="00D83F39">
        <w:t xml:space="preserve"> </w:t>
      </w:r>
      <w:r w:rsidR="006379BD" w:rsidRPr="006379BD">
        <w:t>EBSS for DNSPs and TNSPs</w:t>
      </w:r>
      <w:r w:rsidR="00314137">
        <w:t xml:space="preserve"> as applied in a NSP's revenue determination</w:t>
      </w:r>
      <w:r w:rsidR="006379BD" w:rsidRPr="006379BD">
        <w:t>.</w:t>
      </w:r>
    </w:p>
    <w:p w:rsidR="00C865B4" w:rsidRPr="00375740" w:rsidRDefault="00C865B4" w:rsidP="00C865B4">
      <w:pPr>
        <w:pStyle w:val="AERbodytext"/>
      </w:pPr>
      <w:r>
        <w:t>This EBSS has been developed under c</w:t>
      </w:r>
      <w:r w:rsidRPr="00C865B4">
        <w:t xml:space="preserve">lauses 6.5.8 and 6A.6.5 of the NER </w:t>
      </w:r>
      <w:r>
        <w:t>and applies to electricity DNSPs and TNSPs.</w:t>
      </w:r>
    </w:p>
    <w:p w:rsidR="005F6082" w:rsidRDefault="005F6082" w:rsidP="005F6082">
      <w:pPr>
        <w:pStyle w:val="Heading1"/>
      </w:pPr>
      <w:bookmarkStart w:id="6" w:name="_Toc373159417"/>
      <w:r w:rsidRPr="005F6082">
        <w:lastRenderedPageBreak/>
        <w:t>Introduction</w:t>
      </w:r>
      <w:bookmarkEnd w:id="6"/>
    </w:p>
    <w:p w:rsidR="00D90BD1" w:rsidRPr="00533B91" w:rsidRDefault="009C4565" w:rsidP="00494982">
      <w:pPr>
        <w:pStyle w:val="AERbodytext"/>
      </w:pPr>
      <w:r>
        <w:pict>
          <v:rect id="_x0000_s1028" style="position:absolute;left:0;text-align:left;margin-left:296.85pt;margin-top:103.8pt;width:150.1pt;height:210pt;z-index:2516654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28" inset="28.8pt,7.2pt,14.4pt,2.2mm">
              <w:txbxContent>
                <w:p w:rsidR="005746FD" w:rsidRPr="006470C2" w:rsidRDefault="005746FD" w:rsidP="00D90BD1">
                  <w:pPr>
                    <w:pStyle w:val="AERquote"/>
                    <w:tabs>
                      <w:tab w:val="clear" w:pos="709"/>
                    </w:tabs>
                    <w:ind w:left="-284" w:right="-90"/>
                    <w:jc w:val="left"/>
                    <w:rPr>
                      <w:rStyle w:val="AERtextbold"/>
                      <w:rFonts w:eastAsia="Calibri"/>
                    </w:rPr>
                  </w:pPr>
                  <w:r w:rsidRPr="006470C2">
                    <w:rPr>
                      <w:rStyle w:val="AERtextbold"/>
                    </w:rPr>
                    <w:t>National electricity and gas objectives</w:t>
                  </w:r>
                </w:p>
                <w:p w:rsidR="005746FD" w:rsidRPr="006470C2" w:rsidRDefault="005746FD" w:rsidP="00D90BD1">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5746FD" w:rsidRPr="006470C2" w:rsidRDefault="005746FD" w:rsidP="00D90BD1">
                  <w:pPr>
                    <w:pStyle w:val="AERquote"/>
                    <w:tabs>
                      <w:tab w:val="clear" w:pos="709"/>
                    </w:tabs>
                    <w:ind w:left="-284" w:right="-90"/>
                    <w:jc w:val="left"/>
                  </w:pPr>
                  <w:r w:rsidRPr="006470C2">
                    <w:t xml:space="preserve">(a) </w:t>
                  </w:r>
                  <w:proofErr w:type="gramStart"/>
                  <w:r w:rsidRPr="006470C2">
                    <w:t>price</w:t>
                  </w:r>
                  <w:proofErr w:type="gramEnd"/>
                  <w:r w:rsidRPr="006470C2">
                    <w:t>, quality, safety, reliability and security of supply of energy; and</w:t>
                  </w:r>
                </w:p>
                <w:p w:rsidR="005746FD" w:rsidRPr="006470C2" w:rsidRDefault="005746FD" w:rsidP="00D90BD1">
                  <w:pPr>
                    <w:pStyle w:val="AERquote"/>
                    <w:tabs>
                      <w:tab w:val="clear" w:pos="709"/>
                    </w:tabs>
                    <w:ind w:left="-284" w:right="-90"/>
                    <w:jc w:val="left"/>
                  </w:pPr>
                  <w:r w:rsidRPr="006470C2">
                    <w:t xml:space="preserve">(b) </w:t>
                  </w:r>
                  <w:proofErr w:type="gramStart"/>
                  <w:r w:rsidRPr="006470C2">
                    <w:t>the</w:t>
                  </w:r>
                  <w:proofErr w:type="gramEnd"/>
                  <w:r w:rsidRPr="006470C2">
                    <w:t xml:space="preserve"> reliability, safety and security of the national energy systems.</w:t>
                  </w:r>
                </w:p>
              </w:txbxContent>
            </v:textbox>
            <w10:wrap type="square" anchorx="margin" anchory="page"/>
          </v:rect>
        </w:pict>
      </w:r>
      <w:r w:rsidR="00494982" w:rsidRPr="00494982">
        <w:t xml:space="preserve">The </w:t>
      </w:r>
      <w:r w:rsidR="00494982">
        <w:t>AER</w:t>
      </w:r>
      <w:r w:rsidR="00494982" w:rsidRPr="00494982">
        <w:t xml:space="preserve"> is Australia’s independent national energy market regulator. We are guided in our role by the</w:t>
      </w:r>
      <w:r w:rsidR="004B5BBD">
        <w:t xml:space="preserve"> objectives set out in the N</w:t>
      </w:r>
      <w:r w:rsidR="00494982" w:rsidRPr="00494982">
        <w:t xml:space="preserve">ational </w:t>
      </w:r>
      <w:r w:rsidR="004B5BBD">
        <w:t xml:space="preserve">Electricity and Gas Laws which </w:t>
      </w:r>
      <w:r w:rsidR="00494982" w:rsidRPr="00494982">
        <w:t>focus us on promoting the long term interests of consumers.</w:t>
      </w:r>
      <w:r w:rsidR="00D90BD1" w:rsidRPr="00533B91">
        <w:t xml:space="preserve"> </w:t>
      </w:r>
    </w:p>
    <w:p w:rsidR="00FD5587" w:rsidRDefault="00D90BD1" w:rsidP="00CB740D">
      <w:pPr>
        <w:pStyle w:val="AERbodytext"/>
        <w:numPr>
          <w:ilvl w:val="0"/>
          <w:numId w:val="6"/>
        </w:numPr>
      </w:pPr>
      <w:r w:rsidRPr="009438BC">
        <w:t>In 2012, the Australian Energy Market Commission</w:t>
      </w:r>
      <w:r w:rsidR="00494982">
        <w:t xml:space="preserve"> (AEMC)</w:t>
      </w:r>
      <w:r w:rsidRPr="009438BC">
        <w:t xml:space="preserve"> changed the rules governing how we </w:t>
      </w:r>
      <w:r>
        <w:t>determine</w:t>
      </w:r>
      <w:r w:rsidRPr="009438BC">
        <w:t xml:space="preserve"> </w:t>
      </w:r>
      <w:r>
        <w:t xml:space="preserve">the total amount of revenue each </w:t>
      </w:r>
      <w:r w:rsidRPr="009438BC">
        <w:t xml:space="preserve">electricity and gas network </w:t>
      </w:r>
      <w:r>
        <w:t xml:space="preserve">business can earn. </w:t>
      </w:r>
      <w:r w:rsidR="004B5BBD">
        <w:t>T</w:t>
      </w:r>
      <w:r w:rsidRPr="009438BC">
        <w:t xml:space="preserve">he Council of Australian Governments </w:t>
      </w:r>
      <w:r w:rsidR="004B5BBD">
        <w:t xml:space="preserve">also agreed to </w:t>
      </w:r>
      <w:r w:rsidR="004F6CAC">
        <w:t>consumer focu</w:t>
      </w:r>
      <w:r w:rsidR="004B5BBD" w:rsidRPr="009438BC">
        <w:t xml:space="preserve">sed reforms </w:t>
      </w:r>
      <w:r w:rsidR="004B5BBD">
        <w:t xml:space="preserve">to energy markets </w:t>
      </w:r>
      <w:r w:rsidRPr="009438BC">
        <w:t xml:space="preserve">in late 2012. </w:t>
      </w:r>
    </w:p>
    <w:p w:rsidR="00D90BD1" w:rsidRPr="00533B91" w:rsidRDefault="00AF7CA7" w:rsidP="00CB740D">
      <w:pPr>
        <w:pStyle w:val="AERbodytext"/>
        <w:numPr>
          <w:ilvl w:val="0"/>
          <w:numId w:val="6"/>
        </w:numPr>
      </w:pPr>
      <w:r>
        <w:t>T</w:t>
      </w:r>
      <w:r w:rsidR="00FD5587">
        <w:t xml:space="preserve">he Better Regulation program </w:t>
      </w:r>
      <w:r>
        <w:t xml:space="preserve">we initiated </w:t>
      </w:r>
      <w:r w:rsidR="00FD5587">
        <w:t>is part of this evolution of the regulatory regime</w:t>
      </w:r>
      <w:r>
        <w:t>.</w:t>
      </w:r>
      <w:r w:rsidR="00FD5587">
        <w:t xml:space="preserve"> </w:t>
      </w:r>
      <w:r>
        <w:t xml:space="preserve">It </w:t>
      </w:r>
      <w:r w:rsidR="00494982">
        <w:t>includes</w:t>
      </w:r>
      <w:r w:rsidR="00D90BD1" w:rsidRPr="00533B91">
        <w:t>:</w:t>
      </w:r>
    </w:p>
    <w:p w:rsidR="00D90BD1" w:rsidRPr="00D90BD1" w:rsidRDefault="00D90BD1" w:rsidP="00D90BD1">
      <w:pPr>
        <w:pStyle w:val="AERbulletlistfirststyle"/>
        <w:rPr>
          <w:rStyle w:val="AERbody"/>
          <w:rFonts w:eastAsia="Calibri"/>
        </w:rPr>
      </w:pPr>
      <w:r w:rsidRPr="00533B91">
        <w:rPr>
          <w:rStyle w:val="AERbody"/>
        </w:rPr>
        <w:t xml:space="preserve">seven new guidelines </w:t>
      </w:r>
      <w:r w:rsidR="003E7336">
        <w:rPr>
          <w:rStyle w:val="AERbody"/>
        </w:rPr>
        <w:t>outlining</w:t>
      </w:r>
      <w:r w:rsidRPr="00533B91">
        <w:rPr>
          <w:rStyle w:val="AERbody"/>
        </w:rPr>
        <w:t xml:space="preserve"> our approach to </w:t>
      </w:r>
      <w:r w:rsidR="00140E44">
        <w:rPr>
          <w:rStyle w:val="AERbody"/>
        </w:rPr>
        <w:t>network regulation under the new regulatory framework</w:t>
      </w:r>
    </w:p>
    <w:p w:rsidR="00D90BD1" w:rsidRPr="00533B91" w:rsidRDefault="00D90BD1" w:rsidP="00D90BD1">
      <w:pPr>
        <w:pStyle w:val="AERbulletlistfirststyle"/>
        <w:rPr>
          <w:rStyle w:val="AERbody"/>
        </w:rPr>
      </w:pPr>
      <w:r w:rsidRPr="00533B91">
        <w:rPr>
          <w:rStyle w:val="AERbody"/>
        </w:rPr>
        <w:t>a consumer reference group</w:t>
      </w:r>
      <w:r w:rsidR="00140E44">
        <w:rPr>
          <w:rStyle w:val="AERbody"/>
        </w:rPr>
        <w:t xml:space="preserve"> (CRG)</w:t>
      </w:r>
      <w:r w:rsidRPr="00533B91">
        <w:rPr>
          <w:rStyle w:val="AERbody"/>
        </w:rPr>
        <w:t xml:space="preserve"> to help consumers engage </w:t>
      </w:r>
      <w:r w:rsidR="00B17A9B">
        <w:rPr>
          <w:rStyle w:val="AERbody"/>
        </w:rPr>
        <w:t>and contribute to our guideline development work</w:t>
      </w:r>
    </w:p>
    <w:p w:rsidR="00D90BD1" w:rsidRDefault="00D90BD1" w:rsidP="00D90BD1">
      <w:pPr>
        <w:pStyle w:val="AERbulletlistfirststyle"/>
        <w:rPr>
          <w:rStyle w:val="AERbody"/>
        </w:rPr>
      </w:pPr>
      <w:proofErr w:type="gramStart"/>
      <w:r w:rsidRPr="00533B91">
        <w:rPr>
          <w:rStyle w:val="AERbody"/>
        </w:rPr>
        <w:t>an</w:t>
      </w:r>
      <w:proofErr w:type="gramEnd"/>
      <w:r w:rsidRPr="00533B91">
        <w:rPr>
          <w:rStyle w:val="AERbody"/>
        </w:rPr>
        <w:t xml:space="preserve"> ongoing Consumer Challenge Panel </w:t>
      </w:r>
      <w:r>
        <w:rPr>
          <w:rStyle w:val="AERbody"/>
        </w:rPr>
        <w:t xml:space="preserve">(CCP) </w:t>
      </w:r>
      <w:r w:rsidRPr="00533B91">
        <w:rPr>
          <w:rStyle w:val="AERbody"/>
        </w:rPr>
        <w:t xml:space="preserve">(appointed 1 July 2013) </w:t>
      </w:r>
      <w:r w:rsidRPr="00476929">
        <w:rPr>
          <w:rStyle w:val="AERbody"/>
        </w:rPr>
        <w:t xml:space="preserve">to </w:t>
      </w:r>
      <w:r w:rsidR="004B5BBD">
        <w:rPr>
          <w:rStyle w:val="AERbody"/>
        </w:rPr>
        <w:t>assist us incorporate consumer</w:t>
      </w:r>
      <w:r w:rsidRPr="00476929">
        <w:rPr>
          <w:rStyle w:val="AERbody"/>
        </w:rPr>
        <w:t xml:space="preserve"> interests in </w:t>
      </w:r>
      <w:r>
        <w:rPr>
          <w:rStyle w:val="AERbody"/>
        </w:rPr>
        <w:t>revenue determination processes.</w:t>
      </w:r>
    </w:p>
    <w:p w:rsidR="00472DC2" w:rsidRPr="00472DC2" w:rsidRDefault="00472DC2" w:rsidP="00472DC2">
      <w:pPr>
        <w:pStyle w:val="AERbodytext"/>
        <w:numPr>
          <w:ilvl w:val="0"/>
          <w:numId w:val="6"/>
        </w:numPr>
        <w:rPr>
          <w:rStyle w:val="AERbody"/>
        </w:rPr>
      </w:pPr>
      <w:r w:rsidRPr="00472DC2">
        <w:rPr>
          <w:rStyle w:val="AERbody"/>
        </w:rPr>
        <w:t xml:space="preserve">This explanatory statement is the </w:t>
      </w:r>
      <w:r>
        <w:rPr>
          <w:rStyle w:val="AERbody"/>
        </w:rPr>
        <w:t>final part</w:t>
      </w:r>
      <w:r w:rsidRPr="00472DC2">
        <w:rPr>
          <w:rStyle w:val="AERbody"/>
        </w:rPr>
        <w:t xml:space="preserve"> of our consultation </w:t>
      </w:r>
      <w:r>
        <w:rPr>
          <w:rStyle w:val="AERbody"/>
        </w:rPr>
        <w:t>on</w:t>
      </w:r>
      <w:r w:rsidRPr="00472DC2">
        <w:rPr>
          <w:rStyle w:val="AERbody"/>
        </w:rPr>
        <w:t xml:space="preserve"> the revision of the EBSS for TNSPs and DNSPs. It follows from an issues paper on expenditure incentives guidelines released in March 2013</w:t>
      </w:r>
      <w:r>
        <w:rPr>
          <w:rStyle w:val="AERbody"/>
        </w:rPr>
        <w:t xml:space="preserve"> and a draft EBSS, with explanatory statement, released in August 2013.</w:t>
      </w:r>
      <w:r>
        <w:rPr>
          <w:rStyle w:val="FootnoteReference"/>
        </w:rPr>
        <w:footnoteReference w:id="4"/>
      </w:r>
    </w:p>
    <w:p w:rsidR="00472DC2" w:rsidRDefault="00472DC2" w:rsidP="00472DC2">
      <w:pPr>
        <w:pStyle w:val="AERbodytext"/>
        <w:rPr>
          <w:rStyle w:val="AERbody"/>
        </w:rPr>
      </w:pPr>
      <w:r w:rsidRPr="00472DC2">
        <w:rPr>
          <w:rStyle w:val="AERbody"/>
        </w:rPr>
        <w:t xml:space="preserve">We </w:t>
      </w:r>
      <w:r>
        <w:rPr>
          <w:rStyle w:val="AERbody"/>
        </w:rPr>
        <w:t>have made some changes</w:t>
      </w:r>
      <w:r w:rsidRPr="00472DC2">
        <w:rPr>
          <w:rStyle w:val="AERbody"/>
        </w:rPr>
        <w:t xml:space="preserve"> to the way the EBSS operates. This explanatory statement explains the reason for these changes.</w:t>
      </w:r>
    </w:p>
    <w:p w:rsidR="00376B36" w:rsidRDefault="00376B36" w:rsidP="00376B36">
      <w:pPr>
        <w:pStyle w:val="Heading2"/>
        <w:numPr>
          <w:ilvl w:val="2"/>
          <w:numId w:val="1"/>
        </w:numPr>
      </w:pPr>
      <w:bookmarkStart w:id="7" w:name="_Toc373159418"/>
      <w:r>
        <w:t>Current arrangements</w:t>
      </w:r>
      <w:bookmarkEnd w:id="7"/>
    </w:p>
    <w:p w:rsidR="00376B36" w:rsidRPr="00376B36" w:rsidRDefault="00376B36" w:rsidP="00376B36">
      <w:pPr>
        <w:pStyle w:val="AERbodytext"/>
        <w:numPr>
          <w:ilvl w:val="0"/>
          <w:numId w:val="6"/>
        </w:numPr>
      </w:pPr>
      <w:r w:rsidRPr="00376B36">
        <w:t>We apply incentive</w:t>
      </w:r>
      <w:r w:rsidR="00F67D3E">
        <w:t>-</w:t>
      </w:r>
      <w:r w:rsidRPr="00376B36">
        <w:t xml:space="preserve">based regulation to </w:t>
      </w:r>
      <w:r>
        <w:t>encourage</w:t>
      </w:r>
      <w:r w:rsidRPr="00376B36">
        <w:t xml:space="preserve"> NSPs to pursue efficiency improvements in the way they </w:t>
      </w:r>
      <w:r>
        <w:t>operate and maintain their networks</w:t>
      </w:r>
      <w:r w:rsidRPr="00376B36">
        <w:t>.</w:t>
      </w:r>
    </w:p>
    <w:p w:rsidR="00376B36" w:rsidRPr="00376B36" w:rsidRDefault="00376B36" w:rsidP="00376B36">
      <w:pPr>
        <w:pStyle w:val="AERbodytext"/>
        <w:numPr>
          <w:ilvl w:val="0"/>
          <w:numId w:val="6"/>
        </w:numPr>
      </w:pPr>
      <w:r w:rsidRPr="00376B36">
        <w:t>At the start of a regulatory control period we set a NSP's revenue allowance using the building block approach. This provides the NSP with revenue to cover its efficient capital costs (in the form of depreciation and a return on investment), operating costs and tax liabilities.</w:t>
      </w:r>
    </w:p>
    <w:p w:rsidR="00376B36" w:rsidRPr="00376B36" w:rsidRDefault="00376B36" w:rsidP="00376B36">
      <w:pPr>
        <w:pStyle w:val="AERbodytext"/>
        <w:numPr>
          <w:ilvl w:val="0"/>
          <w:numId w:val="6"/>
        </w:numPr>
      </w:pPr>
      <w:r w:rsidRPr="00376B36">
        <w:t>If a NSP can provide the required service at a lower cost than that funded under our approved revenue allowance, it benefit</w:t>
      </w:r>
      <w:r>
        <w:t>s</w:t>
      </w:r>
      <w:r w:rsidRPr="00376B36">
        <w:t xml:space="preserve"> by keeping the difference. In particular, it will </w:t>
      </w:r>
      <w:r>
        <w:t>continue to</w:t>
      </w:r>
      <w:r w:rsidRPr="00376B36">
        <w:t xml:space="preserve"> earn revenue equal to the allowance but</w:t>
      </w:r>
      <w:r>
        <w:t>,</w:t>
      </w:r>
      <w:r w:rsidRPr="00376B36">
        <w:t xml:space="preserve"> since its costs are lower, it</w:t>
      </w:r>
      <w:r>
        <w:t>s</w:t>
      </w:r>
      <w:r w:rsidRPr="00376B36">
        <w:t xml:space="preserve"> profit</w:t>
      </w:r>
      <w:r>
        <w:t xml:space="preserve"> will be greater</w:t>
      </w:r>
      <w:r w:rsidRPr="00376B36">
        <w:t xml:space="preserve">. Conversely, if a NSP exceeds its allowance it will have to </w:t>
      </w:r>
      <w:r w:rsidR="007E42A2">
        <w:t>incur</w:t>
      </w:r>
      <w:r w:rsidR="007E42A2" w:rsidRPr="00376B36">
        <w:t xml:space="preserve"> </w:t>
      </w:r>
      <w:r w:rsidRPr="00376B36">
        <w:t>the costs of this.</w:t>
      </w:r>
    </w:p>
    <w:p w:rsidR="00376B36" w:rsidRPr="00376B36" w:rsidRDefault="00376B36" w:rsidP="00376B36">
      <w:pPr>
        <w:pStyle w:val="AERbodytext"/>
        <w:numPr>
          <w:ilvl w:val="0"/>
          <w:numId w:val="6"/>
        </w:numPr>
      </w:pPr>
      <w:r w:rsidRPr="00376B36">
        <w:t xml:space="preserve">When forecasting opex we typically </w:t>
      </w:r>
      <w:r w:rsidR="00700F25">
        <w:t>start with</w:t>
      </w:r>
      <w:r w:rsidR="00700F25" w:rsidRPr="00376B36">
        <w:t xml:space="preserve"> </w:t>
      </w:r>
      <w:r>
        <w:t>a single</w:t>
      </w:r>
      <w:r w:rsidRPr="00376B36">
        <w:t xml:space="preserve"> year of actual opex to forecast future opex</w:t>
      </w:r>
      <w:r w:rsidR="00314137">
        <w:t xml:space="preserve"> (the base year)</w:t>
      </w:r>
      <w:r w:rsidR="00700F25">
        <w:t>. We then</w:t>
      </w:r>
      <w:r w:rsidR="002E36F1">
        <w:t xml:space="preserve"> mak</w:t>
      </w:r>
      <w:r w:rsidR="00700F25">
        <w:t>e</w:t>
      </w:r>
      <w:r w:rsidRPr="00376B36">
        <w:t xml:space="preserve"> changes for factors such as forecast regulatory changes, input cost </w:t>
      </w:r>
      <w:r w:rsidRPr="00376B36">
        <w:lastRenderedPageBreak/>
        <w:t xml:space="preserve">changes, </w:t>
      </w:r>
      <w:r w:rsidR="002E36F1">
        <w:t>output</w:t>
      </w:r>
      <w:r w:rsidRPr="00376B36">
        <w:t xml:space="preserve"> growth</w:t>
      </w:r>
      <w:r w:rsidR="002E36F1">
        <w:t xml:space="preserve"> and productivity changes</w:t>
      </w:r>
      <w:r w:rsidRPr="00376B36">
        <w:t xml:space="preserve">. This is the </w:t>
      </w:r>
      <w:r w:rsidR="00504506">
        <w:t xml:space="preserve">revealed cost </w:t>
      </w:r>
      <w:r w:rsidRPr="00376B36">
        <w:t>base-step-trend forecasting approach.</w:t>
      </w:r>
    </w:p>
    <w:p w:rsidR="00376B36" w:rsidRPr="00376B36" w:rsidRDefault="002E36F1" w:rsidP="00376B36">
      <w:pPr>
        <w:pStyle w:val="AERbodytext"/>
        <w:numPr>
          <w:ilvl w:val="0"/>
          <w:numId w:val="6"/>
        </w:numPr>
      </w:pPr>
      <w:r>
        <w:t>T</w:t>
      </w:r>
      <w:r w:rsidR="00376B36" w:rsidRPr="00376B36">
        <w:t>here are two potential incentive problems</w:t>
      </w:r>
      <w:r>
        <w:t xml:space="preserve"> with</w:t>
      </w:r>
      <w:r w:rsidRPr="00376B36">
        <w:t xml:space="preserve"> this forecasting approach</w:t>
      </w:r>
      <w:r w:rsidR="00F51AAE">
        <w:t xml:space="preserve"> when an EBSS is not in place</w:t>
      </w:r>
      <w:r w:rsidR="00376B36" w:rsidRPr="00376B36">
        <w:t>:</w:t>
      </w:r>
    </w:p>
    <w:p w:rsidR="00376B36" w:rsidRPr="00376B36" w:rsidRDefault="00376B36" w:rsidP="002E36F1">
      <w:pPr>
        <w:pStyle w:val="AERnumberedlistfirststyle"/>
      </w:pPr>
      <w:r w:rsidRPr="00376B36">
        <w:t>A NSP has an incentive to increase opex in the expected 'base year' to increase its forecast opex allowance for the following regulatory control period.</w:t>
      </w:r>
    </w:p>
    <w:p w:rsidR="00376B36" w:rsidRPr="00376B36" w:rsidRDefault="0016745A" w:rsidP="002E36F1">
      <w:pPr>
        <w:pStyle w:val="AERnumberedlistfirststyle"/>
      </w:pPr>
      <w:r w:rsidRPr="00B00C52">
        <w:t xml:space="preserve">A NSP's incentive to </w:t>
      </w:r>
      <w:r>
        <w:t xml:space="preserve">make sustainable change to its practices, and </w:t>
      </w:r>
      <w:r w:rsidRPr="00B00C52">
        <w:t xml:space="preserve">reduce </w:t>
      </w:r>
      <w:r>
        <w:t xml:space="preserve">its recurrent </w:t>
      </w:r>
      <w:r w:rsidRPr="00B00C52">
        <w:t>opex</w:t>
      </w:r>
      <w:r>
        <w:t>,</w:t>
      </w:r>
      <w:r w:rsidRPr="00B00C52">
        <w:t xml:space="preserve"> declines as the regulatory control period progresses</w:t>
      </w:r>
      <w:r>
        <w:t>. It</w:t>
      </w:r>
      <w:r w:rsidRPr="00B00C52">
        <w:t xml:space="preserve"> then increases again </w:t>
      </w:r>
      <w:r>
        <w:t>after</w:t>
      </w:r>
      <w:r w:rsidRPr="00B00C52">
        <w:t xml:space="preserve"> the </w:t>
      </w:r>
      <w:r>
        <w:t>base</w:t>
      </w:r>
      <w:r w:rsidRPr="00B00C52">
        <w:t xml:space="preserve"> year </w:t>
      </w:r>
      <w:r>
        <w:t>used to forecast opex for the following regulatory control period</w:t>
      </w:r>
      <w:r w:rsidRPr="00B00C52">
        <w:t xml:space="preserve">. </w:t>
      </w:r>
      <w:r>
        <w:t>By deferring these ongoing efficiency gains until after the base year the NSP can retain the benefits of doing so for longer because they won't be reflected in th</w:t>
      </w:r>
      <w:r w:rsidR="00012A9E">
        <w:t>e</w:t>
      </w:r>
      <w:r>
        <w:t xml:space="preserve"> opex forecasts for the following period</w:t>
      </w:r>
      <w:r w:rsidR="00F67D3E">
        <w:t>.</w:t>
      </w:r>
    </w:p>
    <w:p w:rsidR="00376B36" w:rsidRPr="00376B36" w:rsidRDefault="00376B36" w:rsidP="00376B36">
      <w:pPr>
        <w:pStyle w:val="AERbodytext"/>
        <w:numPr>
          <w:ilvl w:val="0"/>
          <w:numId w:val="6"/>
        </w:numPr>
      </w:pPr>
      <w:r w:rsidRPr="00376B36">
        <w:t xml:space="preserve">We address these issues by applying an EBSS in combination with a </w:t>
      </w:r>
      <w:r w:rsidR="00504506">
        <w:t xml:space="preserve">revealed cost base-step-trend </w:t>
      </w:r>
      <w:r w:rsidRPr="00376B36">
        <w:t xml:space="preserve">forecasting approach. </w:t>
      </w:r>
      <w:r w:rsidR="002E36F1">
        <w:t>This provides</w:t>
      </w:r>
      <w:r w:rsidRPr="00376B36">
        <w:t xml:space="preserve"> NSPs the same reward for </w:t>
      </w:r>
      <w:proofErr w:type="gramStart"/>
      <w:r w:rsidRPr="00376B36">
        <w:t>an underspend</w:t>
      </w:r>
      <w:proofErr w:type="gramEnd"/>
      <w:r w:rsidRPr="00376B36">
        <w:t xml:space="preserve"> and the same penalty for an overspend in each year of the regulatory control period.</w:t>
      </w:r>
    </w:p>
    <w:p w:rsidR="00376B36" w:rsidRPr="00376B36" w:rsidRDefault="00376B36" w:rsidP="00376B36">
      <w:pPr>
        <w:pStyle w:val="AERbodytext"/>
        <w:numPr>
          <w:ilvl w:val="0"/>
          <w:numId w:val="6"/>
        </w:numPr>
      </w:pPr>
      <w:r w:rsidRPr="00376B36">
        <w:t>The  EBSS works as follows:</w:t>
      </w:r>
    </w:p>
    <w:p w:rsidR="00376B36" w:rsidRPr="00376B36" w:rsidRDefault="00314137" w:rsidP="002E36F1">
      <w:pPr>
        <w:pStyle w:val="AERbulletlistfirststyle"/>
      </w:pPr>
      <w:r>
        <w:t xml:space="preserve">The regulatory regime provides for ex ante opex forecasts. </w:t>
      </w:r>
      <w:r w:rsidR="00376B36" w:rsidRPr="00376B36">
        <w:t xml:space="preserve">The NSP keeps the benefit (or </w:t>
      </w:r>
      <w:r>
        <w:t>incurs</w:t>
      </w:r>
      <w:r w:rsidRPr="00376B36">
        <w:t xml:space="preserve"> </w:t>
      </w:r>
      <w:r w:rsidR="00376B36" w:rsidRPr="00376B36">
        <w:t xml:space="preserve">the cost) of delivering actual opex lower (higher) than forecast opex </w:t>
      </w:r>
      <w:r>
        <w:t>in each year of</w:t>
      </w:r>
      <w:r w:rsidRPr="00376B36">
        <w:t xml:space="preserve"> </w:t>
      </w:r>
      <w:r w:rsidR="00376B36" w:rsidRPr="00376B36">
        <w:t>regulatory control period</w:t>
      </w:r>
      <w:r w:rsidR="00C34255">
        <w:t xml:space="preserve"> one</w:t>
      </w:r>
      <w:r w:rsidR="00376B36" w:rsidRPr="00376B36">
        <w:t>.</w:t>
      </w:r>
      <w:r w:rsidR="00754B2B">
        <w:t xml:space="preserve"> </w:t>
      </w:r>
    </w:p>
    <w:p w:rsidR="00376B36" w:rsidRPr="00376B36" w:rsidRDefault="00C34255" w:rsidP="002E36F1">
      <w:pPr>
        <w:pStyle w:val="AERbulletlistfirststyle"/>
      </w:pPr>
      <w:r>
        <w:t>W</w:t>
      </w:r>
      <w:r w:rsidR="00376B36" w:rsidRPr="00376B36">
        <w:t xml:space="preserve">e calculate </w:t>
      </w:r>
      <w:r>
        <w:t xml:space="preserve">EBSS </w:t>
      </w:r>
      <w:r w:rsidR="00376B36" w:rsidRPr="00376B36">
        <w:t>carryover amounts for opex efficiency gains or losses</w:t>
      </w:r>
      <w:r>
        <w:t xml:space="preserve"> made in regulatory control period one p</w:t>
      </w:r>
      <w:r w:rsidRPr="00376B36">
        <w:t>rior to the start of regulatory control period</w:t>
      </w:r>
      <w:r>
        <w:t xml:space="preserve"> two</w:t>
      </w:r>
      <w:r w:rsidR="00376B36" w:rsidRPr="00376B36">
        <w:t xml:space="preserve">. </w:t>
      </w:r>
      <w:r>
        <w:t>The</w:t>
      </w:r>
      <w:r w:rsidR="00376B36" w:rsidRPr="00376B36">
        <w:t xml:space="preserve"> carryover amount</w:t>
      </w:r>
      <w:r>
        <w:t>s</w:t>
      </w:r>
      <w:r w:rsidR="00376B36" w:rsidRPr="00376B36">
        <w:t xml:space="preserve"> </w:t>
      </w:r>
      <w:r>
        <w:t>allow the NSP to</w:t>
      </w:r>
      <w:r w:rsidR="002E36F1">
        <w:t xml:space="preserve"> retain </w:t>
      </w:r>
      <w:r w:rsidR="00376B36" w:rsidRPr="00376B36">
        <w:t xml:space="preserve">incremental efficiency gains or </w:t>
      </w:r>
      <w:proofErr w:type="gramStart"/>
      <w:r w:rsidR="00376B36" w:rsidRPr="00376B36">
        <w:t xml:space="preserve">losses for </w:t>
      </w:r>
      <w:r w:rsidR="002E36F1">
        <w:t>the length of the carryover period (usually five years)</w:t>
      </w:r>
      <w:r w:rsidR="00376B36" w:rsidRPr="00376B36">
        <w:t xml:space="preserve"> after </w:t>
      </w:r>
      <w:r w:rsidR="002E36F1">
        <w:t>it makes</w:t>
      </w:r>
      <w:proofErr w:type="gramEnd"/>
      <w:r w:rsidR="002E36F1">
        <w:t xml:space="preserve"> the gain or loss</w:t>
      </w:r>
      <w:r w:rsidR="00376B36" w:rsidRPr="00376B36">
        <w:t>.</w:t>
      </w:r>
    </w:p>
    <w:p w:rsidR="00376B36" w:rsidRPr="00376B36" w:rsidRDefault="002E36F1" w:rsidP="002E36F1">
      <w:pPr>
        <w:pStyle w:val="AERbulletlistfirststyle"/>
      </w:pPr>
      <w:r>
        <w:t>We add t</w:t>
      </w:r>
      <w:r w:rsidR="00376B36" w:rsidRPr="00376B36">
        <w:t xml:space="preserve">he carryover amounts </w:t>
      </w:r>
      <w:r>
        <w:t>as</w:t>
      </w:r>
      <w:r w:rsidR="00376B36" w:rsidRPr="00376B36">
        <w:t xml:space="preserve"> an additional 'building block' </w:t>
      </w:r>
      <w:r w:rsidR="00DE1D59">
        <w:t xml:space="preserve">when setting </w:t>
      </w:r>
      <w:r w:rsidR="00376B36" w:rsidRPr="00376B36">
        <w:t xml:space="preserve">the </w:t>
      </w:r>
      <w:r w:rsidR="00DE1D59">
        <w:t xml:space="preserve">NSP's </w:t>
      </w:r>
      <w:r w:rsidR="00376B36" w:rsidRPr="00376B36">
        <w:t xml:space="preserve">regulated revenue </w:t>
      </w:r>
      <w:r w:rsidR="00DE1D59">
        <w:t>for</w:t>
      </w:r>
      <w:r>
        <w:t xml:space="preserve"> regulatory control period</w:t>
      </w:r>
      <w:r w:rsidR="00C34255">
        <w:t xml:space="preserve"> two</w:t>
      </w:r>
      <w:r w:rsidR="00376B36" w:rsidRPr="00376B36">
        <w:t>.</w:t>
      </w:r>
    </w:p>
    <w:p w:rsidR="00376B36" w:rsidRPr="00376B36" w:rsidRDefault="00376B36" w:rsidP="002E36F1">
      <w:pPr>
        <w:pStyle w:val="AERbulletlistfirststyle"/>
      </w:pPr>
      <w:r w:rsidRPr="00376B36">
        <w:t xml:space="preserve">The actual opex incurred in the base year is used as the starting point for forecasting opex </w:t>
      </w:r>
      <w:r w:rsidR="007E42A2">
        <w:t>for regulatory control period two</w:t>
      </w:r>
      <w:r w:rsidRPr="00376B36">
        <w:t>.</w:t>
      </w:r>
      <w:r w:rsidR="00C34255">
        <w:t xml:space="preserve"> This passes the efficiency gains made on to consumers.</w:t>
      </w:r>
    </w:p>
    <w:p w:rsidR="00376B36" w:rsidRDefault="00376B36" w:rsidP="00376B36">
      <w:pPr>
        <w:pStyle w:val="AERbodytext"/>
      </w:pPr>
      <w:r w:rsidRPr="00376B36">
        <w:t>Under this approach, the benefits of any increase or decrease in opex is shared approximately 30:70 between NSPs and consum</w:t>
      </w:r>
      <w:r>
        <w:t xml:space="preserve">ers. </w:t>
      </w:r>
      <w:r w:rsidR="00FC3838">
        <w:t>Attachment</w:t>
      </w:r>
      <w:r>
        <w:t xml:space="preserve"> </w:t>
      </w:r>
      <w:r w:rsidR="00571896">
        <w:fldChar w:fldCharType="begin"/>
      </w:r>
      <w:r w:rsidR="00571896">
        <w:instrText xml:space="preserve"> REF _Ref372120369 \n \h </w:instrText>
      </w:r>
      <w:r w:rsidR="00571896">
        <w:fldChar w:fldCharType="separate"/>
      </w:r>
      <w:r w:rsidR="00571896">
        <w:t>A</w:t>
      </w:r>
      <w:r w:rsidR="00571896">
        <w:fldChar w:fldCharType="end"/>
      </w:r>
      <w:r w:rsidR="00571896">
        <w:t xml:space="preserve"> </w:t>
      </w:r>
      <w:r>
        <w:t xml:space="preserve">illustrates how </w:t>
      </w:r>
      <w:r w:rsidRPr="00376B36">
        <w:t xml:space="preserve">the </w:t>
      </w:r>
      <w:r w:rsidR="002E36F1">
        <w:t xml:space="preserve">EBSS shares the </w:t>
      </w:r>
      <w:r w:rsidRPr="00376B36">
        <w:t>benefits of a permanent efficiency improvement between a NSP and its consumers.</w:t>
      </w:r>
    </w:p>
    <w:p w:rsidR="009F5DD3" w:rsidRDefault="009F5DD3" w:rsidP="009F5DD3">
      <w:pPr>
        <w:pStyle w:val="Heading2"/>
        <w:numPr>
          <w:ilvl w:val="2"/>
          <w:numId w:val="1"/>
        </w:numPr>
      </w:pPr>
      <w:bookmarkStart w:id="8" w:name="_Toc373159419"/>
      <w:r>
        <w:t>Reasons</w:t>
      </w:r>
      <w:r w:rsidRPr="009F5DD3">
        <w:t xml:space="preserve"> for review</w:t>
      </w:r>
      <w:r>
        <w:t xml:space="preserve">ing </w:t>
      </w:r>
      <w:r w:rsidRPr="009F5DD3">
        <w:t>the EBSS</w:t>
      </w:r>
      <w:bookmarkEnd w:id="8"/>
    </w:p>
    <w:p w:rsidR="009F5DD3" w:rsidRPr="009F5DD3" w:rsidRDefault="009F5DD3" w:rsidP="009F5DD3">
      <w:pPr>
        <w:pStyle w:val="AERbodytext"/>
        <w:numPr>
          <w:ilvl w:val="0"/>
          <w:numId w:val="6"/>
        </w:numPr>
      </w:pPr>
      <w:r w:rsidRPr="009F5DD3">
        <w:t xml:space="preserve">We </w:t>
      </w:r>
      <w:r>
        <w:t>have reviewed</w:t>
      </w:r>
      <w:r w:rsidRPr="009F5DD3">
        <w:t xml:space="preserve"> our approach to opex forecasting through the development of the Forecasting Guideline. As outlined above, the form of the EBSS is closely </w:t>
      </w:r>
      <w:r>
        <w:t>related</w:t>
      </w:r>
      <w:r w:rsidRPr="009F5DD3">
        <w:t xml:space="preserve"> </w:t>
      </w:r>
      <w:r>
        <w:t>to</w:t>
      </w:r>
      <w:r w:rsidRPr="009F5DD3">
        <w:t xml:space="preserve"> our approach to opex forecasting. For this reason we considered a review of the EBSS was required.</w:t>
      </w:r>
    </w:p>
    <w:p w:rsidR="00F50856" w:rsidRPr="00376B36" w:rsidRDefault="009F5DD3" w:rsidP="009F5DD3">
      <w:pPr>
        <w:pStyle w:val="AERbodytext"/>
        <w:numPr>
          <w:ilvl w:val="0"/>
          <w:numId w:val="0"/>
        </w:numPr>
      </w:pPr>
      <w:r w:rsidRPr="009F5DD3">
        <w:t xml:space="preserve">We </w:t>
      </w:r>
      <w:r>
        <w:t>have</w:t>
      </w:r>
      <w:r w:rsidRPr="009F5DD3">
        <w:t xml:space="preserve"> develop</w:t>
      </w:r>
      <w:r>
        <w:t>ed</w:t>
      </w:r>
      <w:r w:rsidRPr="009F5DD3">
        <w:t xml:space="preserve"> the Capex Incentive Guideline. Our approach to incentivising efficient capex could affect the relative balance in incentives between opex and capex. This was another reason why we considered a review of the EBSS was necessary.</w:t>
      </w:r>
    </w:p>
    <w:p w:rsidR="009F5DD3" w:rsidRDefault="009F5DD3" w:rsidP="009F5DD3">
      <w:pPr>
        <w:pStyle w:val="Heading2"/>
        <w:numPr>
          <w:ilvl w:val="2"/>
          <w:numId w:val="1"/>
        </w:numPr>
      </w:pPr>
      <w:bookmarkStart w:id="9" w:name="_Toc363640479"/>
      <w:bookmarkStart w:id="10" w:name="_Toc373159420"/>
      <w:r>
        <w:lastRenderedPageBreak/>
        <w:t>Consultation process</w:t>
      </w:r>
      <w:bookmarkEnd w:id="9"/>
      <w:bookmarkEnd w:id="10"/>
    </w:p>
    <w:p w:rsidR="009F5DD3" w:rsidRPr="003F326A" w:rsidRDefault="009F5DD3" w:rsidP="009F5DD3">
      <w:pPr>
        <w:pStyle w:val="AERbodytext"/>
        <w:numPr>
          <w:ilvl w:val="0"/>
          <w:numId w:val="6"/>
        </w:numPr>
      </w:pPr>
      <w:r>
        <w:t xml:space="preserve">Our consultation process included releasing an </w:t>
      </w:r>
      <w:r w:rsidR="006F6C85">
        <w:t>I</w:t>
      </w:r>
      <w:r>
        <w:t xml:space="preserve">ssues </w:t>
      </w:r>
      <w:proofErr w:type="gramStart"/>
      <w:r w:rsidR="006F6C85">
        <w:t>P</w:t>
      </w:r>
      <w:r>
        <w:t>aper,</w:t>
      </w:r>
      <w:proofErr w:type="gramEnd"/>
      <w:r>
        <w:t xml:space="preserve"> draft EBSS, holding a public forum and bilateral meetings.</w:t>
      </w:r>
    </w:p>
    <w:p w:rsidR="009F5DD3" w:rsidRDefault="009F5DD3" w:rsidP="009F5DD3">
      <w:pPr>
        <w:pStyle w:val="AERbodytext"/>
        <w:numPr>
          <w:ilvl w:val="0"/>
          <w:numId w:val="6"/>
        </w:numPr>
      </w:pPr>
      <w:r>
        <w:t>We released an Issues P</w:t>
      </w:r>
      <w:r w:rsidRPr="003F326A">
        <w:t>aper on the Expenditure Incentive</w:t>
      </w:r>
      <w:r>
        <w:t>s</w:t>
      </w:r>
      <w:r w:rsidRPr="003F326A">
        <w:t xml:space="preserve"> </w:t>
      </w:r>
      <w:r>
        <w:t>Guidelines</w:t>
      </w:r>
      <w:r w:rsidRPr="003F326A">
        <w:t xml:space="preserve"> </w:t>
      </w:r>
      <w:r>
        <w:t>and the EBSS on 20 March </w:t>
      </w:r>
      <w:r w:rsidRPr="003F326A">
        <w:t>2013</w:t>
      </w:r>
      <w:r>
        <w:t>. We received 21</w:t>
      </w:r>
      <w:r w:rsidRPr="003F326A">
        <w:t xml:space="preserve"> written submissions </w:t>
      </w:r>
      <w:r>
        <w:t>in response</w:t>
      </w:r>
      <w:r w:rsidRPr="003F326A">
        <w:t>.</w:t>
      </w:r>
      <w:r>
        <w:t xml:space="preserve"> We released the draft EBSS on 9 August 2013 and received </w:t>
      </w:r>
      <w:r w:rsidR="00BA75F1">
        <w:t>19</w:t>
      </w:r>
      <w:r>
        <w:t xml:space="preserve"> written submissions in response.</w:t>
      </w:r>
      <w:r w:rsidR="008D5470">
        <w:rPr>
          <w:rStyle w:val="FootnoteReference"/>
        </w:rPr>
        <w:footnoteReference w:id="5"/>
      </w:r>
      <w:r>
        <w:t xml:space="preserve"> A summary of </w:t>
      </w:r>
      <w:r w:rsidR="002D4EF5">
        <w:t>these submissions</w:t>
      </w:r>
      <w:r>
        <w:t xml:space="preserve"> </w:t>
      </w:r>
      <w:r w:rsidR="00012A9E">
        <w:t xml:space="preserve">is </w:t>
      </w:r>
      <w:r>
        <w:t xml:space="preserve">at </w:t>
      </w:r>
      <w:r w:rsidR="00504506">
        <w:t>Attachment</w:t>
      </w:r>
      <w:r w:rsidR="00571896">
        <w:t xml:space="preserve"> </w:t>
      </w:r>
      <w:r w:rsidR="00571896">
        <w:fldChar w:fldCharType="begin"/>
      </w:r>
      <w:r w:rsidR="00571896">
        <w:instrText xml:space="preserve"> REF _Ref370475101 \n \h </w:instrText>
      </w:r>
      <w:r w:rsidR="00571896">
        <w:fldChar w:fldCharType="separate"/>
      </w:r>
      <w:r w:rsidR="00D06126">
        <w:t>D</w:t>
      </w:r>
      <w:r w:rsidR="00571896">
        <w:fldChar w:fldCharType="end"/>
      </w:r>
      <w:r>
        <w:t>.</w:t>
      </w:r>
    </w:p>
    <w:p w:rsidR="009F5DD3" w:rsidRPr="007317EA" w:rsidRDefault="009F5DD3" w:rsidP="009F5DD3">
      <w:pPr>
        <w:pStyle w:val="AERbodytext"/>
        <w:numPr>
          <w:ilvl w:val="0"/>
          <w:numId w:val="6"/>
        </w:numPr>
      </w:pPr>
      <w:r>
        <w:t>We</w:t>
      </w:r>
      <w:r w:rsidRPr="007317EA">
        <w:t xml:space="preserve"> held a joint stakeholder forum on 29 April 2013 to discuss expenditure incentives and interactions between expenditure incentives and expenditure assessments. We also attended a number of sessions with the Consumer Reference Group (CRG) to explain our proposals and discuss the key issues for the CRG in relation to expenditure incentives.</w:t>
      </w:r>
    </w:p>
    <w:p w:rsidR="009F5DD3" w:rsidRPr="007317EA" w:rsidRDefault="009F5DD3" w:rsidP="009F5DD3">
      <w:pPr>
        <w:pStyle w:val="AERbodytext"/>
        <w:numPr>
          <w:ilvl w:val="0"/>
          <w:numId w:val="6"/>
        </w:numPr>
      </w:pPr>
      <w:r>
        <w:t xml:space="preserve">In addition, we held </w:t>
      </w:r>
      <w:r w:rsidRPr="007317EA">
        <w:t>bilateral meetings with stakeholders including:</w:t>
      </w:r>
    </w:p>
    <w:p w:rsidR="009F5DD3" w:rsidRDefault="009F5DD3" w:rsidP="009F5DD3">
      <w:pPr>
        <w:pStyle w:val="AERbulletlistfirststyle"/>
      </w:pPr>
      <w:r>
        <w:t>11 April and 15 May: meeting with SP AusNet.</w:t>
      </w:r>
    </w:p>
    <w:p w:rsidR="009F5DD3" w:rsidRDefault="009F5DD3" w:rsidP="009F5DD3">
      <w:pPr>
        <w:pStyle w:val="AERbulletlistfirststyle"/>
      </w:pPr>
      <w:r>
        <w:t xml:space="preserve">17 April: meeting with CitiPower, Powercor and </w:t>
      </w:r>
      <w:r w:rsidRPr="00D00D45">
        <w:t>SA Power Networks</w:t>
      </w:r>
      <w:r>
        <w:t>.</w:t>
      </w:r>
    </w:p>
    <w:p w:rsidR="009F5DD3" w:rsidRDefault="009F5DD3" w:rsidP="009F5DD3">
      <w:pPr>
        <w:pStyle w:val="AERbulletlistfirststyle"/>
      </w:pPr>
      <w:r>
        <w:t xml:space="preserve">22 April: meeting with </w:t>
      </w:r>
      <w:r w:rsidRPr="009E6F75">
        <w:t>TransGrid</w:t>
      </w:r>
      <w:r>
        <w:t xml:space="preserve">, </w:t>
      </w:r>
      <w:r w:rsidRPr="009E6F75">
        <w:t>Essential Energy</w:t>
      </w:r>
      <w:r>
        <w:t xml:space="preserve">, </w:t>
      </w:r>
      <w:r w:rsidRPr="009E6F75">
        <w:t>Endeavour Energy</w:t>
      </w:r>
      <w:r>
        <w:t xml:space="preserve"> and </w:t>
      </w:r>
      <w:proofErr w:type="spellStart"/>
      <w:r>
        <w:t>AusGrid</w:t>
      </w:r>
      <w:proofErr w:type="spellEnd"/>
      <w:r>
        <w:t>.</w:t>
      </w:r>
    </w:p>
    <w:p w:rsidR="009F5DD3" w:rsidRDefault="009F5DD3" w:rsidP="009F5DD3">
      <w:pPr>
        <w:pStyle w:val="AERbulletlistfirststyle"/>
      </w:pPr>
      <w:r>
        <w:t xml:space="preserve">23 April: meeting with </w:t>
      </w:r>
      <w:r w:rsidRPr="00D00D45">
        <w:t>Ergon</w:t>
      </w:r>
      <w:r>
        <w:t xml:space="preserve"> Energy</w:t>
      </w:r>
      <w:r w:rsidRPr="00D00D45">
        <w:t>, Energex and Powerlink</w:t>
      </w:r>
      <w:r>
        <w:t>.</w:t>
      </w:r>
    </w:p>
    <w:p w:rsidR="009F5DD3" w:rsidRDefault="009F5DD3" w:rsidP="009F5DD3">
      <w:pPr>
        <w:pStyle w:val="AERbulletlistfirststyle"/>
      </w:pPr>
      <w:r>
        <w:t>10 May: meeting with Jemena.</w:t>
      </w:r>
    </w:p>
    <w:p w:rsidR="009F5DD3" w:rsidRDefault="009F5DD3" w:rsidP="009F5DD3">
      <w:pPr>
        <w:pStyle w:val="AERbulletlistfirststyle"/>
      </w:pPr>
      <w:r>
        <w:t xml:space="preserve">14 May: meeting with </w:t>
      </w:r>
      <w:proofErr w:type="spellStart"/>
      <w:r>
        <w:t>Electranet</w:t>
      </w:r>
      <w:proofErr w:type="spellEnd"/>
      <w:r>
        <w:t>.</w:t>
      </w:r>
    </w:p>
    <w:p w:rsidR="009F5DD3" w:rsidRDefault="009F5DD3" w:rsidP="009F5DD3">
      <w:pPr>
        <w:pStyle w:val="AERbulletlistfirststyle"/>
      </w:pPr>
      <w:r>
        <w:t>4 September: meeting with United Energy.</w:t>
      </w:r>
    </w:p>
    <w:p w:rsidR="009F5DD3" w:rsidRDefault="009F5DD3" w:rsidP="009F5DD3">
      <w:pPr>
        <w:pStyle w:val="AERbulletlistfirststyle"/>
      </w:pPr>
      <w:r>
        <w:t>5 September: meeting with SP AusNet.</w:t>
      </w:r>
    </w:p>
    <w:p w:rsidR="009F5DD3" w:rsidRDefault="009F5DD3" w:rsidP="009F5DD3">
      <w:pPr>
        <w:pStyle w:val="AERbulletlistfirststyle"/>
      </w:pPr>
      <w:r>
        <w:t>11 September: meeting with Ergon Energy and Energex.</w:t>
      </w:r>
    </w:p>
    <w:p w:rsidR="009F5DD3" w:rsidRDefault="009F5DD3" w:rsidP="009F5DD3">
      <w:pPr>
        <w:pStyle w:val="AERbulletlistfirststyle"/>
      </w:pPr>
      <w:r>
        <w:t>12 September: meeting with Networks NSW.</w:t>
      </w:r>
    </w:p>
    <w:p w:rsidR="009F5DD3" w:rsidRDefault="009F5DD3" w:rsidP="009F5DD3">
      <w:pPr>
        <w:pStyle w:val="AERbulletlistfirststyle"/>
      </w:pPr>
      <w:r>
        <w:t xml:space="preserve">13 September: meeting with CitiPower, Powercor and </w:t>
      </w:r>
      <w:r w:rsidRPr="00D00D45">
        <w:t>SA Power Networks</w:t>
      </w:r>
      <w:r>
        <w:t>.</w:t>
      </w:r>
    </w:p>
    <w:p w:rsidR="009F5DD3" w:rsidRDefault="009F5DD3" w:rsidP="009F5DD3">
      <w:pPr>
        <w:pStyle w:val="AERbulletlistfirststyle"/>
      </w:pPr>
      <w:r>
        <w:t>16 September: meeting with Jemena.</w:t>
      </w:r>
    </w:p>
    <w:p w:rsidR="009F5DD3" w:rsidRDefault="009F5DD3" w:rsidP="009F5DD3">
      <w:pPr>
        <w:pStyle w:val="AERbulletlistfirststyle"/>
      </w:pPr>
      <w:r>
        <w:t>17 September: meeting with Aurora Energy.</w:t>
      </w:r>
    </w:p>
    <w:p w:rsidR="009F5DD3" w:rsidRDefault="009F5DD3" w:rsidP="009F5DD3">
      <w:pPr>
        <w:pStyle w:val="AERbulletlistfirststyle"/>
      </w:pPr>
      <w:r>
        <w:t xml:space="preserve">17 September: meeting with </w:t>
      </w:r>
      <w:proofErr w:type="spellStart"/>
      <w:r>
        <w:t>TransEnd</w:t>
      </w:r>
      <w:proofErr w:type="spellEnd"/>
      <w:r>
        <w:t>.</w:t>
      </w:r>
    </w:p>
    <w:p w:rsidR="009F5DD3" w:rsidRDefault="009F5DD3" w:rsidP="009F5DD3">
      <w:pPr>
        <w:pStyle w:val="AERbulletlistfirststyle"/>
      </w:pPr>
      <w:r>
        <w:t>18 September: meeting with Grid Australia.</w:t>
      </w:r>
    </w:p>
    <w:p w:rsidR="009F5DD3" w:rsidRPr="007317EA" w:rsidRDefault="009F5DD3" w:rsidP="009F5DD3">
      <w:pPr>
        <w:pStyle w:val="AERbodytext"/>
        <w:numPr>
          <w:ilvl w:val="0"/>
          <w:numId w:val="6"/>
        </w:numPr>
      </w:pPr>
      <w:r>
        <w:t xml:space="preserve">Key dates for the development of the </w:t>
      </w:r>
      <w:r w:rsidRPr="007317EA">
        <w:t xml:space="preserve">guidelines are included in </w:t>
      </w:r>
      <w:r w:rsidR="00F67D3E">
        <w:t>T</w:t>
      </w:r>
      <w:r w:rsidRPr="007317EA">
        <w:t>able 1 below.</w:t>
      </w:r>
    </w:p>
    <w:p w:rsidR="00626C63" w:rsidRDefault="00626C63">
      <w:pPr>
        <w:spacing w:after="0" w:line="240" w:lineRule="auto"/>
        <w:jc w:val="left"/>
        <w:rPr>
          <w:rFonts w:eastAsia="Times New Roman"/>
          <w:b/>
          <w:bCs/>
          <w:szCs w:val="18"/>
        </w:rPr>
      </w:pPr>
      <w:r>
        <w:br w:type="page"/>
      </w:r>
    </w:p>
    <w:p w:rsidR="009F5DD3" w:rsidRPr="00AC37F7" w:rsidRDefault="009F5DD3" w:rsidP="009F5DD3">
      <w:pPr>
        <w:pStyle w:val="Caption"/>
      </w:pPr>
      <w:r w:rsidRPr="00AC37F7">
        <w:lastRenderedPageBreak/>
        <w:t>Table 1</w:t>
      </w:r>
      <w:r w:rsidRPr="00AC37F7">
        <w:tab/>
        <w:t xml:space="preserve">Timeline for </w:t>
      </w:r>
      <w:r w:rsidR="006F6C85">
        <w:t>the review of the EBSS</w:t>
      </w:r>
    </w:p>
    <w:tbl>
      <w:tblPr>
        <w:tblStyle w:val="AERtable-text"/>
        <w:tblW w:w="0" w:type="auto"/>
        <w:tblLook w:val="04A0" w:firstRow="1" w:lastRow="0" w:firstColumn="1" w:lastColumn="0" w:noHBand="0" w:noVBand="1"/>
      </w:tblPr>
      <w:tblGrid>
        <w:gridCol w:w="1526"/>
        <w:gridCol w:w="2977"/>
        <w:gridCol w:w="4739"/>
      </w:tblGrid>
      <w:tr w:rsidR="009F5DD3" w:rsidRPr="00E77220" w:rsidTr="00FC3838">
        <w:trPr>
          <w:cnfStyle w:val="100000000000" w:firstRow="1" w:lastRow="0" w:firstColumn="0" w:lastColumn="0" w:oddVBand="0" w:evenVBand="0" w:oddHBand="0" w:evenHBand="0" w:firstRowFirstColumn="0" w:firstRowLastColumn="0" w:lastRowFirstColumn="0" w:lastRowLastColumn="0"/>
        </w:trPr>
        <w:tc>
          <w:tcPr>
            <w:tcW w:w="1526" w:type="dxa"/>
          </w:tcPr>
          <w:p w:rsidR="009F5DD3" w:rsidRPr="009F5DD3" w:rsidRDefault="009F5DD3" w:rsidP="009F5DD3">
            <w:pPr>
              <w:pStyle w:val="AERtabletextleft"/>
            </w:pPr>
            <w:r w:rsidRPr="00AC37F7">
              <w:t>Date</w:t>
            </w:r>
          </w:p>
        </w:tc>
        <w:tc>
          <w:tcPr>
            <w:tcW w:w="2977" w:type="dxa"/>
          </w:tcPr>
          <w:p w:rsidR="009F5DD3" w:rsidRPr="009F5DD3" w:rsidRDefault="009F5DD3" w:rsidP="009F5DD3">
            <w:pPr>
              <w:pStyle w:val="AERtabletextleft"/>
            </w:pPr>
            <w:r>
              <w:t>Milestone</w:t>
            </w:r>
          </w:p>
        </w:tc>
        <w:tc>
          <w:tcPr>
            <w:tcW w:w="4739" w:type="dxa"/>
          </w:tcPr>
          <w:p w:rsidR="009F5DD3" w:rsidRPr="009F5DD3" w:rsidRDefault="009F5DD3" w:rsidP="009F5DD3">
            <w:pPr>
              <w:pStyle w:val="AERtabletextleft"/>
            </w:pPr>
            <w:r w:rsidRPr="00AC37F7">
              <w:t>Description</w:t>
            </w:r>
          </w:p>
        </w:tc>
      </w:tr>
      <w:tr w:rsidR="009F5DD3" w:rsidRPr="00A609EA" w:rsidTr="00FC3838">
        <w:tc>
          <w:tcPr>
            <w:tcW w:w="1526" w:type="dxa"/>
          </w:tcPr>
          <w:p w:rsidR="009F5DD3" w:rsidRPr="009F5DD3" w:rsidRDefault="009F5DD3" w:rsidP="009F5DD3">
            <w:pPr>
              <w:pStyle w:val="AERtabletextleft"/>
            </w:pPr>
            <w:r w:rsidRPr="00A609EA">
              <w:t>20 March</w:t>
            </w:r>
          </w:p>
        </w:tc>
        <w:tc>
          <w:tcPr>
            <w:tcW w:w="2977" w:type="dxa"/>
          </w:tcPr>
          <w:p w:rsidR="009F5DD3" w:rsidRPr="009F5DD3" w:rsidRDefault="009F5DD3" w:rsidP="009F5DD3">
            <w:pPr>
              <w:pStyle w:val="AERtabletextleft"/>
            </w:pPr>
            <w:r w:rsidRPr="00A609EA">
              <w:t>Issues paper released</w:t>
            </w:r>
          </w:p>
        </w:tc>
        <w:tc>
          <w:tcPr>
            <w:tcW w:w="4739" w:type="dxa"/>
          </w:tcPr>
          <w:p w:rsidR="009F5DD3" w:rsidRPr="009F5DD3" w:rsidRDefault="009F5DD3" w:rsidP="009F5DD3">
            <w:pPr>
              <w:pStyle w:val="AERtabletextleft"/>
            </w:pPr>
            <w:r w:rsidRPr="00A609EA">
              <w:t xml:space="preserve">Explained issues and preliminary thoughts on approach to the </w:t>
            </w:r>
            <w:r>
              <w:t>EBSS</w:t>
            </w:r>
            <w:r w:rsidRPr="009F5DD3">
              <w:t>. Invited written submissions.</w:t>
            </w:r>
          </w:p>
        </w:tc>
      </w:tr>
      <w:tr w:rsidR="009F5DD3" w:rsidRPr="00A609EA" w:rsidTr="00FC3838">
        <w:trPr>
          <w:cnfStyle w:val="000000010000" w:firstRow="0" w:lastRow="0" w:firstColumn="0" w:lastColumn="0" w:oddVBand="0" w:evenVBand="0" w:oddHBand="0" w:evenHBand="1" w:firstRowFirstColumn="0" w:firstRowLastColumn="0" w:lastRowFirstColumn="0" w:lastRowLastColumn="0"/>
        </w:trPr>
        <w:tc>
          <w:tcPr>
            <w:tcW w:w="1526" w:type="dxa"/>
          </w:tcPr>
          <w:p w:rsidR="009F5DD3" w:rsidRPr="009F5DD3" w:rsidRDefault="009F5DD3" w:rsidP="009F5DD3">
            <w:pPr>
              <w:pStyle w:val="AERtabletextleft"/>
            </w:pPr>
            <w:r w:rsidRPr="00A609EA">
              <w:t xml:space="preserve">April to May </w:t>
            </w:r>
          </w:p>
        </w:tc>
        <w:tc>
          <w:tcPr>
            <w:tcW w:w="2977" w:type="dxa"/>
          </w:tcPr>
          <w:p w:rsidR="009F5DD3" w:rsidRPr="009F5DD3" w:rsidRDefault="009F5DD3" w:rsidP="009F5DD3">
            <w:pPr>
              <w:pStyle w:val="AERtabletextleft"/>
            </w:pPr>
            <w:r w:rsidRPr="00A609EA">
              <w:t>Stakeholder meetings</w:t>
            </w:r>
          </w:p>
        </w:tc>
        <w:tc>
          <w:tcPr>
            <w:tcW w:w="4739" w:type="dxa"/>
          </w:tcPr>
          <w:p w:rsidR="009F5DD3" w:rsidRPr="009F5DD3" w:rsidRDefault="009F5DD3" w:rsidP="009F5DD3">
            <w:pPr>
              <w:pStyle w:val="AERtabletextleft"/>
            </w:pPr>
            <w:r w:rsidRPr="00A609EA">
              <w:t>Meetings with NSPs and the Consumer Reference Group.</w:t>
            </w:r>
          </w:p>
        </w:tc>
      </w:tr>
      <w:tr w:rsidR="009F5DD3" w:rsidRPr="00A609EA" w:rsidTr="00FC3838">
        <w:tc>
          <w:tcPr>
            <w:tcW w:w="1526" w:type="dxa"/>
          </w:tcPr>
          <w:p w:rsidR="009F5DD3" w:rsidRPr="009F5DD3" w:rsidRDefault="009F5DD3" w:rsidP="009F5DD3">
            <w:pPr>
              <w:pStyle w:val="AERtabletextleft"/>
            </w:pPr>
            <w:r w:rsidRPr="00A609EA">
              <w:t>29 April</w:t>
            </w:r>
          </w:p>
        </w:tc>
        <w:tc>
          <w:tcPr>
            <w:tcW w:w="2977" w:type="dxa"/>
          </w:tcPr>
          <w:p w:rsidR="009F5DD3" w:rsidRPr="009F5DD3" w:rsidRDefault="009F5DD3" w:rsidP="009F5DD3">
            <w:pPr>
              <w:pStyle w:val="AERtabletextleft"/>
            </w:pPr>
            <w:r w:rsidRPr="00A609EA">
              <w:t>Stakeholder forum</w:t>
            </w:r>
          </w:p>
        </w:tc>
        <w:tc>
          <w:tcPr>
            <w:tcW w:w="4739" w:type="dxa"/>
          </w:tcPr>
          <w:p w:rsidR="009F5DD3" w:rsidRPr="009F5DD3" w:rsidRDefault="009F5DD3" w:rsidP="009F5DD3">
            <w:pPr>
              <w:pStyle w:val="AERtabletextleft"/>
            </w:pPr>
            <w:r w:rsidRPr="00A609EA">
              <w:t xml:space="preserve">Public forum on the issues paper and interactions with expenditure forecast assessment </w:t>
            </w:r>
            <w:r w:rsidRPr="009F5DD3">
              <w:t xml:space="preserve">guidelines. </w:t>
            </w:r>
          </w:p>
        </w:tc>
      </w:tr>
      <w:tr w:rsidR="009F5DD3" w:rsidRPr="00A609EA" w:rsidTr="00FC3838">
        <w:trPr>
          <w:cnfStyle w:val="000000010000" w:firstRow="0" w:lastRow="0" w:firstColumn="0" w:lastColumn="0" w:oddVBand="0" w:evenVBand="0" w:oddHBand="0" w:evenHBand="1" w:firstRowFirstColumn="0" w:firstRowLastColumn="0" w:lastRowFirstColumn="0" w:lastRowLastColumn="0"/>
        </w:trPr>
        <w:tc>
          <w:tcPr>
            <w:tcW w:w="1526" w:type="dxa"/>
          </w:tcPr>
          <w:p w:rsidR="009F5DD3" w:rsidRPr="009F5DD3" w:rsidRDefault="009F5DD3" w:rsidP="009F5DD3">
            <w:pPr>
              <w:pStyle w:val="AERtabletextleft"/>
            </w:pPr>
            <w:r w:rsidRPr="00A609EA">
              <w:t xml:space="preserve">10 May </w:t>
            </w:r>
          </w:p>
        </w:tc>
        <w:tc>
          <w:tcPr>
            <w:tcW w:w="2977" w:type="dxa"/>
          </w:tcPr>
          <w:p w:rsidR="009F5DD3" w:rsidRPr="009F5DD3" w:rsidRDefault="009F5DD3" w:rsidP="009F5DD3">
            <w:pPr>
              <w:pStyle w:val="AERtabletextleft"/>
            </w:pPr>
            <w:r w:rsidRPr="00A609EA">
              <w:t xml:space="preserve">Submission on issues paper </w:t>
            </w:r>
            <w:r>
              <w:t>closed</w:t>
            </w:r>
          </w:p>
        </w:tc>
        <w:tc>
          <w:tcPr>
            <w:tcW w:w="4739" w:type="dxa"/>
          </w:tcPr>
          <w:p w:rsidR="009F5DD3" w:rsidRPr="009F5DD3" w:rsidRDefault="009F5DD3" w:rsidP="009F5DD3">
            <w:pPr>
              <w:pStyle w:val="AERtabletextleft"/>
            </w:pPr>
            <w:r w:rsidRPr="00A609EA">
              <w:t>Formal response</w:t>
            </w:r>
            <w:r w:rsidRPr="009F5DD3">
              <w:t>s by stakeholders to the issues paper.</w:t>
            </w:r>
          </w:p>
        </w:tc>
      </w:tr>
      <w:tr w:rsidR="009F5DD3" w:rsidRPr="00A609EA" w:rsidTr="00FC3838">
        <w:tc>
          <w:tcPr>
            <w:tcW w:w="1526" w:type="dxa"/>
          </w:tcPr>
          <w:p w:rsidR="009F5DD3" w:rsidRPr="009F5DD3" w:rsidRDefault="009F5DD3" w:rsidP="009F5DD3">
            <w:pPr>
              <w:pStyle w:val="AERtabletextleft"/>
            </w:pPr>
            <w:r w:rsidRPr="00A609EA">
              <w:t>9 August</w:t>
            </w:r>
          </w:p>
        </w:tc>
        <w:tc>
          <w:tcPr>
            <w:tcW w:w="2977" w:type="dxa"/>
          </w:tcPr>
          <w:p w:rsidR="009F5DD3" w:rsidRPr="009F5DD3" w:rsidRDefault="009F5DD3" w:rsidP="009F5DD3">
            <w:pPr>
              <w:pStyle w:val="AERtabletextleft"/>
            </w:pPr>
            <w:r w:rsidRPr="00A609EA">
              <w:t xml:space="preserve">Draft </w:t>
            </w:r>
            <w:r w:rsidRPr="009F5DD3">
              <w:t>guidelines and explanatory statement published</w:t>
            </w:r>
          </w:p>
        </w:tc>
        <w:tc>
          <w:tcPr>
            <w:tcW w:w="4739" w:type="dxa"/>
          </w:tcPr>
          <w:p w:rsidR="009F5DD3" w:rsidRPr="009F5DD3" w:rsidRDefault="009F5DD3" w:rsidP="009F5DD3">
            <w:pPr>
              <w:pStyle w:val="AERtabletextleft"/>
            </w:pPr>
            <w:r w:rsidRPr="00A609EA">
              <w:t xml:space="preserve">Sets out AER's draft positions on </w:t>
            </w:r>
            <w:r>
              <w:t>the EBSS</w:t>
            </w:r>
            <w:r w:rsidRPr="00A609EA">
              <w:t>. Invites written submissions</w:t>
            </w:r>
            <w:r w:rsidRPr="009F5DD3">
              <w:t xml:space="preserve"> by 20 September.</w:t>
            </w:r>
          </w:p>
        </w:tc>
      </w:tr>
      <w:tr w:rsidR="009F5DD3" w:rsidRPr="00A609EA" w:rsidTr="00FC3838">
        <w:trPr>
          <w:cnfStyle w:val="000000010000" w:firstRow="0" w:lastRow="0" w:firstColumn="0" w:lastColumn="0" w:oddVBand="0" w:evenVBand="0" w:oddHBand="0" w:evenHBand="1" w:firstRowFirstColumn="0" w:firstRowLastColumn="0" w:lastRowFirstColumn="0" w:lastRowLastColumn="0"/>
        </w:trPr>
        <w:tc>
          <w:tcPr>
            <w:tcW w:w="1526" w:type="dxa"/>
          </w:tcPr>
          <w:p w:rsidR="009F5DD3" w:rsidRPr="009F5DD3" w:rsidRDefault="009F5DD3" w:rsidP="009F5DD3">
            <w:pPr>
              <w:pStyle w:val="AERtabletextleft"/>
            </w:pPr>
            <w:r w:rsidRPr="00A609EA">
              <w:t>August to October</w:t>
            </w:r>
          </w:p>
        </w:tc>
        <w:tc>
          <w:tcPr>
            <w:tcW w:w="2977" w:type="dxa"/>
          </w:tcPr>
          <w:p w:rsidR="009F5DD3" w:rsidRPr="009F5DD3" w:rsidRDefault="009F5DD3" w:rsidP="009F5DD3">
            <w:pPr>
              <w:pStyle w:val="AERtabletextleft"/>
            </w:pPr>
            <w:r w:rsidRPr="00A609EA">
              <w:t>Stakeholder consultation</w:t>
            </w:r>
          </w:p>
        </w:tc>
        <w:tc>
          <w:tcPr>
            <w:tcW w:w="4739" w:type="dxa"/>
          </w:tcPr>
          <w:p w:rsidR="009F5DD3" w:rsidRPr="009F5DD3" w:rsidRDefault="009F5DD3" w:rsidP="009F5DD3">
            <w:pPr>
              <w:pStyle w:val="AERtabletextleft"/>
            </w:pPr>
            <w:r w:rsidRPr="00A609EA">
              <w:t>Further discussions with stakeholders.</w:t>
            </w:r>
          </w:p>
        </w:tc>
      </w:tr>
      <w:tr w:rsidR="009F5DD3" w:rsidRPr="00A609EA" w:rsidTr="00FC3838">
        <w:tc>
          <w:tcPr>
            <w:tcW w:w="1526" w:type="dxa"/>
          </w:tcPr>
          <w:p w:rsidR="009F5DD3" w:rsidRPr="009F5DD3" w:rsidRDefault="009F5DD3" w:rsidP="009F5DD3">
            <w:pPr>
              <w:pStyle w:val="AERtabletextleft"/>
            </w:pPr>
            <w:r w:rsidRPr="00A609EA">
              <w:t>20</w:t>
            </w:r>
            <w:r w:rsidRPr="009F5DD3">
              <w:t xml:space="preserve"> September</w:t>
            </w:r>
          </w:p>
        </w:tc>
        <w:tc>
          <w:tcPr>
            <w:tcW w:w="2977" w:type="dxa"/>
          </w:tcPr>
          <w:p w:rsidR="009F5DD3" w:rsidRPr="009F5DD3" w:rsidRDefault="009F5DD3" w:rsidP="009F5DD3">
            <w:pPr>
              <w:pStyle w:val="AERtabletextleft"/>
            </w:pPr>
            <w:r w:rsidRPr="00A609EA">
              <w:t xml:space="preserve">Submissions on draft </w:t>
            </w:r>
            <w:r w:rsidRPr="009F5DD3">
              <w:t xml:space="preserve">guidelines </w:t>
            </w:r>
            <w:r>
              <w:t>closed</w:t>
            </w:r>
            <w:r w:rsidRPr="009F5DD3">
              <w:t xml:space="preserve"> </w:t>
            </w:r>
          </w:p>
        </w:tc>
        <w:tc>
          <w:tcPr>
            <w:tcW w:w="4739" w:type="dxa"/>
          </w:tcPr>
          <w:p w:rsidR="009F5DD3" w:rsidRPr="009F5DD3" w:rsidRDefault="009F5DD3" w:rsidP="009F5DD3">
            <w:pPr>
              <w:pStyle w:val="AERtabletextleft"/>
            </w:pPr>
            <w:r w:rsidRPr="00A609EA">
              <w:t>Formal response</w:t>
            </w:r>
            <w:r w:rsidRPr="009F5DD3">
              <w:t xml:space="preserve">s by stakeholders to the draft </w:t>
            </w:r>
            <w:r>
              <w:t>EBSS</w:t>
            </w:r>
            <w:r w:rsidRPr="009F5DD3">
              <w:t>.</w:t>
            </w:r>
          </w:p>
        </w:tc>
      </w:tr>
      <w:tr w:rsidR="009F5DD3" w:rsidRPr="00A609EA" w:rsidTr="00FC3838">
        <w:trPr>
          <w:cnfStyle w:val="000000010000" w:firstRow="0" w:lastRow="0" w:firstColumn="0" w:lastColumn="0" w:oddVBand="0" w:evenVBand="0" w:oddHBand="0" w:evenHBand="1" w:firstRowFirstColumn="0" w:firstRowLastColumn="0" w:lastRowFirstColumn="0" w:lastRowLastColumn="0"/>
        </w:trPr>
        <w:tc>
          <w:tcPr>
            <w:tcW w:w="1526" w:type="dxa"/>
          </w:tcPr>
          <w:p w:rsidR="009F5DD3" w:rsidRPr="009F5DD3" w:rsidRDefault="009F5DD3" w:rsidP="009F5DD3">
            <w:pPr>
              <w:pStyle w:val="AERtabletextleft"/>
            </w:pPr>
            <w:r w:rsidRPr="00A609EA">
              <w:t>29 November</w:t>
            </w:r>
          </w:p>
        </w:tc>
        <w:tc>
          <w:tcPr>
            <w:tcW w:w="2977" w:type="dxa"/>
          </w:tcPr>
          <w:p w:rsidR="009F5DD3" w:rsidRPr="009F5DD3" w:rsidRDefault="009F5DD3" w:rsidP="009F5DD3">
            <w:pPr>
              <w:pStyle w:val="AERtabletextleft"/>
            </w:pPr>
            <w:r w:rsidRPr="00A609EA">
              <w:t xml:space="preserve">Publish final </w:t>
            </w:r>
            <w:r>
              <w:t>EBSS</w:t>
            </w:r>
          </w:p>
        </w:tc>
        <w:tc>
          <w:tcPr>
            <w:tcW w:w="4739" w:type="dxa"/>
          </w:tcPr>
          <w:p w:rsidR="009F5DD3" w:rsidRPr="009F5DD3" w:rsidRDefault="009F5DD3" w:rsidP="009F5DD3">
            <w:pPr>
              <w:pStyle w:val="AERtabletextleft"/>
            </w:pPr>
            <w:r w:rsidRPr="00A609EA">
              <w:t xml:space="preserve">Publication of final </w:t>
            </w:r>
            <w:r>
              <w:t>EBSS</w:t>
            </w:r>
            <w:r w:rsidRPr="009F5DD3">
              <w:t>.</w:t>
            </w:r>
          </w:p>
        </w:tc>
      </w:tr>
    </w:tbl>
    <w:p w:rsidR="009F5DD3" w:rsidRPr="00AC37F7" w:rsidRDefault="009F5DD3" w:rsidP="009F5DD3">
      <w:pPr>
        <w:pStyle w:val="FootnoteText"/>
      </w:pPr>
    </w:p>
    <w:p w:rsidR="00376B36" w:rsidRDefault="00376B36" w:rsidP="00376B36">
      <w:pPr>
        <w:pStyle w:val="AERbodytext"/>
        <w:rPr>
          <w:rStyle w:val="AERbody"/>
        </w:rPr>
      </w:pPr>
    </w:p>
    <w:p w:rsidR="00376B36" w:rsidRDefault="00376B36" w:rsidP="00376B36">
      <w:pPr>
        <w:pStyle w:val="AERbodytext"/>
        <w:rPr>
          <w:rStyle w:val="AERbody"/>
        </w:rPr>
      </w:pPr>
    </w:p>
    <w:p w:rsidR="00EB65C6" w:rsidRPr="00AD553B" w:rsidRDefault="00AD553B" w:rsidP="00EB65C6">
      <w:pPr>
        <w:pStyle w:val="Heading1"/>
      </w:pPr>
      <w:bookmarkStart w:id="11" w:name="_Toc373159421"/>
      <w:r>
        <w:lastRenderedPageBreak/>
        <w:t>Efficiency benefit sharing scheme</w:t>
      </w:r>
      <w:bookmarkEnd w:id="11"/>
    </w:p>
    <w:p w:rsidR="00AD553B" w:rsidRPr="00AD553B" w:rsidRDefault="00AD553B" w:rsidP="00AD553B">
      <w:pPr>
        <w:pStyle w:val="AERbodytext"/>
        <w:numPr>
          <w:ilvl w:val="0"/>
          <w:numId w:val="6"/>
        </w:numPr>
      </w:pPr>
      <w:r w:rsidRPr="00AD553B">
        <w:t xml:space="preserve">The EBSS aims to provide an incentive for NSPs to pursue efficiency improvements in opex and to share efficiency gains between NSPs and network users. </w:t>
      </w:r>
      <w:r>
        <w:t>The scheme achieves this</w:t>
      </w:r>
      <w:r w:rsidRPr="00AD553B">
        <w:t xml:space="preserve"> by rewarding NSPs that </w:t>
      </w:r>
      <w:r>
        <w:t>make incremental efficiency gains and penalising</w:t>
      </w:r>
      <w:r w:rsidR="00F67D3E">
        <w:t xml:space="preserve"> NSPs that make</w:t>
      </w:r>
      <w:r>
        <w:t xml:space="preserve"> incremental efficiency losses.</w:t>
      </w:r>
    </w:p>
    <w:p w:rsidR="00AD553B" w:rsidRPr="00AD553B" w:rsidRDefault="00AD553B" w:rsidP="00AD553B">
      <w:pPr>
        <w:pStyle w:val="AERbodytext"/>
        <w:numPr>
          <w:ilvl w:val="0"/>
          <w:numId w:val="6"/>
        </w:numPr>
      </w:pPr>
      <w:r>
        <w:t>C</w:t>
      </w:r>
      <w:r w:rsidRPr="00AD553B">
        <w:t>lauses 6.5.8 and 6A.6.5 of the NER</w:t>
      </w:r>
      <w:r>
        <w:t xml:space="preserve"> outline </w:t>
      </w:r>
      <w:r w:rsidR="002F5B96">
        <w:t xml:space="preserve">the </w:t>
      </w:r>
      <w:r>
        <w:t>r</w:t>
      </w:r>
      <w:r w:rsidRPr="00AD553B">
        <w:t xml:space="preserve">equirements for </w:t>
      </w:r>
      <w:r w:rsidR="00DE1D59">
        <w:t>an</w:t>
      </w:r>
      <w:r w:rsidR="00DE1D59" w:rsidRPr="00AD553B">
        <w:t xml:space="preserve"> </w:t>
      </w:r>
      <w:r w:rsidRPr="00AD553B">
        <w:t xml:space="preserve">EBSS. In developing </w:t>
      </w:r>
      <w:r>
        <w:t xml:space="preserve">and implementing </w:t>
      </w:r>
      <w:r w:rsidRPr="00AD553B">
        <w:t>any EBSS the AER must have regard to:</w:t>
      </w:r>
    </w:p>
    <w:p w:rsidR="00AD553B" w:rsidRPr="00AD553B" w:rsidRDefault="00AD553B" w:rsidP="00AD553B">
      <w:pPr>
        <w:pStyle w:val="AERbulletlistfirststyle"/>
      </w:pPr>
      <w:r w:rsidRPr="00AD553B">
        <w:t>the need to provide NSPs with a continuous incentive to reduce opex</w:t>
      </w:r>
    </w:p>
    <w:p w:rsidR="00AD553B" w:rsidRPr="00AD553B" w:rsidRDefault="00AD553B" w:rsidP="00AD553B">
      <w:pPr>
        <w:pStyle w:val="AERbulletlistfirststyle"/>
      </w:pPr>
      <w:r w:rsidRPr="00AD553B">
        <w:t>the desirability of both rewarding NSPs for efficiency gains and penalising NSPs for efficiency losses</w:t>
      </w:r>
    </w:p>
    <w:p w:rsidR="00AD553B" w:rsidRPr="00AD553B" w:rsidRDefault="00AD553B" w:rsidP="00AD553B">
      <w:pPr>
        <w:pStyle w:val="AERbulletlistfirststyle"/>
      </w:pPr>
      <w:r w:rsidRPr="00AD553B">
        <w:t>any incentives that NSPs may have to capitalise expenditure; and</w:t>
      </w:r>
    </w:p>
    <w:p w:rsidR="00AD553B" w:rsidRPr="00AD553B" w:rsidRDefault="00AD553B" w:rsidP="00AD553B">
      <w:pPr>
        <w:pStyle w:val="AERbulletlistfirststyle"/>
      </w:pPr>
      <w:proofErr w:type="gramStart"/>
      <w:r w:rsidRPr="00AD553B">
        <w:t>the</w:t>
      </w:r>
      <w:proofErr w:type="gramEnd"/>
      <w:r w:rsidRPr="00AD553B">
        <w:t xml:space="preserve"> possible effects of the scheme on incentives for the implementation of non-network alternatives.</w:t>
      </w:r>
    </w:p>
    <w:p w:rsidR="00EB65C6" w:rsidRDefault="00AD553B" w:rsidP="00AD553B">
      <w:pPr>
        <w:pStyle w:val="AERbodytext"/>
      </w:pPr>
      <w:r w:rsidRPr="00AD553B">
        <w:t>In addition, for DNSPs, the AER must ensure that benefits to electricity consumers likely to result from the scheme are sufficient to warrant any reward or penalty under the scheme for DNSPs.</w:t>
      </w:r>
    </w:p>
    <w:p w:rsidR="00BB4AE3" w:rsidRPr="00BB4AE3" w:rsidRDefault="000C048C" w:rsidP="00BB4AE3">
      <w:pPr>
        <w:pStyle w:val="AERbodytext"/>
      </w:pPr>
      <w:r>
        <w:t>Our Explanatory Statement to the draft EBSS noted that when we use a</w:t>
      </w:r>
      <w:r w:rsidRPr="000C048C">
        <w:t xml:space="preserve"> single year revealed cost forecasting method NSPs face strong incentives to overs</w:t>
      </w:r>
      <w:r>
        <w:t xml:space="preserve">pend in the expected base year. </w:t>
      </w:r>
      <w:r w:rsidRPr="000C048C">
        <w:t>The EBSS is designed to counter this incentive</w:t>
      </w:r>
      <w:r>
        <w:t>.</w:t>
      </w:r>
      <w:r w:rsidRPr="000C048C">
        <w:t xml:space="preserve"> Although the EBSS has only been in place a short time, there is not </w:t>
      </w:r>
      <w:r w:rsidR="00CE2BA1">
        <w:t xml:space="preserve">strong </w:t>
      </w:r>
      <w:r w:rsidRPr="000C048C">
        <w:t xml:space="preserve">evidence to suggest spending in the base year has been high compared to other years. </w:t>
      </w:r>
      <w:r w:rsidR="00BB4AE3" w:rsidRPr="00BB4AE3">
        <w:t xml:space="preserve">As we </w:t>
      </w:r>
      <w:r w:rsidR="00BB4AE3">
        <w:t>are likely to continue to use a</w:t>
      </w:r>
      <w:r w:rsidR="00BB4AE3" w:rsidRPr="00BB4AE3">
        <w:t xml:space="preserve"> single year revealed cost forecasting method for forecasting opex, we consider</w:t>
      </w:r>
      <w:r w:rsidR="00BB4AE3">
        <w:t>ed</w:t>
      </w:r>
      <w:r w:rsidR="00BB4AE3" w:rsidRPr="00BB4AE3">
        <w:t xml:space="preserve"> that a mechanism is required to mitigate a NSP's incentive to increase opex in the expected base year. A NSP may still have this incentive even if it expects we may adjust the base year to remove identified inefficiencies</w:t>
      </w:r>
      <w:r w:rsidR="00922986">
        <w:t xml:space="preserve"> (we will test the efficiency of base year expenditure and adjust</w:t>
      </w:r>
      <w:r w:rsidR="000A1B34">
        <w:t xml:space="preserve"> </w:t>
      </w:r>
      <w:r w:rsidR="00922986">
        <w:t>it if we find it to be inefficient)</w:t>
      </w:r>
      <w:r w:rsidR="00BB4AE3" w:rsidRPr="00BB4AE3">
        <w:t xml:space="preserve">. </w:t>
      </w:r>
      <w:r w:rsidR="00CE2BA1">
        <w:t xml:space="preserve">Our draft position was that </w:t>
      </w:r>
      <w:r w:rsidR="00BB4AE3" w:rsidRPr="00BB4AE3">
        <w:t xml:space="preserve">the EBSS is an effective mechanism for constraining this incentive. </w:t>
      </w:r>
    </w:p>
    <w:p w:rsidR="007800F4" w:rsidRDefault="00974C6F" w:rsidP="00974C6F">
      <w:pPr>
        <w:pStyle w:val="AERbodytext"/>
        <w:numPr>
          <w:ilvl w:val="0"/>
          <w:numId w:val="6"/>
        </w:numPr>
      </w:pPr>
      <w:r>
        <w:t xml:space="preserve">Having </w:t>
      </w:r>
      <w:r w:rsidRPr="00974C6F">
        <w:t>consider</w:t>
      </w:r>
      <w:r>
        <w:t>ed</w:t>
      </w:r>
      <w:r w:rsidRPr="00974C6F">
        <w:t xml:space="preserve"> the submissions </w:t>
      </w:r>
      <w:r w:rsidR="002C2922">
        <w:t xml:space="preserve">we </w:t>
      </w:r>
      <w:r w:rsidRPr="00974C6F">
        <w:t xml:space="preserve">received on our draft EBSS, we </w:t>
      </w:r>
      <w:r>
        <w:t>consider</w:t>
      </w:r>
      <w:r w:rsidRPr="00974C6F">
        <w:t xml:space="preserve"> the EBSS should continue </w:t>
      </w:r>
      <w:r w:rsidR="002F5B96">
        <w:t xml:space="preserve">as per </w:t>
      </w:r>
      <w:r w:rsidRPr="00974C6F">
        <w:t xml:space="preserve">its </w:t>
      </w:r>
      <w:r w:rsidR="002F5B96">
        <w:t>previous</w:t>
      </w:r>
      <w:r w:rsidR="00D83F39">
        <w:t xml:space="preserve"> </w:t>
      </w:r>
      <w:r w:rsidRPr="00974C6F">
        <w:t xml:space="preserve">form. This is consistent with </w:t>
      </w:r>
      <w:r w:rsidR="00961B65">
        <w:t xml:space="preserve">the </w:t>
      </w:r>
      <w:r w:rsidR="00294F45">
        <w:t xml:space="preserve">draft </w:t>
      </w:r>
      <w:r w:rsidR="007800F4">
        <w:t>EBSS</w:t>
      </w:r>
      <w:r w:rsidRPr="00974C6F">
        <w:t>.</w:t>
      </w:r>
      <w:r w:rsidR="007800F4">
        <w:t xml:space="preserve"> However, there are some details of the scheme that we </w:t>
      </w:r>
      <w:r w:rsidR="007121A9">
        <w:t>consider</w:t>
      </w:r>
      <w:r w:rsidR="00D83F39">
        <w:t xml:space="preserve"> </w:t>
      </w:r>
      <w:r w:rsidR="007800F4">
        <w:t>would benefit from some modifications, including:</w:t>
      </w:r>
    </w:p>
    <w:p w:rsidR="00974C6F" w:rsidRDefault="00F774A2" w:rsidP="00F774A2">
      <w:pPr>
        <w:pStyle w:val="AERbulletlistfirststyle"/>
      </w:pPr>
      <w:r>
        <w:t>ex post exclusions from the EBSS</w:t>
      </w:r>
    </w:p>
    <w:p w:rsidR="00F774A2" w:rsidRDefault="00F774A2" w:rsidP="00F774A2">
      <w:pPr>
        <w:pStyle w:val="AERbulletlistfirststyle"/>
      </w:pPr>
      <w:r>
        <w:t>the treatment of one-off factors in the base year</w:t>
      </w:r>
    </w:p>
    <w:p w:rsidR="00F774A2" w:rsidRDefault="00F774A2" w:rsidP="00F774A2">
      <w:pPr>
        <w:pStyle w:val="AERbulletlistfirststyle"/>
      </w:pPr>
      <w:proofErr w:type="gramStart"/>
      <w:r>
        <w:t>the</w:t>
      </w:r>
      <w:proofErr w:type="gramEnd"/>
      <w:r>
        <w:t xml:space="preserve"> length of the carryover period</w:t>
      </w:r>
      <w:r w:rsidR="00960B3C">
        <w:t>.</w:t>
      </w:r>
    </w:p>
    <w:p w:rsidR="00960B3C" w:rsidRDefault="00960B3C" w:rsidP="00960B3C">
      <w:pPr>
        <w:pStyle w:val="AERbodytext"/>
      </w:pPr>
      <w:r>
        <w:t xml:space="preserve">We consider changes in these areas would </w:t>
      </w:r>
      <w:r w:rsidR="000E7B5E">
        <w:t>help</w:t>
      </w:r>
      <w:r w:rsidR="000E7B5E" w:rsidRPr="00974C6F">
        <w:t xml:space="preserve"> </w:t>
      </w:r>
      <w:r>
        <w:t>the EBSS</w:t>
      </w:r>
      <w:r w:rsidRPr="00974C6F">
        <w:t xml:space="preserve"> </w:t>
      </w:r>
      <w:r>
        <w:t>better achieve</w:t>
      </w:r>
      <w:r w:rsidRPr="00974C6F">
        <w:t xml:space="preserve"> the objectives under the NER.</w:t>
      </w:r>
      <w:r>
        <w:t xml:space="preserve"> Stakeholders raised further issues in response to the </w:t>
      </w:r>
      <w:r w:rsidR="00247C3C">
        <w:t>draft</w:t>
      </w:r>
      <w:r>
        <w:t xml:space="preserve"> EBSS including:</w:t>
      </w:r>
    </w:p>
    <w:p w:rsidR="007800F4" w:rsidRDefault="007800F4" w:rsidP="007800F4">
      <w:pPr>
        <w:pStyle w:val="AERbulletlistfirststyle"/>
      </w:pPr>
      <w:r>
        <w:t>the treatment of uncontrollable costs</w:t>
      </w:r>
    </w:p>
    <w:p w:rsidR="007800F4" w:rsidRDefault="007800F4" w:rsidP="00F774A2">
      <w:pPr>
        <w:pStyle w:val="AERbulletlistfirststyle"/>
      </w:pPr>
      <w:r>
        <w:t>lumpy costs and the form of the EBSS</w:t>
      </w:r>
    </w:p>
    <w:p w:rsidR="00B937CA" w:rsidRDefault="007800F4" w:rsidP="00F774A2">
      <w:pPr>
        <w:pStyle w:val="AERbulletlistfirststyle"/>
      </w:pPr>
      <w:r>
        <w:t xml:space="preserve">the impact </w:t>
      </w:r>
      <w:r w:rsidRPr="007800F4">
        <w:t xml:space="preserve">of opex base year adjustments on </w:t>
      </w:r>
      <w:r>
        <w:t>opex</w:t>
      </w:r>
      <w:r w:rsidRPr="007800F4">
        <w:t xml:space="preserve"> incentive</w:t>
      </w:r>
      <w:r w:rsidR="00F67D3E">
        <w:t>s</w:t>
      </w:r>
    </w:p>
    <w:p w:rsidR="007800F4" w:rsidRPr="00974C6F" w:rsidRDefault="00B937CA" w:rsidP="00F774A2">
      <w:pPr>
        <w:pStyle w:val="AERbulletlistfirststyle"/>
      </w:pPr>
      <w:proofErr w:type="gramStart"/>
      <w:r>
        <w:t>the</w:t>
      </w:r>
      <w:proofErr w:type="gramEnd"/>
      <w:r>
        <w:t xml:space="preserve"> impact of tax on opex incentive</w:t>
      </w:r>
      <w:r w:rsidR="00F67D3E">
        <w:t>s</w:t>
      </w:r>
      <w:r w:rsidR="00960B3C">
        <w:t>.</w:t>
      </w:r>
    </w:p>
    <w:p w:rsidR="00974C6F" w:rsidRPr="00974C6F" w:rsidRDefault="008D5DF2" w:rsidP="00974C6F">
      <w:pPr>
        <w:pStyle w:val="AERbodytext"/>
        <w:numPr>
          <w:ilvl w:val="0"/>
          <w:numId w:val="6"/>
        </w:numPr>
      </w:pPr>
      <w:r>
        <w:lastRenderedPageBreak/>
        <w:t>W</w:t>
      </w:r>
      <w:r w:rsidR="00960B3C">
        <w:t xml:space="preserve">e do not consider the </w:t>
      </w:r>
      <w:r w:rsidR="00294F45">
        <w:t xml:space="preserve">draft </w:t>
      </w:r>
      <w:r w:rsidR="00960B3C">
        <w:t>EBSS require</w:t>
      </w:r>
      <w:r w:rsidR="00294F45">
        <w:t>s</w:t>
      </w:r>
      <w:r w:rsidR="00960B3C">
        <w:t xml:space="preserve"> amendment</w:t>
      </w:r>
      <w:r>
        <w:t xml:space="preserve"> to address these further issues</w:t>
      </w:r>
      <w:r w:rsidR="00960B3C">
        <w:t xml:space="preserve">. </w:t>
      </w:r>
      <w:r w:rsidR="00B937CA">
        <w:t>We outline o</w:t>
      </w:r>
      <w:r w:rsidR="00960B3C">
        <w:t>ur consideration of all of these issues below.</w:t>
      </w:r>
    </w:p>
    <w:p w:rsidR="00974C6F" w:rsidRPr="00974C6F" w:rsidRDefault="00974C6F" w:rsidP="002C2922">
      <w:pPr>
        <w:pStyle w:val="Heading2"/>
      </w:pPr>
      <w:bookmarkStart w:id="12" w:name="_Toc373159422"/>
      <w:r w:rsidRPr="00974C6F">
        <w:t xml:space="preserve">Ex post exclusions </w:t>
      </w:r>
      <w:r w:rsidR="002C2922">
        <w:t>from</w:t>
      </w:r>
      <w:r w:rsidRPr="00974C6F">
        <w:t xml:space="preserve"> the EBSS</w:t>
      </w:r>
      <w:bookmarkEnd w:id="12"/>
    </w:p>
    <w:p w:rsidR="001814C4" w:rsidRDefault="007E7B6B" w:rsidP="007E7B6B">
      <w:pPr>
        <w:pStyle w:val="AERbodytext"/>
      </w:pPr>
      <w:r>
        <w:t>The draft EBSS allowed us to e</w:t>
      </w:r>
      <w:r w:rsidRPr="007E7B6B">
        <w:t>xclude</w:t>
      </w:r>
      <w:r w:rsidR="007121A9">
        <w:t xml:space="preserve"> ex post</w:t>
      </w:r>
      <w:r w:rsidRPr="007E7B6B">
        <w:t xml:space="preserve"> any category of opex where the exclusion of these costs would better achieve the requirements of clauses 6.5.8 and 6A.6.5 of the NER. This include</w:t>
      </w:r>
      <w:r>
        <w:t>d</w:t>
      </w:r>
      <w:r w:rsidRPr="007E7B6B">
        <w:t xml:space="preserve"> specific categories of opex where a </w:t>
      </w:r>
      <w:r w:rsidR="001814C4">
        <w:t xml:space="preserve">single year </w:t>
      </w:r>
      <w:r w:rsidRPr="007E7B6B">
        <w:t xml:space="preserve">revealed cost approach </w:t>
      </w:r>
      <w:r w:rsidR="001814C4">
        <w:t xml:space="preserve">was not used </w:t>
      </w:r>
      <w:r w:rsidRPr="007E7B6B">
        <w:t xml:space="preserve">to forecast opex in </w:t>
      </w:r>
      <w:r w:rsidR="001814C4">
        <w:t xml:space="preserve">the following regulatory control </w:t>
      </w:r>
      <w:r w:rsidRPr="007E7B6B">
        <w:t>period</w:t>
      </w:r>
      <w:r w:rsidR="001814C4">
        <w:t>. It also allowed</w:t>
      </w:r>
      <w:r w:rsidRPr="007E7B6B">
        <w:t xml:space="preserve"> </w:t>
      </w:r>
      <w:r w:rsidR="001814C4">
        <w:t xml:space="preserve">the exclusion of </w:t>
      </w:r>
      <w:r w:rsidRPr="007E7B6B">
        <w:t>any cost</w:t>
      </w:r>
      <w:r w:rsidR="001814C4">
        <w:t>s</w:t>
      </w:r>
      <w:r w:rsidRPr="007E7B6B">
        <w:t xml:space="preserve"> incurred in period </w:t>
      </w:r>
      <w:r w:rsidR="001814C4">
        <w:t xml:space="preserve">one to be excluded from the scheme if </w:t>
      </w:r>
      <w:r w:rsidR="00DE1D59">
        <w:t>those costs were for services that would not be</w:t>
      </w:r>
      <w:r w:rsidR="001814C4">
        <w:t xml:space="preserve"> </w:t>
      </w:r>
      <w:r w:rsidRPr="007E7B6B">
        <w:t>standar</w:t>
      </w:r>
      <w:r w:rsidR="001814C4">
        <w:t>d control services in period two</w:t>
      </w:r>
      <w:r w:rsidR="006D7A87">
        <w:t>.</w:t>
      </w:r>
    </w:p>
    <w:p w:rsidR="001814C4" w:rsidRDefault="001814C4" w:rsidP="007E7B6B">
      <w:pPr>
        <w:pStyle w:val="AERbodytext"/>
      </w:pPr>
      <w:r>
        <w:t>NSPs submitted that the inclusion of such a broad discretion in the EB</w:t>
      </w:r>
      <w:r w:rsidR="00294F45">
        <w:t>S</w:t>
      </w:r>
      <w:r>
        <w:t xml:space="preserve">S would adversely impact the incentives provided by the scheme. We have reconsidered the </w:t>
      </w:r>
      <w:r w:rsidR="00DE1D59">
        <w:t xml:space="preserve">scope of the </w:t>
      </w:r>
      <w:r>
        <w:t>discretion in the EBSS for us to exclude certain cost categories ex post.</w:t>
      </w:r>
    </w:p>
    <w:p w:rsidR="007E7B6B" w:rsidRDefault="001814C4" w:rsidP="001814C4">
      <w:pPr>
        <w:pStyle w:val="Heading3"/>
      </w:pPr>
      <w:r>
        <w:t>Approach</w:t>
      </w:r>
    </w:p>
    <w:p w:rsidR="00650848" w:rsidRPr="00974C6F" w:rsidRDefault="00650848" w:rsidP="004358DD">
      <w:pPr>
        <w:pStyle w:val="AERbodytext"/>
      </w:pPr>
      <w:r>
        <w:t xml:space="preserve">We have amended the </w:t>
      </w:r>
      <w:r w:rsidR="00294F45">
        <w:t>draft</w:t>
      </w:r>
      <w:r>
        <w:t xml:space="preserve"> EBSS to limit t</w:t>
      </w:r>
      <w:r w:rsidRPr="00974C6F">
        <w:t xml:space="preserve">he discretion to exclude </w:t>
      </w:r>
      <w:r w:rsidR="004358DD" w:rsidRPr="00974C6F">
        <w:t xml:space="preserve">categories of opex </w:t>
      </w:r>
      <w:r>
        <w:t>from the EBSS ex post</w:t>
      </w:r>
      <w:r w:rsidR="004358DD">
        <w:t>. This discretion is now limited</w:t>
      </w:r>
      <w:r>
        <w:t xml:space="preserve"> </w:t>
      </w:r>
      <w:r w:rsidRPr="00974C6F">
        <w:t xml:space="preserve">to those categories of opex not forecast using a </w:t>
      </w:r>
      <w:r w:rsidR="004358DD">
        <w:t xml:space="preserve">single year </w:t>
      </w:r>
      <w:r w:rsidRPr="00974C6F">
        <w:t xml:space="preserve">revealed cost approach in the following period. </w:t>
      </w:r>
      <w:r w:rsidR="004358DD">
        <w:t xml:space="preserve">We will exclude such cost categories if doing so better achieves the requirements of clauses </w:t>
      </w:r>
      <w:r w:rsidR="004358DD" w:rsidRPr="004358DD">
        <w:t>6.5.8 and 6A.6.5</w:t>
      </w:r>
      <w:r w:rsidR="004358DD">
        <w:t xml:space="preserve"> of the NER.</w:t>
      </w:r>
    </w:p>
    <w:p w:rsidR="001814C4" w:rsidRPr="001814C4" w:rsidRDefault="004358DD" w:rsidP="004358DD">
      <w:pPr>
        <w:pStyle w:val="Heading3"/>
      </w:pPr>
      <w:r>
        <w:t>Reasons for approach</w:t>
      </w:r>
    </w:p>
    <w:p w:rsidR="00960B3C" w:rsidRPr="00974C6F" w:rsidRDefault="00DD6F0D" w:rsidP="00960B3C">
      <w:pPr>
        <w:pStyle w:val="AERbodytext"/>
        <w:numPr>
          <w:ilvl w:val="0"/>
          <w:numId w:val="6"/>
        </w:numPr>
      </w:pPr>
      <w:r>
        <w:t>NSPs may not forecast opex using a single year revealed cost forecasting method</w:t>
      </w:r>
      <w:r w:rsidR="00012A9E">
        <w:t>. This could be</w:t>
      </w:r>
      <w:r>
        <w:t xml:space="preserve"> at </w:t>
      </w:r>
      <w:r w:rsidR="00960B3C" w:rsidRPr="00974C6F">
        <w:t xml:space="preserve">an overall level or category level. </w:t>
      </w:r>
      <w:r w:rsidR="00DE1D59">
        <w:t>For example</w:t>
      </w:r>
      <w:r w:rsidR="00103639">
        <w:t>, a NSP may</w:t>
      </w:r>
      <w:r>
        <w:t xml:space="preserve"> use a bottom up forecasting approach</w:t>
      </w:r>
      <w:r w:rsidR="006B7352">
        <w:t xml:space="preserve"> or use industry benchmarks</w:t>
      </w:r>
      <w:r>
        <w:t>.</w:t>
      </w:r>
      <w:r w:rsidR="006B7352">
        <w:rPr>
          <w:rStyle w:val="FootnoteReference"/>
        </w:rPr>
        <w:footnoteReference w:id="6"/>
      </w:r>
      <w:r>
        <w:t xml:space="preserve"> </w:t>
      </w:r>
      <w:r w:rsidR="00960B3C" w:rsidRPr="00974C6F">
        <w:t xml:space="preserve">NSPs may have a number of reasons to </w:t>
      </w:r>
      <w:r>
        <w:t>propose alternative</w:t>
      </w:r>
      <w:r w:rsidR="00960B3C" w:rsidRPr="00974C6F">
        <w:t xml:space="preserve"> forecast</w:t>
      </w:r>
      <w:r>
        <w:t>ing approaches</w:t>
      </w:r>
      <w:r w:rsidR="00960B3C" w:rsidRPr="00974C6F">
        <w:t xml:space="preserve">. </w:t>
      </w:r>
      <w:r w:rsidR="00E07A69">
        <w:t xml:space="preserve">However, the EBSS </w:t>
      </w:r>
      <w:r w:rsidR="00D14A57">
        <w:t xml:space="preserve">may not </w:t>
      </w:r>
      <w:r w:rsidR="00AD442E">
        <w:t>share</w:t>
      </w:r>
      <w:r w:rsidR="00F67D3E">
        <w:t xml:space="preserve"> efficiency gains 30:70 between NSPs and consumers </w:t>
      </w:r>
      <w:r w:rsidR="00D14A57">
        <w:t xml:space="preserve">when </w:t>
      </w:r>
      <w:r w:rsidR="00C60645">
        <w:t xml:space="preserve">a </w:t>
      </w:r>
      <w:r w:rsidR="00103639">
        <w:t xml:space="preserve">single year </w:t>
      </w:r>
      <w:r w:rsidR="00C60645">
        <w:t xml:space="preserve">revealed cost approach is </w:t>
      </w:r>
      <w:r w:rsidR="00D14A57">
        <w:t xml:space="preserve">not </w:t>
      </w:r>
      <w:r w:rsidR="00C60645">
        <w:t xml:space="preserve">used </w:t>
      </w:r>
      <w:r w:rsidR="006B7352">
        <w:t xml:space="preserve">to </w:t>
      </w:r>
      <w:r w:rsidR="00C60645">
        <w:t xml:space="preserve">forecast opex. If such an approach is not used, </w:t>
      </w:r>
      <w:r w:rsidR="002D4EF5">
        <w:t>a different sharing ratio may result</w:t>
      </w:r>
      <w:r w:rsidR="00AD442E">
        <w:t>. T</w:t>
      </w:r>
      <w:r w:rsidR="00C60645">
        <w:t xml:space="preserve">here is a risk the EBSS </w:t>
      </w:r>
      <w:r w:rsidR="00960B3C" w:rsidRPr="00974C6F">
        <w:t xml:space="preserve">may </w:t>
      </w:r>
      <w:r w:rsidR="00E07A69">
        <w:t>provide w</w:t>
      </w:r>
      <w:r w:rsidR="00960B3C" w:rsidRPr="00974C6F">
        <w:t>indfall gains</w:t>
      </w:r>
      <w:r w:rsidR="00C60645">
        <w:t xml:space="preserve"> </w:t>
      </w:r>
      <w:r w:rsidR="00012A9E">
        <w:t xml:space="preserve">or losses </w:t>
      </w:r>
      <w:r w:rsidR="00C60645">
        <w:t>to a NSP</w:t>
      </w:r>
      <w:r w:rsidR="00960B3C" w:rsidRPr="00974C6F">
        <w:t xml:space="preserve">. </w:t>
      </w:r>
    </w:p>
    <w:p w:rsidR="00A73D23" w:rsidRDefault="00C60645" w:rsidP="00CF2E41">
      <w:pPr>
        <w:pStyle w:val="AERbodytext"/>
        <w:numPr>
          <w:ilvl w:val="0"/>
          <w:numId w:val="6"/>
        </w:numPr>
      </w:pPr>
      <w:r>
        <w:t>To address this, t</w:t>
      </w:r>
      <w:r w:rsidR="00974C6F" w:rsidRPr="00974C6F">
        <w:t xml:space="preserve">he draft EBSS </w:t>
      </w:r>
      <w:r w:rsidR="003C7AA1">
        <w:t xml:space="preserve">proposed we be </w:t>
      </w:r>
      <w:r w:rsidR="00974C6F" w:rsidRPr="00974C6F">
        <w:t xml:space="preserve">allowed to exclude ex post any category of opex where doing so would better achieve the requirements of the NER. </w:t>
      </w:r>
      <w:r w:rsidR="00243612">
        <w:t>E</w:t>
      </w:r>
      <w:r w:rsidR="00A73D23">
        <w:t xml:space="preserve">xcluding a cost category from the EBSS </w:t>
      </w:r>
      <w:r w:rsidR="00243612">
        <w:t xml:space="preserve">will provide the same incentive to reduce those costs </w:t>
      </w:r>
      <w:r w:rsidR="001D078A">
        <w:t xml:space="preserve">in that category </w:t>
      </w:r>
      <w:r w:rsidR="00A73D23">
        <w:t xml:space="preserve">as if no scheme is in place. When no scheme is in place the </w:t>
      </w:r>
      <w:r w:rsidR="003C7AA1">
        <w:t>sharing of</w:t>
      </w:r>
      <w:r w:rsidR="00A73D23">
        <w:t xml:space="preserve"> efficiency gains </w:t>
      </w:r>
      <w:r w:rsidR="00CF2E41">
        <w:t>depends on how subsequent opex allowances will be set.</w:t>
      </w:r>
      <w:r w:rsidR="00AD442E">
        <w:rPr>
          <w:rStyle w:val="FootnoteReference"/>
        </w:rPr>
        <w:footnoteReference w:id="7"/>
      </w:r>
      <w:r w:rsidR="00CF2E41">
        <w:t xml:space="preserve"> If they </w:t>
      </w:r>
      <w:r w:rsidR="00012A9E">
        <w:t>are</w:t>
      </w:r>
      <w:r w:rsidR="00CF2E41">
        <w:t xml:space="preserve"> set using an exogenous approach the NSP retains </w:t>
      </w:r>
      <w:r w:rsidR="00A73D23">
        <w:t xml:space="preserve">100 per cent of </w:t>
      </w:r>
      <w:r w:rsidR="00CF2E41">
        <w:t xml:space="preserve">efficiency gains since its actual expenditure </w:t>
      </w:r>
      <w:r w:rsidR="00012A9E">
        <w:t>does</w:t>
      </w:r>
      <w:r w:rsidR="00CF2E41">
        <w:t xml:space="preserve"> not influence subsequent opex allowances.</w:t>
      </w:r>
    </w:p>
    <w:p w:rsidR="00A73D23" w:rsidRDefault="00974C6F" w:rsidP="006B7352">
      <w:pPr>
        <w:pStyle w:val="AERbodytext"/>
        <w:numPr>
          <w:ilvl w:val="0"/>
          <w:numId w:val="6"/>
        </w:numPr>
      </w:pPr>
      <w:r w:rsidRPr="00974C6F">
        <w:t xml:space="preserve">The draft EBSS </w:t>
      </w:r>
      <w:r w:rsidR="00A73D23">
        <w:t>cited two specific examples where we might exclude a cost category to better achieve the requirements of the NER:</w:t>
      </w:r>
    </w:p>
    <w:p w:rsidR="00A73D23" w:rsidRDefault="00974C6F" w:rsidP="003C7AA1">
      <w:pPr>
        <w:pStyle w:val="AERnumberedlistfirststyle"/>
      </w:pPr>
      <w:r w:rsidRPr="00974C6F">
        <w:t xml:space="preserve">where we do not use a </w:t>
      </w:r>
      <w:r w:rsidR="00A73D23">
        <w:t xml:space="preserve">single year </w:t>
      </w:r>
      <w:r w:rsidRPr="00974C6F">
        <w:t>revealed cost approach to forecast opex in the following period</w:t>
      </w:r>
    </w:p>
    <w:p w:rsidR="006B7352" w:rsidRPr="00974C6F" w:rsidRDefault="00974C6F" w:rsidP="003C7AA1">
      <w:pPr>
        <w:pStyle w:val="AERnumberedlistfirststyle"/>
      </w:pPr>
      <w:proofErr w:type="gramStart"/>
      <w:r w:rsidRPr="00974C6F">
        <w:t>any</w:t>
      </w:r>
      <w:proofErr w:type="gramEnd"/>
      <w:r w:rsidRPr="00974C6F">
        <w:t xml:space="preserve"> costs for services that will not be standard control services in the following period.</w:t>
      </w:r>
    </w:p>
    <w:p w:rsidR="00974C6F" w:rsidRPr="00974C6F" w:rsidRDefault="00974C6F" w:rsidP="00974C6F">
      <w:pPr>
        <w:pStyle w:val="AERbodytext"/>
        <w:numPr>
          <w:ilvl w:val="0"/>
          <w:numId w:val="6"/>
        </w:numPr>
      </w:pPr>
      <w:r w:rsidRPr="00974C6F">
        <w:lastRenderedPageBreak/>
        <w:t>Because this provision in the EBSS is potentially quite broad, NSPs raised concerns with the proposed approach. SP AusNet stated the proposed discretion would weaken the operation of the incentive by introducing uncertainty over what the scale of benefits or penalties will be for expenditure decisions.</w:t>
      </w:r>
      <w:r w:rsidR="00480916">
        <w:rPr>
          <w:rStyle w:val="FootnoteReference"/>
        </w:rPr>
        <w:footnoteReference w:id="8"/>
      </w:r>
      <w:r w:rsidRPr="00974C6F">
        <w:t xml:space="preserve"> APA and Grid Australia considered detail on adjustments and exclusions should be established ex</w:t>
      </w:r>
      <w:r w:rsidR="00723456">
        <w:t xml:space="preserve"> </w:t>
      </w:r>
      <w:r w:rsidRPr="00974C6F">
        <w:t xml:space="preserve">ante in a </w:t>
      </w:r>
      <w:r w:rsidR="00C60645">
        <w:t xml:space="preserve">NSP's </w:t>
      </w:r>
      <w:r w:rsidRPr="00974C6F">
        <w:t>revenue determination.</w:t>
      </w:r>
      <w:r w:rsidR="00480916">
        <w:rPr>
          <w:rStyle w:val="FootnoteReference"/>
        </w:rPr>
        <w:footnoteReference w:id="9"/>
      </w:r>
    </w:p>
    <w:p w:rsidR="00974C6F" w:rsidRPr="00974C6F" w:rsidRDefault="00974C6F" w:rsidP="00974C6F">
      <w:pPr>
        <w:pStyle w:val="AERbodytext"/>
        <w:numPr>
          <w:ilvl w:val="0"/>
          <w:numId w:val="6"/>
        </w:numPr>
      </w:pPr>
      <w:r w:rsidRPr="00974C6F">
        <w:t xml:space="preserve">CitiPower, Powercor and SA Power Networks sought greater certainty that </w:t>
      </w:r>
      <w:r w:rsidR="00CB34E9">
        <w:t>we</w:t>
      </w:r>
      <w:r w:rsidRPr="00974C6F">
        <w:t xml:space="preserve"> will only exclude cost categories ex post in a limited and appropriate manner.</w:t>
      </w:r>
      <w:r w:rsidR="00480916">
        <w:rPr>
          <w:rStyle w:val="FootnoteReference"/>
        </w:rPr>
        <w:footnoteReference w:id="10"/>
      </w:r>
      <w:r w:rsidRPr="00974C6F">
        <w:t xml:space="preserve"> Similarly the </w:t>
      </w:r>
      <w:r w:rsidR="00CB34E9">
        <w:t>Victorian</w:t>
      </w:r>
      <w:r w:rsidRPr="00974C6F">
        <w:t xml:space="preserve"> DNSPs considered our discretion to make ex post exclusions and adjustments should be limited.</w:t>
      </w:r>
      <w:r w:rsidR="00480916">
        <w:rPr>
          <w:rStyle w:val="FootnoteReference"/>
        </w:rPr>
        <w:footnoteReference w:id="11"/>
      </w:r>
    </w:p>
    <w:p w:rsidR="00C60645" w:rsidRDefault="00CB34E9" w:rsidP="00C452CF">
      <w:pPr>
        <w:pStyle w:val="AERbodytext"/>
      </w:pPr>
      <w:r>
        <w:t>We have</w:t>
      </w:r>
      <w:r w:rsidR="00974C6F" w:rsidRPr="00974C6F">
        <w:t xml:space="preserve"> reconsidered whether it is necessary to have a broad discretion to make ex post exclusions and adjustments under the scheme. </w:t>
      </w:r>
      <w:r w:rsidR="00FA1C14">
        <w:t>P</w:t>
      </w:r>
      <w:r w:rsidR="00C452CF" w:rsidRPr="00C452CF">
        <w:t>revious versions of the EBSS developed and published by the AER</w:t>
      </w:r>
      <w:r w:rsidR="00C452CF" w:rsidRPr="00C452CF" w:rsidDel="00C452CF">
        <w:t xml:space="preserve"> </w:t>
      </w:r>
      <w:r>
        <w:t>did</w:t>
      </w:r>
      <w:r w:rsidR="00974C6F" w:rsidRPr="00974C6F">
        <w:t xml:space="preserve"> not provide </w:t>
      </w:r>
      <w:r w:rsidR="00C452CF">
        <w:t>this</w:t>
      </w:r>
      <w:r w:rsidR="00974C6F" w:rsidRPr="00974C6F">
        <w:t xml:space="preserve"> discretion</w:t>
      </w:r>
      <w:r>
        <w:t xml:space="preserve">. </w:t>
      </w:r>
    </w:p>
    <w:p w:rsidR="00405172" w:rsidRDefault="00C60645" w:rsidP="00C865B4">
      <w:pPr>
        <w:pStyle w:val="AERbodytext"/>
      </w:pPr>
      <w:r>
        <w:t xml:space="preserve">On further consideration </w:t>
      </w:r>
      <w:r w:rsidR="0016745A">
        <w:t>we</w:t>
      </w:r>
      <w:r w:rsidR="00974C6F" w:rsidRPr="00974C6F">
        <w:t xml:space="preserve"> consider it desirable to limit the discretion to make ex post exclusions to where </w:t>
      </w:r>
      <w:r w:rsidR="0043791C">
        <w:t xml:space="preserve">the </w:t>
      </w:r>
      <w:r w:rsidR="00CB34E9">
        <w:t>opex forecast</w:t>
      </w:r>
      <w:r w:rsidR="004C34CE">
        <w:t xml:space="preserve"> </w:t>
      </w:r>
      <w:r w:rsidR="00504506">
        <w:t xml:space="preserve">accepted or substituted </w:t>
      </w:r>
      <w:r w:rsidR="004C34CE">
        <w:t>by the AER</w:t>
      </w:r>
      <w:r w:rsidR="00CB34E9">
        <w:t xml:space="preserve"> for the following regulatory control period </w:t>
      </w:r>
      <w:r w:rsidR="004C34CE">
        <w:t xml:space="preserve">is not set </w:t>
      </w:r>
      <w:r w:rsidR="00CB34E9">
        <w:t>using a</w:t>
      </w:r>
      <w:r w:rsidR="00974C6F" w:rsidRPr="00974C6F">
        <w:t xml:space="preserve"> </w:t>
      </w:r>
      <w:r w:rsidR="00CB34E9">
        <w:t xml:space="preserve">single year </w:t>
      </w:r>
      <w:r w:rsidR="00974C6F" w:rsidRPr="00974C6F">
        <w:t xml:space="preserve">revealed cost </w:t>
      </w:r>
      <w:r w:rsidR="00CB34E9">
        <w:t>forecasting approach</w:t>
      </w:r>
      <w:r w:rsidR="00974C6F" w:rsidRPr="00974C6F">
        <w:t xml:space="preserve">. </w:t>
      </w:r>
      <w:r w:rsidR="00012A9E">
        <w:t>We could use this</w:t>
      </w:r>
      <w:r w:rsidR="00974C6F" w:rsidRPr="00974C6F">
        <w:t xml:space="preserve"> discretion where a NSP significantly underspends in the base year and then </w:t>
      </w:r>
      <w:r w:rsidR="006B7352">
        <w:t>forecasts</w:t>
      </w:r>
      <w:r w:rsidR="006B7352" w:rsidRPr="00974C6F">
        <w:t xml:space="preserve"> </w:t>
      </w:r>
      <w:r w:rsidR="00974C6F" w:rsidRPr="00974C6F">
        <w:t xml:space="preserve">opex for the next period </w:t>
      </w:r>
      <w:r w:rsidR="006B7352">
        <w:t>using a method other than a single year revealed cost approach</w:t>
      </w:r>
      <w:r w:rsidR="00974C6F" w:rsidRPr="00974C6F">
        <w:t>. This could be at the total op</w:t>
      </w:r>
      <w:r w:rsidR="00CB34E9">
        <w:t>ex level or at a category level</w:t>
      </w:r>
      <w:r w:rsidR="00974C6F" w:rsidRPr="00974C6F">
        <w:t xml:space="preserve">. </w:t>
      </w:r>
      <w:r>
        <w:t>T</w:t>
      </w:r>
      <w:r w:rsidR="00974C6F" w:rsidRPr="00974C6F">
        <w:t xml:space="preserve">he </w:t>
      </w:r>
      <w:r w:rsidR="00C452CF">
        <w:t xml:space="preserve">EBSS will reward the </w:t>
      </w:r>
      <w:r w:rsidR="00974C6F" w:rsidRPr="00974C6F">
        <w:t xml:space="preserve">NSP as if the </w:t>
      </w:r>
      <w:r w:rsidR="00C452CF">
        <w:t>efficiency gains</w:t>
      </w:r>
      <w:r w:rsidR="00974C6F" w:rsidRPr="00974C6F">
        <w:t xml:space="preserve"> were ongoing</w:t>
      </w:r>
      <w:r>
        <w:t>.</w:t>
      </w:r>
      <w:r w:rsidR="00754B2B">
        <w:t xml:space="preserve"> </w:t>
      </w:r>
      <w:r>
        <w:t>However,</w:t>
      </w:r>
      <w:r w:rsidR="00974C6F" w:rsidRPr="00974C6F">
        <w:t xml:space="preserve"> the </w:t>
      </w:r>
      <w:r w:rsidR="00C452CF" w:rsidRPr="00974C6F">
        <w:t xml:space="preserve">opex </w:t>
      </w:r>
      <w:r w:rsidR="006B7352">
        <w:t>forecast c</w:t>
      </w:r>
      <w:r w:rsidR="00C452CF">
        <w:t>ould treat the efficiency gain as non-recurrent</w:t>
      </w:r>
      <w:r w:rsidR="00974C6F" w:rsidRPr="00974C6F">
        <w:t xml:space="preserve">. In this scenario the NSP </w:t>
      </w:r>
      <w:r w:rsidR="00CB34E9">
        <w:t>could</w:t>
      </w:r>
      <w:r w:rsidR="00974C6F" w:rsidRPr="00974C6F">
        <w:t xml:space="preserve"> retain more than 100 per cent of the non</w:t>
      </w:r>
      <w:r w:rsidR="00C452CF">
        <w:noBreakHyphen/>
      </w:r>
      <w:r w:rsidR="00974C6F" w:rsidRPr="00974C6F">
        <w:t xml:space="preserve">recurrent efficiency gain. </w:t>
      </w:r>
      <w:r>
        <w:t>For this reason, w</w:t>
      </w:r>
      <w:r w:rsidR="00405172">
        <w:t xml:space="preserve">e should exclude </w:t>
      </w:r>
      <w:r w:rsidR="00974C6F" w:rsidRPr="00974C6F">
        <w:t xml:space="preserve">the expenditure categories </w:t>
      </w:r>
      <w:r w:rsidR="00C865B4" w:rsidRPr="00C865B4">
        <w:t>not forecast using a single year revealed cost forecasting method</w:t>
      </w:r>
      <w:r w:rsidR="00974C6F" w:rsidRPr="00974C6F">
        <w:t xml:space="preserve"> from the EBSS to prevent network users being worse off from </w:t>
      </w:r>
      <w:r>
        <w:t>a non-recurrent</w:t>
      </w:r>
      <w:r w:rsidRPr="00974C6F">
        <w:t xml:space="preserve"> </w:t>
      </w:r>
      <w:r w:rsidR="00974C6F" w:rsidRPr="00974C6F">
        <w:t>efficiency gain</w:t>
      </w:r>
      <w:r w:rsidR="00FA1C14">
        <w:t xml:space="preserve"> (see </w:t>
      </w:r>
      <w:r w:rsidR="00FA1C14">
        <w:fldChar w:fldCharType="begin"/>
      </w:r>
      <w:r w:rsidR="00FA1C14">
        <w:instrText xml:space="preserve"> REF _Ref371062510 \h </w:instrText>
      </w:r>
      <w:r w:rsidR="00FA1C14">
        <w:fldChar w:fldCharType="separate"/>
      </w:r>
      <w:r w:rsidR="00FA1C14">
        <w:t xml:space="preserve">Box </w:t>
      </w:r>
      <w:r w:rsidR="00FA1C14">
        <w:rPr>
          <w:noProof/>
        </w:rPr>
        <w:t>2</w:t>
      </w:r>
      <w:r w:rsidR="00FA1C14">
        <w:t>.</w:t>
      </w:r>
      <w:r w:rsidR="00FA1C14">
        <w:rPr>
          <w:noProof/>
        </w:rPr>
        <w:t>1</w:t>
      </w:r>
      <w:r w:rsidR="00FA1C14">
        <w:fldChar w:fldCharType="end"/>
      </w:r>
      <w:r w:rsidR="00FA1C14">
        <w:t>)</w:t>
      </w:r>
      <w:r w:rsidR="00974C6F" w:rsidRPr="00974C6F">
        <w:t xml:space="preserve">. </w:t>
      </w:r>
    </w:p>
    <w:p w:rsidR="00974C6F" w:rsidRDefault="00FD202B" w:rsidP="00405172">
      <w:pPr>
        <w:pStyle w:val="AERbodytext"/>
      </w:pPr>
      <w:r>
        <w:t xml:space="preserve">The requirement for the EBSS to provide </w:t>
      </w:r>
      <w:r w:rsidR="00405172" w:rsidRPr="00974C6F">
        <w:t xml:space="preserve">for </w:t>
      </w:r>
      <w:r>
        <w:t xml:space="preserve">a </w:t>
      </w:r>
      <w:r w:rsidR="00405172" w:rsidRPr="00974C6F">
        <w:t>fair sharing of efficiency gains and losses between NSPs and their network users</w:t>
      </w:r>
      <w:r>
        <w:t xml:space="preserve"> will be </w:t>
      </w:r>
      <w:r w:rsidR="00C60645">
        <w:t>fundamental to our consideration of</w:t>
      </w:r>
      <w:r>
        <w:t xml:space="preserve"> whether to </w:t>
      </w:r>
      <w:r w:rsidR="00EF14BC">
        <w:t>exclude</w:t>
      </w:r>
      <w:r>
        <w:t xml:space="preserve"> particular costs from the EBSS.</w:t>
      </w:r>
    </w:p>
    <w:p w:rsidR="009B4884" w:rsidRDefault="009B4884" w:rsidP="009B4884">
      <w:pPr>
        <w:pStyle w:val="Caption"/>
      </w:pPr>
      <w:bookmarkStart w:id="13" w:name="_Ref372026716"/>
      <w:bookmarkStart w:id="14" w:name="_Ref371062510"/>
      <w:r>
        <w:lastRenderedPageBreak/>
        <w:t xml:space="preserve">Box </w:t>
      </w:r>
      <w:r w:rsidR="009C4565">
        <w:fldChar w:fldCharType="begin"/>
      </w:r>
      <w:r w:rsidR="009C4565">
        <w:instrText xml:space="preserve"> STYLEREF 1 \s </w:instrText>
      </w:r>
      <w:r w:rsidR="009C4565">
        <w:fldChar w:fldCharType="separate"/>
      </w:r>
      <w:r w:rsidR="00F94F72">
        <w:rPr>
          <w:noProof/>
        </w:rPr>
        <w:t>2</w:t>
      </w:r>
      <w:r w:rsidR="009C4565">
        <w:rPr>
          <w:noProof/>
        </w:rPr>
        <w:fldChar w:fldCharType="end"/>
      </w:r>
      <w:r w:rsidR="00F94F72">
        <w:t>.</w:t>
      </w:r>
      <w:r w:rsidR="009C4565">
        <w:fldChar w:fldCharType="begin"/>
      </w:r>
      <w:r w:rsidR="009C4565">
        <w:instrText xml:space="preserve"> SEQ Box \* ARABIC \s 1 </w:instrText>
      </w:r>
      <w:r w:rsidR="009C4565">
        <w:fldChar w:fldCharType="separate"/>
      </w:r>
      <w:r w:rsidR="00F94F72">
        <w:rPr>
          <w:noProof/>
        </w:rPr>
        <w:t>1</w:t>
      </w:r>
      <w:r w:rsidR="009C4565">
        <w:rPr>
          <w:noProof/>
        </w:rPr>
        <w:fldChar w:fldCharType="end"/>
      </w:r>
      <w:bookmarkEnd w:id="13"/>
      <w:bookmarkEnd w:id="14"/>
      <w:r>
        <w:tab/>
      </w:r>
      <w:r w:rsidRPr="009B4884">
        <w:t>Exclusion of costs not forecast using a single year revealed cost approach</w:t>
      </w:r>
    </w:p>
    <w:p w:rsidR="009B4884" w:rsidRPr="00974C6F" w:rsidRDefault="009C4565" w:rsidP="00405172">
      <w:pPr>
        <w:pStyle w:val="AERbodytext"/>
      </w:pPr>
      <w:r>
        <w:pict>
          <v:rect id="Rectangle 5" o:spid="_x0000_s1032" style="width:453.55pt;height:27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Rectangle 5" inset="10mm,7.2pt,5mm,2.5mm">
              <w:txbxContent>
                <w:p w:rsidR="005746FD" w:rsidRDefault="005746FD" w:rsidP="009B4884">
                  <w:pPr>
                    <w:pStyle w:val="AERbodytext"/>
                    <w:numPr>
                      <w:ilvl w:val="0"/>
                      <w:numId w:val="6"/>
                    </w:numPr>
                  </w:pPr>
                  <w:r w:rsidRPr="00967B64">
                    <w:t>Take the example of a NSP with an opex allowance of 100 dollars</w:t>
                  </w:r>
                  <w:r>
                    <w:t xml:space="preserve"> for each year of a five year regulatory control period. It is able to reduce its opex to 90 dollars for years three and four. </w:t>
                  </w:r>
                  <w:r w:rsidRPr="00967B64">
                    <w:t xml:space="preserve">For simplicity assume there is no output, real price or productivity growth. </w:t>
                  </w:r>
                  <w:r>
                    <w:t>It proposes opex of 100 dollars</w:t>
                  </w:r>
                  <w:r w:rsidRPr="00B33717">
                    <w:t xml:space="preserve"> </w:t>
                  </w:r>
                  <w:r w:rsidRPr="00967B64">
                    <w:t>for each year of the next regulatory control period</w:t>
                  </w:r>
                  <w:r>
                    <w:t>, based on a bottom-up forecast, because this is reflective of its efficient recurrent costs.</w:t>
                  </w:r>
                </w:p>
                <w:p w:rsidR="005746FD" w:rsidRPr="00967B64" w:rsidRDefault="005746FD" w:rsidP="009B4884">
                  <w:pPr>
                    <w:pStyle w:val="AERbodytext"/>
                    <w:numPr>
                      <w:ilvl w:val="0"/>
                      <w:numId w:val="6"/>
                    </w:numPr>
                  </w:pPr>
                  <w:r>
                    <w:t xml:space="preserve">Under the EBSS the NSP registers an incremental efficiency gain of 10 dollars in year three. The scheme assumes an incremental efficiency gain of zero in year five. </w:t>
                  </w:r>
                  <w:r w:rsidRPr="00967B64">
                    <w:t xml:space="preserve">Thus the NSP would receive a 10 dollar carryover payment in </w:t>
                  </w:r>
                  <w:r>
                    <w:t xml:space="preserve">each of </w:t>
                  </w:r>
                  <w:r w:rsidRPr="00967B64">
                    <w:t xml:space="preserve">the first </w:t>
                  </w:r>
                  <w:r>
                    <w:t>three</w:t>
                  </w:r>
                  <w:r w:rsidRPr="00967B64">
                    <w:t xml:space="preserve"> years of the next regulatory control period. </w:t>
                  </w:r>
                  <w:r>
                    <w:t xml:space="preserve">Using the bottom-up forecast, total opex revenue would be 500 dollars plus 30 dollars in EBSS carryovers. Thus the NSP would retain more than 100 per cent of the non-recurrent efficiency gain. That is, it would retain the 20 dollar underspend (100 per cent of the efficiency gain) at the time of the gain plus 30 dollars in carryover payments. </w:t>
                  </w:r>
                </w:p>
                <w:p w:rsidR="005746FD" w:rsidRPr="006470C2" w:rsidRDefault="005746FD" w:rsidP="009B4884">
                  <w:pPr>
                    <w:pStyle w:val="AERbodytext"/>
                    <w:numPr>
                      <w:ilvl w:val="0"/>
                      <w:numId w:val="6"/>
                    </w:numPr>
                  </w:pPr>
                  <w:r>
                    <w:t>However, if the costs forecast on a bottom-up basis were excluded from the EBSS it would not receive a carryover payment in the next period. Thus total opex revenue would be 500 dollars for the next regulatory control period and it would retain 100 per cent of the non</w:t>
                  </w:r>
                  <w:r>
                    <w:noBreakHyphen/>
                    <w:t>recurrent efficiency gain.</w:t>
                  </w:r>
                </w:p>
                <w:p w:rsidR="005746FD" w:rsidRPr="006470C2" w:rsidRDefault="005746FD" w:rsidP="009B4884">
                  <w:pPr>
                    <w:pStyle w:val="AERbodytext"/>
                    <w:numPr>
                      <w:ilvl w:val="0"/>
                      <w:numId w:val="6"/>
                    </w:numPr>
                  </w:pPr>
                </w:p>
              </w:txbxContent>
            </v:textbox>
            <w10:wrap type="none" anchorx="margin" anchory="page"/>
            <w10:anchorlock/>
          </v:rect>
        </w:pict>
      </w:r>
    </w:p>
    <w:p w:rsidR="00F621FE" w:rsidRDefault="00CB2BB5" w:rsidP="00F621FE">
      <w:pPr>
        <w:pStyle w:val="AERbodytext"/>
      </w:pPr>
      <w:r>
        <w:t xml:space="preserve">We have also reconsidered whether it is necessary to exclude cost categories </w:t>
      </w:r>
      <w:r w:rsidRPr="00CB2BB5">
        <w:t>for services that will not be standard control services in the following period.</w:t>
      </w:r>
      <w:r>
        <w:t xml:space="preserve"> </w:t>
      </w:r>
      <w:r w:rsidR="00F621FE">
        <w:t xml:space="preserve">For example, if </w:t>
      </w:r>
      <w:r w:rsidR="00F621FE" w:rsidRPr="00F621FE">
        <w:t xml:space="preserve">a NSP expects a service will be unregulated in the next period, it has an incentive to reduce the costs relating to this service </w:t>
      </w:r>
      <w:r w:rsidR="00F621FE">
        <w:t>at the end of the regulatory control period</w:t>
      </w:r>
      <w:r w:rsidR="00F621FE" w:rsidRPr="00F621FE">
        <w:t xml:space="preserve">. </w:t>
      </w:r>
      <w:r w:rsidR="00F621FE">
        <w:t xml:space="preserve">This would maximise the carryover payments it receives in the next period but, since the service </w:t>
      </w:r>
      <w:r w:rsidR="007F3CBC">
        <w:t>wil</w:t>
      </w:r>
      <w:r w:rsidR="00DD6F0D">
        <w:t>l</w:t>
      </w:r>
      <w:r w:rsidR="00F621FE">
        <w:t xml:space="preserve"> no longer be regulated, it would not impact its revenue. In this way it could retain more the 100 per cent of a non-recurrent efficiency gain. </w:t>
      </w:r>
    </w:p>
    <w:p w:rsidR="00CB2BB5" w:rsidRDefault="00CB2BB5" w:rsidP="00CB2BB5">
      <w:pPr>
        <w:pStyle w:val="AERbodytext"/>
      </w:pPr>
      <w:r>
        <w:t xml:space="preserve">The Victorian DNSPs </w:t>
      </w:r>
      <w:r w:rsidR="00C92C43">
        <w:t>noted two reasons why they did not consider it necessary to exclude these costs:</w:t>
      </w:r>
    </w:p>
    <w:p w:rsidR="00C92C43" w:rsidRPr="00C92C43" w:rsidRDefault="002B0A89" w:rsidP="00C92C43">
      <w:pPr>
        <w:pStyle w:val="AERnumberedlistfirststyle"/>
      </w:pPr>
      <w:r>
        <w:t xml:space="preserve">A </w:t>
      </w:r>
      <w:r w:rsidR="00C92C43" w:rsidRPr="00C92C43">
        <w:t xml:space="preserve">DNSP </w:t>
      </w:r>
      <w:r w:rsidR="00C92C43">
        <w:t>cannot</w:t>
      </w:r>
      <w:r w:rsidR="00C92C43" w:rsidRPr="00C92C43">
        <w:t xml:space="preserve"> readily anticipate </w:t>
      </w:r>
      <w:r w:rsidR="00C92C43">
        <w:t>a</w:t>
      </w:r>
      <w:r w:rsidR="00C92C43" w:rsidRPr="00C92C43">
        <w:t xml:space="preserve"> service would</w:t>
      </w:r>
      <w:r w:rsidR="00C92C43">
        <w:t xml:space="preserve"> </w:t>
      </w:r>
      <w:r w:rsidR="00C92C43" w:rsidRPr="00C92C43">
        <w:t xml:space="preserve">become unregulated in the next period. </w:t>
      </w:r>
    </w:p>
    <w:p w:rsidR="00C92C43" w:rsidRDefault="00C92C43" w:rsidP="00C92C43">
      <w:pPr>
        <w:pStyle w:val="AERnumberedlistfirststyle"/>
      </w:pPr>
      <w:r>
        <w:t>A</w:t>
      </w:r>
      <w:r w:rsidRPr="00C92C43">
        <w:t xml:space="preserve"> service is only likely to become unregulated if it is subject to some form of</w:t>
      </w:r>
      <w:r>
        <w:t xml:space="preserve"> </w:t>
      </w:r>
      <w:r w:rsidRPr="00C92C43">
        <w:t>competitive constraint. A DNSP is therefore unlikely to be in a position to be able to</w:t>
      </w:r>
      <w:r>
        <w:t xml:space="preserve"> </w:t>
      </w:r>
      <w:r w:rsidRPr="00C92C43">
        <w:t>raise pri</w:t>
      </w:r>
      <w:r>
        <w:t>ces once it becomes unregulated</w:t>
      </w:r>
      <w:r w:rsidRPr="00C92C43">
        <w:t>.</w:t>
      </w:r>
      <w:r w:rsidR="00440D70">
        <w:rPr>
          <w:rStyle w:val="FootnoteReference"/>
        </w:rPr>
        <w:footnoteReference w:id="12"/>
      </w:r>
    </w:p>
    <w:p w:rsidR="001317E7" w:rsidRDefault="001317E7" w:rsidP="001317E7">
      <w:pPr>
        <w:pStyle w:val="AERbodytext"/>
        <w:numPr>
          <w:ilvl w:val="0"/>
          <w:numId w:val="6"/>
        </w:numPr>
      </w:pPr>
      <w:r>
        <w:t>C</w:t>
      </w:r>
      <w:r w:rsidR="001A100F" w:rsidRPr="00E25A7B">
        <w:t xml:space="preserve">osts that will not be standard control services in the following period </w:t>
      </w:r>
      <w:r w:rsidR="001A100F">
        <w:t xml:space="preserve">are unlikely </w:t>
      </w:r>
      <w:r w:rsidR="001A100F" w:rsidRPr="00E25A7B">
        <w:t>be forecast using a single year revealed cost forecasting approach</w:t>
      </w:r>
      <w:r>
        <w:t>.</w:t>
      </w:r>
      <w:r w:rsidR="00DA456B">
        <w:t xml:space="preserve"> </w:t>
      </w:r>
      <w:r w:rsidR="00E25A7B">
        <w:t>Consistent with other categories of opex not</w:t>
      </w:r>
      <w:r w:rsidR="00E25A7B" w:rsidRPr="00E25A7B">
        <w:t xml:space="preserve"> forecast using a single year revealed cost a</w:t>
      </w:r>
      <w:r w:rsidR="00E25A7B">
        <w:t>pproach in the following period</w:t>
      </w:r>
      <w:r w:rsidR="00243612">
        <w:t>,</w:t>
      </w:r>
      <w:r>
        <w:t xml:space="preserve"> </w:t>
      </w:r>
      <w:r w:rsidR="00E25A7B">
        <w:t>we</w:t>
      </w:r>
      <w:r w:rsidR="00E25A7B" w:rsidRPr="00E25A7B">
        <w:t xml:space="preserve"> will exclude </w:t>
      </w:r>
      <w:r w:rsidR="00E25A7B">
        <w:t xml:space="preserve">these costs </w:t>
      </w:r>
      <w:r w:rsidR="00E25A7B" w:rsidRPr="00E25A7B">
        <w:t>if doing so better achieves the requirements of clauses 6.5.8 and 6A.6.5 of the NER.</w:t>
      </w:r>
      <w:r w:rsidR="006C0FC7">
        <w:t xml:space="preserve"> </w:t>
      </w:r>
    </w:p>
    <w:p w:rsidR="00974C6F" w:rsidRPr="00974C6F" w:rsidRDefault="002C2922" w:rsidP="001317E7">
      <w:pPr>
        <w:pStyle w:val="Heading2"/>
      </w:pPr>
      <w:bookmarkStart w:id="15" w:name="_Toc373159423"/>
      <w:r>
        <w:t>One-off factors</w:t>
      </w:r>
      <w:r w:rsidR="00974C6F" w:rsidRPr="00974C6F">
        <w:t xml:space="preserve"> in the base year</w:t>
      </w:r>
      <w:bookmarkEnd w:id="15"/>
    </w:p>
    <w:p w:rsidR="00EF14BC" w:rsidRDefault="00960B3C" w:rsidP="00960B3C">
      <w:pPr>
        <w:pStyle w:val="AERbodytext"/>
        <w:numPr>
          <w:ilvl w:val="0"/>
          <w:numId w:val="6"/>
        </w:numPr>
      </w:pPr>
      <w:r w:rsidRPr="00974C6F">
        <w:t xml:space="preserve">Where there </w:t>
      </w:r>
      <w:proofErr w:type="gramStart"/>
      <w:r w:rsidRPr="00974C6F">
        <w:t>are</w:t>
      </w:r>
      <w:proofErr w:type="gramEnd"/>
      <w:r w:rsidRPr="00974C6F">
        <w:t xml:space="preserve"> non-recurrent </w:t>
      </w:r>
      <w:r w:rsidR="001317E7">
        <w:t>efficiency gains</w:t>
      </w:r>
      <w:r w:rsidR="001317E7" w:rsidRPr="00974C6F">
        <w:t xml:space="preserve"> </w:t>
      </w:r>
      <w:r w:rsidRPr="00974C6F">
        <w:t>in the base year used to set the opex forecast, the opex forecast may not reflect the ongoing level of efficient opex</w:t>
      </w:r>
      <w:r w:rsidR="00FE69A1" w:rsidRPr="00FE69A1">
        <w:t xml:space="preserve"> </w:t>
      </w:r>
      <w:r w:rsidR="00FE69A1" w:rsidRPr="00974C6F">
        <w:t>by itself</w:t>
      </w:r>
      <w:r w:rsidRPr="00974C6F">
        <w:t>. However, the non-</w:t>
      </w:r>
      <w:r w:rsidR="00FE69A1">
        <w:t>re</w:t>
      </w:r>
      <w:r w:rsidRPr="00974C6F">
        <w:t xml:space="preserve">current </w:t>
      </w:r>
      <w:r w:rsidR="001317E7">
        <w:t>efficiency gains</w:t>
      </w:r>
      <w:r w:rsidR="001317E7" w:rsidRPr="00974C6F">
        <w:t xml:space="preserve"> </w:t>
      </w:r>
      <w:r w:rsidRPr="00974C6F">
        <w:t>will lead to a positive EBSS carryover that will</w:t>
      </w:r>
      <w:r w:rsidR="002B0A89">
        <w:t>,</w:t>
      </w:r>
      <w:r w:rsidRPr="00974C6F">
        <w:t xml:space="preserve"> </w:t>
      </w:r>
      <w:r w:rsidR="00DA456B">
        <w:t>in effect</w:t>
      </w:r>
      <w:r w:rsidR="002B0A89">
        <w:t>,</w:t>
      </w:r>
      <w:r w:rsidR="00DA456B">
        <w:t xml:space="preserve"> </w:t>
      </w:r>
      <w:r w:rsidRPr="00974C6F">
        <w:t xml:space="preserve">compensate the NSP for the </w:t>
      </w:r>
      <w:r w:rsidRPr="00974C6F">
        <w:lastRenderedPageBreak/>
        <w:t xml:space="preserve">lower forecast. </w:t>
      </w:r>
      <w:r w:rsidR="001317E7">
        <w:t>We have previously considered</w:t>
      </w:r>
      <w:r w:rsidRPr="00974C6F">
        <w:t xml:space="preserve"> the revealed cost opex forecast</w:t>
      </w:r>
      <w:r w:rsidR="00EF14BC">
        <w:t>,</w:t>
      </w:r>
      <w:r w:rsidRPr="00974C6F">
        <w:t xml:space="preserve"> in combination with the EBSS carryover</w:t>
      </w:r>
      <w:r w:rsidR="00EF14BC">
        <w:t>,</w:t>
      </w:r>
      <w:r w:rsidRPr="00974C6F">
        <w:t xml:space="preserve"> will give NSP</w:t>
      </w:r>
      <w:r w:rsidR="00EF14BC">
        <w:t>s</w:t>
      </w:r>
      <w:r w:rsidRPr="00974C6F">
        <w:t xml:space="preserve"> </w:t>
      </w:r>
      <w:r w:rsidR="00EF14BC">
        <w:t>their efficient opex requirement plus their share of efficiency gains or losses.</w:t>
      </w:r>
    </w:p>
    <w:p w:rsidR="00CD4777" w:rsidRDefault="00CD4777" w:rsidP="00960B3C">
      <w:pPr>
        <w:pStyle w:val="AERbodytext"/>
        <w:numPr>
          <w:ilvl w:val="0"/>
          <w:numId w:val="6"/>
        </w:numPr>
      </w:pPr>
      <w:r>
        <w:t xml:space="preserve">NSPs raised concerns that </w:t>
      </w:r>
      <w:r w:rsidR="00FE69A1">
        <w:t>comparing</w:t>
      </w:r>
      <w:r>
        <w:t xml:space="preserve"> their subsequent expenditure </w:t>
      </w:r>
      <w:r w:rsidR="00FE69A1">
        <w:t>with their opex allowance</w:t>
      </w:r>
      <w:r>
        <w:t xml:space="preserve"> could </w:t>
      </w:r>
      <w:r w:rsidR="00FE69A1">
        <w:t xml:space="preserve">make them </w:t>
      </w:r>
      <w:r>
        <w:t>appear inefficient.</w:t>
      </w:r>
    </w:p>
    <w:p w:rsidR="00EF14BC" w:rsidRDefault="00EF14BC" w:rsidP="00EF14BC">
      <w:pPr>
        <w:pStyle w:val="Heading3"/>
      </w:pPr>
      <w:r>
        <w:t>Approach</w:t>
      </w:r>
    </w:p>
    <w:p w:rsidR="00F6590E" w:rsidRDefault="00F6590E" w:rsidP="00EF14BC">
      <w:pPr>
        <w:pStyle w:val="AERbodytext"/>
        <w:numPr>
          <w:ilvl w:val="0"/>
          <w:numId w:val="0"/>
        </w:numPr>
      </w:pPr>
      <w:r>
        <w:t xml:space="preserve">We consider there should be flexibility in the EBSS to enable revenue to be shifted from the EBSS carryover to the opex allowance to account for </w:t>
      </w:r>
      <w:r w:rsidR="001317E7">
        <w:t>non-recurrent efficiency gains</w:t>
      </w:r>
      <w:r>
        <w:t xml:space="preserve"> in the base year. </w:t>
      </w:r>
    </w:p>
    <w:p w:rsidR="00F6590E" w:rsidRDefault="00DA456B" w:rsidP="00EF14BC">
      <w:pPr>
        <w:pStyle w:val="AERbodytext"/>
        <w:numPr>
          <w:ilvl w:val="0"/>
          <w:numId w:val="0"/>
        </w:numPr>
      </w:pPr>
      <w:r>
        <w:t>As a result, w</w:t>
      </w:r>
      <w:r w:rsidR="00CD4777">
        <w:t>e have amended the EBSS to account for any adjustments made to base opex to remove the impacts of one-of</w:t>
      </w:r>
      <w:r>
        <w:t>f</w:t>
      </w:r>
      <w:r w:rsidR="00CD4777">
        <w:t xml:space="preserve"> factors. </w:t>
      </w:r>
    </w:p>
    <w:p w:rsidR="00EF14BC" w:rsidRDefault="00F6590E" w:rsidP="00EF14BC">
      <w:pPr>
        <w:pStyle w:val="AERbodytext"/>
        <w:numPr>
          <w:ilvl w:val="0"/>
          <w:numId w:val="0"/>
        </w:numPr>
      </w:pPr>
      <w:r>
        <w:t xml:space="preserve">This is given effect through an </w:t>
      </w:r>
      <w:r w:rsidR="00CD4777">
        <w:t>amend</w:t>
      </w:r>
      <w:r>
        <w:t>ment</w:t>
      </w:r>
      <w:r w:rsidR="00CD4777">
        <w:t xml:space="preserve"> </w:t>
      </w:r>
      <w:r>
        <w:t xml:space="preserve">to </w:t>
      </w:r>
      <w:r w:rsidR="00CD4777">
        <w:t>the equation we will use to calculate the incremental efficiency gain in the final year:</w:t>
      </w:r>
    </w:p>
    <w:p w:rsidR="00E6375E" w:rsidRPr="000041DF" w:rsidRDefault="009C4565" w:rsidP="00E6375E">
      <w:pPr>
        <w:pStyle w:val="AERbodytextindent2"/>
      </w:pPr>
      <m:oMathPara>
        <m:oMath>
          <m:sSub>
            <m:sSubPr>
              <m:ctrlPr>
                <w:rPr>
                  <w:rFonts w:ascii="Cambria Math" w:hAnsi="Cambria Math"/>
                </w:rPr>
              </m:ctrlPr>
            </m:sSubPr>
            <m:e>
              <m:r>
                <m:rPr>
                  <m:sty m:val="p"/>
                </m:rPr>
                <w:rPr>
                  <w:rStyle w:val="CommentReference"/>
                  <w:rFonts w:eastAsia="Calibri"/>
                </w:rPr>
                <m:t/>
              </m:r>
              <m:r>
                <w:rPr>
                  <w:rFonts w:ascii="Cambria Math" w:hAnsi="Cambria Math"/>
                </w:rPr>
                <m:t>I</m:t>
              </m:r>
            </m:e>
            <m:sub>
              <m:r>
                <w:rPr>
                  <w:rFonts w:ascii="Cambria Math" w:hAnsi="Cambria Math"/>
                </w:rPr>
                <m:t>f,n</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f,n</m:t>
                  </m:r>
                </m:sub>
              </m:sSub>
              <m: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f,n</m:t>
                  </m:r>
                </m:sub>
                <m:sup>
                  <m:r>
                    <w:rPr>
                      <w:rFonts w:ascii="Cambria Math" w:hAnsi="Cambria Math"/>
                    </w:rPr>
                    <m:t>*</m:t>
                  </m:r>
                </m:sup>
              </m:sSubSup>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f-1, 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f-1,n</m:t>
                  </m:r>
                </m:sub>
              </m:sSub>
            </m:e>
          </m:d>
        </m:oMath>
      </m:oMathPara>
    </w:p>
    <w:p w:rsidR="000041DF" w:rsidRPr="000041DF" w:rsidRDefault="000041DF" w:rsidP="000041DF">
      <w:pPr>
        <w:pStyle w:val="AERbodytext"/>
      </w:pPr>
      <w:r w:rsidRPr="000041DF">
        <w:t>Where:</w:t>
      </w:r>
    </w:p>
    <w:p w:rsidR="000041DF" w:rsidRPr="000041DF" w:rsidRDefault="009C4565" w:rsidP="000041DF">
      <w:pPr>
        <w:pStyle w:val="AERbodytext"/>
        <w:numPr>
          <w:ilvl w:val="0"/>
          <w:numId w:val="6"/>
        </w:numPr>
      </w:pPr>
      <m:oMath>
        <m:sSub>
          <m:sSubPr>
            <m:ctrlPr>
              <w:rPr>
                <w:rFonts w:ascii="Cambria Math" w:hAnsi="Cambria Math"/>
              </w:rPr>
            </m:ctrlPr>
          </m:sSubPr>
          <m:e>
            <m:r>
              <w:rPr>
                <w:rFonts w:ascii="Cambria Math" w:hAnsi="Cambria Math"/>
              </w:rPr>
              <m:t>I</m:t>
            </m:r>
          </m:e>
          <m:sub>
            <m:r>
              <w:rPr>
                <w:rFonts w:ascii="Cambria Math" w:hAnsi="Cambria Math"/>
              </w:rPr>
              <m:t>f</m:t>
            </m:r>
            <m:r>
              <m:rPr>
                <m:sty m:val="p"/>
              </m:rPr>
              <w:rPr>
                <w:rFonts w:ascii="Cambria Math" w:hAnsi="Cambria Math"/>
              </w:rPr>
              <m:t>,</m:t>
            </m:r>
            <m:r>
              <w:rPr>
                <w:rFonts w:ascii="Cambria Math" w:hAnsi="Cambria Math"/>
              </w:rPr>
              <m:t>n</m:t>
            </m:r>
          </m:sub>
        </m:sSub>
        <m:r>
          <m:rPr>
            <m:sty m:val="p"/>
          </m:rPr>
          <w:rPr>
            <w:rFonts w:ascii="Cambria Math" w:hAnsi="Cambria Math"/>
          </w:rPr>
          <m:t xml:space="preserve"> </m:t>
        </m:r>
        <m:r>
          <m:rPr>
            <m:nor/>
          </m:rPr>
          <m:t>is the marginal efficiency gain in the final year</m:t>
        </m:r>
        <m:r>
          <m:rPr>
            <m:sty m:val="p"/>
          </m:rPr>
          <w:rPr>
            <w:rFonts w:ascii="Cambria Math" w:hAnsi="Cambria Math"/>
          </w:rPr>
          <m:t xml:space="preserve"> </m:t>
        </m:r>
        <m:r>
          <m:rPr>
            <m:nor/>
          </m:rPr>
          <m:t>of period</m:t>
        </m:r>
        <m:r>
          <m:rPr>
            <m:sty m:val="p"/>
          </m:rPr>
          <w:rPr>
            <w:rFonts w:ascii="Cambria Math" w:hAnsi="Cambria Math"/>
          </w:rPr>
          <m:t xml:space="preserve"> </m:t>
        </m:r>
        <m:r>
          <w:rPr>
            <w:rFonts w:ascii="Cambria Math" w:hAnsi="Cambria Math"/>
          </w:rPr>
          <m:t>n</m:t>
        </m:r>
      </m:oMath>
    </w:p>
    <w:p w:rsidR="000041DF" w:rsidRPr="000041DF" w:rsidRDefault="009C4565" w:rsidP="000041DF">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f,n</m:t>
            </m:r>
          </m:sub>
        </m:sSub>
        <m:r>
          <w:rPr>
            <w:rStyle w:val="AERbody"/>
            <w:rFonts w:ascii="Cambria Math" w:hAnsi="Cambria Math"/>
          </w:rPr>
          <m:t xml:space="preserve"> </m:t>
        </m:r>
        <m:r>
          <m:rPr>
            <m:nor/>
          </m:rPr>
          <w:rPr>
            <w:rStyle w:val="AERbody"/>
          </w:rPr>
          <m:t>is forecast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final year of period</m:t>
        </m:r>
        <m:r>
          <w:rPr>
            <w:rStyle w:val="AERbody"/>
            <w:rFonts w:ascii="Cambria Math" w:hAnsi="Cambria Math"/>
          </w:rPr>
          <m:t xml:space="preserve"> n</m:t>
        </m:r>
      </m:oMath>
      <w:r w:rsidR="000041DF" w:rsidRPr="000041DF">
        <w:rPr>
          <w:rStyle w:val="AERbody"/>
        </w:rPr>
        <w:t xml:space="preserve"> </w:t>
      </w:r>
    </w:p>
    <w:p w:rsidR="000041DF" w:rsidRPr="000041DF" w:rsidRDefault="009C4565" w:rsidP="000041DF">
      <w:pPr>
        <w:pStyle w:val="AERbodytext"/>
        <w:numPr>
          <w:ilvl w:val="0"/>
          <w:numId w:val="6"/>
        </w:numPr>
        <w:rPr>
          <w:rStyle w:val="AERbody"/>
        </w:rPr>
      </w:pPr>
      <m:oMath>
        <m:sSubSup>
          <m:sSubSupPr>
            <m:ctrlPr>
              <w:rPr>
                <w:rStyle w:val="AERbody"/>
                <w:rFonts w:ascii="Cambria Math" w:hAnsi="Cambria Math"/>
                <w:i/>
              </w:rPr>
            </m:ctrlPr>
          </m:sSubSupPr>
          <m:e>
            <m:r>
              <w:rPr>
                <w:rStyle w:val="AERbody"/>
                <w:rFonts w:ascii="Cambria Math" w:hAnsi="Cambria Math"/>
              </w:rPr>
              <m:t>A</m:t>
            </m:r>
          </m:e>
          <m:sub>
            <m:r>
              <w:rPr>
                <w:rStyle w:val="AERbody"/>
                <w:rFonts w:ascii="Cambria Math" w:hAnsi="Cambria Math"/>
              </w:rPr>
              <m:t>f,n</m:t>
            </m:r>
          </m:sub>
          <m:sup>
            <m:r>
              <w:rPr>
                <w:rStyle w:val="AERbody"/>
                <w:rFonts w:ascii="Cambria Math" w:hAnsi="Cambria Math"/>
              </w:rPr>
              <m:t>*</m:t>
            </m:r>
          </m:sup>
        </m:sSubSup>
        <m:r>
          <w:rPr>
            <w:rStyle w:val="AERbody"/>
            <w:rFonts w:ascii="Cambria Math" w:hAnsi="Cambria Math"/>
          </w:rPr>
          <m:t xml:space="preserve"> </m:t>
        </m:r>
        <m:r>
          <m:rPr>
            <m:nor/>
          </m:rPr>
          <w:rPr>
            <w:rStyle w:val="AERbody"/>
          </w:rPr>
          <m:t>is estimated actual opex</m:t>
        </m:r>
        <m:r>
          <w:rPr>
            <w:rStyle w:val="AERbody"/>
            <w:rFonts w:ascii="Cambria Math" w:hAnsi="Cambria Math"/>
          </w:rPr>
          <m:t xml:space="preserve"> </m:t>
        </m:r>
        <m:r>
          <m:rPr>
            <m:nor/>
          </m:rPr>
          <w:rPr>
            <w:rStyle w:val="AERbody"/>
          </w:rPr>
          <m:t>in the final year of period</m:t>
        </m:r>
        <m:r>
          <w:rPr>
            <w:rStyle w:val="AERbody"/>
            <w:rFonts w:ascii="Cambria Math" w:hAnsi="Cambria Math"/>
          </w:rPr>
          <m:t xml:space="preserve"> n</m:t>
        </m:r>
      </m:oMath>
    </w:p>
    <w:p w:rsidR="000041DF" w:rsidRPr="000041DF" w:rsidRDefault="009C4565" w:rsidP="000041DF">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f-1,n</m:t>
            </m:r>
          </m:sub>
        </m:sSub>
        <m:r>
          <w:rPr>
            <w:rStyle w:val="AERbody"/>
            <w:rFonts w:ascii="Cambria Math" w:hAnsi="Cambria Math"/>
          </w:rPr>
          <m:t xml:space="preserve"> </m:t>
        </m:r>
        <m:r>
          <m:rPr>
            <m:nor/>
          </m:rPr>
          <w:rPr>
            <w:rStyle w:val="AERbody"/>
          </w:rPr>
          <m:t>is forecast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penultimate year of period</m:t>
        </m:r>
        <m:r>
          <w:rPr>
            <w:rStyle w:val="AERbody"/>
            <w:rFonts w:ascii="Cambria Math" w:hAnsi="Cambria Math"/>
          </w:rPr>
          <m:t xml:space="preserve"> n</m:t>
        </m:r>
      </m:oMath>
      <w:r w:rsidR="000041DF" w:rsidRPr="000041DF">
        <w:rPr>
          <w:rStyle w:val="AERbody"/>
        </w:rPr>
        <w:t xml:space="preserve"> </w:t>
      </w:r>
    </w:p>
    <w:p w:rsidR="000041DF" w:rsidRPr="000041DF" w:rsidRDefault="009C4565" w:rsidP="000041DF">
      <w:pPr>
        <w:pStyle w:val="AERbodytext"/>
        <w:numPr>
          <w:ilvl w:val="0"/>
          <w:numId w:val="6"/>
        </w:numPr>
        <w:rPr>
          <w:rStyle w:val="AERbody"/>
        </w:rPr>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f-1,n</m:t>
            </m:r>
          </m:sub>
        </m:sSub>
        <m:r>
          <w:rPr>
            <w:rStyle w:val="AERbody"/>
            <w:rFonts w:ascii="Cambria Math" w:hAnsi="Cambria Math"/>
          </w:rPr>
          <m:t xml:space="preserve"> </m:t>
        </m:r>
        <m:r>
          <m:rPr>
            <m:nor/>
          </m:rPr>
          <w:rPr>
            <w:rStyle w:val="AERbody"/>
          </w:rPr>
          <m:t>is actual opex</m:t>
        </m:r>
        <m:r>
          <w:rPr>
            <w:rStyle w:val="AERbody"/>
            <w:rFonts w:ascii="Cambria Math" w:hAnsi="Cambria Math"/>
          </w:rPr>
          <m:t xml:space="preserve"> </m:t>
        </m:r>
        <m:d>
          <m:dPr>
            <m:ctrlPr>
              <w:rPr>
                <w:rStyle w:val="AERbody"/>
                <w:rFonts w:ascii="Cambria Math" w:hAnsi="Cambria Math"/>
              </w:rPr>
            </m:ctrlPr>
          </m:dPr>
          <m:e>
            <m:r>
              <m:rPr>
                <m:nor/>
              </m:rPr>
              <w:rPr>
                <w:rStyle w:val="AERbody"/>
              </w:rPr>
              <m:t>subject to adjustments</m:t>
            </m:r>
          </m:e>
        </m:d>
        <m:r>
          <m:rPr>
            <m:nor/>
          </m:rPr>
          <w:rPr>
            <w:rStyle w:val="AERbody"/>
          </w:rPr>
          <m:t xml:space="preserve"> in the penultimate year of period</m:t>
        </m:r>
        <m:r>
          <w:rPr>
            <w:rStyle w:val="AERbody"/>
            <w:rFonts w:ascii="Cambria Math" w:hAnsi="Cambria Math"/>
          </w:rPr>
          <m:t xml:space="preserve"> n</m:t>
        </m:r>
      </m:oMath>
      <w:r w:rsidR="001D078A">
        <w:rPr>
          <w:rStyle w:val="AERbody"/>
        </w:rPr>
        <w:t>.</w:t>
      </w:r>
    </w:p>
    <w:p w:rsidR="000041DF" w:rsidRPr="00184078" w:rsidRDefault="00184078" w:rsidP="00184078">
      <w:pPr>
        <w:pStyle w:val="AERbodytext"/>
        <w:rPr>
          <w:rStyle w:val="AERsubscript"/>
          <w:vertAlign w:val="baseline"/>
        </w:rPr>
      </w:pPr>
      <w:r w:rsidRPr="00184078">
        <w:rPr>
          <w:rStyle w:val="AERsubscript"/>
          <w:vertAlign w:val="baseline"/>
        </w:rPr>
        <w:t>The estimated actual opex for the final regulatory year will be calculated as:</w:t>
      </w:r>
    </w:p>
    <w:p w:rsidR="00E6375E" w:rsidRPr="00A05548" w:rsidRDefault="009C4565" w:rsidP="00E6375E">
      <w:pPr>
        <w:pStyle w:val="AERbodytextindent2"/>
      </w:pPr>
      <m:oMathPara>
        <m:oMath>
          <m:sSubSup>
            <m:sSubSupPr>
              <m:ctrlPr>
                <w:rPr>
                  <w:rFonts w:ascii="Cambria Math" w:hAnsi="Cambria Math"/>
                </w:rPr>
              </m:ctrlPr>
            </m:sSubSupPr>
            <m:e>
              <m:r>
                <w:rPr>
                  <w:rFonts w:ascii="Cambria Math" w:hAnsi="Cambria Math"/>
                </w:rPr>
                <m:t>A</m:t>
              </m:r>
            </m:e>
            <m:sub>
              <m:r>
                <w:rPr>
                  <w:rFonts w:ascii="Cambria Math" w:hAnsi="Cambria Math"/>
                </w:rPr>
                <m:t>f,n</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f,n</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b,n</m:t>
                  </m:r>
                </m:sub>
              </m:sSub>
            </m:e>
          </m:d>
          <m:r>
            <w:rPr>
              <w:rFonts w:ascii="Cambria Math" w:hAnsi="Cambria Math"/>
            </w:rPr>
            <m:t xml:space="preserve">+ </m:t>
          </m:r>
          <m:sSub>
            <m:sSubPr>
              <m:ctrlPr>
                <w:rPr>
                  <w:rFonts w:ascii="Cambria Math" w:hAnsi="Cambria Math"/>
                  <w:i/>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m:t>
              </m:r>
            </m:sub>
          </m:sSub>
        </m:oMath>
      </m:oMathPara>
    </w:p>
    <w:p w:rsidR="00B56174" w:rsidRDefault="00184078" w:rsidP="00EF14BC">
      <w:pPr>
        <w:pStyle w:val="AERbodytext"/>
        <w:numPr>
          <w:ilvl w:val="0"/>
          <w:numId w:val="0"/>
        </w:numPr>
      </w:pPr>
      <w:r>
        <w:t>Where:</w:t>
      </w:r>
    </w:p>
    <w:p w:rsidR="00B56174" w:rsidRDefault="00B56174" w:rsidP="00B56174">
      <w:pPr>
        <w:pStyle w:val="AERbodytext"/>
      </w:pPr>
      <m:oMath>
        <m:r>
          <w:rPr>
            <w:rFonts w:ascii="Cambria Math" w:hAnsi="Cambria Math"/>
          </w:rPr>
          <m:t>b</m:t>
        </m:r>
        <m:r>
          <m:rPr>
            <m:sty m:val="p"/>
          </m:rPr>
          <w:rPr>
            <w:rFonts w:ascii="Cambria Math" w:hAnsi="Cambria Math"/>
          </w:rPr>
          <m:t xml:space="preserve"> </m:t>
        </m:r>
        <m:r>
          <m:rPr>
            <m:nor/>
          </m:rPr>
          <m:t>is the year of actual opex in period</m:t>
        </m:r>
        <m:r>
          <m:rPr>
            <m:sty m:val="p"/>
          </m:rPr>
          <w:rPr>
            <w:rFonts w:ascii="Cambria Math" w:hAnsi="Cambria Math"/>
          </w:rPr>
          <m:t xml:space="preserve"> </m:t>
        </m:r>
        <m:r>
          <w:rPr>
            <w:rFonts w:ascii="Cambria Math" w:hAnsi="Cambria Math"/>
          </w:rPr>
          <m:t xml:space="preserve">n </m:t>
        </m:r>
        <m:r>
          <m:rPr>
            <m:nor/>
          </m:rPr>
          <m:t xml:space="preserve">used as the basis to set forecast opex for period </m:t>
        </m:r>
        <m:r>
          <w:rPr>
            <w:rFonts w:ascii="Cambria Math" w:hAnsi="Cambria Math"/>
          </w:rPr>
          <m:t>n+1</m:t>
        </m:r>
      </m:oMath>
    </w:p>
    <w:p w:rsidR="00184078" w:rsidRDefault="009C4565" w:rsidP="00184078">
      <w:pPr>
        <w:pStyle w:val="AERbodytext"/>
        <w:numPr>
          <w:ilvl w:val="0"/>
          <w:numId w:val="6"/>
        </w:numPr>
      </w:pPr>
      <m:oMath>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m:t>
            </m:r>
          </m:sub>
        </m:sSub>
        <m:r>
          <m:rPr>
            <m:nor/>
          </m:rPr>
          <m:t xml:space="preserve"> is the adjustment made to base year opex used to forecast opex </m:t>
        </m:r>
        <m:r>
          <m:rPr>
            <m:nor/>
          </m:rPr>
          <w:br/>
        </m:r>
      </m:oMath>
      <w:proofErr w:type="gramStart"/>
      <w:r w:rsidR="00184078">
        <w:t>for</w:t>
      </w:r>
      <w:proofErr w:type="gramEnd"/>
      <w:r w:rsidR="00184078">
        <w:t xml:space="preserve"> period </w:t>
      </w:r>
      <m:oMath>
        <m:r>
          <w:rPr>
            <w:rStyle w:val="AERbody"/>
            <w:rFonts w:ascii="Cambria Math" w:hAnsi="Cambria Math"/>
          </w:rPr>
          <m:t>n+1</m:t>
        </m:r>
      </m:oMath>
      <w:r w:rsidR="00184078">
        <w:t xml:space="preserve"> to account </w:t>
      </w:r>
      <w:r w:rsidR="00184078" w:rsidRPr="0028285D">
        <w:t xml:space="preserve">for opex </w:t>
      </w:r>
      <w:r w:rsidR="00184078">
        <w:t>associated with one-off factors</w:t>
      </w:r>
      <w:r w:rsidR="007121A9">
        <w:t>.</w:t>
      </w:r>
    </w:p>
    <w:p w:rsidR="00CD4777" w:rsidRDefault="00CD4777" w:rsidP="00EF14BC">
      <w:pPr>
        <w:pStyle w:val="AERbodytext"/>
        <w:numPr>
          <w:ilvl w:val="0"/>
          <w:numId w:val="0"/>
        </w:numPr>
      </w:pPr>
      <w:r>
        <w:t>This also requires the following amendment to the calculation of the incremental efficiency gain for the first year of the following period:</w:t>
      </w:r>
    </w:p>
    <w:p w:rsidR="00E6375E" w:rsidRPr="003D358A" w:rsidRDefault="009C4565" w:rsidP="002421AB">
      <w:pPr>
        <w:pStyle w:val="AERbodytextindent1"/>
      </w:pPr>
      <m:oMathPara>
        <m:oMath>
          <m:sSub>
            <m:sSubPr>
              <m:ctrlPr>
                <w:rPr>
                  <w:rFonts w:ascii="Cambria Math" w:hAnsi="Cambria Math"/>
                </w:rPr>
              </m:ctrlPr>
            </m:sSubPr>
            <m:e>
              <m:r>
                <w:rPr>
                  <w:rFonts w:ascii="Cambria Math" w:hAnsi="Cambria Math"/>
                </w:rPr>
                <m:t>I</m:t>
              </m:r>
            </m:e>
            <m:sub>
              <m:r>
                <m:rPr>
                  <m:sty m:val="p"/>
                </m:rPr>
                <w:rPr>
                  <w:rFonts w:ascii="Cambria Math" w:hAnsi="Cambria Math"/>
                </w:rPr>
                <m:t>1,</m:t>
              </m:r>
              <m:r>
                <w:rPr>
                  <w:rFonts w:ascii="Cambria Math" w:hAnsi="Cambria Math"/>
                </w:rPr>
                <m:t>n</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1,</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f</m:t>
                      </m:r>
                      <m:r>
                        <m:rPr>
                          <m:sty m:val="p"/>
                        </m:rPr>
                        <w:rPr>
                          <w:rFonts w:ascii="Cambria Math" w:hAnsi="Cambria Math"/>
                        </w:rPr>
                        <m:t>,</m:t>
                      </m:r>
                      <m:r>
                        <w:rPr>
                          <w:rFonts w:ascii="Cambria Math" w:hAnsi="Cambria Math"/>
                        </w:rPr>
                        <m:t>n</m:t>
                      </m:r>
                      <m:r>
                        <m:rPr>
                          <m:sty m:val="p"/>
                        </m:rPr>
                        <w:rPr>
                          <w:rFonts w:ascii="Cambria Math" w:hAnsi="Cambria Math"/>
                        </w:rPr>
                        <m:t>-1</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r>
                        <m:rPr>
                          <m:sty m:val="p"/>
                        </m:rPr>
                        <w:rPr>
                          <w:rFonts w:ascii="Cambria Math" w:hAnsi="Cambria Math"/>
                        </w:rPr>
                        <m:t>,</m:t>
                      </m:r>
                      <m:r>
                        <w:rPr>
                          <w:rFonts w:ascii="Cambria Math" w:hAnsi="Cambria Math"/>
                        </w:rPr>
                        <m:t>n</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b</m:t>
                      </m:r>
                      <m:r>
                        <m:rPr>
                          <m:sty m:val="p"/>
                        </m:rPr>
                        <w:rPr>
                          <w:rFonts w:ascii="Cambria Math" w:hAnsi="Cambria Math"/>
                        </w:rPr>
                        <m:t>,</m:t>
                      </m:r>
                      <m:r>
                        <w:rPr>
                          <w:rFonts w:ascii="Cambria Math" w:hAnsi="Cambria Math"/>
                        </w:rPr>
                        <m:t>n</m:t>
                      </m:r>
                      <m:r>
                        <m:rPr>
                          <m:sty m:val="p"/>
                        </m:rPr>
                        <w:rPr>
                          <w:rFonts w:ascii="Cambria Math" w:hAnsi="Cambria Math"/>
                        </w:rPr>
                        <m:t>-1</m:t>
                      </m:r>
                    </m:sub>
                  </m:sSub>
                </m:e>
              </m:d>
            </m:e>
          </m:d>
          <m:r>
            <w:rPr>
              <w:rFonts w:ascii="Cambria Math" w:hAnsi="Cambria Math"/>
            </w:rPr>
            <m:t>-</m:t>
          </m:r>
          <m:sSub>
            <m:sSubPr>
              <m:ctrlPr>
                <w:rPr>
                  <w:rFonts w:ascii="Cambria Math" w:hAnsi="Cambria Math"/>
                  <w:i/>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b,n-1</m:t>
              </m:r>
            </m:sub>
          </m:sSub>
        </m:oMath>
      </m:oMathPara>
    </w:p>
    <w:p w:rsidR="00EF14BC" w:rsidRPr="00EF14BC" w:rsidRDefault="00EF14BC" w:rsidP="00EF14BC">
      <w:pPr>
        <w:pStyle w:val="Heading3"/>
      </w:pPr>
      <w:r>
        <w:t>Reasons for approach</w:t>
      </w:r>
    </w:p>
    <w:p w:rsidR="00184078" w:rsidRDefault="000E5650" w:rsidP="00184078">
      <w:pPr>
        <w:pStyle w:val="AERbodytext"/>
      </w:pPr>
      <w:r>
        <w:t>We have adopted this</w:t>
      </w:r>
      <w:r w:rsidR="00184078" w:rsidRPr="00184078">
        <w:t xml:space="preserve"> approach </w:t>
      </w:r>
      <w:r>
        <w:t>as</w:t>
      </w:r>
      <w:r w:rsidR="00184078" w:rsidRPr="00184078">
        <w:t xml:space="preserve"> a relatively simple and transparent method of taking account of efficiency gains </w:t>
      </w:r>
      <w:r w:rsidR="004F210D">
        <w:t xml:space="preserve">occurring in the base year </w:t>
      </w:r>
      <w:r w:rsidR="00184078" w:rsidRPr="00184078">
        <w:t>that will not persist into the future.</w:t>
      </w:r>
      <w:r>
        <w:t xml:space="preserve"> It will minimise the </w:t>
      </w:r>
      <w:r>
        <w:lastRenderedPageBreak/>
        <w:t>rewards (penalties) for efficiency gains (losses) being carried forward by the opex forecast rather than the EBSS carryover payments.</w:t>
      </w:r>
    </w:p>
    <w:p w:rsidR="00810116" w:rsidRPr="00810116" w:rsidRDefault="00810116" w:rsidP="00967B64">
      <w:pPr>
        <w:pStyle w:val="AERbodytext"/>
        <w:numPr>
          <w:ilvl w:val="0"/>
          <w:numId w:val="6"/>
        </w:numPr>
      </w:pPr>
      <w:proofErr w:type="spellStart"/>
      <w:r w:rsidRPr="00810116">
        <w:t>Incenta</w:t>
      </w:r>
      <w:proofErr w:type="spellEnd"/>
      <w:r w:rsidRPr="00810116">
        <w:t xml:space="preserve"> </w:t>
      </w:r>
      <w:r w:rsidR="002D4EF5">
        <w:t xml:space="preserve">Economic Consulting </w:t>
      </w:r>
      <w:r w:rsidRPr="00810116">
        <w:t>commented that, when testing the efficiency of a NSP’s base year</w:t>
      </w:r>
      <w:r w:rsidR="0012476C">
        <w:t xml:space="preserve"> opex</w:t>
      </w:r>
      <w:r w:rsidRPr="00810116">
        <w:t>, it is important to ensure one-off factors do not impact the expenditure in the base year (and that adjustments are made if such one-off factors exist).</w:t>
      </w:r>
      <w:r w:rsidR="0012476C">
        <w:rPr>
          <w:rStyle w:val="FootnoteReference"/>
        </w:rPr>
        <w:footnoteReference w:id="13"/>
      </w:r>
      <w:r w:rsidRPr="00810116">
        <w:t xml:space="preserve"> </w:t>
      </w:r>
      <w:r w:rsidR="00967B64">
        <w:t>I</w:t>
      </w:r>
      <w:r w:rsidR="00AF5C9A" w:rsidRPr="00974C6F">
        <w:t xml:space="preserve">f base year expenditure </w:t>
      </w:r>
      <w:r w:rsidR="00967B64">
        <w:t>is</w:t>
      </w:r>
      <w:r w:rsidR="00AF5C9A" w:rsidRPr="00974C6F">
        <w:t xml:space="preserve"> significantly lower than ongoing efficient opex, due to a one-off </w:t>
      </w:r>
      <w:r w:rsidR="00AF5C9A">
        <w:t>factor</w:t>
      </w:r>
      <w:r w:rsidR="00AF5C9A" w:rsidRPr="00974C6F">
        <w:t xml:space="preserve">, then the opex forecast for the next period would be artificially low. </w:t>
      </w:r>
      <w:r w:rsidR="00967B64">
        <w:t>I</w:t>
      </w:r>
      <w:r w:rsidR="00AF5C9A" w:rsidRPr="00974C6F">
        <w:t xml:space="preserve">n this case </w:t>
      </w:r>
      <w:r w:rsidR="00212657">
        <w:t xml:space="preserve">a NSP </w:t>
      </w:r>
      <w:r w:rsidR="00AF5C9A" w:rsidRPr="00974C6F">
        <w:t xml:space="preserve">would be sufficiently compensated through the EBSS carryover, </w:t>
      </w:r>
      <w:r w:rsidR="00967B64">
        <w:t>but</w:t>
      </w:r>
      <w:r w:rsidR="00AF5C9A" w:rsidRPr="00974C6F">
        <w:t xml:space="preserve"> the ‘optics’ could be misleading. That is, </w:t>
      </w:r>
      <w:r w:rsidR="00243612">
        <w:t>a NSP</w:t>
      </w:r>
      <w:r w:rsidR="00AF5C9A" w:rsidRPr="00974C6F">
        <w:t xml:space="preserve">’s actual expenditure </w:t>
      </w:r>
      <w:r w:rsidR="00967B64">
        <w:t>could</w:t>
      </w:r>
      <w:r w:rsidR="00AF5C9A" w:rsidRPr="00974C6F">
        <w:t xml:space="preserve"> appear high compared against its regulatory allowance (not factoring in the EBSS carryover). </w:t>
      </w:r>
    </w:p>
    <w:p w:rsidR="00305E33" w:rsidRDefault="00305E33" w:rsidP="00305E33">
      <w:pPr>
        <w:pStyle w:val="AERbodytext"/>
      </w:pPr>
      <w:r>
        <w:t>We note that there are alternative approaches to dealing with th</w:t>
      </w:r>
      <w:r w:rsidR="00212657">
        <w:t>e issue of one-off factors in the base year</w:t>
      </w:r>
      <w:r>
        <w:t>. T</w:t>
      </w:r>
      <w:r w:rsidR="00936BD0">
        <w:t xml:space="preserve">he </w:t>
      </w:r>
      <w:r w:rsidR="00936BD0" w:rsidRPr="00936BD0">
        <w:t xml:space="preserve">forecasting approach in the </w:t>
      </w:r>
      <w:r w:rsidR="007121A9">
        <w:t>E</w:t>
      </w:r>
      <w:r w:rsidR="00936BD0" w:rsidRPr="00936BD0">
        <w:t xml:space="preserve">xpenditure </w:t>
      </w:r>
      <w:r w:rsidR="007121A9">
        <w:t>A</w:t>
      </w:r>
      <w:r w:rsidR="00936BD0" w:rsidRPr="00936BD0">
        <w:t xml:space="preserve">ssessment </w:t>
      </w:r>
      <w:r w:rsidR="007121A9">
        <w:t>F</w:t>
      </w:r>
      <w:r w:rsidR="00936BD0" w:rsidRPr="00936BD0">
        <w:t xml:space="preserve">orecast </w:t>
      </w:r>
      <w:r w:rsidR="007121A9">
        <w:t>G</w:t>
      </w:r>
      <w:r w:rsidR="00936BD0" w:rsidRPr="00936BD0">
        <w:t>uideline allows some discretion in choosing the base year. Where the base year is not reflective of ongoing costs we can choose another, more reflective</w:t>
      </w:r>
      <w:r>
        <w:t xml:space="preserve"> base year,</w:t>
      </w:r>
      <w:r w:rsidRPr="00305E33">
        <w:t xml:space="preserve"> if one is available</w:t>
      </w:r>
      <w:r w:rsidR="00936BD0" w:rsidRPr="00936BD0">
        <w:t>. In the event one-off factors do impact expenditure in the proposed base year</w:t>
      </w:r>
      <w:r>
        <w:t>, this would be our preferred approach</w:t>
      </w:r>
      <w:r w:rsidR="00936BD0" w:rsidRPr="00936BD0">
        <w:t>.</w:t>
      </w:r>
      <w:r w:rsidR="005D2AF3">
        <w:rPr>
          <w:rStyle w:val="FootnoteReference"/>
        </w:rPr>
        <w:footnoteReference w:id="14"/>
      </w:r>
      <w:r w:rsidR="00936BD0" w:rsidRPr="00936BD0">
        <w:t xml:space="preserve"> </w:t>
      </w:r>
    </w:p>
    <w:p w:rsidR="00F6590E" w:rsidRDefault="006A5438" w:rsidP="00AF5C9A">
      <w:pPr>
        <w:pStyle w:val="AERbodytext"/>
      </w:pPr>
      <w:r>
        <w:t>However, i</w:t>
      </w:r>
      <w:r w:rsidR="00936BD0" w:rsidRPr="00936BD0">
        <w:t>n the event a reflective base year is not available</w:t>
      </w:r>
      <w:r w:rsidR="00CA78AD">
        <w:t>,</w:t>
      </w:r>
      <w:r w:rsidR="00936BD0" w:rsidRPr="00936BD0">
        <w:t xml:space="preserve"> we will adjust the base year to remove the impact of t</w:t>
      </w:r>
      <w:r w:rsidR="00CA78AD">
        <w:t>he one-off factor.</w:t>
      </w:r>
      <w:r w:rsidR="005D2AF3">
        <w:rPr>
          <w:rStyle w:val="FootnoteReference"/>
        </w:rPr>
        <w:footnoteReference w:id="15"/>
      </w:r>
      <w:r w:rsidR="00754B2B">
        <w:t xml:space="preserve"> </w:t>
      </w:r>
      <w:r w:rsidR="00CA78AD">
        <w:t>W</w:t>
      </w:r>
      <w:r w:rsidR="00936BD0" w:rsidRPr="00936BD0">
        <w:t xml:space="preserve">e will </w:t>
      </w:r>
      <w:r w:rsidR="00305E33">
        <w:t>make the commensurate adjustment to the EBSS carryover amounts by calculating</w:t>
      </w:r>
      <w:r w:rsidR="00936BD0" w:rsidRPr="00936BD0">
        <w:t xml:space="preserve"> the incremental gain in the final year in accordance with</w:t>
      </w:r>
      <w:r w:rsidR="00305E33">
        <w:t xml:space="preserve"> the</w:t>
      </w:r>
      <w:r w:rsidR="00CA78AD">
        <w:t xml:space="preserve"> </w:t>
      </w:r>
      <w:r w:rsidR="00305E33">
        <w:t>final year equation above.</w:t>
      </w:r>
      <w:r w:rsidR="00CA78AD">
        <w:t xml:space="preserve"> This would provide </w:t>
      </w:r>
      <w:r w:rsidR="00AF5C9A">
        <w:t>a similar</w:t>
      </w:r>
      <w:r w:rsidR="00CA78AD">
        <w:t xml:space="preserve"> revenue outcome </w:t>
      </w:r>
      <w:r w:rsidR="00AF5C9A">
        <w:t xml:space="preserve">to </w:t>
      </w:r>
      <w:r>
        <w:t xml:space="preserve">that which would be achieved </w:t>
      </w:r>
      <w:r w:rsidR="00CA78AD">
        <w:t xml:space="preserve">if the actual base year (with the one-off factor) was used to set the opex forecast in combination with the unadjusted EBSS carryover amounts. This is highlighted in </w:t>
      </w:r>
      <w:r w:rsidR="00967B64">
        <w:fldChar w:fldCharType="begin"/>
      </w:r>
      <w:r w:rsidR="00967B64">
        <w:instrText xml:space="preserve"> REF _Ref370731291 \h </w:instrText>
      </w:r>
      <w:r w:rsidR="00967B64">
        <w:fldChar w:fldCharType="separate"/>
      </w:r>
      <w:r w:rsidR="001D6786">
        <w:t xml:space="preserve">Box </w:t>
      </w:r>
      <w:r w:rsidR="001D6786">
        <w:rPr>
          <w:noProof/>
        </w:rPr>
        <w:t>2</w:t>
      </w:r>
      <w:r w:rsidR="001D6786">
        <w:t>.</w:t>
      </w:r>
      <w:r w:rsidR="001D6786">
        <w:rPr>
          <w:noProof/>
        </w:rPr>
        <w:t>2</w:t>
      </w:r>
      <w:r w:rsidR="00967B64">
        <w:fldChar w:fldCharType="end"/>
      </w:r>
      <w:r w:rsidR="00CA78AD">
        <w:t xml:space="preserve">. </w:t>
      </w:r>
    </w:p>
    <w:p w:rsidR="00967B64" w:rsidRDefault="00967B64" w:rsidP="00F62BEC">
      <w:pPr>
        <w:pStyle w:val="Caption"/>
      </w:pPr>
      <w:bookmarkStart w:id="16" w:name="_Ref370983821"/>
      <w:bookmarkStart w:id="17" w:name="_Ref370731291"/>
      <w:r>
        <w:lastRenderedPageBreak/>
        <w:t xml:space="preserve">Box </w:t>
      </w:r>
      <w:r w:rsidR="009C4565">
        <w:fldChar w:fldCharType="begin"/>
      </w:r>
      <w:r w:rsidR="009C4565">
        <w:instrText xml:space="preserve"> STYLEREF 1 \s </w:instrText>
      </w:r>
      <w:r w:rsidR="009C4565">
        <w:fldChar w:fldCharType="separate"/>
      </w:r>
      <w:r w:rsidR="00F94F72">
        <w:rPr>
          <w:noProof/>
        </w:rPr>
        <w:t>2</w:t>
      </w:r>
      <w:r w:rsidR="009C4565">
        <w:rPr>
          <w:noProof/>
        </w:rPr>
        <w:fldChar w:fldCharType="end"/>
      </w:r>
      <w:r w:rsidR="00F94F72">
        <w:t>.</w:t>
      </w:r>
      <w:r w:rsidR="009C4565">
        <w:fldChar w:fldCharType="begin"/>
      </w:r>
      <w:r w:rsidR="009C4565">
        <w:instrText xml:space="preserve"> SEQ Box \* ARABIC \s 1 </w:instrText>
      </w:r>
      <w:r w:rsidR="009C4565">
        <w:fldChar w:fldCharType="separate"/>
      </w:r>
      <w:r w:rsidR="00F94F72">
        <w:rPr>
          <w:noProof/>
        </w:rPr>
        <w:t>2</w:t>
      </w:r>
      <w:r w:rsidR="009C4565">
        <w:rPr>
          <w:noProof/>
        </w:rPr>
        <w:fldChar w:fldCharType="end"/>
      </w:r>
      <w:bookmarkEnd w:id="16"/>
      <w:bookmarkEnd w:id="17"/>
      <w:r>
        <w:tab/>
        <w:t xml:space="preserve">Revenue impact of </w:t>
      </w:r>
      <w:r w:rsidR="00F62BEC">
        <w:t xml:space="preserve">a </w:t>
      </w:r>
      <w:r>
        <w:t>base year one-off factor adjustment</w:t>
      </w:r>
    </w:p>
    <w:p w:rsidR="00967B64" w:rsidRDefault="009C4565" w:rsidP="00967B64">
      <w:pPr>
        <w:pStyle w:val="AERbodytext"/>
      </w:pPr>
      <w:r>
        <w:pict>
          <v:rect id="_x0000_s1031" style="width:453.55pt;height:312.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31" inset="28.8pt,7.2pt,14.4pt,2.2mm">
              <w:txbxContent>
                <w:p w:rsidR="005746FD" w:rsidRDefault="005746FD" w:rsidP="00757449">
                  <w:pPr>
                    <w:pStyle w:val="AERbodytext"/>
                    <w:numPr>
                      <w:ilvl w:val="0"/>
                      <w:numId w:val="6"/>
                    </w:numPr>
                  </w:pPr>
                  <w:r w:rsidRPr="00967B64">
                    <w:t>Take the example of a NSP with an opex allowance of 100 dollars</w:t>
                  </w:r>
                  <w:r>
                    <w:t xml:space="preserve"> for each year of a five year regulatory control period</w:t>
                  </w:r>
                  <w:r w:rsidRPr="00967B64">
                    <w:t>. Its actual opex is as forecast in every year except the fourth year, when it spends 90 dollars</w:t>
                  </w:r>
                  <w:r>
                    <w:t xml:space="preserve"> due to a one-off factor</w:t>
                  </w:r>
                  <w:r w:rsidRPr="00967B64">
                    <w:t xml:space="preserve">. For simplicity assume there is no output, real price or productivity growth. </w:t>
                  </w:r>
                </w:p>
                <w:p w:rsidR="005746FD" w:rsidRPr="00967B64" w:rsidRDefault="005746FD" w:rsidP="00757449">
                  <w:pPr>
                    <w:pStyle w:val="AERbodytext"/>
                    <w:numPr>
                      <w:ilvl w:val="0"/>
                      <w:numId w:val="6"/>
                    </w:numPr>
                  </w:pPr>
                  <w:r w:rsidRPr="00967B64">
                    <w:t xml:space="preserve">If we use the fourth year </w:t>
                  </w:r>
                  <w:r>
                    <w:t xml:space="preserve">as the base year </w:t>
                  </w:r>
                  <w:r w:rsidRPr="00967B64">
                    <w:t>to forecast opex for the next regulatory control period</w:t>
                  </w:r>
                  <w:r>
                    <w:t>,</w:t>
                  </w:r>
                  <w:r w:rsidRPr="00967B64">
                    <w:t xml:space="preserve"> the forecast would be 90 </w:t>
                  </w:r>
                  <w:r>
                    <w:t xml:space="preserve">dollars </w:t>
                  </w:r>
                  <w:r w:rsidRPr="00967B64">
                    <w:t xml:space="preserve">for each year of the next regulatory control period. </w:t>
                  </w:r>
                  <w:r>
                    <w:t>Under the EBSS the NSP registers an incremental efficiency gain of 10 dollars in year four. T</w:t>
                  </w:r>
                  <w:r w:rsidRPr="00967B64">
                    <w:t xml:space="preserve">he EBSS assumes the final </w:t>
                  </w:r>
                  <w:r>
                    <w:t xml:space="preserve">or fifth </w:t>
                  </w:r>
                  <w:r w:rsidRPr="00967B64">
                    <w:t>year underspend is equal to the base year underspend</w:t>
                  </w:r>
                  <w:r>
                    <w:t>. As a result, it registers no incremental gain/loss</w:t>
                  </w:r>
                  <w:r w:rsidRPr="00967B64">
                    <w:t xml:space="preserve"> </w:t>
                  </w:r>
                  <w:r>
                    <w:t xml:space="preserve">in year five. </w:t>
                  </w:r>
                  <w:r w:rsidRPr="00967B64">
                    <w:t xml:space="preserve">Thus the NSP would receive a 10 dollar carryover payment in the first four years of the next regulatory control period. </w:t>
                  </w:r>
                  <w:r>
                    <w:t>Total opex revenue would be 450 dollars plus 40 dollars in EBSS carryovers.</w:t>
                  </w:r>
                </w:p>
                <w:p w:rsidR="005746FD" w:rsidRPr="006470C2" w:rsidRDefault="005746FD" w:rsidP="00C17BD8">
                  <w:pPr>
                    <w:pStyle w:val="AERbodytext"/>
                    <w:numPr>
                      <w:ilvl w:val="0"/>
                      <w:numId w:val="6"/>
                    </w:numPr>
                  </w:pPr>
                  <w:r w:rsidRPr="00967B64">
                    <w:t xml:space="preserve">However, </w:t>
                  </w:r>
                  <w:r>
                    <w:t xml:space="preserve">say the one-off factor is identified and base opex is adjusted accordingly. Forecast opex would be 100 dollars </w:t>
                  </w:r>
                  <w:r w:rsidRPr="00967B64">
                    <w:t>for each year of the next regulatory control period</w:t>
                  </w:r>
                  <w:r>
                    <w:t>. The EBSS registers an incremental efficiency gain of 10 dollars in year four. However, as with the adjustment to the base opex, we would also subtract the one-off factor adjustment from the year five incremental gain, which is now an incremental loss of 10 dollars. When the incremental gains/losses are carried forward the NSPs receives a single 10 dollar EBSS penalty in the final year of the next regulatory control period. Thus total opex revenue would be 500 dollars minus 10 dollars in EBSS carryovers. Total revenue is 490 dollars in both scenarios.</w:t>
                  </w:r>
                </w:p>
              </w:txbxContent>
            </v:textbox>
            <w10:wrap type="none" anchorx="margin" anchory="page"/>
            <w10:anchorlock/>
          </v:rect>
        </w:pict>
      </w:r>
    </w:p>
    <w:p w:rsidR="007E7B6B" w:rsidRPr="00BA75F1" w:rsidRDefault="007E7B6B" w:rsidP="00BA75F1">
      <w:pPr>
        <w:pStyle w:val="Heading2"/>
      </w:pPr>
      <w:bookmarkStart w:id="18" w:name="_Toc373159424"/>
      <w:r w:rsidRPr="00BA75F1">
        <w:t>The length of the carryover period</w:t>
      </w:r>
      <w:bookmarkEnd w:id="18"/>
    </w:p>
    <w:p w:rsidR="007E7B6B" w:rsidRDefault="0038446D" w:rsidP="007E7B6B">
      <w:pPr>
        <w:pStyle w:val="AERbodytext"/>
        <w:numPr>
          <w:ilvl w:val="0"/>
          <w:numId w:val="6"/>
        </w:numPr>
      </w:pPr>
      <w:r>
        <w:t xml:space="preserve">The share of efficiency gains the NSP retains is determined by the length of the carryover period. A five year carryover period allows the NSP to retain approximately 30 per cent of efficiency gains. The remaining 70 per cent is retained by network users. </w:t>
      </w:r>
    </w:p>
    <w:p w:rsidR="00424101" w:rsidRPr="00424101" w:rsidRDefault="00424101" w:rsidP="00424101">
      <w:pPr>
        <w:pStyle w:val="AERbodytext"/>
        <w:numPr>
          <w:ilvl w:val="0"/>
          <w:numId w:val="6"/>
        </w:numPr>
      </w:pPr>
      <w:r>
        <w:t xml:space="preserve">Some NSPs stated it was not clear how the </w:t>
      </w:r>
      <w:r w:rsidR="00C260A2">
        <w:t>draft</w:t>
      </w:r>
      <w:r w:rsidRPr="00424101">
        <w:t xml:space="preserve"> EBSS would operate </w:t>
      </w:r>
      <w:r>
        <w:t>with</w:t>
      </w:r>
      <w:r w:rsidRPr="00424101">
        <w:t xml:space="preserve"> regulatory period</w:t>
      </w:r>
      <w:r>
        <w:t>s</w:t>
      </w:r>
      <w:r w:rsidRPr="00424101">
        <w:t xml:space="preserve"> </w:t>
      </w:r>
      <w:r>
        <w:t>other than</w:t>
      </w:r>
      <w:r w:rsidRPr="00424101">
        <w:t xml:space="preserve"> five years. </w:t>
      </w:r>
      <w:r>
        <w:t xml:space="preserve">They stated </w:t>
      </w:r>
      <w:r w:rsidR="00594897">
        <w:t xml:space="preserve">that, </w:t>
      </w:r>
      <w:r>
        <w:t>f</w:t>
      </w:r>
      <w:r w:rsidRPr="00424101">
        <w:t>or regulatory periods longer than five years</w:t>
      </w:r>
      <w:r w:rsidR="00594897">
        <w:t>,</w:t>
      </w:r>
      <w:r w:rsidRPr="00424101">
        <w:t xml:space="preserve"> </w:t>
      </w:r>
      <w:r>
        <w:t xml:space="preserve">the carryover period should </w:t>
      </w:r>
      <w:r w:rsidRPr="00424101">
        <w:t xml:space="preserve">match the duration of the regulatory </w:t>
      </w:r>
      <w:r>
        <w:t>control p</w:t>
      </w:r>
      <w:r w:rsidRPr="00424101">
        <w:t>eriod.</w:t>
      </w:r>
      <w:r w:rsidR="000C153B">
        <w:rPr>
          <w:rStyle w:val="FootnoteReference"/>
        </w:rPr>
        <w:footnoteReference w:id="16"/>
      </w:r>
    </w:p>
    <w:p w:rsidR="007E7B6B" w:rsidRPr="00BA75F1" w:rsidRDefault="007E7B6B" w:rsidP="00BA75F1">
      <w:pPr>
        <w:pStyle w:val="Heading3"/>
      </w:pPr>
      <w:r w:rsidRPr="00BA75F1">
        <w:t>Approach</w:t>
      </w:r>
    </w:p>
    <w:p w:rsidR="008A0C40" w:rsidRDefault="008A0C40" w:rsidP="008A0C40">
      <w:pPr>
        <w:pStyle w:val="AERbodytext"/>
      </w:pPr>
      <w:r>
        <w:t>The</w:t>
      </w:r>
      <w:r w:rsidRPr="008A0C40">
        <w:t xml:space="preserve"> length of the carryover period</w:t>
      </w:r>
      <w:r>
        <w:t xml:space="preserve"> will generally be five years, consistent with the length of most regulatory control periods under the NER.</w:t>
      </w:r>
    </w:p>
    <w:p w:rsidR="007E7B6B" w:rsidRDefault="00CD391B" w:rsidP="007E7B6B">
      <w:pPr>
        <w:pStyle w:val="AERbodytext"/>
        <w:numPr>
          <w:ilvl w:val="0"/>
          <w:numId w:val="6"/>
        </w:numPr>
      </w:pPr>
      <w:r>
        <w:t xml:space="preserve">We have amended the </w:t>
      </w:r>
      <w:r w:rsidR="00C260A2">
        <w:t>draft</w:t>
      </w:r>
      <w:r>
        <w:t xml:space="preserve"> EBSS to allow greater flexibility in the length of the carryover period</w:t>
      </w:r>
      <w:r w:rsidR="008A0C40">
        <w:t>, where the regulatory control period is not five years</w:t>
      </w:r>
      <w:r>
        <w:t xml:space="preserve">. </w:t>
      </w:r>
      <w:r w:rsidR="008A0C40">
        <w:t>In these cases, t</w:t>
      </w:r>
      <w:r>
        <w:t>he carryover period length will be determined at the final determination prior to the commencement of the regulatory control period. In determining the carryover period length we will have regard to</w:t>
      </w:r>
      <w:r w:rsidR="00E3079E">
        <w:t xml:space="preserve"> matters we are required to under the NEL and the NER including, but not limited to</w:t>
      </w:r>
      <w:r>
        <w:t>:</w:t>
      </w:r>
    </w:p>
    <w:p w:rsidR="00CD391B" w:rsidRDefault="00CD391B" w:rsidP="00CD391B">
      <w:pPr>
        <w:pStyle w:val="AERbulletlistfirststyle"/>
      </w:pPr>
      <w:r>
        <w:t>the length of the regulatory control period</w:t>
      </w:r>
      <w:r w:rsidR="009E6E3F">
        <w:t>, which will influence the continuity of the incentive</w:t>
      </w:r>
      <w:r>
        <w:t xml:space="preserve"> </w:t>
      </w:r>
    </w:p>
    <w:p w:rsidR="00CD391B" w:rsidRPr="002C2922" w:rsidRDefault="00CD391B" w:rsidP="00E3079E">
      <w:pPr>
        <w:pStyle w:val="AERbulletlistfirststyle"/>
      </w:pPr>
      <w:proofErr w:type="gramStart"/>
      <w:r>
        <w:lastRenderedPageBreak/>
        <w:t>the</w:t>
      </w:r>
      <w:proofErr w:type="gramEnd"/>
      <w:r>
        <w:t xml:space="preserve"> balance of incentives provided by the EBSS, CESS and STPIS</w:t>
      </w:r>
      <w:r w:rsidR="009E6E3F">
        <w:t>, which will influence the promotion of economic efficiency</w:t>
      </w:r>
      <w:r w:rsidR="00C136E1">
        <w:t>.</w:t>
      </w:r>
    </w:p>
    <w:p w:rsidR="007E7B6B" w:rsidRPr="00BA75F1" w:rsidRDefault="007E7B6B" w:rsidP="00BA75F1">
      <w:pPr>
        <w:pStyle w:val="Heading3"/>
      </w:pPr>
      <w:r w:rsidRPr="00BA75F1">
        <w:t>Reasons for approach</w:t>
      </w:r>
    </w:p>
    <w:p w:rsidR="00C136E1" w:rsidRDefault="00C136E1" w:rsidP="00C136E1">
      <w:pPr>
        <w:pStyle w:val="AERbodytext"/>
        <w:numPr>
          <w:ilvl w:val="0"/>
          <w:numId w:val="6"/>
        </w:numPr>
      </w:pPr>
      <w:r>
        <w:t xml:space="preserve">Some NSPs stated it was not clear how the </w:t>
      </w:r>
      <w:r w:rsidR="00C260A2">
        <w:t>draft</w:t>
      </w:r>
      <w:r w:rsidRPr="00424101">
        <w:t xml:space="preserve"> EBSS would operate </w:t>
      </w:r>
      <w:r>
        <w:t>with</w:t>
      </w:r>
      <w:r w:rsidRPr="00424101">
        <w:t xml:space="preserve"> regulatory period</w:t>
      </w:r>
      <w:r>
        <w:t>s</w:t>
      </w:r>
      <w:r w:rsidRPr="00424101">
        <w:t xml:space="preserve"> </w:t>
      </w:r>
      <w:r>
        <w:t>other than</w:t>
      </w:r>
      <w:r w:rsidRPr="00424101">
        <w:t xml:space="preserve"> five years. </w:t>
      </w:r>
      <w:r>
        <w:t>They stated f</w:t>
      </w:r>
      <w:r w:rsidRPr="00424101">
        <w:t xml:space="preserve">or regulatory periods longer than five years </w:t>
      </w:r>
      <w:r>
        <w:t xml:space="preserve">the carryover period should </w:t>
      </w:r>
      <w:r w:rsidRPr="00424101">
        <w:t xml:space="preserve">match the duration of the regulatory </w:t>
      </w:r>
      <w:r>
        <w:t>control p</w:t>
      </w:r>
      <w:r w:rsidRPr="00424101">
        <w:t>eriod.</w:t>
      </w:r>
      <w:r w:rsidR="00F5556D">
        <w:rPr>
          <w:rStyle w:val="FootnoteReference"/>
        </w:rPr>
        <w:footnoteReference w:id="17"/>
      </w:r>
      <w:r>
        <w:t xml:space="preserve"> Although not explicitly stated, the </w:t>
      </w:r>
      <w:r w:rsidR="00C260A2">
        <w:t>draft</w:t>
      </w:r>
      <w:r w:rsidR="008C6245">
        <w:t xml:space="preserve"> </w:t>
      </w:r>
      <w:r>
        <w:t>EBSS did match the length of the carryover period with the length of the regulatory control period. This was implicit in the equation for calculating carryover amounts.</w:t>
      </w:r>
    </w:p>
    <w:p w:rsidR="00C136E1" w:rsidRDefault="00AC00B2" w:rsidP="00AC00B2">
      <w:pPr>
        <w:pStyle w:val="AERbodytext"/>
      </w:pPr>
      <w:r>
        <w:t xml:space="preserve">We recognise, however, that it may not always be appropriate to match the length of the carryover period with the length of the regulatory control period. SP AusNet stated </w:t>
      </w:r>
      <w:r w:rsidRPr="00AC00B2">
        <w:t>NSPs should retain opex efficiencies for at least the six years that would occur under the ‘default’ scheme</w:t>
      </w:r>
      <w:r>
        <w:t xml:space="preserve"> (that is, the year of the gain plus five years carryover)</w:t>
      </w:r>
      <w:r w:rsidRPr="00AC00B2">
        <w:t>.</w:t>
      </w:r>
      <w:r w:rsidR="00F5556D">
        <w:rPr>
          <w:rStyle w:val="FootnoteReference"/>
        </w:rPr>
        <w:footnoteReference w:id="18"/>
      </w:r>
      <w:r w:rsidR="00036229">
        <w:t xml:space="preserve"> We agree it may be inappropriate to have a carryover length less than five years (if the regulatory control period was shorter) since this may lead to the EBSS and CESS being out of balance. If the EBSS and CESS are not balanced then NSPs may have an incentive to make inefficient expenditure decisions. </w:t>
      </w:r>
    </w:p>
    <w:p w:rsidR="00036229" w:rsidRDefault="00C260A2" w:rsidP="008A0C40">
      <w:pPr>
        <w:pStyle w:val="AERbodytext"/>
      </w:pPr>
      <w:r>
        <w:t>W</w:t>
      </w:r>
      <w:r w:rsidR="00036229">
        <w:t xml:space="preserve">e </w:t>
      </w:r>
      <w:r>
        <w:t xml:space="preserve">consider there should be flexibility in the EBSS to set </w:t>
      </w:r>
      <w:r w:rsidR="00036229">
        <w:t>the length of the carryover period</w:t>
      </w:r>
      <w:r w:rsidR="008A0C40">
        <w:t>,</w:t>
      </w:r>
      <w:r w:rsidR="008A0C40" w:rsidRPr="008A0C40">
        <w:t xml:space="preserve"> where the regulatory control period is not five years</w:t>
      </w:r>
      <w:r w:rsidR="00036229">
        <w:t xml:space="preserve">. </w:t>
      </w:r>
      <w:r w:rsidR="008C6245">
        <w:t xml:space="preserve">This is similar to the approach under the </w:t>
      </w:r>
      <w:r w:rsidR="00A32D30">
        <w:t>previous</w:t>
      </w:r>
      <w:r w:rsidR="00702811">
        <w:t xml:space="preserve"> </w:t>
      </w:r>
      <w:r w:rsidR="008C6245">
        <w:t>EBSSs for DNSPs and TNSPs which set a</w:t>
      </w:r>
      <w:r w:rsidR="008C6245" w:rsidRPr="008C6245">
        <w:t xml:space="preserve"> carryover period of five years except where </w:t>
      </w:r>
      <w:r w:rsidR="008C6245">
        <w:t>we</w:t>
      </w:r>
      <w:r w:rsidR="008C6245" w:rsidRPr="008C6245">
        <w:t xml:space="preserve"> approve a longer regulatory</w:t>
      </w:r>
      <w:r w:rsidR="008C6245">
        <w:t xml:space="preserve"> </w:t>
      </w:r>
      <w:r w:rsidR="008C6245" w:rsidRPr="008C6245">
        <w:t>control period.</w:t>
      </w:r>
      <w:r w:rsidR="008C6245">
        <w:t xml:space="preserve"> </w:t>
      </w:r>
      <w:r w:rsidR="00036229">
        <w:t>To provide guidance to NSP</w:t>
      </w:r>
      <w:r>
        <w:t>s</w:t>
      </w:r>
      <w:r w:rsidR="00036229">
        <w:t xml:space="preserve"> </w:t>
      </w:r>
      <w:r w:rsidR="00E3079E">
        <w:t>on</w:t>
      </w:r>
      <w:r w:rsidR="00036229">
        <w:t xml:space="preserve"> how we will determine the length of the carryover period we have added a set of criteria to guide this decision</w:t>
      </w:r>
      <w:r w:rsidR="008C6245">
        <w:t>.</w:t>
      </w:r>
    </w:p>
    <w:p w:rsidR="0021397A" w:rsidRPr="00AD553B" w:rsidRDefault="0021397A" w:rsidP="0021397A">
      <w:pPr>
        <w:pStyle w:val="AERbodytext"/>
        <w:numPr>
          <w:ilvl w:val="0"/>
          <w:numId w:val="6"/>
        </w:numPr>
      </w:pPr>
      <w:r>
        <w:t>C</w:t>
      </w:r>
      <w:r w:rsidRPr="00AD553B">
        <w:t>lauses 6.5.8 and 6A.6.5 of the NER</w:t>
      </w:r>
      <w:r>
        <w:t xml:space="preserve"> set out</w:t>
      </w:r>
      <w:r w:rsidR="002B0A89">
        <w:t xml:space="preserve"> the</w:t>
      </w:r>
      <w:r>
        <w:t xml:space="preserve"> matter</w:t>
      </w:r>
      <w:r w:rsidR="002B0A89">
        <w:t>s</w:t>
      </w:r>
      <w:r>
        <w:t xml:space="preserve"> we must have regard to when implementing the </w:t>
      </w:r>
      <w:r w:rsidRPr="00AD553B">
        <w:t xml:space="preserve">EBSS. </w:t>
      </w:r>
      <w:r>
        <w:t>Two of these are of particular relevance when considering the length of the carryover period</w:t>
      </w:r>
      <w:r w:rsidRPr="00AD553B">
        <w:t>:</w:t>
      </w:r>
    </w:p>
    <w:p w:rsidR="0021397A" w:rsidRPr="00AD553B" w:rsidRDefault="0021397A" w:rsidP="0021397A">
      <w:pPr>
        <w:pStyle w:val="AERnumberedlistfirststyle"/>
        <w:numPr>
          <w:ilvl w:val="1"/>
          <w:numId w:val="6"/>
        </w:numPr>
      </w:pPr>
      <w:r w:rsidRPr="00AD553B">
        <w:t>the need to provide NSPs with a continuous incentive to reduce opex</w:t>
      </w:r>
      <w:r>
        <w:rPr>
          <w:rStyle w:val="FootnoteReference"/>
        </w:rPr>
        <w:footnoteReference w:id="19"/>
      </w:r>
    </w:p>
    <w:p w:rsidR="0021397A" w:rsidRPr="00AD553B" w:rsidRDefault="0021397A" w:rsidP="0021397A">
      <w:pPr>
        <w:pStyle w:val="AERnumberedlistfirststyle"/>
        <w:numPr>
          <w:ilvl w:val="1"/>
          <w:numId w:val="6"/>
        </w:numPr>
      </w:pPr>
      <w:proofErr w:type="gramStart"/>
      <w:r w:rsidRPr="00AD553B">
        <w:t>any</w:t>
      </w:r>
      <w:proofErr w:type="gramEnd"/>
      <w:r w:rsidRPr="00AD553B">
        <w:t xml:space="preserve"> incentives that NSPs may hav</w:t>
      </w:r>
      <w:r>
        <w:t>e to capitalise expenditure.</w:t>
      </w:r>
      <w:r>
        <w:rPr>
          <w:rStyle w:val="FootnoteReference"/>
        </w:rPr>
        <w:footnoteReference w:id="20"/>
      </w:r>
    </w:p>
    <w:p w:rsidR="00E3079E" w:rsidRDefault="00EF62E3" w:rsidP="00AC00B2">
      <w:pPr>
        <w:pStyle w:val="AERbodytext"/>
      </w:pPr>
      <w:r>
        <w:t xml:space="preserve">The incentive to reduce opex will not be continuous if the </w:t>
      </w:r>
      <w:r w:rsidR="002454B4">
        <w:t>length of the carryover period is less than the length of the</w:t>
      </w:r>
      <w:r>
        <w:t xml:space="preserve"> regulatory control period. This is because NSPs would be able to retain recurrent efficiency gains for longer</w:t>
      </w:r>
      <w:r w:rsidR="002B0A89">
        <w:t xml:space="preserve"> if the gain is made</w:t>
      </w:r>
      <w:r>
        <w:t xml:space="preserve"> at the start of the regulatory control period than at the end. </w:t>
      </w:r>
    </w:p>
    <w:p w:rsidR="00974C6F" w:rsidRPr="00974C6F" w:rsidRDefault="00EF62E3" w:rsidP="00974C6F">
      <w:pPr>
        <w:pStyle w:val="AERbodytext"/>
        <w:numPr>
          <w:ilvl w:val="0"/>
          <w:numId w:val="6"/>
        </w:numPr>
      </w:pPr>
      <w:r>
        <w:t xml:space="preserve">The </w:t>
      </w:r>
      <w:r w:rsidRPr="00AD553B">
        <w:t>incentive</w:t>
      </w:r>
      <w:r w:rsidR="00E51202">
        <w:t xml:space="preserve">s </w:t>
      </w:r>
      <w:r w:rsidR="009E4EFA">
        <w:t>that</w:t>
      </w:r>
      <w:r w:rsidR="00AB3CCE">
        <w:t xml:space="preserve"> </w:t>
      </w:r>
      <w:r w:rsidRPr="00AD553B">
        <w:t>NSPs may hav</w:t>
      </w:r>
      <w:r>
        <w:t xml:space="preserve">e to capitalise expenditure </w:t>
      </w:r>
      <w:r w:rsidR="009E4EFA">
        <w:t xml:space="preserve">are </w:t>
      </w:r>
      <w:r>
        <w:t xml:space="preserve">also important. If they are not balanced then NSPs may have an incentive to substitute opex with capex even if it is not efficient to do so. Ideally NSPs should be indifferent between spending a dollar of opex </w:t>
      </w:r>
      <w:r w:rsidR="00AB3CCE">
        <w:t xml:space="preserve">instead of </w:t>
      </w:r>
      <w:r>
        <w:t>a dollar of capex. This is consistent with t</w:t>
      </w:r>
      <w:r w:rsidR="00E3079E">
        <w:t>he revenue and pricing principles</w:t>
      </w:r>
      <w:r>
        <w:t>, which</w:t>
      </w:r>
      <w:r w:rsidR="00E3079E">
        <w:t xml:space="preserve"> require that </w:t>
      </w:r>
      <w:r w:rsidR="0021397A">
        <w:t>NSPs</w:t>
      </w:r>
      <w:r w:rsidR="0021397A" w:rsidRPr="0021397A">
        <w:t xml:space="preserve"> should be provided with effective incentives </w:t>
      </w:r>
      <w:r w:rsidR="0021397A">
        <w:t>to promote economic efficiency.</w:t>
      </w:r>
      <w:r w:rsidR="0021397A">
        <w:rPr>
          <w:rStyle w:val="FootnoteReference"/>
        </w:rPr>
        <w:footnoteReference w:id="21"/>
      </w:r>
      <w:r w:rsidR="0021397A">
        <w:t xml:space="preserve"> </w:t>
      </w:r>
      <w:r>
        <w:t xml:space="preserve">For similar reasons it is also important the opex incentive balances the incentive to improve reliability provided by the STPIS. </w:t>
      </w:r>
    </w:p>
    <w:p w:rsidR="002C2922" w:rsidRPr="00BA75F1" w:rsidRDefault="002C2922" w:rsidP="00BA75F1">
      <w:pPr>
        <w:pStyle w:val="Heading2"/>
      </w:pPr>
      <w:bookmarkStart w:id="19" w:name="_Toc373159425"/>
      <w:r w:rsidRPr="00BA75F1">
        <w:lastRenderedPageBreak/>
        <w:t>Treatment of uncontrollable costs</w:t>
      </w:r>
      <w:bookmarkEnd w:id="19"/>
    </w:p>
    <w:p w:rsidR="00D16D17" w:rsidRPr="00750936" w:rsidRDefault="00D16D17" w:rsidP="00D16D17">
      <w:r w:rsidRPr="00750936">
        <w:t xml:space="preserve">In our </w:t>
      </w:r>
      <w:r w:rsidR="0033660D">
        <w:t xml:space="preserve">draft </w:t>
      </w:r>
      <w:r w:rsidR="008A0C40">
        <w:t>EBSS</w:t>
      </w:r>
      <w:r w:rsidRPr="00750936">
        <w:t>, we considered there was no strong reason why we should exclu</w:t>
      </w:r>
      <w:r>
        <w:t>de</w:t>
      </w:r>
      <w:r w:rsidRPr="00750936">
        <w:t xml:space="preserve"> nominated </w:t>
      </w:r>
      <w:r>
        <w:t>'</w:t>
      </w:r>
      <w:r w:rsidRPr="00750936">
        <w:t>uncontrollable</w:t>
      </w:r>
      <w:r>
        <w:t>'</w:t>
      </w:r>
      <w:r w:rsidRPr="00750936">
        <w:t xml:space="preserve"> </w:t>
      </w:r>
      <w:r>
        <w:t>cost categories from the EBSS</w:t>
      </w:r>
      <w:r w:rsidRPr="00750936">
        <w:t xml:space="preserve">. By including such costs in the </w:t>
      </w:r>
      <w:r>
        <w:t>EB</w:t>
      </w:r>
      <w:r w:rsidR="005A163A">
        <w:t>S</w:t>
      </w:r>
      <w:r>
        <w:t>S</w:t>
      </w:r>
      <w:r w:rsidR="005A163A">
        <w:t>,</w:t>
      </w:r>
      <w:r w:rsidRPr="00750936">
        <w:t xml:space="preserve"> </w:t>
      </w:r>
      <w:r w:rsidR="002B0A89">
        <w:t>uncontrollable cost</w:t>
      </w:r>
      <w:r w:rsidRPr="00750936">
        <w:t xml:space="preserve"> </w:t>
      </w:r>
      <w:r w:rsidR="002B0A89">
        <w:t>decreases</w:t>
      </w:r>
      <w:r w:rsidR="005A163A">
        <w:t xml:space="preserve"> or increases</w:t>
      </w:r>
      <w:r w:rsidR="002B0A89">
        <w:t xml:space="preserve"> are</w:t>
      </w:r>
      <w:r w:rsidRPr="00750936">
        <w:t xml:space="preserve"> shared between NSPs and consumers in the same way as any efficiency gain</w:t>
      </w:r>
      <w:r w:rsidR="005A163A">
        <w:t xml:space="preserve"> or loss</w:t>
      </w:r>
      <w:r w:rsidRPr="00750936">
        <w:t xml:space="preserve"> (</w:t>
      </w:r>
      <w:r>
        <w:t>that is, approximately</w:t>
      </w:r>
      <w:r w:rsidRPr="00750936">
        <w:t xml:space="preserve"> 30:70</w:t>
      </w:r>
      <w:r>
        <w:t xml:space="preserve"> with a five year carryover period</w:t>
      </w:r>
      <w:r w:rsidRPr="00750936">
        <w:t xml:space="preserve">). If we excluded such costs, </w:t>
      </w:r>
      <w:r w:rsidR="002B0A89">
        <w:t>uncontrollable cost</w:t>
      </w:r>
      <w:r w:rsidR="005A163A">
        <w:t xml:space="preserve"> increases</w:t>
      </w:r>
      <w:r>
        <w:t xml:space="preserve"> would be </w:t>
      </w:r>
      <w:r w:rsidR="0033660D">
        <w:t xml:space="preserve">shared </w:t>
      </w:r>
      <w:r w:rsidR="005A163A">
        <w:t xml:space="preserve">in </w:t>
      </w:r>
      <w:r w:rsidRPr="00750936">
        <w:t>the same</w:t>
      </w:r>
      <w:r w:rsidR="005A163A">
        <w:t xml:space="preserve"> way</w:t>
      </w:r>
      <w:r w:rsidRPr="00750936">
        <w:t xml:space="preserve"> as </w:t>
      </w:r>
      <w:r w:rsidR="005A163A">
        <w:t xml:space="preserve">an </w:t>
      </w:r>
      <w:r>
        <w:t xml:space="preserve">efficiency </w:t>
      </w:r>
      <w:r w:rsidR="005A163A">
        <w:t xml:space="preserve">loss would be </w:t>
      </w:r>
      <w:r>
        <w:t>without an EBSS</w:t>
      </w:r>
      <w:r w:rsidRPr="00750936">
        <w:t xml:space="preserve">. </w:t>
      </w:r>
      <w:r>
        <w:t>Without an EBSS</w:t>
      </w:r>
      <w:r w:rsidRPr="00750936">
        <w:t xml:space="preserve">, </w:t>
      </w:r>
      <w:r>
        <w:t xml:space="preserve">NSPs' share of </w:t>
      </w:r>
      <w:r w:rsidR="005A163A">
        <w:t>cost increases differs across</w:t>
      </w:r>
      <w:r w:rsidRPr="00750936">
        <w:t xml:space="preserve"> the regulatory </w:t>
      </w:r>
      <w:r>
        <w:t xml:space="preserve">control </w:t>
      </w:r>
      <w:r w:rsidRPr="00750936">
        <w:t xml:space="preserve">period. We saw no reason why </w:t>
      </w:r>
      <w:r w:rsidR="005A163A">
        <w:t>uncontrollable cost increases</w:t>
      </w:r>
      <w:r w:rsidRPr="00750936">
        <w:t xml:space="preserve"> </w:t>
      </w:r>
      <w:r>
        <w:t>should</w:t>
      </w:r>
      <w:r w:rsidRPr="00750936">
        <w:t xml:space="preserve"> be shared differently</w:t>
      </w:r>
      <w:r w:rsidR="00FB46FA">
        <w:t xml:space="preserve"> between NSPs and consumers</w:t>
      </w:r>
      <w:r w:rsidRPr="00750936">
        <w:t xml:space="preserve"> in </w:t>
      </w:r>
      <w:r>
        <w:t>different</w:t>
      </w:r>
      <w:r w:rsidRPr="00750936">
        <w:t xml:space="preserve"> regulatory year</w:t>
      </w:r>
      <w:r>
        <w:t>s</w:t>
      </w:r>
      <w:r w:rsidRPr="00750936">
        <w:t>.</w:t>
      </w:r>
    </w:p>
    <w:p w:rsidR="002C2922" w:rsidRPr="00BA75F1" w:rsidRDefault="007E7B6B" w:rsidP="00BA75F1">
      <w:pPr>
        <w:pStyle w:val="Heading3"/>
      </w:pPr>
      <w:r w:rsidRPr="00BA75F1">
        <w:t>A</w:t>
      </w:r>
      <w:r w:rsidR="002C2922" w:rsidRPr="00BA75F1">
        <w:t>pproach</w:t>
      </w:r>
    </w:p>
    <w:p w:rsidR="002C2922" w:rsidRPr="002C2922" w:rsidRDefault="00D16D17" w:rsidP="004F210D">
      <w:pPr>
        <w:pStyle w:val="AERbodytext"/>
      </w:pPr>
      <w:r>
        <w:t xml:space="preserve">Consistent with the </w:t>
      </w:r>
      <w:r w:rsidR="00247C3C">
        <w:t>draft</w:t>
      </w:r>
      <w:r>
        <w:t xml:space="preserve"> EBSS, we will not exclude costs from the EBSS on the grounds of uncontrollability.</w:t>
      </w:r>
      <w:r w:rsidR="004F210D">
        <w:t xml:space="preserve"> </w:t>
      </w:r>
      <w:r w:rsidR="001C5A12">
        <w:t>The reasons for this approach are detailed below.</w:t>
      </w:r>
    </w:p>
    <w:p w:rsidR="002C2922" w:rsidRPr="00BA75F1" w:rsidRDefault="002C2922" w:rsidP="00BA75F1">
      <w:pPr>
        <w:pStyle w:val="Heading3"/>
      </w:pPr>
      <w:r w:rsidRPr="00BA75F1">
        <w:t>Reasons for approach</w:t>
      </w:r>
    </w:p>
    <w:p w:rsidR="00D31B7E" w:rsidRDefault="001C2DDC" w:rsidP="0033660D">
      <w:pPr>
        <w:pStyle w:val="AERbodytext"/>
      </w:pPr>
      <w:r>
        <w:t xml:space="preserve">User groups were </w:t>
      </w:r>
      <w:r w:rsidR="001B78DF">
        <w:t xml:space="preserve">generally </w:t>
      </w:r>
      <w:r>
        <w:t>supportive of the inclusion of uncontrollable costs in the EBSS.</w:t>
      </w:r>
      <w:r>
        <w:rPr>
          <w:rStyle w:val="FootnoteReference"/>
        </w:rPr>
        <w:footnoteReference w:id="22"/>
      </w:r>
      <w:r>
        <w:t xml:space="preserve"> The MEU considered there </w:t>
      </w:r>
      <w:r w:rsidR="00D16D17" w:rsidRPr="00D16D17">
        <w:t>should be minimal adjustment made to the opex allowances and actuals</w:t>
      </w:r>
      <w:r>
        <w:t xml:space="preserve"> when operating the EBSS</w:t>
      </w:r>
      <w:r w:rsidR="00D16D17" w:rsidRPr="00D16D17">
        <w:t>.</w:t>
      </w:r>
      <w:r>
        <w:t xml:space="preserve"> It considered a</w:t>
      </w:r>
      <w:r w:rsidR="00D16D17" w:rsidRPr="00D16D17">
        <w:t>djustments should only be made to maintain equivalence between forecast and actual opex.</w:t>
      </w:r>
      <w:r>
        <w:rPr>
          <w:rStyle w:val="FootnoteReference"/>
        </w:rPr>
        <w:footnoteReference w:id="23"/>
      </w:r>
      <w:r>
        <w:t xml:space="preserve"> PIAC agreed</w:t>
      </w:r>
      <w:r w:rsidRPr="001C2DDC">
        <w:t xml:space="preserve"> there </w:t>
      </w:r>
      <w:r>
        <w:t>was</w:t>
      </w:r>
      <w:r w:rsidRPr="001C2DDC">
        <w:t xml:space="preserve"> no reason why forecasting risk associated with uncontrollable opex or growth should be shared differently than the forecasting risk associated with controllable opex.</w:t>
      </w:r>
      <w:r>
        <w:rPr>
          <w:rStyle w:val="FootnoteReference"/>
        </w:rPr>
        <w:footnoteReference w:id="24"/>
      </w:r>
      <w:r w:rsidR="00D31B7E" w:rsidDel="00D31B7E">
        <w:t xml:space="preserve"> </w:t>
      </w:r>
      <w:r w:rsidR="002C7F4D">
        <w:t>NSPs, however, did not support the inclusion of uncontrollable costs in the EBSS.</w:t>
      </w:r>
      <w:r w:rsidR="002C7F4D">
        <w:rPr>
          <w:rStyle w:val="FootnoteReference"/>
        </w:rPr>
        <w:footnoteReference w:id="25"/>
      </w:r>
    </w:p>
    <w:p w:rsidR="002C7F4D" w:rsidRPr="00750936" w:rsidRDefault="002C7F4D" w:rsidP="0033660D">
      <w:pPr>
        <w:pStyle w:val="AERbodytext"/>
      </w:pPr>
      <w:r w:rsidRPr="00750936">
        <w:t xml:space="preserve">We acknowledge the </w:t>
      </w:r>
      <w:r>
        <w:t>EBSS</w:t>
      </w:r>
      <w:r w:rsidRPr="00750936">
        <w:t xml:space="preserve"> will reward or penalise NSPs for some forecasting error associated with uncontrollable events. However, on the whole, the risk of </w:t>
      </w:r>
      <w:r w:rsidR="005A163A">
        <w:t>uncontrollable events</w:t>
      </w:r>
      <w:r w:rsidRPr="00750936">
        <w:t xml:space="preserve"> presents both upside and downside risk to NSPs</w:t>
      </w:r>
      <w:r w:rsidR="009E4EFA">
        <w:t>.</w:t>
      </w:r>
      <w:r w:rsidR="00754B2B">
        <w:t xml:space="preserve"> </w:t>
      </w:r>
      <w:r w:rsidR="009E4EFA">
        <w:t>Relevantly, any</w:t>
      </w:r>
      <w:r w:rsidRPr="00750936">
        <w:t xml:space="preserve"> </w:t>
      </w:r>
      <w:r>
        <w:t>material</w:t>
      </w:r>
      <w:r w:rsidRPr="00750936">
        <w:t xml:space="preserve"> risk</w:t>
      </w:r>
      <w:r>
        <w:t>s</w:t>
      </w:r>
      <w:r w:rsidRPr="00750936">
        <w:t xml:space="preserve"> can be managed through pass-through events and contingent projects. We do not think there is a compelling argument </w:t>
      </w:r>
      <w:r>
        <w:t xml:space="preserve">to share </w:t>
      </w:r>
      <w:r w:rsidR="005A163A">
        <w:t xml:space="preserve">the cost of </w:t>
      </w:r>
      <w:r>
        <w:t xml:space="preserve">uncontrollable events differently </w:t>
      </w:r>
      <w:r w:rsidRPr="00750936">
        <w:t>to all other costs facing NSPs.</w:t>
      </w:r>
    </w:p>
    <w:p w:rsidR="001C2DDC" w:rsidRDefault="002C7F4D" w:rsidP="0095018C">
      <w:r w:rsidRPr="00750936">
        <w:t>While some events may be uncontrollable, NSP</w:t>
      </w:r>
      <w:r>
        <w:t>s</w:t>
      </w:r>
      <w:r w:rsidRPr="00750936">
        <w:t xml:space="preserve"> </w:t>
      </w:r>
      <w:r w:rsidR="0033660D">
        <w:t>usually</w:t>
      </w:r>
      <w:r w:rsidR="0033660D" w:rsidRPr="00750936">
        <w:t xml:space="preserve"> </w:t>
      </w:r>
      <w:r w:rsidRPr="00750936">
        <w:t>ha</w:t>
      </w:r>
      <w:r>
        <w:t>ve</w:t>
      </w:r>
      <w:r w:rsidRPr="00750936">
        <w:t xml:space="preserve"> </w:t>
      </w:r>
      <w:r>
        <w:t>some</w:t>
      </w:r>
      <w:r w:rsidRPr="00750936">
        <w:t xml:space="preserve"> control </w:t>
      </w:r>
      <w:r>
        <w:t xml:space="preserve">over </w:t>
      </w:r>
      <w:r w:rsidRPr="00750936">
        <w:t xml:space="preserve">the costs associated with such events. Allowing exclusions would </w:t>
      </w:r>
      <w:r w:rsidR="0095018C">
        <w:t>reduce the incentive to respond to such event</w:t>
      </w:r>
      <w:r w:rsidR="009E4EFA">
        <w:t>s</w:t>
      </w:r>
      <w:r w:rsidR="0095018C">
        <w:t xml:space="preserve"> efficiently</w:t>
      </w:r>
      <w:r w:rsidRPr="00750936">
        <w:t>.</w:t>
      </w:r>
      <w:r w:rsidR="0095018C">
        <w:t xml:space="preserve"> </w:t>
      </w:r>
      <w:r w:rsidR="009E4EFA">
        <w:t xml:space="preserve">In line with this, </w:t>
      </w:r>
      <w:r w:rsidR="0095018C">
        <w:t xml:space="preserve">COSBOA supported </w:t>
      </w:r>
      <w:r w:rsidR="001C2DDC" w:rsidRPr="001C2DDC">
        <w:t>including all opex items in the EBSS on the basis that excluding them would blunt any incentive for NSPs to ensure these costs are efficient.</w:t>
      </w:r>
      <w:r w:rsidR="0095018C">
        <w:rPr>
          <w:rStyle w:val="FootnoteReference"/>
        </w:rPr>
        <w:footnoteReference w:id="26"/>
      </w:r>
    </w:p>
    <w:p w:rsidR="00D16D17" w:rsidRDefault="0095018C" w:rsidP="00D16D17">
      <w:pPr>
        <w:pStyle w:val="AERbodytext"/>
        <w:numPr>
          <w:ilvl w:val="0"/>
          <w:numId w:val="0"/>
        </w:numPr>
      </w:pPr>
      <w:r>
        <w:t xml:space="preserve">The ENA stated </w:t>
      </w:r>
      <w:r w:rsidR="00D16D17" w:rsidRPr="00D16D17">
        <w:t>NSPs should be able to apply for pass through events to be added to the allowance for the purpose of calculating carryover amounts</w:t>
      </w:r>
      <w:r>
        <w:t xml:space="preserve">. </w:t>
      </w:r>
      <w:r w:rsidR="00D31B7E">
        <w:t>It</w:t>
      </w:r>
      <w:r>
        <w:t xml:space="preserve"> considered </w:t>
      </w:r>
      <w:r w:rsidR="00D31B7E">
        <w:t>a NSP</w:t>
      </w:r>
      <w:r>
        <w:t xml:space="preserve"> should be able to do this even </w:t>
      </w:r>
      <w:r w:rsidR="00D16D17" w:rsidRPr="00D16D17">
        <w:lastRenderedPageBreak/>
        <w:t xml:space="preserve">if </w:t>
      </w:r>
      <w:r w:rsidR="00D31B7E">
        <w:t xml:space="preserve">it </w:t>
      </w:r>
      <w:r w:rsidR="00D16D17" w:rsidRPr="00D16D17">
        <w:t>chooses not to recover the pass through costs from network users.</w:t>
      </w:r>
      <w:r w:rsidR="00150A90">
        <w:rPr>
          <w:rStyle w:val="FootnoteReference"/>
        </w:rPr>
        <w:footnoteReference w:id="27"/>
      </w:r>
      <w:r>
        <w:t xml:space="preserve"> We note the EBSS and pass through arrangements </w:t>
      </w:r>
      <w:r w:rsidR="0057270B">
        <w:t>allow</w:t>
      </w:r>
      <w:r>
        <w:t xml:space="preserve"> this.</w:t>
      </w:r>
      <w:r w:rsidR="0057270B">
        <w:t xml:space="preserve"> NSPs are not obligated to pass on the costs of approved pass though events.</w:t>
      </w:r>
      <w:r>
        <w:t xml:space="preserve"> </w:t>
      </w:r>
      <w:r w:rsidR="00150A90">
        <w:t xml:space="preserve">Whether </w:t>
      </w:r>
      <w:r w:rsidRPr="0095018C">
        <w:t>the NSP wish</w:t>
      </w:r>
      <w:r w:rsidR="00150A90">
        <w:t>es</w:t>
      </w:r>
      <w:r w:rsidRPr="0095018C">
        <w:t xml:space="preserve"> to pass on the additional costs of the event to its consumers is a business decision for the NSP.</w:t>
      </w:r>
    </w:p>
    <w:p w:rsidR="00D16D17" w:rsidRDefault="00D16D17" w:rsidP="00D16D17">
      <w:pPr>
        <w:pStyle w:val="AERbodytext"/>
        <w:numPr>
          <w:ilvl w:val="0"/>
          <w:numId w:val="0"/>
        </w:numPr>
      </w:pPr>
      <w:r>
        <w:t xml:space="preserve">Energex </w:t>
      </w:r>
      <w:r w:rsidR="0095018C">
        <w:t>also stated t</w:t>
      </w:r>
      <w:r w:rsidRPr="00D16D17">
        <w:t xml:space="preserve">he EBSS should allow for </w:t>
      </w:r>
      <w:r w:rsidR="00150A90">
        <w:t>the exclusion of</w:t>
      </w:r>
      <w:r w:rsidRPr="00D16D17">
        <w:t xml:space="preserve"> uncontrollable costs </w:t>
      </w:r>
      <w:r w:rsidR="00150A90">
        <w:t>that</w:t>
      </w:r>
      <w:r w:rsidRPr="00D16D17">
        <w:t xml:space="preserve"> would qualify for a pass</w:t>
      </w:r>
      <w:r w:rsidR="00150A90">
        <w:t xml:space="preserve"> </w:t>
      </w:r>
      <w:r w:rsidRPr="00D16D17">
        <w:t xml:space="preserve">through </w:t>
      </w:r>
      <w:r w:rsidR="00150A90">
        <w:t>event</w:t>
      </w:r>
      <w:r w:rsidRPr="00D16D17">
        <w:t xml:space="preserve"> but for the materiality threshold.</w:t>
      </w:r>
      <w:r w:rsidR="0095018C">
        <w:rPr>
          <w:rStyle w:val="FootnoteReference"/>
        </w:rPr>
        <w:footnoteReference w:id="28"/>
      </w:r>
      <w:r w:rsidR="00330FFD">
        <w:t xml:space="preserve"> As above, we see no </w:t>
      </w:r>
      <w:r w:rsidR="00330FFD" w:rsidRPr="00750936">
        <w:t xml:space="preserve">compelling argument </w:t>
      </w:r>
      <w:r w:rsidR="00330FFD" w:rsidRPr="00330FFD">
        <w:t>to share forecasting error associated with uncontrollable events differently to all other costs facing NSPs.</w:t>
      </w:r>
      <w:r w:rsidR="00330FFD">
        <w:t xml:space="preserve"> Further, NSPs nominating costs to be excluded from the scheme on an ex post basis would risk biased outcomes. NSPs would have no incentive to nominate the costs from uncontrollable events to be excluded where doing so would reduce their EBSS carryover. We note the nature of the uncontrollable event will determine whether the EBSS impact is positive or negative. For example, recurrent cost increases will result in a lower EBSS carryover but a one-off </w:t>
      </w:r>
      <w:r w:rsidR="0033660D">
        <w:t xml:space="preserve">cost increase </w:t>
      </w:r>
      <w:r w:rsidR="00330FFD">
        <w:t>will result in a high</w:t>
      </w:r>
      <w:r w:rsidR="0033660D">
        <w:t>er</w:t>
      </w:r>
      <w:r w:rsidR="00330FFD">
        <w:t xml:space="preserve"> EBSS carryover</w:t>
      </w:r>
      <w:r w:rsidR="00325618">
        <w:t xml:space="preserve"> (see </w:t>
      </w:r>
      <w:r w:rsidR="00150A90">
        <w:fldChar w:fldCharType="begin"/>
      </w:r>
      <w:r w:rsidR="00150A90">
        <w:instrText xml:space="preserve"> REF _Ref370994551 \h </w:instrText>
      </w:r>
      <w:r w:rsidR="00150A90">
        <w:fldChar w:fldCharType="separate"/>
      </w:r>
      <w:r w:rsidR="00150A90">
        <w:t xml:space="preserve">Box </w:t>
      </w:r>
      <w:r w:rsidR="00150A90">
        <w:rPr>
          <w:noProof/>
        </w:rPr>
        <w:t>2</w:t>
      </w:r>
      <w:r w:rsidR="00150A90">
        <w:t>.</w:t>
      </w:r>
      <w:r w:rsidR="00150A90">
        <w:rPr>
          <w:noProof/>
        </w:rPr>
        <w:t>3</w:t>
      </w:r>
      <w:r w:rsidR="00150A90">
        <w:fldChar w:fldCharType="end"/>
      </w:r>
      <w:r w:rsidR="00325618">
        <w:t xml:space="preserve"> and </w:t>
      </w:r>
      <w:r w:rsidR="00325618">
        <w:fldChar w:fldCharType="begin"/>
      </w:r>
      <w:r w:rsidR="00325618">
        <w:instrText xml:space="preserve"> REF _Ref370983847 \h </w:instrText>
      </w:r>
      <w:r w:rsidR="00325618">
        <w:fldChar w:fldCharType="separate"/>
      </w:r>
      <w:r w:rsidR="00325618">
        <w:t xml:space="preserve">Box </w:t>
      </w:r>
      <w:r w:rsidR="00325618">
        <w:rPr>
          <w:noProof/>
        </w:rPr>
        <w:t>2</w:t>
      </w:r>
      <w:r w:rsidR="00325618">
        <w:t>.</w:t>
      </w:r>
      <w:r w:rsidR="00325618">
        <w:rPr>
          <w:noProof/>
        </w:rPr>
        <w:t>4</w:t>
      </w:r>
      <w:r w:rsidR="00325618">
        <w:fldChar w:fldCharType="end"/>
      </w:r>
      <w:r w:rsidR="00325618">
        <w:t>)</w:t>
      </w:r>
      <w:r w:rsidR="00330FFD">
        <w:t>. Thus NSPs would only have an incentive to identify uncontrollable events that increase their recurrent costs.</w:t>
      </w:r>
    </w:p>
    <w:p w:rsidR="009B4884" w:rsidRDefault="009B4884" w:rsidP="009B4884">
      <w:pPr>
        <w:pStyle w:val="Caption"/>
      </w:pPr>
      <w:bookmarkStart w:id="20" w:name="_Ref370994551"/>
      <w:r>
        <w:t xml:space="preserve">Box </w:t>
      </w:r>
      <w:r w:rsidR="009C4565">
        <w:fldChar w:fldCharType="begin"/>
      </w:r>
      <w:r w:rsidR="009C4565">
        <w:instrText xml:space="preserve"> STYLEREF 1 \s </w:instrText>
      </w:r>
      <w:r w:rsidR="009C4565">
        <w:fldChar w:fldCharType="separate"/>
      </w:r>
      <w:r w:rsidR="00F94F72">
        <w:rPr>
          <w:noProof/>
        </w:rPr>
        <w:t>2</w:t>
      </w:r>
      <w:r w:rsidR="009C4565">
        <w:rPr>
          <w:noProof/>
        </w:rPr>
        <w:fldChar w:fldCharType="end"/>
      </w:r>
      <w:r w:rsidR="00F94F72">
        <w:t>.</w:t>
      </w:r>
      <w:r w:rsidR="009C4565">
        <w:fldChar w:fldCharType="begin"/>
      </w:r>
      <w:r w:rsidR="009C4565">
        <w:instrText xml:space="preserve"> SEQ Box \* ARABIC \s 1 </w:instrText>
      </w:r>
      <w:r w:rsidR="009C4565">
        <w:fldChar w:fldCharType="separate"/>
      </w:r>
      <w:r w:rsidR="00F94F72">
        <w:rPr>
          <w:noProof/>
        </w:rPr>
        <w:t>3</w:t>
      </w:r>
      <w:r w:rsidR="009C4565">
        <w:rPr>
          <w:noProof/>
        </w:rPr>
        <w:fldChar w:fldCharType="end"/>
      </w:r>
      <w:bookmarkEnd w:id="20"/>
      <w:r>
        <w:tab/>
      </w:r>
      <w:r w:rsidRPr="009B4884">
        <w:t>Impacts of a recurrent uncontrollable event</w:t>
      </w:r>
    </w:p>
    <w:p w:rsidR="009B4884" w:rsidRDefault="009C4565" w:rsidP="00D16D17">
      <w:pPr>
        <w:pStyle w:val="AERbodytext"/>
        <w:numPr>
          <w:ilvl w:val="0"/>
          <w:numId w:val="0"/>
        </w:numPr>
      </w:pPr>
      <w:r>
        <w:pict>
          <v:rect id="_x0000_s1030" style="width:453.55pt;height:304.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30" inset="10mm,7.2pt,5mm,2.5mm">
              <w:txbxContent>
                <w:p w:rsidR="005746FD" w:rsidRDefault="005746FD" w:rsidP="009B4884">
                  <w:pPr>
                    <w:pStyle w:val="AERbodytext"/>
                    <w:numPr>
                      <w:ilvl w:val="0"/>
                      <w:numId w:val="6"/>
                    </w:numPr>
                  </w:pPr>
                  <w:r w:rsidRPr="00967B64">
                    <w:t>Take the example of a NSP with an opex allowance of 100 dollars</w:t>
                  </w:r>
                  <w:r>
                    <w:t xml:space="preserve"> for each year of a five year regulatory control period</w:t>
                  </w:r>
                  <w:r w:rsidRPr="00967B64">
                    <w:t xml:space="preserve">. </w:t>
                  </w:r>
                  <w:r>
                    <w:t xml:space="preserve">An uncontrollable event occurs in year 3 that increases its actual opex to 110 dollars from that year on. </w:t>
                  </w:r>
                  <w:r w:rsidRPr="00967B64">
                    <w:t xml:space="preserve">For simplicity assume there is no output, real price or productivity growth. </w:t>
                  </w:r>
                </w:p>
                <w:p w:rsidR="005746FD" w:rsidRPr="00967B64" w:rsidRDefault="005746FD" w:rsidP="009B4884">
                  <w:pPr>
                    <w:pStyle w:val="AERbodytext"/>
                    <w:numPr>
                      <w:ilvl w:val="0"/>
                      <w:numId w:val="6"/>
                    </w:numPr>
                  </w:pPr>
                  <w:r w:rsidRPr="00967B64">
                    <w:t xml:space="preserve">If we use the fourth year </w:t>
                  </w:r>
                  <w:r>
                    <w:t xml:space="preserve">as the base year </w:t>
                  </w:r>
                  <w:r w:rsidRPr="00967B64">
                    <w:t>to forecast opex for the next regulatory control period</w:t>
                  </w:r>
                  <w:r>
                    <w:t>,</w:t>
                  </w:r>
                  <w:r w:rsidRPr="00967B64">
                    <w:t xml:space="preserve"> the forecast would be </w:t>
                  </w:r>
                  <w:r>
                    <w:t>110</w:t>
                  </w:r>
                  <w:r w:rsidRPr="00967B64">
                    <w:t xml:space="preserve"> </w:t>
                  </w:r>
                  <w:r>
                    <w:t xml:space="preserve">dollars </w:t>
                  </w:r>
                  <w:r w:rsidRPr="00967B64">
                    <w:t xml:space="preserve">for each year of the next regulatory control period. </w:t>
                  </w:r>
                  <w:r>
                    <w:t xml:space="preserve">If the costs associated with the uncontrollable event are included in the EBSS the NSP registers an incremental efficiency loss of 10 dollars in year three. </w:t>
                  </w:r>
                  <w:r w:rsidRPr="00967B64">
                    <w:t xml:space="preserve">Thus the NSP would </w:t>
                  </w:r>
                  <w:r>
                    <w:t>pay</w:t>
                  </w:r>
                  <w:r w:rsidRPr="00967B64">
                    <w:t xml:space="preserve"> a 10 dollar carryover </w:t>
                  </w:r>
                  <w:r>
                    <w:t>penalty</w:t>
                  </w:r>
                  <w:r w:rsidRPr="00967B64">
                    <w:t xml:space="preserve"> in the first </w:t>
                  </w:r>
                  <w:r>
                    <w:t>three</w:t>
                  </w:r>
                  <w:r w:rsidRPr="00967B64">
                    <w:t xml:space="preserve"> years of the next regulatory control period. </w:t>
                  </w:r>
                  <w:r>
                    <w:t>Total opex revenue would be 550 dollars minus 30 dollars in EBSS carryovers. In NPV terms the NSP would bear approximately 30 per cent of the cost of the uncontrollable event in perpetuity.</w:t>
                  </w:r>
                </w:p>
                <w:p w:rsidR="005746FD" w:rsidRPr="009B4884" w:rsidRDefault="005746FD" w:rsidP="009B4884">
                  <w:pPr>
                    <w:pStyle w:val="AERbodytext"/>
                  </w:pPr>
                  <w:r>
                    <w:t xml:space="preserve">If the costs associated with the uncontrollable </w:t>
                  </w:r>
                  <w:r w:rsidRPr="009B4884">
                    <w:t>event are not included in the EBSS the NSP would not register an incremental efficiency gain or loss in any year. The NSP would only bear the costs of the uncontrollable event until the end of the regulatory control period. For an uncontrollable event that occurs in year 3 this equates to about 16 per cent of the cost of uncontrollable event in perpetuity. Total opex revenue would be 550 dollars with no EBSS carryovers. Consequently the NSP would be better off if the costs of the recurrent uncontrollable event were excluded from the EBSS.</w:t>
                  </w:r>
                </w:p>
                <w:p w:rsidR="005746FD" w:rsidRPr="006470C2" w:rsidRDefault="005746FD" w:rsidP="009B4884">
                  <w:pPr>
                    <w:pStyle w:val="AERbodytext"/>
                    <w:numPr>
                      <w:ilvl w:val="0"/>
                      <w:numId w:val="0"/>
                    </w:numPr>
                  </w:pPr>
                </w:p>
              </w:txbxContent>
            </v:textbox>
            <w10:wrap type="none" anchorx="margin" anchory="page"/>
            <w10:anchorlock/>
          </v:rect>
        </w:pict>
      </w:r>
    </w:p>
    <w:p w:rsidR="009B4884" w:rsidRDefault="009B4884" w:rsidP="009B4884">
      <w:pPr>
        <w:pStyle w:val="Caption"/>
      </w:pPr>
      <w:bookmarkStart w:id="21" w:name="_Ref370983847"/>
      <w:r>
        <w:lastRenderedPageBreak/>
        <w:t xml:space="preserve">Box </w:t>
      </w:r>
      <w:r w:rsidR="009C4565">
        <w:fldChar w:fldCharType="begin"/>
      </w:r>
      <w:r w:rsidR="009C4565">
        <w:instrText xml:space="preserve"> STYLEREF 1 </w:instrText>
      </w:r>
      <w:r w:rsidR="009C4565">
        <w:instrText xml:space="preserve">\s </w:instrText>
      </w:r>
      <w:r w:rsidR="009C4565">
        <w:fldChar w:fldCharType="separate"/>
      </w:r>
      <w:r w:rsidR="00F94F72">
        <w:rPr>
          <w:noProof/>
        </w:rPr>
        <w:t>2</w:t>
      </w:r>
      <w:r w:rsidR="009C4565">
        <w:rPr>
          <w:noProof/>
        </w:rPr>
        <w:fldChar w:fldCharType="end"/>
      </w:r>
      <w:r w:rsidR="00F94F72">
        <w:t>.</w:t>
      </w:r>
      <w:r w:rsidR="009C4565">
        <w:fldChar w:fldCharType="begin"/>
      </w:r>
      <w:r w:rsidR="009C4565">
        <w:instrText xml:space="preserve"> SEQ Box \* ARABIC \s 1 </w:instrText>
      </w:r>
      <w:r w:rsidR="009C4565">
        <w:fldChar w:fldCharType="separate"/>
      </w:r>
      <w:r w:rsidR="00F94F72">
        <w:rPr>
          <w:noProof/>
        </w:rPr>
        <w:t>4</w:t>
      </w:r>
      <w:r w:rsidR="009C4565">
        <w:rPr>
          <w:noProof/>
        </w:rPr>
        <w:fldChar w:fldCharType="end"/>
      </w:r>
      <w:bookmarkEnd w:id="21"/>
      <w:r>
        <w:tab/>
      </w:r>
      <w:r w:rsidRPr="009B4884">
        <w:t>Impacts of a non-recurrent uncontrollable event</w:t>
      </w:r>
    </w:p>
    <w:p w:rsidR="009B4884" w:rsidRDefault="009C4565" w:rsidP="009B4884">
      <w:pPr>
        <w:pStyle w:val="AERbodytext"/>
      </w:pPr>
      <w:r>
        <w:pict>
          <v:rect id="_x0000_s1029" style="width:453.55pt;height:320.2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_x0000_s1029" inset="10mm,7.2pt,5mm,2.5mm">
              <w:txbxContent>
                <w:p w:rsidR="005746FD" w:rsidRDefault="005746FD" w:rsidP="009B4884">
                  <w:pPr>
                    <w:pStyle w:val="AERbodytext"/>
                    <w:numPr>
                      <w:ilvl w:val="0"/>
                      <w:numId w:val="6"/>
                    </w:numPr>
                  </w:pPr>
                  <w:r w:rsidRPr="00967B64">
                    <w:t>Take the example of a NSP with an opex allowance of 100 dollars</w:t>
                  </w:r>
                  <w:r>
                    <w:t xml:space="preserve"> for each year of a five year regulatory control period</w:t>
                  </w:r>
                  <w:r w:rsidRPr="00967B64">
                    <w:t xml:space="preserve">. </w:t>
                  </w:r>
                  <w:r>
                    <w:t xml:space="preserve">An uncontrollable event occurs in year 3 that increases its actual opex to 110 dollars for that year only. </w:t>
                  </w:r>
                  <w:r w:rsidRPr="00967B64">
                    <w:t>For simplicity assume there is no output, real price or productivity growth.</w:t>
                  </w:r>
                </w:p>
                <w:p w:rsidR="005746FD" w:rsidRPr="00967B64" w:rsidRDefault="005746FD" w:rsidP="009B4884">
                  <w:pPr>
                    <w:pStyle w:val="AERbodytext"/>
                    <w:numPr>
                      <w:ilvl w:val="0"/>
                      <w:numId w:val="6"/>
                    </w:numPr>
                  </w:pPr>
                  <w:r w:rsidRPr="00967B64">
                    <w:t xml:space="preserve">If we use the fourth year </w:t>
                  </w:r>
                  <w:r>
                    <w:t xml:space="preserve">as the base year </w:t>
                  </w:r>
                  <w:r w:rsidRPr="00967B64">
                    <w:t>to forecast opex for the next regulatory control period</w:t>
                  </w:r>
                  <w:r>
                    <w:t>,</w:t>
                  </w:r>
                  <w:r w:rsidRPr="00967B64">
                    <w:t xml:space="preserve"> the forecast would be </w:t>
                  </w:r>
                  <w:r>
                    <w:t>100</w:t>
                  </w:r>
                  <w:r w:rsidRPr="00967B64">
                    <w:t xml:space="preserve"> </w:t>
                  </w:r>
                  <w:r>
                    <w:t xml:space="preserve">dollars </w:t>
                  </w:r>
                  <w:r w:rsidRPr="00967B64">
                    <w:t xml:space="preserve">for each year of the next regulatory control period. </w:t>
                  </w:r>
                  <w:r>
                    <w:t xml:space="preserve">If the costs associated with the uncontrollable event are included in the EBSS the NSP registers an incremental efficiency loss of 10 dollars in year three. It then registers an incremental gain of 10 dollars in the following year as its opex returns to the recurrent level. These cancel each other out until six years later. Thus the NSP receives a single 10 dollar EBSS reward in year 4 of the following regulatory control period. Total opex revenue would be 500 dollars plus 10 dollars in EBSS carryovers. In NPV terms the NSP would bear approximately 30 per cent of the cost of the uncontrollable event. It pays 100 per cent of the costs of the uncontrollable event when it occurs and then receives the money back six years later. </w:t>
                  </w:r>
                </w:p>
                <w:p w:rsidR="005746FD" w:rsidRPr="00A74C3D" w:rsidRDefault="005746FD" w:rsidP="009B4884">
                  <w:pPr>
                    <w:pStyle w:val="AERbodytext"/>
                    <w:numPr>
                      <w:ilvl w:val="0"/>
                      <w:numId w:val="6"/>
                    </w:numPr>
                  </w:pPr>
                  <w:r>
                    <w:t xml:space="preserve">If the costs associated with the uncontrollable </w:t>
                  </w:r>
                  <w:r w:rsidRPr="00A74C3D">
                    <w:t xml:space="preserve">event are </w:t>
                  </w:r>
                  <w:r>
                    <w:t>excluded from</w:t>
                  </w:r>
                  <w:r w:rsidRPr="00A74C3D">
                    <w:t xml:space="preserve"> the EBSS the NSP would not register an incremental efficiency gain or loss in any year. The NSP would bear </w:t>
                  </w:r>
                  <w:r>
                    <w:t xml:space="preserve">100 per cent of </w:t>
                  </w:r>
                  <w:r w:rsidRPr="00A74C3D">
                    <w:t>the c</w:t>
                  </w:r>
                  <w:r>
                    <w:t>osts of the uncontrollable event</w:t>
                  </w:r>
                  <w:r w:rsidRPr="00A74C3D">
                    <w:t>. Total opex revenue would be 5</w:t>
                  </w:r>
                  <w:r>
                    <w:t>0</w:t>
                  </w:r>
                  <w:r w:rsidRPr="00A74C3D">
                    <w:t xml:space="preserve">0 dollars with no EBSS carryovers. Consequently the NSP would be better off if the costs of the </w:t>
                  </w:r>
                  <w:r>
                    <w:t>non-</w:t>
                  </w:r>
                  <w:r w:rsidRPr="00A74C3D">
                    <w:t xml:space="preserve">recurrent uncontrollable event were </w:t>
                  </w:r>
                  <w:r>
                    <w:t xml:space="preserve">included in </w:t>
                  </w:r>
                  <w:r w:rsidRPr="00A74C3D">
                    <w:t>the EBSS.</w:t>
                  </w:r>
                </w:p>
                <w:p w:rsidR="005746FD" w:rsidRPr="006470C2" w:rsidRDefault="005746FD" w:rsidP="009B4884">
                  <w:pPr>
                    <w:pStyle w:val="AERbodytext"/>
                    <w:numPr>
                      <w:ilvl w:val="0"/>
                      <w:numId w:val="0"/>
                    </w:numPr>
                  </w:pPr>
                </w:p>
              </w:txbxContent>
            </v:textbox>
            <w10:wrap type="none" anchorx="margin" anchory="page"/>
            <w10:anchorlock/>
          </v:rect>
        </w:pict>
      </w:r>
    </w:p>
    <w:p w:rsidR="00974C6F" w:rsidRDefault="00974C6F" w:rsidP="002C2922">
      <w:pPr>
        <w:pStyle w:val="Heading2"/>
      </w:pPr>
      <w:bookmarkStart w:id="22" w:name="_Toc373159426"/>
      <w:bookmarkStart w:id="23" w:name="_Toc373159427"/>
      <w:bookmarkEnd w:id="22"/>
      <w:r w:rsidRPr="00974C6F">
        <w:t>Lumpy expenditure forecasts and the EBSS</w:t>
      </w:r>
      <w:bookmarkEnd w:id="23"/>
    </w:p>
    <w:p w:rsidR="00974C6F" w:rsidRDefault="00974C6F" w:rsidP="00974C6F">
      <w:pPr>
        <w:pStyle w:val="AERbodytext"/>
        <w:numPr>
          <w:ilvl w:val="0"/>
          <w:numId w:val="6"/>
        </w:numPr>
      </w:pPr>
      <w:r w:rsidRPr="00974C6F">
        <w:t xml:space="preserve">Grid Australia (based on advice from </w:t>
      </w:r>
      <w:proofErr w:type="spellStart"/>
      <w:r w:rsidR="002D4EF5">
        <w:t>Incenta</w:t>
      </w:r>
      <w:proofErr w:type="spellEnd"/>
      <w:r w:rsidR="002D4EF5">
        <w:t xml:space="preserve"> Economic Consulting</w:t>
      </w:r>
      <w:r w:rsidRPr="00974C6F">
        <w:t>) proposed opex categories not well suited to the revealed cost forecasting technique should be subject to a different forecasting approach and a different EBSS (possibly similar to the CESS).</w:t>
      </w:r>
      <w:r w:rsidR="00DE4B11">
        <w:rPr>
          <w:rStyle w:val="FootnoteReference"/>
        </w:rPr>
        <w:footnoteReference w:id="29"/>
      </w:r>
      <w:r w:rsidRPr="00974C6F">
        <w:t xml:space="preserve"> This is a greater issue for TNSPs since the asset works </w:t>
      </w:r>
      <w:r w:rsidR="00E2319E">
        <w:t>and</w:t>
      </w:r>
      <w:r w:rsidRPr="00974C6F">
        <w:t xml:space="preserve"> refurbishment opex category (which </w:t>
      </w:r>
      <w:r w:rsidR="00E2319E">
        <w:t>are</w:t>
      </w:r>
      <w:r w:rsidRPr="00974C6F">
        <w:t xml:space="preserve"> similar in nature to capex) </w:t>
      </w:r>
      <w:r w:rsidR="00E2319E">
        <w:t>are</w:t>
      </w:r>
      <w:r w:rsidRPr="00974C6F">
        <w:t xml:space="preserve"> often not forecast using a revealed cost approach. Rather than excluding these costs</w:t>
      </w:r>
      <w:r w:rsidR="00986B8D">
        <w:t>,</w:t>
      </w:r>
      <w:r w:rsidRPr="00974C6F">
        <w:t xml:space="preserve"> Grid Australia considered a different form of the EBSS should apply to them.</w:t>
      </w:r>
    </w:p>
    <w:p w:rsidR="00E2319E" w:rsidRDefault="00E2319E" w:rsidP="00E2319E">
      <w:pPr>
        <w:pStyle w:val="Heading3"/>
      </w:pPr>
      <w:r>
        <w:t>Approach</w:t>
      </w:r>
    </w:p>
    <w:p w:rsidR="00E2319E" w:rsidRDefault="00E2319E" w:rsidP="001C5A12">
      <w:pPr>
        <w:pStyle w:val="AERbodytext"/>
      </w:pPr>
      <w:r>
        <w:t xml:space="preserve">We do not consider a different form of the EBSS is required for cost categories that are not forecast using a single year revealed cost forecasting approach. </w:t>
      </w:r>
      <w:r w:rsidR="001C5A12">
        <w:t>The reasons for this position</w:t>
      </w:r>
      <w:r w:rsidR="001C5A12" w:rsidRPr="001C5A12">
        <w:t xml:space="preserve"> are detailed below.</w:t>
      </w:r>
      <w:r w:rsidR="001C5A12">
        <w:t xml:space="preserve"> </w:t>
      </w:r>
    </w:p>
    <w:p w:rsidR="00E2319E" w:rsidRDefault="00E2319E" w:rsidP="00E2319E">
      <w:pPr>
        <w:pStyle w:val="Heading3"/>
      </w:pPr>
      <w:r>
        <w:t>Reasons for approach</w:t>
      </w:r>
    </w:p>
    <w:p w:rsidR="00974C6F" w:rsidRPr="00974C6F" w:rsidRDefault="000A206C" w:rsidP="0038636C">
      <w:pPr>
        <w:pStyle w:val="AERbodytext"/>
      </w:pPr>
      <w:r>
        <w:t xml:space="preserve">We have further considered </w:t>
      </w:r>
      <w:r w:rsidR="0038636C">
        <w:t xml:space="preserve">the interactions between the forecasting approach and the form of the EBSS. We consider </w:t>
      </w:r>
      <w:r w:rsidR="00974C6F" w:rsidRPr="00974C6F">
        <w:t>the increased complexity of multiple scheme</w:t>
      </w:r>
      <w:r w:rsidR="0038636C">
        <w:t xml:space="preserve"> form</w:t>
      </w:r>
      <w:r w:rsidR="00974C6F" w:rsidRPr="00974C6F">
        <w:t xml:space="preserve">s is </w:t>
      </w:r>
      <w:r w:rsidR="0038636C">
        <w:t>un</w:t>
      </w:r>
      <w:r w:rsidR="00974C6F" w:rsidRPr="00974C6F">
        <w:t>necessary for two reasons.</w:t>
      </w:r>
    </w:p>
    <w:p w:rsidR="0057633F" w:rsidRDefault="00974C6F" w:rsidP="001C5A12">
      <w:pPr>
        <w:pStyle w:val="AERbodytext"/>
      </w:pPr>
      <w:r w:rsidRPr="00974C6F">
        <w:t xml:space="preserve">First, using </w:t>
      </w:r>
      <w:r w:rsidR="001C5A12" w:rsidRPr="001C5A12">
        <w:t xml:space="preserve">a single year revealed cost forecasting approach </w:t>
      </w:r>
      <w:r w:rsidR="0038636C">
        <w:t xml:space="preserve">for overall opex </w:t>
      </w:r>
      <w:r w:rsidRPr="00974C6F">
        <w:t>provide</w:t>
      </w:r>
      <w:r w:rsidR="0038636C">
        <w:t>s</w:t>
      </w:r>
      <w:r w:rsidRPr="00974C6F">
        <w:t xml:space="preserve"> a robust forecast consistent with the opex criteria, such that few categories </w:t>
      </w:r>
      <w:r w:rsidR="0038636C">
        <w:t>would need</w:t>
      </w:r>
      <w:r w:rsidRPr="00974C6F">
        <w:t xml:space="preserve"> </w:t>
      </w:r>
      <w:r w:rsidR="0057633F" w:rsidRPr="00974C6F">
        <w:t>excl</w:t>
      </w:r>
      <w:r w:rsidR="0057633F">
        <w:t>usion</w:t>
      </w:r>
      <w:r w:rsidRPr="00974C6F">
        <w:t xml:space="preserve"> from the </w:t>
      </w:r>
      <w:r w:rsidRPr="00974C6F">
        <w:lastRenderedPageBreak/>
        <w:t xml:space="preserve">EBSS. </w:t>
      </w:r>
      <w:r w:rsidR="0057633F" w:rsidRPr="0057633F">
        <w:t xml:space="preserve">We agree with </w:t>
      </w:r>
      <w:proofErr w:type="spellStart"/>
      <w:r w:rsidR="002D4EF5">
        <w:t>Incenta</w:t>
      </w:r>
      <w:proofErr w:type="spellEnd"/>
      <w:r w:rsidR="002D4EF5">
        <w:t xml:space="preserve"> Economic Consulting</w:t>
      </w:r>
      <w:r w:rsidR="0057633F" w:rsidRPr="0057633F">
        <w:t xml:space="preserve"> that caution is required w</w:t>
      </w:r>
      <w:r w:rsidR="0016745A">
        <w:t>h</w:t>
      </w:r>
      <w:r w:rsidR="0057633F" w:rsidRPr="0057633F">
        <w:t xml:space="preserve">ere there are significant lumpy costs. However, the question is not whether individual cost categories are lumpy but whether total opex is lumpy. Forecasting some categories bottom up, for example, but others using revealed cost risks upwardly biased forecasts. NSPs would have an incentive to only use an alternative forecasting approach for those lumpy cost categories where expenditure is atypically low in the base year. For categories where expenditure is higher than usual in the base year they have an incentive to forecast using revealed costs. </w:t>
      </w:r>
      <w:r w:rsidR="0057633F">
        <w:t xml:space="preserve">Further, </w:t>
      </w:r>
      <w:r w:rsidR="0057633F" w:rsidRPr="00974C6F">
        <w:t>NSP</w:t>
      </w:r>
      <w:r w:rsidR="0057633F">
        <w:t xml:space="preserve">s will have a greater </w:t>
      </w:r>
      <w:r w:rsidR="0057633F" w:rsidRPr="00974C6F">
        <w:t xml:space="preserve">incentive to only propose deviating from revealed costs for those cost categories where volumes </w:t>
      </w:r>
      <w:r w:rsidR="0057633F">
        <w:t>are</w:t>
      </w:r>
      <w:r w:rsidR="0057633F" w:rsidRPr="00974C6F">
        <w:t xml:space="preserve"> forecast to increase but not </w:t>
      </w:r>
      <w:r w:rsidR="0057633F">
        <w:t>for</w:t>
      </w:r>
      <w:r w:rsidR="0057633F" w:rsidRPr="00974C6F">
        <w:t xml:space="preserve"> those categories where volumes are forecast to decrease. </w:t>
      </w:r>
      <w:r w:rsidR="0057633F" w:rsidRPr="0057633F">
        <w:t xml:space="preserve">Consequently there is a risk that a 'hybrid' forecasting approach will give upwardly biased </w:t>
      </w:r>
      <w:r w:rsidR="002F442C">
        <w:t xml:space="preserve">total opex </w:t>
      </w:r>
      <w:r w:rsidR="0057633F" w:rsidRPr="0057633F">
        <w:t>forecasts. If total opex is not materially lumpy then a revealed cost forecast is appropriate regardless of whether individual categories are lumpy or not.</w:t>
      </w:r>
    </w:p>
    <w:p w:rsidR="00974C6F" w:rsidRPr="00974C6F" w:rsidRDefault="00974C6F" w:rsidP="00974C6F">
      <w:pPr>
        <w:pStyle w:val="AERbodytext"/>
        <w:numPr>
          <w:ilvl w:val="0"/>
          <w:numId w:val="6"/>
        </w:numPr>
      </w:pPr>
      <w:r w:rsidRPr="00974C6F">
        <w:t xml:space="preserve">Second, the extra complexity is unnecessary since it is possible to make the current, incremental, form of the EBSS work with bottom up forecasts. This is because it is possible to use bottom up forecasts as part of a </w:t>
      </w:r>
      <w:r w:rsidR="002A5FFA">
        <w:t xml:space="preserve">single year </w:t>
      </w:r>
      <w:r w:rsidRPr="00974C6F">
        <w:t xml:space="preserve">revealed cost forecast. In this context, a revealed cost forecast simply means taking actual expenditure in the base year, and then adding the incremental change in forecast expenditure over the forecast period. </w:t>
      </w:r>
      <w:r w:rsidR="000E7B5E">
        <w:t xml:space="preserve">A bottom up forecast could be used to forecast this incremental change. </w:t>
      </w:r>
      <w:r w:rsidRPr="00974C6F">
        <w:t xml:space="preserve">The key is that a revealed cost forecasting approach is adopted and the bottom up forecast is used to set the incremental change in opex rather than the absolute amount. </w:t>
      </w:r>
    </w:p>
    <w:p w:rsidR="00974C6F" w:rsidRPr="00974C6F" w:rsidRDefault="00974C6F" w:rsidP="002C2922">
      <w:pPr>
        <w:pStyle w:val="Heading2"/>
      </w:pPr>
      <w:bookmarkStart w:id="24" w:name="_Toc373159428"/>
      <w:r w:rsidRPr="00974C6F">
        <w:t xml:space="preserve">Impacts of opex base year adjustments on </w:t>
      </w:r>
      <w:r w:rsidR="00FB46FA">
        <w:t xml:space="preserve">opex </w:t>
      </w:r>
      <w:r w:rsidRPr="00974C6F">
        <w:t>incentive</w:t>
      </w:r>
      <w:r w:rsidR="00FB46FA">
        <w:t>s</w:t>
      </w:r>
      <w:bookmarkEnd w:id="24"/>
    </w:p>
    <w:p w:rsidR="00974C6F" w:rsidRDefault="00974C6F" w:rsidP="00974C6F">
      <w:pPr>
        <w:pStyle w:val="AERbodytext"/>
        <w:numPr>
          <w:ilvl w:val="0"/>
          <w:numId w:val="6"/>
        </w:numPr>
      </w:pPr>
      <w:r w:rsidRPr="00974C6F">
        <w:t>Energex and Grid Australia stated that adjust</w:t>
      </w:r>
      <w:r w:rsidR="00B937CA">
        <w:t>ing</w:t>
      </w:r>
      <w:r w:rsidRPr="00974C6F">
        <w:t xml:space="preserve"> base opex due to evidence of material inefficiency </w:t>
      </w:r>
      <w:r w:rsidR="00B937CA">
        <w:t>impacts</w:t>
      </w:r>
      <w:r w:rsidRPr="00974C6F">
        <w:t xml:space="preserve"> the sharing ratio. The NSP could incur a penalty greater than 100 per cent of the deemed inefficiency. NSPs considered a share greater than 100 per cent would not be a fair share nor would it allow </w:t>
      </w:r>
      <w:r w:rsidR="008E0C20">
        <w:t>a NSP</w:t>
      </w:r>
      <w:r w:rsidR="008E0C20" w:rsidRPr="00974C6F">
        <w:t xml:space="preserve"> </w:t>
      </w:r>
      <w:r w:rsidRPr="00974C6F">
        <w:t xml:space="preserve">an opportunity to recover at least </w:t>
      </w:r>
      <w:r w:rsidR="008E0C20">
        <w:t>its</w:t>
      </w:r>
      <w:r w:rsidR="008E0C20" w:rsidRPr="00974C6F">
        <w:t xml:space="preserve"> </w:t>
      </w:r>
      <w:r w:rsidRPr="00974C6F">
        <w:t>efficient costs.</w:t>
      </w:r>
      <w:r w:rsidR="001158BB">
        <w:rPr>
          <w:rStyle w:val="FootnoteReference"/>
        </w:rPr>
        <w:footnoteReference w:id="30"/>
      </w:r>
      <w:r w:rsidRPr="00974C6F">
        <w:t xml:space="preserve"> </w:t>
      </w:r>
      <w:proofErr w:type="spellStart"/>
      <w:r w:rsidR="002D4EF5">
        <w:t>Incenta</w:t>
      </w:r>
      <w:proofErr w:type="spellEnd"/>
      <w:r w:rsidR="002D4EF5">
        <w:t xml:space="preserve"> Economic Consulting</w:t>
      </w:r>
      <w:r w:rsidRPr="00974C6F">
        <w:t xml:space="preserve"> suggested </w:t>
      </w:r>
      <w:r w:rsidR="00B937CA">
        <w:t>reducing the penalty</w:t>
      </w:r>
      <w:r w:rsidRPr="00974C6F">
        <w:t xml:space="preserve"> to no more than </w:t>
      </w:r>
      <w:r w:rsidR="00B937CA">
        <w:t>100 </w:t>
      </w:r>
      <w:r w:rsidRPr="00974C6F">
        <w:t>per cent by adjusting either the EBSS, or by applying a correction to the base year adjustment.</w:t>
      </w:r>
    </w:p>
    <w:p w:rsidR="00F774A2" w:rsidRDefault="00CD3E7B" w:rsidP="00CD3E7B">
      <w:pPr>
        <w:pStyle w:val="Heading3"/>
      </w:pPr>
      <w:r>
        <w:t>Approach</w:t>
      </w:r>
    </w:p>
    <w:p w:rsidR="00CD3E7B" w:rsidRDefault="00CD3E7B" w:rsidP="00CD3E7B">
      <w:pPr>
        <w:pStyle w:val="AERbodytext"/>
        <w:numPr>
          <w:ilvl w:val="0"/>
          <w:numId w:val="0"/>
        </w:numPr>
      </w:pPr>
      <w:r>
        <w:t xml:space="preserve">We do not consider the </w:t>
      </w:r>
      <w:r w:rsidR="00247C3C">
        <w:t>draft</w:t>
      </w:r>
      <w:r>
        <w:t xml:space="preserve"> EBSS requires amendment to address this issue.</w:t>
      </w:r>
      <w:r w:rsidR="00CF0D8E">
        <w:t xml:space="preserve"> </w:t>
      </w:r>
      <w:r w:rsidR="009120A0">
        <w:t>In the unlikely event a NSP's revealed costs have no bearing on its opex allowance for a subsequent period we will consider not applying the EBSS reward (penalty) accrued in the first period to ensure the NSP does not retain more than 100 per cent of the efficiency gain (loss).</w:t>
      </w:r>
    </w:p>
    <w:p w:rsidR="00CD3E7B" w:rsidRDefault="00CD3E7B" w:rsidP="00CD3E7B">
      <w:pPr>
        <w:pStyle w:val="Heading3"/>
      </w:pPr>
      <w:r>
        <w:t>Reasons for approach</w:t>
      </w:r>
    </w:p>
    <w:p w:rsidR="00986B8D" w:rsidRDefault="00F94F72" w:rsidP="00F94F72">
      <w:pPr>
        <w:pStyle w:val="AERbodytext"/>
      </w:pPr>
      <w:r>
        <w:t xml:space="preserve">A NSP's expectations about how its opex forecast will be determined in </w:t>
      </w:r>
      <w:r w:rsidR="006A7264">
        <w:t xml:space="preserve">period two is a significant driver of the incentive it faces to make efficiency gains in period one. </w:t>
      </w:r>
      <w:r w:rsidR="0097007B">
        <w:t>Where we use</w:t>
      </w:r>
      <w:r w:rsidR="003C534B">
        <w:t xml:space="preserve"> the actual expenditure</w:t>
      </w:r>
      <w:r w:rsidR="0097007B">
        <w:t xml:space="preserve"> under a single year revealed cost forecast approach to set opex and apply the EBSS the incentive power is approximately 30 per cent</w:t>
      </w:r>
      <w:r w:rsidR="00BF483C">
        <w:t>. That is,</w:t>
      </w:r>
      <w:r w:rsidR="0097007B">
        <w:t xml:space="preserve"> a NSP retains 30 per cent of any efficiency gain/loss.</w:t>
      </w:r>
      <w:r w:rsidR="003C534B">
        <w:t xml:space="preserve"> </w:t>
      </w:r>
      <w:r w:rsidR="00727BB9">
        <w:t>We</w:t>
      </w:r>
      <w:r w:rsidR="003C534B">
        <w:t xml:space="preserve"> demonstrate</w:t>
      </w:r>
      <w:r w:rsidR="00727BB9">
        <w:t xml:space="preserve"> this</w:t>
      </w:r>
      <w:r w:rsidR="003C534B">
        <w:t xml:space="preserve"> in </w:t>
      </w:r>
      <w:r w:rsidR="001C5A12">
        <w:t>A</w:t>
      </w:r>
      <w:r w:rsidR="0097007B">
        <w:t>ttachment A.</w:t>
      </w:r>
      <w:r w:rsidR="00754B2B">
        <w:t xml:space="preserve"> </w:t>
      </w:r>
    </w:p>
    <w:p w:rsidR="00F94F72" w:rsidRDefault="006A7264" w:rsidP="00F94F72">
      <w:pPr>
        <w:pStyle w:val="AERbodytext"/>
      </w:pPr>
      <w:r>
        <w:t xml:space="preserve">If a NSP expects its actual expenditure in period one will have no bearing on its opex allowance in period two it will have a strong incentive to make efficiency gains in period one. It will retain </w:t>
      </w:r>
      <w:r>
        <w:lastRenderedPageBreak/>
        <w:t xml:space="preserve">100 per cent of any efficiency gains </w:t>
      </w:r>
      <w:r w:rsidR="005A0CA8">
        <w:t xml:space="preserve">or losses </w:t>
      </w:r>
      <w:r>
        <w:t xml:space="preserve">it makes in period one without </w:t>
      </w:r>
      <w:r w:rsidR="003F6E20">
        <w:t>the</w:t>
      </w:r>
      <w:r>
        <w:t xml:space="preserve"> EBSS in place. If </w:t>
      </w:r>
      <w:r w:rsidR="003F6E20">
        <w:t>the</w:t>
      </w:r>
      <w:r>
        <w:t xml:space="preserve"> </w:t>
      </w:r>
      <w:r w:rsidR="003F6E20">
        <w:t>EBSS</w:t>
      </w:r>
      <w:r>
        <w:t xml:space="preserve"> is in place its share </w:t>
      </w:r>
      <w:r w:rsidR="005A0CA8">
        <w:t xml:space="preserve">could </w:t>
      </w:r>
      <w:r>
        <w:t xml:space="preserve">be greater than 100 per cent since it will also receive a reward (penalty) </w:t>
      </w:r>
      <w:r w:rsidR="003F6E20">
        <w:t>for</w:t>
      </w:r>
      <w:r>
        <w:t xml:space="preserve"> efficiency gains (losses). </w:t>
      </w:r>
      <w:r w:rsidR="00EA115B">
        <w:t xml:space="preserve">This </w:t>
      </w:r>
      <w:r w:rsidR="001F1F57">
        <w:t>could occur if a NSP does not respond to financial incentive</w:t>
      </w:r>
      <w:r w:rsidR="00986B8D">
        <w:t>. W</w:t>
      </w:r>
      <w:r w:rsidR="003051EB">
        <w:t xml:space="preserve">e </w:t>
      </w:r>
      <w:r w:rsidR="00EA115B">
        <w:t>demonstrate</w:t>
      </w:r>
      <w:r w:rsidR="003051EB">
        <w:t xml:space="preserve"> this</w:t>
      </w:r>
      <w:r w:rsidR="00EA115B">
        <w:t xml:space="preserve"> in </w:t>
      </w:r>
      <w:r w:rsidR="001C5A12">
        <w:t>A</w:t>
      </w:r>
      <w:r w:rsidR="00EA115B">
        <w:t xml:space="preserve">ttachment </w:t>
      </w:r>
      <w:r w:rsidR="00EA115B">
        <w:fldChar w:fldCharType="begin"/>
      </w:r>
      <w:r w:rsidR="00EA115B">
        <w:instrText xml:space="preserve"> REF _Ref372116200 \n \h </w:instrText>
      </w:r>
      <w:r w:rsidR="00EA115B">
        <w:fldChar w:fldCharType="separate"/>
      </w:r>
      <w:r w:rsidR="00EA115B">
        <w:t>B</w:t>
      </w:r>
      <w:r w:rsidR="00EA115B">
        <w:fldChar w:fldCharType="end"/>
      </w:r>
      <w:r w:rsidR="00EA115B">
        <w:t>.</w:t>
      </w:r>
    </w:p>
    <w:p w:rsidR="00BF483C" w:rsidRDefault="00BF483C" w:rsidP="00BF483C">
      <w:pPr>
        <w:pStyle w:val="AERbodytext"/>
        <w:numPr>
          <w:ilvl w:val="0"/>
          <w:numId w:val="6"/>
        </w:numPr>
      </w:pPr>
      <w:r>
        <w:t>However, in practice we do not expect NSPs will incur more than 100 per cent of any efficiency loss. Our preferred approach to assessing opex is to use</w:t>
      </w:r>
      <w:r w:rsidRPr="00974C6F">
        <w:t xml:space="preserve"> </w:t>
      </w:r>
      <w:r w:rsidRPr="00D85019">
        <w:t>a single year revealed cost forecasting method</w:t>
      </w:r>
      <w:r w:rsidRPr="00974C6F">
        <w:t>.</w:t>
      </w:r>
      <w:r w:rsidR="003051EB">
        <w:rPr>
          <w:rStyle w:val="FootnoteReference"/>
        </w:rPr>
        <w:footnoteReference w:id="31"/>
      </w:r>
      <w:r>
        <w:t xml:space="preserve"> Although we will adjust base opex where we find it to be inefficient it is unlikely </w:t>
      </w:r>
      <w:r w:rsidRPr="00974C6F">
        <w:t xml:space="preserve">a NSP’s actual expenditure will have </w:t>
      </w:r>
      <w:r>
        <w:t>no</w:t>
      </w:r>
      <w:r w:rsidRPr="00974C6F">
        <w:t xml:space="preserve"> influence on its allowance for the following period. </w:t>
      </w:r>
      <w:r w:rsidRPr="00D85019">
        <w:t xml:space="preserve">We will not substitute an opex forecast with a benchmark amount without also considering the historic expenditure of the NSP and all the </w:t>
      </w:r>
      <w:r>
        <w:t xml:space="preserve">other </w:t>
      </w:r>
      <w:r w:rsidRPr="00D85019">
        <w:t>opex factors</w:t>
      </w:r>
      <w:r>
        <w:t xml:space="preserve"> under the NER</w:t>
      </w:r>
      <w:r w:rsidRPr="00D85019">
        <w:t>.</w:t>
      </w:r>
      <w:r>
        <w:t xml:space="preserve"> The more weighting given to the revealed cost the closer the NSP's share will be to 30 per cent. </w:t>
      </w:r>
      <w:r w:rsidR="003051EB">
        <w:t>We demonstrate th</w:t>
      </w:r>
      <w:r>
        <w:t xml:space="preserve">is in </w:t>
      </w:r>
      <w:r w:rsidR="00986B8D">
        <w:t>A</w:t>
      </w:r>
      <w:r>
        <w:t xml:space="preserve">ttachment </w:t>
      </w:r>
      <w:r>
        <w:fldChar w:fldCharType="begin"/>
      </w:r>
      <w:r>
        <w:instrText xml:space="preserve"> REF _Ref372121735 \n \h </w:instrText>
      </w:r>
      <w:r>
        <w:fldChar w:fldCharType="separate"/>
      </w:r>
      <w:r>
        <w:t>C</w:t>
      </w:r>
      <w:r>
        <w:fldChar w:fldCharType="end"/>
      </w:r>
      <w:r>
        <w:t xml:space="preserve"> where equal weighting is given to the revealed cost and the benchmark cost. </w:t>
      </w:r>
    </w:p>
    <w:p w:rsidR="00BF483C" w:rsidRDefault="00BF483C" w:rsidP="00BF483C">
      <w:pPr>
        <w:pStyle w:val="AERbodytext"/>
        <w:numPr>
          <w:ilvl w:val="0"/>
          <w:numId w:val="6"/>
        </w:numPr>
      </w:pPr>
      <w:r>
        <w:t>We also note the EBSS allows us to exclude</w:t>
      </w:r>
      <w:r w:rsidRPr="00253C52">
        <w:t xml:space="preserve"> categories of opex not forecast using a single year revealed cost approach for the f</w:t>
      </w:r>
      <w:r>
        <w:t xml:space="preserve">ollowing </w:t>
      </w:r>
      <w:r w:rsidRPr="00253C52">
        <w:t xml:space="preserve">regulatory control period where doing so better achieves the requirements of clauses 6.5.8 and 6A.6.5 of the NER. </w:t>
      </w:r>
      <w:r>
        <w:t xml:space="preserve">In the event we find a NSP to be inefficient and we adjust its base year expenditure we will likely still consider this </w:t>
      </w:r>
      <w:r w:rsidRPr="00253C52">
        <w:t>a single year revealed cost</w:t>
      </w:r>
      <w:r>
        <w:t xml:space="preserve"> forecast. In this case the opex will be subject to the EBSS. However, if we </w:t>
      </w:r>
      <w:r w:rsidR="00986B8D">
        <w:t>only use an</w:t>
      </w:r>
      <w:r>
        <w:t xml:space="preserve"> exogenous </w:t>
      </w:r>
      <w:r w:rsidR="00986B8D">
        <w:t>forecasting approach to forecast opex</w:t>
      </w:r>
      <w:r>
        <w:t xml:space="preserve">, such as a benchmark amount, we will consider whether </w:t>
      </w:r>
      <w:r w:rsidR="00986B8D">
        <w:t xml:space="preserve">or </w:t>
      </w:r>
      <w:r>
        <w:t xml:space="preserve">not applying the opex carryover (that is, excluding all opex categories from the EBSS) will better meet the requirements of the NER. This will limit the share of efficiency losses/gains incurred by the NSP to 100 per cent. </w:t>
      </w:r>
    </w:p>
    <w:p w:rsidR="00EA115B" w:rsidRDefault="0097007B" w:rsidP="00BF483C">
      <w:pPr>
        <w:pStyle w:val="AERbodytext"/>
        <w:numPr>
          <w:ilvl w:val="0"/>
          <w:numId w:val="6"/>
        </w:numPr>
      </w:pPr>
      <w:r>
        <w:t>Irrespective of the incentive power</w:t>
      </w:r>
      <w:r w:rsidR="00EA115B">
        <w:t xml:space="preserve">, </w:t>
      </w:r>
      <w:r w:rsidR="00EA115B" w:rsidRPr="00EA115B">
        <w:t xml:space="preserve">NSPs will always have an opportunity to recover at least their efficient costs if the opex forecast meets the opex criteria. </w:t>
      </w:r>
      <w:r w:rsidR="00EA115B">
        <w:t>If the NS</w:t>
      </w:r>
      <w:r w:rsidR="00064604">
        <w:t>P</w:t>
      </w:r>
      <w:r w:rsidR="00EA115B">
        <w:t xml:space="preserve"> </w:t>
      </w:r>
      <w:r w:rsidR="002550DA">
        <w:t>reduces its opex to the annual opex allowance before the end of the forecast period it will accrue an EBSS reward</w:t>
      </w:r>
      <w:r w:rsidR="00EA115B" w:rsidRPr="00EA115B">
        <w:t>. Therefore</w:t>
      </w:r>
      <w:r w:rsidR="002550DA">
        <w:t xml:space="preserve">, if a NSP </w:t>
      </w:r>
      <w:r w:rsidR="006B2B35">
        <w:t xml:space="preserve">reaches </w:t>
      </w:r>
      <w:r w:rsidR="007173A0">
        <w:t>its</w:t>
      </w:r>
      <w:r w:rsidR="006B2B35">
        <w:t xml:space="preserve"> </w:t>
      </w:r>
      <w:r w:rsidR="002550DA">
        <w:t>efficient</w:t>
      </w:r>
      <w:r w:rsidR="007173A0">
        <w:t xml:space="preserve"> opex allowance</w:t>
      </w:r>
      <w:r w:rsidR="002550DA">
        <w:t>,</w:t>
      </w:r>
      <w:r w:rsidR="00EA115B" w:rsidRPr="00EA115B">
        <w:t xml:space="preserve"> </w:t>
      </w:r>
      <w:r w:rsidR="002550DA">
        <w:t>it</w:t>
      </w:r>
      <w:r w:rsidR="00EA115B" w:rsidRPr="00EA115B">
        <w:t xml:space="preserve"> always ha</w:t>
      </w:r>
      <w:r w:rsidR="002550DA">
        <w:t>s</w:t>
      </w:r>
      <w:r w:rsidR="00EA115B" w:rsidRPr="00EA115B">
        <w:t xml:space="preserve"> an opportunity to recover </w:t>
      </w:r>
      <w:r w:rsidR="002550DA">
        <w:t>its</w:t>
      </w:r>
      <w:r w:rsidR="00EA115B" w:rsidRPr="00EA115B">
        <w:t xml:space="preserve"> efficient costs unless we substitute an opex allowance that </w:t>
      </w:r>
      <w:r w:rsidR="0029352A">
        <w:t>does not meet the opex criteria</w:t>
      </w:r>
      <w:r w:rsidR="00EA115B" w:rsidRPr="00EA115B">
        <w:t>.</w:t>
      </w:r>
    </w:p>
    <w:p w:rsidR="00B937CA" w:rsidRPr="00BA75F1" w:rsidRDefault="00B937CA" w:rsidP="00BA75F1">
      <w:pPr>
        <w:pStyle w:val="Heading2"/>
      </w:pPr>
      <w:bookmarkStart w:id="25" w:name="_Toc373137877"/>
      <w:bookmarkStart w:id="26" w:name="_Toc373159429"/>
      <w:bookmarkStart w:id="27" w:name="_Toc373137878"/>
      <w:bookmarkStart w:id="28" w:name="_Toc373159430"/>
      <w:bookmarkStart w:id="29" w:name="_Toc373159431"/>
      <w:bookmarkEnd w:id="25"/>
      <w:bookmarkEnd w:id="26"/>
      <w:bookmarkEnd w:id="27"/>
      <w:bookmarkEnd w:id="28"/>
      <w:r w:rsidRPr="00BA75F1">
        <w:t xml:space="preserve">The impact of tax on </w:t>
      </w:r>
      <w:r w:rsidR="00FB46FA">
        <w:t>opex</w:t>
      </w:r>
      <w:r w:rsidRPr="00BA75F1">
        <w:t xml:space="preserve"> incentive</w:t>
      </w:r>
      <w:r w:rsidR="00FB46FA">
        <w:t>s</w:t>
      </w:r>
      <w:bookmarkEnd w:id="29"/>
    </w:p>
    <w:p w:rsidR="00B937CA" w:rsidRDefault="00C269B9" w:rsidP="00C269B9">
      <w:pPr>
        <w:pStyle w:val="AERbodytext"/>
        <w:numPr>
          <w:ilvl w:val="0"/>
          <w:numId w:val="6"/>
        </w:numPr>
      </w:pPr>
      <w:r w:rsidRPr="00B937CA">
        <w:t>CitiPower</w:t>
      </w:r>
      <w:r>
        <w:t xml:space="preserve">, </w:t>
      </w:r>
      <w:r w:rsidRPr="00B937CA">
        <w:t>Powercor</w:t>
      </w:r>
      <w:r>
        <w:t xml:space="preserve"> and </w:t>
      </w:r>
      <w:r w:rsidRPr="00B937CA">
        <w:t xml:space="preserve">SA Power Networks and the Victorian DNSPs </w:t>
      </w:r>
      <w:r>
        <w:t>noted t</w:t>
      </w:r>
      <w:r w:rsidRPr="00C269B9">
        <w:t xml:space="preserve">he incentives provided </w:t>
      </w:r>
      <w:r>
        <w:t>by</w:t>
      </w:r>
      <w:r w:rsidRPr="00C269B9">
        <w:t xml:space="preserve"> the EBSS are generally stated on a pre-tax basis</w:t>
      </w:r>
      <w:r>
        <w:t xml:space="preserve">, but the </w:t>
      </w:r>
      <w:r w:rsidRPr="00C269B9">
        <w:t>actual reward is reduced by the impact of tax.</w:t>
      </w:r>
      <w:r>
        <w:t xml:space="preserve"> This reduces the share of efficiency gains retained by NSPs from approximately 30 per cent to around 23 per cent.</w:t>
      </w:r>
      <w:r w:rsidR="001E4127">
        <w:rPr>
          <w:rStyle w:val="FootnoteReference"/>
        </w:rPr>
        <w:footnoteReference w:id="32"/>
      </w:r>
      <w:r>
        <w:t xml:space="preserve"> </w:t>
      </w:r>
    </w:p>
    <w:p w:rsidR="00B937CA" w:rsidRPr="00BA75F1" w:rsidRDefault="00B937CA" w:rsidP="00BA75F1">
      <w:pPr>
        <w:pStyle w:val="Heading3"/>
      </w:pPr>
      <w:r w:rsidRPr="00BA75F1">
        <w:t>Approach</w:t>
      </w:r>
    </w:p>
    <w:p w:rsidR="00B937CA" w:rsidRDefault="00B937CA" w:rsidP="001C5A12">
      <w:pPr>
        <w:pStyle w:val="AERbodytext"/>
      </w:pPr>
      <w:r>
        <w:t xml:space="preserve">We do not consider the </w:t>
      </w:r>
      <w:r w:rsidR="00247C3C">
        <w:t>draft</w:t>
      </w:r>
      <w:r>
        <w:t xml:space="preserve"> EBSS requires amendment to address this issue.</w:t>
      </w:r>
      <w:r w:rsidR="00CF0D8E">
        <w:t xml:space="preserve"> </w:t>
      </w:r>
      <w:r w:rsidR="00986068">
        <w:t>We are satisfied the share of efficiency gains (losses) the EBSS allows NSPs to retain is appropriate</w:t>
      </w:r>
      <w:r w:rsidR="001C5A12">
        <w:t xml:space="preserve"> such that there is</w:t>
      </w:r>
      <w:r w:rsidR="001C5A12" w:rsidRPr="001C5A12">
        <w:t xml:space="preserve"> </w:t>
      </w:r>
      <w:r w:rsidR="001C5A12">
        <w:t xml:space="preserve">not a </w:t>
      </w:r>
      <w:r w:rsidR="001C5A12" w:rsidRPr="001C5A12">
        <w:t>strong rationale to amend the EBSS to a post-tax scheme</w:t>
      </w:r>
      <w:r w:rsidR="001C5A12">
        <w:t>.</w:t>
      </w:r>
    </w:p>
    <w:p w:rsidR="00B937CA" w:rsidRPr="00BA75F1" w:rsidRDefault="00B937CA" w:rsidP="00BA75F1">
      <w:pPr>
        <w:pStyle w:val="Heading3"/>
      </w:pPr>
      <w:r w:rsidRPr="00BA75F1">
        <w:t>Reasons for approach</w:t>
      </w:r>
    </w:p>
    <w:p w:rsidR="00C269B9" w:rsidRPr="00B937CA" w:rsidRDefault="00B937CA" w:rsidP="00C269B9">
      <w:pPr>
        <w:pStyle w:val="AERbodytext"/>
        <w:numPr>
          <w:ilvl w:val="0"/>
          <w:numId w:val="6"/>
        </w:numPr>
      </w:pPr>
      <w:r w:rsidRPr="00B937CA">
        <w:t>CitiPower</w:t>
      </w:r>
      <w:r>
        <w:t xml:space="preserve">, </w:t>
      </w:r>
      <w:r w:rsidRPr="00B937CA">
        <w:t>Powercor</w:t>
      </w:r>
      <w:r>
        <w:t xml:space="preserve"> and </w:t>
      </w:r>
      <w:r w:rsidRPr="00B937CA">
        <w:t xml:space="preserve">SA Power Networks and the Victorian DNSPs considered we should adjust the </w:t>
      </w:r>
      <w:r>
        <w:t>EBSS</w:t>
      </w:r>
      <w:r w:rsidRPr="00B937CA">
        <w:t xml:space="preserve"> to recognise the tax implications of </w:t>
      </w:r>
      <w:r>
        <w:t>EBSS</w:t>
      </w:r>
      <w:r w:rsidRPr="00B937CA">
        <w:t xml:space="preserve"> rewards and penalties. </w:t>
      </w:r>
      <w:r>
        <w:t>They</w:t>
      </w:r>
      <w:r w:rsidRPr="00B937CA">
        <w:t xml:space="preserve"> submitted analysis </w:t>
      </w:r>
      <w:r w:rsidRPr="00B937CA">
        <w:lastRenderedPageBreak/>
        <w:t xml:space="preserve">demonstrating underspending </w:t>
      </w:r>
      <w:r w:rsidR="00C269B9">
        <w:t>opex</w:t>
      </w:r>
      <w:r w:rsidRPr="00B937CA">
        <w:t xml:space="preserve">, </w:t>
      </w:r>
      <w:r>
        <w:t>and thus</w:t>
      </w:r>
      <w:r w:rsidRPr="00B937CA">
        <w:t xml:space="preserve"> improving their profitability, increases their likely taxation obligations. </w:t>
      </w:r>
      <w:r w:rsidR="00C269B9">
        <w:t xml:space="preserve">They considered we </w:t>
      </w:r>
      <w:r w:rsidR="00C269B9" w:rsidRPr="00C269B9">
        <w:t xml:space="preserve">should </w:t>
      </w:r>
      <w:r w:rsidR="00C269B9">
        <w:t>adjust</w:t>
      </w:r>
      <w:r w:rsidR="00C269B9" w:rsidRPr="00C269B9">
        <w:t xml:space="preserve"> the EBSS for the impact of tax incurred during the regulatory</w:t>
      </w:r>
      <w:r w:rsidR="006513A1">
        <w:t xml:space="preserve"> control</w:t>
      </w:r>
      <w:r w:rsidR="00C269B9" w:rsidRPr="00C269B9">
        <w:t xml:space="preserve"> period, </w:t>
      </w:r>
      <w:r w:rsidR="00C269B9">
        <w:t>as well as</w:t>
      </w:r>
      <w:r w:rsidR="00C269B9" w:rsidRPr="00C269B9">
        <w:t xml:space="preserve"> the tax incurred by the DNSP on the carryover </w:t>
      </w:r>
      <w:r w:rsidR="00C269B9">
        <w:t>received</w:t>
      </w:r>
      <w:r w:rsidR="00C269B9" w:rsidRPr="00C269B9">
        <w:t xml:space="preserve"> in the</w:t>
      </w:r>
      <w:r w:rsidR="00C269B9">
        <w:t xml:space="preserve"> </w:t>
      </w:r>
      <w:r w:rsidR="00C269B9" w:rsidRPr="00C269B9">
        <w:t xml:space="preserve">subsequent regulatory </w:t>
      </w:r>
      <w:r w:rsidR="006513A1">
        <w:t xml:space="preserve">control </w:t>
      </w:r>
      <w:r w:rsidR="00C269B9" w:rsidRPr="00C269B9">
        <w:t>period.</w:t>
      </w:r>
      <w:r w:rsidR="00BA75F1">
        <w:rPr>
          <w:rStyle w:val="FootnoteReference"/>
        </w:rPr>
        <w:footnoteReference w:id="33"/>
      </w:r>
    </w:p>
    <w:p w:rsidR="00B937CA" w:rsidRPr="00B937CA" w:rsidRDefault="00B937CA" w:rsidP="00B937CA">
      <w:pPr>
        <w:pStyle w:val="AERbodytext"/>
        <w:numPr>
          <w:ilvl w:val="0"/>
          <w:numId w:val="6"/>
        </w:numPr>
      </w:pPr>
      <w:r w:rsidRPr="00B937CA">
        <w:t xml:space="preserve">We consider there is not a strong rationale to amend the </w:t>
      </w:r>
      <w:r w:rsidR="00C269B9">
        <w:t>EBSS</w:t>
      </w:r>
      <w:r w:rsidRPr="00B937CA">
        <w:t xml:space="preserve"> to a post-tax scheme. </w:t>
      </w:r>
      <w:r w:rsidR="00C269B9">
        <w:t>When a NSP underspend</w:t>
      </w:r>
      <w:r w:rsidR="008E0C20">
        <w:t>s</w:t>
      </w:r>
      <w:r w:rsidR="00C269B9">
        <w:t xml:space="preserve"> opex, with or without an EBSS, it is not funded for the additional tax incurred resulting from </w:t>
      </w:r>
      <w:r w:rsidR="00CB2225">
        <w:t xml:space="preserve">the </w:t>
      </w:r>
      <w:r w:rsidR="00C269B9">
        <w:t xml:space="preserve">additional profit. </w:t>
      </w:r>
      <w:r w:rsidR="00CB2225">
        <w:t xml:space="preserve">We see no reason </w:t>
      </w:r>
      <w:r w:rsidR="008E0C20">
        <w:t xml:space="preserve">why </w:t>
      </w:r>
      <w:r w:rsidR="00CB2225">
        <w:t>EBSS carryovers, which allow the NSP to keep those underspends for longer, should be treated any different</w:t>
      </w:r>
      <w:r w:rsidR="008E0C20">
        <w:t>ly</w:t>
      </w:r>
      <w:r w:rsidR="00CB2225">
        <w:t>. Further, a</w:t>
      </w:r>
      <w:r w:rsidRPr="00B937CA">
        <w:t>ll our incentive schemes reward NSP's on a pre-tax basis.</w:t>
      </w:r>
      <w:r w:rsidR="00CB2225">
        <w:t xml:space="preserve"> We see no reason to increase the complexity of the EBSS to simply increase the share of efficiency gains retained by NSPs. The scheme, as it is, increases the share of efficiency gains NSPs will retain for improving opex efficiency.</w:t>
      </w:r>
    </w:p>
    <w:p w:rsidR="00FC3481" w:rsidRDefault="00FC3838" w:rsidP="00FC3838">
      <w:pPr>
        <w:pStyle w:val="Heading7"/>
      </w:pPr>
      <w:bookmarkStart w:id="30" w:name="_Ref372120369"/>
      <w:r>
        <w:lastRenderedPageBreak/>
        <w:t>H</w:t>
      </w:r>
      <w:r w:rsidRPr="00FC3838">
        <w:t>ow the EBSS works with a revealed cost forecasting approach</w:t>
      </w:r>
      <w:bookmarkEnd w:id="30"/>
    </w:p>
    <w:p w:rsidR="00FC3838" w:rsidRPr="00FC3838" w:rsidRDefault="00FC3838" w:rsidP="00FC3838">
      <w:pPr>
        <w:pStyle w:val="AERbodytext"/>
        <w:numPr>
          <w:ilvl w:val="0"/>
          <w:numId w:val="6"/>
        </w:numPr>
      </w:pPr>
      <w:r w:rsidRPr="00FC3838">
        <w:t>Assume a NSP's forecast opex is $100 million each year in the first regulatory period. During this period the NSP delivers opex equal to the forecast for the first three years. Then, in the fourth year, it implements a more efficient maintenance approach. As a result, it is able to deliver opex at $95 million each year for the foreseeable future (</w:t>
      </w:r>
      <w:r w:rsidR="000A1B34">
        <w:t xml:space="preserve">for simplicity </w:t>
      </w:r>
      <w:r w:rsidRPr="00FC3838">
        <w:t>we are assuming no changes to scale</w:t>
      </w:r>
      <w:r w:rsidR="00986068">
        <w:t>,</w:t>
      </w:r>
      <w:r w:rsidRPr="00FC3838">
        <w:t xml:space="preserve"> real prices</w:t>
      </w:r>
      <w:r w:rsidR="00986068">
        <w:t xml:space="preserve"> or productivity</w:t>
      </w:r>
      <w:r w:rsidRPr="00FC3838">
        <w:t>).</w:t>
      </w:r>
    </w:p>
    <w:p w:rsidR="00FC3838" w:rsidRPr="00FC3838" w:rsidRDefault="00FC3838" w:rsidP="00FC3838">
      <w:pPr>
        <w:pStyle w:val="AERbodytext"/>
        <w:numPr>
          <w:ilvl w:val="0"/>
          <w:numId w:val="6"/>
        </w:numPr>
      </w:pPr>
      <w:r w:rsidRPr="00FC3838">
        <w:t>This efficiency improvement affects regulated revenues in two ways:</w:t>
      </w:r>
    </w:p>
    <w:p w:rsidR="00FC3838" w:rsidRPr="00FC3838" w:rsidRDefault="00FC3838" w:rsidP="00FC3838">
      <w:pPr>
        <w:pStyle w:val="AERnumberedlistfirststyle"/>
      </w:pPr>
      <w:r w:rsidRPr="00FC3838">
        <w:t>Through the opex allowance</w:t>
      </w:r>
      <w:r w:rsidR="008E0C20">
        <w:t>: u</w:t>
      </w:r>
      <w:r w:rsidRPr="00FC3838">
        <w:t>nder a revealed cost forecasting approach we use the penultimate year of the regulatory period to forecast opex in the second regulatory period. For simplicity we’ll assume there are no forecast incremental changes (for example due to increased scale or real price changes). The new forecast will be $95 million each year. This assumes the efficiency gain made in the base year is recurrent.</w:t>
      </w:r>
    </w:p>
    <w:p w:rsidR="00FC3838" w:rsidRPr="00FC3838" w:rsidRDefault="00FC3838" w:rsidP="00FC3838">
      <w:pPr>
        <w:pStyle w:val="AERnumberedlistfirststyle"/>
      </w:pPr>
      <w:r w:rsidRPr="00FC3838">
        <w:t>Through EBSS carryover amounts</w:t>
      </w:r>
      <w:r w:rsidR="008E0C20">
        <w:t>: t</w:t>
      </w:r>
      <w:r w:rsidRPr="00FC3838">
        <w:t>he NSP receives additional carryover amounts so it receives exactly six years of benefits from an efficiency improvement (the year of the gain plus five years). Because the NSP has made an efficiency improvement of $5 million in year 4 it will receive annual EBSS carryover amounts of $5 million in the first four years (years 6 to 9) of the second regulatory period. It automatically retains the $5 million incremental gain in year 5 because the year 5 opex allowance is an ex ante allowance.</w:t>
      </w:r>
    </w:p>
    <w:p w:rsidR="00FC3838" w:rsidRPr="00FC3838" w:rsidRDefault="00FC3838" w:rsidP="00FC3838">
      <w:pPr>
        <w:pStyle w:val="AERbodytext"/>
        <w:numPr>
          <w:ilvl w:val="0"/>
          <w:numId w:val="6"/>
        </w:numPr>
      </w:pPr>
      <w:r w:rsidRPr="00FC3838">
        <w:t>As result of these effects, the NSP will benefit from the efficiency improvement in years 4 to 9. This is because the annual amount the NSP receives through the forecast opex and EBSS building blocks combined ($100 million) is more than its opex ($95 million) in each of these years.</w:t>
      </w:r>
    </w:p>
    <w:p w:rsidR="00FC3838" w:rsidRPr="00FC3838" w:rsidRDefault="00FC3838" w:rsidP="00FC3838">
      <w:pPr>
        <w:pStyle w:val="AERbodytext"/>
        <w:numPr>
          <w:ilvl w:val="0"/>
          <w:numId w:val="6"/>
        </w:numPr>
      </w:pPr>
      <w:r w:rsidRPr="00FC3838">
        <w:t>Consumers benefit from year 10 onwards after the EBSS carryover period has expired. This is because what consumers pay through the forecast opex and EBSS building blocks ($95 million) is lower from year 10 onwards.</w:t>
      </w:r>
    </w:p>
    <w:p w:rsidR="00626C63" w:rsidRDefault="00CC262D" w:rsidP="00FC3838">
      <w:pPr>
        <w:pStyle w:val="AERbodytext"/>
        <w:numPr>
          <w:ilvl w:val="0"/>
          <w:numId w:val="6"/>
        </w:numPr>
      </w:pPr>
      <w:r>
        <w:fldChar w:fldCharType="begin"/>
      </w:r>
      <w:r>
        <w:instrText xml:space="preserve"> REF _Ref373337281 \h </w:instrText>
      </w:r>
      <w:r>
        <w:fldChar w:fldCharType="separate"/>
      </w:r>
      <w:r>
        <w:t xml:space="preserve">Figure </w:t>
      </w:r>
      <w:r>
        <w:rPr>
          <w:noProof/>
        </w:rPr>
        <w:t>A</w:t>
      </w:r>
      <w:r>
        <w:t>.</w:t>
      </w:r>
      <w:r>
        <w:rPr>
          <w:noProof/>
        </w:rPr>
        <w:t>1</w:t>
      </w:r>
      <w:r>
        <w:fldChar w:fldCharType="end"/>
      </w:r>
      <w:r>
        <w:t xml:space="preserve"> </w:t>
      </w:r>
      <w:r w:rsidR="00FC3838" w:rsidRPr="00FC3838">
        <w:t>provides a more detailed illustration of how the benefits are shared between NSPs and consumers over time.</w:t>
      </w:r>
    </w:p>
    <w:p w:rsidR="00CC262D" w:rsidRDefault="00CC262D">
      <w:pPr>
        <w:spacing w:after="0" w:line="240" w:lineRule="auto"/>
        <w:jc w:val="left"/>
        <w:rPr>
          <w:rFonts w:eastAsia="Times New Roman"/>
          <w:b/>
          <w:bCs/>
          <w:szCs w:val="18"/>
        </w:rPr>
      </w:pPr>
      <w:r>
        <w:br w:type="page"/>
      </w:r>
    </w:p>
    <w:p w:rsidR="00FC3838" w:rsidRPr="00FC3838" w:rsidRDefault="00CC262D" w:rsidP="00CC262D">
      <w:pPr>
        <w:pStyle w:val="Caption"/>
      </w:pPr>
      <w:bookmarkStart w:id="31" w:name="_Ref373337281"/>
      <w:r>
        <w:lastRenderedPageBreak/>
        <w:t xml:space="preserve">Figure </w:t>
      </w:r>
      <w:r w:rsidR="009C4565">
        <w:fldChar w:fldCharType="begin"/>
      </w:r>
      <w:r w:rsidR="009C4565">
        <w:instrText xml:space="preserve"> STYLEREF 7 \s </w:instrText>
      </w:r>
      <w:r w:rsidR="009C4565">
        <w:fldChar w:fldCharType="separate"/>
      </w:r>
      <w:r w:rsidR="003454F9">
        <w:rPr>
          <w:noProof/>
        </w:rPr>
        <w:t>A</w:t>
      </w:r>
      <w:r w:rsidR="009C4565">
        <w:rPr>
          <w:noProof/>
        </w:rPr>
        <w:fldChar w:fldCharType="end"/>
      </w:r>
      <w:r w:rsidR="003454F9">
        <w:t>.</w:t>
      </w:r>
      <w:r w:rsidR="009C4565">
        <w:fldChar w:fldCharType="begin"/>
      </w:r>
      <w:r w:rsidR="009C4565">
        <w:instrText xml:space="preserve"> SEQ AFigure \* ARABIC \s 7 </w:instrText>
      </w:r>
      <w:r w:rsidR="009C4565">
        <w:fldChar w:fldCharType="separate"/>
      </w:r>
      <w:r w:rsidR="003454F9">
        <w:rPr>
          <w:noProof/>
        </w:rPr>
        <w:t>1</w:t>
      </w:r>
      <w:r w:rsidR="009C4565">
        <w:rPr>
          <w:noProof/>
        </w:rPr>
        <w:fldChar w:fldCharType="end"/>
      </w:r>
      <w:bookmarkStart w:id="32" w:name="_Ref372115427"/>
      <w:bookmarkEnd w:id="31"/>
      <w:r>
        <w:t xml:space="preserve"> </w:t>
      </w:r>
      <w:r>
        <w:tab/>
      </w:r>
      <w:r w:rsidR="00FC3838" w:rsidRPr="00FC3838">
        <w:t>Example of how the EBSS operates</w:t>
      </w:r>
      <w:bookmarkEnd w:id="32"/>
    </w:p>
    <w:tbl>
      <w:tblPr>
        <w:tblStyle w:val="AERtable-numbers"/>
        <w:tblW w:w="0" w:type="auto"/>
        <w:tblLayout w:type="fixed"/>
        <w:tblLook w:val="04A0" w:firstRow="1" w:lastRow="0" w:firstColumn="1" w:lastColumn="0" w:noHBand="0" w:noVBand="1"/>
      </w:tblPr>
      <w:tblGrid>
        <w:gridCol w:w="3439"/>
        <w:gridCol w:w="518"/>
        <w:gridCol w:w="518"/>
        <w:gridCol w:w="518"/>
        <w:gridCol w:w="518"/>
        <w:gridCol w:w="518"/>
        <w:gridCol w:w="471"/>
        <w:gridCol w:w="471"/>
        <w:gridCol w:w="471"/>
        <w:gridCol w:w="471"/>
        <w:gridCol w:w="471"/>
        <w:gridCol w:w="858"/>
      </w:tblGrid>
      <w:tr w:rsidR="00626C63" w:rsidRPr="00FC3838" w:rsidTr="00626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626C63" w:rsidRPr="00FC3838" w:rsidRDefault="00626C63" w:rsidP="00626C63">
            <w:pPr>
              <w:pStyle w:val="AERtabletextleft"/>
            </w:pPr>
          </w:p>
        </w:tc>
        <w:tc>
          <w:tcPr>
            <w:tcW w:w="2590" w:type="dxa"/>
            <w:gridSpan w:val="5"/>
          </w:tcPr>
          <w:p w:rsidR="00626C63" w:rsidRPr="00FC3838" w:rsidRDefault="00626C63" w:rsidP="00626C63">
            <w:pPr>
              <w:pStyle w:val="AERtabletextright"/>
              <w:cnfStyle w:val="100000000000" w:firstRow="1" w:lastRow="0" w:firstColumn="0" w:lastColumn="0" w:oddVBand="0" w:evenVBand="0" w:oddHBand="0" w:evenHBand="0" w:firstRowFirstColumn="0" w:firstRowLastColumn="0" w:lastRowFirstColumn="0" w:lastRowLastColumn="0"/>
            </w:pPr>
            <w:r>
              <w:t>Regulatory period 1</w:t>
            </w:r>
          </w:p>
        </w:tc>
        <w:tc>
          <w:tcPr>
            <w:tcW w:w="2355" w:type="dxa"/>
            <w:gridSpan w:val="5"/>
          </w:tcPr>
          <w:p w:rsidR="00626C63" w:rsidRPr="00FC3838" w:rsidRDefault="00626C63" w:rsidP="00626C63">
            <w:pPr>
              <w:pStyle w:val="AERtabletextright"/>
              <w:cnfStyle w:val="100000000000" w:firstRow="1" w:lastRow="0" w:firstColumn="0" w:lastColumn="0" w:oddVBand="0" w:evenVBand="0" w:oddHBand="0" w:evenHBand="0" w:firstRowFirstColumn="0" w:firstRowLastColumn="0" w:lastRowFirstColumn="0" w:lastRowLastColumn="0"/>
            </w:pPr>
            <w:r>
              <w:t>Regulatory period 2</w:t>
            </w:r>
          </w:p>
        </w:tc>
        <w:tc>
          <w:tcPr>
            <w:tcW w:w="858" w:type="dxa"/>
          </w:tcPr>
          <w:p w:rsidR="00626C63" w:rsidRPr="00FC3838" w:rsidRDefault="00626C63" w:rsidP="00626C63">
            <w:pPr>
              <w:pStyle w:val="AERtabletextright"/>
              <w:cnfStyle w:val="100000000000" w:firstRow="1" w:lastRow="0" w:firstColumn="0" w:lastColumn="0" w:oddVBand="0" w:evenVBand="0" w:oddHBand="0" w:evenHBand="0" w:firstRowFirstColumn="0" w:firstRowLastColumn="0" w:lastRowFirstColumn="0" w:lastRowLastColumn="0"/>
            </w:pPr>
            <w:r>
              <w:t>Future</w:t>
            </w:r>
          </w:p>
        </w:tc>
      </w:tr>
      <w:tr w:rsidR="00FC3838" w:rsidRPr="00626C63"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626C63" w:rsidRDefault="00FC3838" w:rsidP="00626C63">
            <w:pPr>
              <w:pStyle w:val="AERtabletextleft"/>
              <w:rPr>
                <w:rStyle w:val="AERtextbold"/>
              </w:rPr>
            </w:pPr>
            <w:r w:rsidRPr="00626C63">
              <w:rPr>
                <w:rStyle w:val="AERtextbold"/>
              </w:rPr>
              <w:t>Year</w:t>
            </w:r>
          </w:p>
        </w:tc>
        <w:tc>
          <w:tcPr>
            <w:tcW w:w="51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1</w:t>
            </w:r>
          </w:p>
        </w:tc>
        <w:tc>
          <w:tcPr>
            <w:tcW w:w="51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2</w:t>
            </w:r>
          </w:p>
        </w:tc>
        <w:tc>
          <w:tcPr>
            <w:tcW w:w="51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3</w:t>
            </w:r>
          </w:p>
        </w:tc>
        <w:tc>
          <w:tcPr>
            <w:tcW w:w="51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4</w:t>
            </w:r>
          </w:p>
        </w:tc>
        <w:tc>
          <w:tcPr>
            <w:tcW w:w="51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5</w:t>
            </w:r>
          </w:p>
        </w:tc>
        <w:tc>
          <w:tcPr>
            <w:tcW w:w="471"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6</w:t>
            </w:r>
          </w:p>
        </w:tc>
        <w:tc>
          <w:tcPr>
            <w:tcW w:w="471"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7</w:t>
            </w:r>
          </w:p>
        </w:tc>
        <w:tc>
          <w:tcPr>
            <w:tcW w:w="471"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8</w:t>
            </w:r>
          </w:p>
        </w:tc>
        <w:tc>
          <w:tcPr>
            <w:tcW w:w="471"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626C63">
              <w:rPr>
                <w:rStyle w:val="AERtextbold"/>
              </w:rPr>
              <w:t>9</w:t>
            </w:r>
          </w:p>
        </w:tc>
        <w:tc>
          <w:tcPr>
            <w:tcW w:w="471" w:type="dxa"/>
          </w:tcPr>
          <w:p w:rsidR="00FC3838" w:rsidRPr="00626C63" w:rsidRDefault="00626C63"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w:t>
            </w:r>
            <w:r w:rsidR="00FC3838" w:rsidRPr="00626C63">
              <w:rPr>
                <w:rStyle w:val="AERtextbold"/>
              </w:rPr>
              <w:t>0</w:t>
            </w:r>
          </w:p>
        </w:tc>
        <w:tc>
          <w:tcPr>
            <w:tcW w:w="858" w:type="dxa"/>
          </w:tcPr>
          <w:p w:rsidR="00FC3838" w:rsidRPr="00626C63" w:rsidRDefault="00FC3838" w:rsidP="00626C63">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FC3838"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Forecast (F</w:t>
            </w:r>
            <w:r w:rsidRPr="00626C63">
              <w:rPr>
                <w:rStyle w:val="AERsubscript"/>
              </w:rPr>
              <w:t>t</w:t>
            </w:r>
            <w:r w:rsidRPr="00FC3838">
              <w:t>)</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100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w:t>
            </w: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95 p.a.</w:t>
            </w:r>
          </w:p>
        </w:tc>
      </w:tr>
      <w:tr w:rsidR="00FC3838"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Actual (A</w:t>
            </w:r>
            <w:r w:rsidRPr="00626C63">
              <w:rPr>
                <w:rStyle w:val="AERsubscript"/>
              </w:rPr>
              <w:t>t</w:t>
            </w:r>
            <w:r w:rsidRPr="00FC3838">
              <w:t>)</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100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w:t>
            </w:r>
          </w:p>
        </w:tc>
        <w:tc>
          <w:tcPr>
            <w:tcW w:w="85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95 p.a.</w:t>
            </w:r>
          </w:p>
        </w:tc>
      </w:tr>
      <w:tr w:rsidR="00FC3838"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Underspend (F</w:t>
            </w:r>
            <w:r w:rsidRPr="00626C63">
              <w:rPr>
                <w:rStyle w:val="AERsubscript"/>
              </w:rPr>
              <w:t>t</w:t>
            </w:r>
            <w:r w:rsidRPr="00FC3838">
              <w:t xml:space="preserve"> – A</w:t>
            </w:r>
            <w:r w:rsidRPr="00626C63">
              <w:rPr>
                <w:rStyle w:val="AERsubscript"/>
              </w:rPr>
              <w:t>t</w:t>
            </w:r>
            <w:r w:rsidRPr="00FC3838">
              <w:t xml:space="preserve"> = </w:t>
            </w:r>
            <w:proofErr w:type="spellStart"/>
            <w:r w:rsidRPr="00FC3838">
              <w:t>U</w:t>
            </w:r>
            <w:r w:rsidRPr="00626C63">
              <w:rPr>
                <w:rStyle w:val="AERsubscript"/>
              </w:rPr>
              <w:t>t</w:t>
            </w:r>
            <w:proofErr w:type="spellEnd"/>
            <w:r w:rsidRPr="00FC3838">
              <w:t>)</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5</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 p.a.</w:t>
            </w:r>
          </w:p>
        </w:tc>
      </w:tr>
      <w:tr w:rsidR="00FC3838"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Incremental efficiency gain (I</w:t>
            </w:r>
            <w:r w:rsidRPr="00626C63">
              <w:rPr>
                <w:rStyle w:val="AERsubscript"/>
              </w:rPr>
              <w:t>t</w:t>
            </w:r>
            <w:r w:rsidRPr="00FC3838">
              <w:t xml:space="preserve"> = </w:t>
            </w:r>
            <w:proofErr w:type="spellStart"/>
            <w:r w:rsidRPr="00FC3838">
              <w:t>U</w:t>
            </w:r>
            <w:r w:rsidRPr="00626C63">
              <w:rPr>
                <w:rStyle w:val="AERsubscript"/>
              </w:rPr>
              <w:t>t</w:t>
            </w:r>
            <w:proofErr w:type="spellEnd"/>
            <w:r w:rsidRPr="00FC3838">
              <w:t xml:space="preserve"> – </w:t>
            </w:r>
            <w:proofErr w:type="spellStart"/>
            <w:r w:rsidRPr="00FC3838">
              <w:t>U</w:t>
            </w:r>
            <w:r w:rsidRPr="00626C63">
              <w:rPr>
                <w:rStyle w:val="AERsubscript"/>
              </w:rPr>
              <w:t>t</w:t>
            </w:r>
            <w:proofErr w:type="spellEnd"/>
            <w:r w:rsidRPr="00626C63">
              <w:rPr>
                <w:rStyle w:val="AERsubscript"/>
              </w:rPr>
              <w:t>–1</w:t>
            </w:r>
            <w:r w:rsidRPr="00FC3838">
              <w:t>)</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85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 p.a.</w:t>
            </w:r>
          </w:p>
        </w:tc>
      </w:tr>
      <w:tr w:rsidR="00FC3838"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r>
      <w:tr w:rsidR="00FC3838"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Carryover (I</w:t>
            </w:r>
            <w:r w:rsidRPr="00626C63">
              <w:rPr>
                <w:rStyle w:val="AERsubscript"/>
              </w:rPr>
              <w:t>1</w:t>
            </w:r>
            <w:r w:rsidRPr="00FC3838">
              <w:t>)</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85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p>
        </w:tc>
      </w:tr>
      <w:tr w:rsidR="00626C63"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626C63" w:rsidRPr="00FC3838" w:rsidRDefault="00626C63" w:rsidP="00626C63">
            <w:pPr>
              <w:pStyle w:val="AERtabletextleft"/>
            </w:pPr>
            <w:r w:rsidRPr="00FC3838">
              <w:t>Carryover (I</w:t>
            </w:r>
            <w:r w:rsidRPr="00626C63">
              <w:rPr>
                <w:rStyle w:val="AERsubscript"/>
              </w:rPr>
              <w:t>2</w:t>
            </w:r>
            <w:r w:rsidRPr="00FC3838">
              <w:t>)</w:t>
            </w: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r>
      <w:tr w:rsidR="00626C63"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626C63" w:rsidRPr="00FC3838" w:rsidRDefault="00626C63" w:rsidP="00626C63">
            <w:pPr>
              <w:pStyle w:val="AERtabletextleft"/>
            </w:pPr>
            <w:r w:rsidRPr="00FC3838">
              <w:t>Carryover (I</w:t>
            </w:r>
            <w:r w:rsidRPr="00626C63">
              <w:rPr>
                <w:rStyle w:val="AERsubscript"/>
              </w:rPr>
              <w:t>3</w:t>
            </w:r>
            <w:r w:rsidRPr="00FC3838">
              <w:t>)</w:t>
            </w: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85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r>
      <w:tr w:rsidR="00626C63"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626C63" w:rsidRPr="00FC3838" w:rsidRDefault="00626C63" w:rsidP="00626C63">
            <w:pPr>
              <w:pStyle w:val="AERtabletextleft"/>
            </w:pPr>
            <w:r w:rsidRPr="00FC3838">
              <w:t>Carryover (I</w:t>
            </w:r>
            <w:r w:rsidRPr="00626C63">
              <w:rPr>
                <w:rStyle w:val="AERsubscript"/>
              </w:rPr>
              <w:t>4</w:t>
            </w:r>
            <w:r w:rsidRPr="00FC3838">
              <w:t>)</w:t>
            </w: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858" w:type="dxa"/>
          </w:tcPr>
          <w:p w:rsidR="00626C63"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p>
        </w:tc>
      </w:tr>
      <w:tr w:rsidR="00626C63"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626C63" w:rsidRPr="00FC3838" w:rsidRDefault="00626C63" w:rsidP="00626C63">
            <w:pPr>
              <w:pStyle w:val="AERtabletextleft"/>
            </w:pPr>
            <w:r w:rsidRPr="00FC3838">
              <w:t>Carryover (I</w:t>
            </w:r>
            <w:r w:rsidRPr="00626C63">
              <w:rPr>
                <w:rStyle w:val="AERsubscript"/>
              </w:rPr>
              <w:t>5</w:t>
            </w:r>
            <w:r w:rsidRPr="00FC3838">
              <w:t>)</w:t>
            </w: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51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471"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858" w:type="dxa"/>
          </w:tcPr>
          <w:p w:rsidR="00626C63"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p>
        </w:tc>
      </w:tr>
      <w:tr w:rsidR="00FC3838"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Carryover amount (C</w:t>
            </w:r>
            <w:r w:rsidRPr="00626C63">
              <w:rPr>
                <w:rStyle w:val="AERsubscript"/>
              </w:rPr>
              <w:t>t</w:t>
            </w:r>
            <w:r w:rsidRPr="00FC3838">
              <w:t>)</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p>
        </w:tc>
        <w:tc>
          <w:tcPr>
            <w:tcW w:w="471" w:type="dxa"/>
          </w:tcPr>
          <w:p w:rsidR="00FC3838"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FC3838"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FC3838"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FC3838"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5</w:t>
            </w:r>
          </w:p>
        </w:tc>
        <w:tc>
          <w:tcPr>
            <w:tcW w:w="471" w:type="dxa"/>
          </w:tcPr>
          <w:p w:rsidR="00FC3838" w:rsidRPr="00FC3838" w:rsidRDefault="00626C63" w:rsidP="00626C63">
            <w:pPr>
              <w:pStyle w:val="AERtabletextright"/>
              <w:cnfStyle w:val="000000010000" w:firstRow="0" w:lastRow="0" w:firstColumn="0" w:lastColumn="0" w:oddVBand="0" w:evenVBand="0" w:oddHBand="0" w:evenHBand="1" w:firstRowFirstColumn="0" w:firstRowLastColumn="0" w:lastRowFirstColumn="0" w:lastRowLastColumn="0"/>
            </w:pPr>
            <w:r>
              <w:t>0</w:t>
            </w: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 p.a.</w:t>
            </w:r>
          </w:p>
        </w:tc>
      </w:tr>
      <w:tr w:rsidR="00FC3838"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Benefits to NSP (F</w:t>
            </w:r>
            <w:r w:rsidRPr="00626C63">
              <w:rPr>
                <w:rStyle w:val="AERsubscript"/>
              </w:rPr>
              <w:t xml:space="preserve">t </w:t>
            </w:r>
            <w:r w:rsidRPr="00FC3838">
              <w:t>– A</w:t>
            </w:r>
            <w:r w:rsidRPr="00626C63">
              <w:rPr>
                <w:rStyle w:val="AERsubscript"/>
              </w:rPr>
              <w:t>t</w:t>
            </w:r>
            <w:r w:rsidRPr="00FC3838">
              <w:t xml:space="preserve"> +C</w:t>
            </w:r>
            <w:r w:rsidRPr="00626C63">
              <w:rPr>
                <w:rStyle w:val="AERsubscript"/>
              </w:rPr>
              <w:t>t</w:t>
            </w:r>
            <w:r w:rsidRPr="00FC3838">
              <w:t>)</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626C63" w:rsidP="00626C63">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85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 p.a.</w:t>
            </w:r>
          </w:p>
        </w:tc>
      </w:tr>
      <w:tr w:rsidR="00FC3838"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Benefits to consumers (F</w:t>
            </w:r>
            <w:r w:rsidRPr="00626C63">
              <w:rPr>
                <w:rStyle w:val="AERsubscript"/>
              </w:rPr>
              <w:t>1</w:t>
            </w:r>
            <w:r w:rsidRPr="00FC3838">
              <w:t xml:space="preserve"> – (F</w:t>
            </w:r>
            <w:r w:rsidRPr="00626C63">
              <w:rPr>
                <w:rStyle w:val="AERsubscript"/>
              </w:rPr>
              <w:t>t</w:t>
            </w:r>
            <w:r w:rsidRPr="00FC3838">
              <w:t xml:space="preserve"> +C</w:t>
            </w:r>
            <w:r w:rsidRPr="00626C63">
              <w:rPr>
                <w:rStyle w:val="AERsubscript"/>
              </w:rPr>
              <w:t>t</w:t>
            </w:r>
            <w:r w:rsidRPr="00FC3838">
              <w:t>))</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5</w:t>
            </w: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5 p.a.</w:t>
            </w:r>
          </w:p>
        </w:tc>
      </w:tr>
      <w:tr w:rsidR="00626C63" w:rsidRPr="00FC3838" w:rsidTr="00626C63">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Discounted benefits to NSP**</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5</w:t>
            </w:r>
          </w:p>
        </w:tc>
        <w:tc>
          <w:tcPr>
            <w:tcW w:w="51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4.7</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4.5</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4.2</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4.0</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3.7</w:t>
            </w:r>
          </w:p>
        </w:tc>
        <w:tc>
          <w:tcPr>
            <w:tcW w:w="471"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0</w:t>
            </w:r>
          </w:p>
        </w:tc>
        <w:tc>
          <w:tcPr>
            <w:tcW w:w="858" w:type="dxa"/>
          </w:tcPr>
          <w:p w:rsidR="00FC3838" w:rsidRPr="00FC3838" w:rsidRDefault="00FC3838" w:rsidP="00626C63">
            <w:pPr>
              <w:pStyle w:val="AERtabletextright"/>
              <w:cnfStyle w:val="000000000000" w:firstRow="0" w:lastRow="0" w:firstColumn="0" w:lastColumn="0" w:oddVBand="0" w:evenVBand="0" w:oddHBand="0" w:evenHBand="0" w:firstRowFirstColumn="0" w:firstRowLastColumn="0" w:lastRowFirstColumn="0" w:lastRowLastColumn="0"/>
            </w:pPr>
            <w:r w:rsidRPr="00FC3838">
              <w:t xml:space="preserve">0 </w:t>
            </w:r>
          </w:p>
        </w:tc>
      </w:tr>
      <w:tr w:rsidR="00626C63" w:rsidRPr="00FC3838" w:rsidTr="00626C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9" w:type="dxa"/>
          </w:tcPr>
          <w:p w:rsidR="00FC3838" w:rsidRPr="00FC3838" w:rsidRDefault="00FC3838" w:rsidP="00626C63">
            <w:pPr>
              <w:pStyle w:val="AERtabletextleft"/>
            </w:pPr>
            <w:r w:rsidRPr="00FC3838">
              <w:t>Discounted benefits to consumers**</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51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0</w:t>
            </w:r>
          </w:p>
        </w:tc>
        <w:tc>
          <w:tcPr>
            <w:tcW w:w="471"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3.5</w:t>
            </w:r>
          </w:p>
        </w:tc>
        <w:tc>
          <w:tcPr>
            <w:tcW w:w="858" w:type="dxa"/>
          </w:tcPr>
          <w:p w:rsidR="00FC3838" w:rsidRPr="00FC3838" w:rsidRDefault="00FC3838" w:rsidP="00626C63">
            <w:pPr>
              <w:pStyle w:val="AERtabletextright"/>
              <w:cnfStyle w:val="000000010000" w:firstRow="0" w:lastRow="0" w:firstColumn="0" w:lastColumn="0" w:oddVBand="0" w:evenVBand="0" w:oddHBand="0" w:evenHBand="1" w:firstRowFirstColumn="0" w:firstRowLastColumn="0" w:lastRowFirstColumn="0" w:lastRowLastColumn="0"/>
            </w:pPr>
            <w:r w:rsidRPr="00FC3838">
              <w:t>58.8***</w:t>
            </w:r>
          </w:p>
        </w:tc>
      </w:tr>
    </w:tbl>
    <w:p w:rsidR="00FC3838" w:rsidRPr="00FC3838" w:rsidRDefault="00FC3838" w:rsidP="00FC3838">
      <w:pPr>
        <w:pStyle w:val="AERtablesource"/>
      </w:pPr>
      <w:r w:rsidRPr="00FC3838">
        <w:t>Notes:</w:t>
      </w:r>
      <w:r w:rsidRPr="00FC3838">
        <w:tab/>
        <w:t xml:space="preserve">* At the time of forecasting opex for the second regulatory period we don’t know actual opex for year 5. Consequently this is not reflected in forecast opex for the second period. That means </w:t>
      </w:r>
      <w:proofErr w:type="gramStart"/>
      <w:r w:rsidRPr="00FC3838">
        <w:t>an underspend</w:t>
      </w:r>
      <w:proofErr w:type="gramEnd"/>
      <w:r w:rsidRPr="00FC3838">
        <w:t xml:space="preserve"> in year 6 will reflect any efficiency gains made in both year 5 and year 6. To ensure the carryover rewards for year 6 only reflect incremental efficiency gains for that year we subtract the incremental efficiency gain in year 5 from the total underspend. In the example above, I</w:t>
      </w:r>
      <w:r w:rsidRPr="00626C63">
        <w:rPr>
          <w:rStyle w:val="AERsubscript"/>
        </w:rPr>
        <w:t>6</w:t>
      </w:r>
      <w:r w:rsidRPr="00FC3838">
        <w:t xml:space="preserve"> = U</w:t>
      </w:r>
      <w:r w:rsidRPr="00626C63">
        <w:rPr>
          <w:rStyle w:val="AERsubscript"/>
        </w:rPr>
        <w:t>6</w:t>
      </w:r>
      <w:r w:rsidRPr="00FC3838">
        <w:t xml:space="preserve"> – (U</w:t>
      </w:r>
      <w:r w:rsidRPr="00626C63">
        <w:rPr>
          <w:rStyle w:val="AERsubscript"/>
        </w:rPr>
        <w:t>5</w:t>
      </w:r>
      <w:r w:rsidRPr="00FC3838">
        <w:t xml:space="preserve"> – U</w:t>
      </w:r>
      <w:r w:rsidRPr="00626C63">
        <w:rPr>
          <w:rStyle w:val="AERsubscript"/>
        </w:rPr>
        <w:t>4</w:t>
      </w:r>
      <w:r w:rsidRPr="00FC3838">
        <w:t>).</w:t>
      </w:r>
    </w:p>
    <w:p w:rsidR="00FC3838" w:rsidRPr="00FC3838" w:rsidRDefault="00FC3838" w:rsidP="00FC3838">
      <w:pPr>
        <w:pStyle w:val="AERtablesource"/>
      </w:pPr>
      <w:r>
        <w:tab/>
      </w:r>
      <w:r w:rsidRPr="00FC3838">
        <w:t>** Assumes a real discount rate of 6 per cent.</w:t>
      </w:r>
    </w:p>
    <w:p w:rsidR="00FC3838" w:rsidRPr="00FC3838" w:rsidRDefault="00FC3838" w:rsidP="00FC3838">
      <w:pPr>
        <w:pStyle w:val="AERtablesource"/>
      </w:pPr>
      <w:r>
        <w:tab/>
      </w:r>
      <w:r w:rsidRPr="00FC3838">
        <w:t xml:space="preserve">*** As a result of the efficiency improvement, forecast opex is $5 million p.a. lower in nominal terms. The estimate of $58.7m is the net present value of $5 million p.a. delivered to consumers annually from year 11 onwards. </w:t>
      </w:r>
    </w:p>
    <w:p w:rsidR="00FC3838" w:rsidRDefault="00FC3838" w:rsidP="00FC3838">
      <w:pPr>
        <w:pStyle w:val="AERbodytext"/>
      </w:pPr>
      <w:r w:rsidRPr="00FC3838">
        <w:t>Through the operation of the EBSS with a revealed cost forecasting approach the NSP is able to retain $26.1 million</w:t>
      </w:r>
      <w:r w:rsidR="00D31B7E">
        <w:t xml:space="preserve"> (the sum of the 'Discounted benefits to the NSP' row)</w:t>
      </w:r>
      <w:r w:rsidRPr="00FC3838">
        <w:t xml:space="preserve"> of the total $88.3 million efficiency gain.</w:t>
      </w:r>
      <w:r w:rsidR="00D31B7E">
        <w:t xml:space="preserve"> This represents 30 per cent of the efficiency gain.</w:t>
      </w:r>
      <w:r w:rsidRPr="00FC3838">
        <w:t xml:space="preserve"> Network us</w:t>
      </w:r>
      <w:r>
        <w:t>ers retain $62.3 million, or 70 </w:t>
      </w:r>
      <w:r w:rsidRPr="00FC3838">
        <w:t>per cent, of the efficiency gain.</w:t>
      </w:r>
    </w:p>
    <w:p w:rsidR="005F1327" w:rsidRDefault="005F1327" w:rsidP="00CA652D">
      <w:pPr>
        <w:pStyle w:val="Heading7"/>
      </w:pPr>
      <w:bookmarkStart w:id="33" w:name="_Ref372116200"/>
      <w:r w:rsidRPr="005F1327">
        <w:lastRenderedPageBreak/>
        <w:t xml:space="preserve">How the EBSS </w:t>
      </w:r>
      <w:r>
        <w:t xml:space="preserve">interacts with an exogenous </w:t>
      </w:r>
      <w:r w:rsidRPr="005F1327">
        <w:t>forecasting approach</w:t>
      </w:r>
      <w:bookmarkEnd w:id="33"/>
    </w:p>
    <w:p w:rsidR="005F1327" w:rsidRPr="005F1327" w:rsidRDefault="005F1327" w:rsidP="005F1327">
      <w:pPr>
        <w:pStyle w:val="AERbodytext"/>
        <w:numPr>
          <w:ilvl w:val="0"/>
          <w:numId w:val="6"/>
        </w:numPr>
      </w:pPr>
      <w:r w:rsidRPr="005F1327">
        <w:t>Assume a NSP's forecast opex is $100 million each year in the first regulatory per</w:t>
      </w:r>
      <w:r>
        <w:t>iod. During this period the NSP is inefficient and overspends by $10 million</w:t>
      </w:r>
      <w:r w:rsidRPr="005F1327">
        <w:t xml:space="preserve"> in each year. As a result, it deliver</w:t>
      </w:r>
      <w:r>
        <w:t>s</w:t>
      </w:r>
      <w:r w:rsidRPr="005F1327">
        <w:t xml:space="preserve"> opex at $</w:t>
      </w:r>
      <w:r>
        <w:t>110</w:t>
      </w:r>
      <w:r w:rsidRPr="005F1327">
        <w:t xml:space="preserve"> million each year for the foreseeable future (</w:t>
      </w:r>
      <w:r w:rsidR="000A1B34">
        <w:t xml:space="preserve">for simplicity </w:t>
      </w:r>
      <w:r w:rsidRPr="005F1327">
        <w:t>we are assuming no changes to scale</w:t>
      </w:r>
      <w:r w:rsidR="00986068">
        <w:t>,</w:t>
      </w:r>
      <w:r w:rsidRPr="005F1327">
        <w:t xml:space="preserve"> real prices</w:t>
      </w:r>
      <w:r w:rsidR="00986068">
        <w:t xml:space="preserve"> or productivity</w:t>
      </w:r>
      <w:r w:rsidRPr="005F1327">
        <w:t>).</w:t>
      </w:r>
    </w:p>
    <w:p w:rsidR="005F1327" w:rsidRDefault="005F1327" w:rsidP="005F1327">
      <w:pPr>
        <w:pStyle w:val="AERbodytext"/>
        <w:numPr>
          <w:ilvl w:val="0"/>
          <w:numId w:val="6"/>
        </w:numPr>
      </w:pPr>
      <w:r>
        <w:t xml:space="preserve">An exogenous forecasting approach is used to determine forecast opex in subsequent periods so the NSPs actual expenditure does not influence its allowance in the future. The efficient level of opex remains $100 million. </w:t>
      </w:r>
    </w:p>
    <w:p w:rsidR="003454F9" w:rsidRDefault="003454F9" w:rsidP="003454F9">
      <w:pPr>
        <w:pStyle w:val="Caption"/>
      </w:pPr>
      <w:bookmarkStart w:id="34" w:name="_Ref373338623"/>
      <w:r>
        <w:t xml:space="preserve">Figure </w:t>
      </w:r>
      <w:r w:rsidR="009C4565">
        <w:fldChar w:fldCharType="begin"/>
      </w:r>
      <w:r w:rsidR="009C4565">
        <w:instrText xml:space="preserve"> STYLEREF 7 \s </w:instrText>
      </w:r>
      <w:r w:rsidR="009C4565">
        <w:fldChar w:fldCharType="separate"/>
      </w:r>
      <w:r>
        <w:rPr>
          <w:noProof/>
        </w:rPr>
        <w:t>B</w:t>
      </w:r>
      <w:r w:rsidR="009C4565">
        <w:rPr>
          <w:noProof/>
        </w:rPr>
        <w:fldChar w:fldCharType="end"/>
      </w:r>
      <w:r>
        <w:t>.</w:t>
      </w:r>
      <w:r w:rsidR="009C4565">
        <w:fldChar w:fldCharType="begin"/>
      </w:r>
      <w:r w:rsidR="009C4565">
        <w:instrText xml:space="preserve"> SEQ AFigure \* ARAB</w:instrText>
      </w:r>
      <w:r w:rsidR="009C4565">
        <w:instrText xml:space="preserve">IC \s 7 </w:instrText>
      </w:r>
      <w:r w:rsidR="009C4565">
        <w:fldChar w:fldCharType="separate"/>
      </w:r>
      <w:r>
        <w:rPr>
          <w:noProof/>
        </w:rPr>
        <w:t>1</w:t>
      </w:r>
      <w:r w:rsidR="009C4565">
        <w:rPr>
          <w:noProof/>
        </w:rPr>
        <w:fldChar w:fldCharType="end"/>
      </w:r>
      <w:bookmarkEnd w:id="34"/>
      <w:r w:rsidRPr="003454F9">
        <w:t xml:space="preserve"> </w:t>
      </w:r>
      <w:r>
        <w:tab/>
      </w:r>
      <w:r w:rsidRPr="00CA652D">
        <w:t xml:space="preserve">Example of how the EBSS </w:t>
      </w:r>
      <w:r>
        <w:t>interacts with an exogenous forecast</w:t>
      </w:r>
    </w:p>
    <w:tbl>
      <w:tblPr>
        <w:tblStyle w:val="AERtable-numbers"/>
        <w:tblW w:w="5000" w:type="pct"/>
        <w:tblLook w:val="04A0" w:firstRow="1" w:lastRow="0" w:firstColumn="1" w:lastColumn="0" w:noHBand="0" w:noVBand="1"/>
      </w:tblPr>
      <w:tblGrid>
        <w:gridCol w:w="3034"/>
        <w:gridCol w:w="520"/>
        <w:gridCol w:w="519"/>
        <w:gridCol w:w="521"/>
        <w:gridCol w:w="519"/>
        <w:gridCol w:w="523"/>
        <w:gridCol w:w="519"/>
        <w:gridCol w:w="519"/>
        <w:gridCol w:w="521"/>
        <w:gridCol w:w="519"/>
        <w:gridCol w:w="523"/>
        <w:gridCol w:w="903"/>
      </w:tblGrid>
      <w:tr w:rsidR="00CA652D" w:rsidRPr="00FC3838" w:rsidTr="00B61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CA652D" w:rsidRPr="00CA652D" w:rsidRDefault="00CA652D" w:rsidP="00CA652D">
            <w:pPr>
              <w:pStyle w:val="AERtabletextleft"/>
            </w:pPr>
          </w:p>
        </w:tc>
        <w:tc>
          <w:tcPr>
            <w:tcW w:w="1423" w:type="pct"/>
            <w:gridSpan w:val="5"/>
            <w:tcMar>
              <w:left w:w="57" w:type="dxa"/>
              <w:right w:w="57" w:type="dxa"/>
            </w:tcMar>
          </w:tcPr>
          <w:p w:rsidR="00CA652D" w:rsidRPr="00CA652D" w:rsidRDefault="00CA652D" w:rsidP="00CA652D">
            <w:pPr>
              <w:pStyle w:val="AERtabletextright"/>
              <w:cnfStyle w:val="100000000000" w:firstRow="1" w:lastRow="0" w:firstColumn="0" w:lastColumn="0" w:oddVBand="0" w:evenVBand="0" w:oddHBand="0" w:evenHBand="0" w:firstRowFirstColumn="0" w:firstRowLastColumn="0" w:lastRowFirstColumn="0" w:lastRowLastColumn="0"/>
            </w:pPr>
            <w:r w:rsidRPr="00CA652D">
              <w:t>Regulatory period 1</w:t>
            </w:r>
          </w:p>
        </w:tc>
        <w:tc>
          <w:tcPr>
            <w:tcW w:w="1423" w:type="pct"/>
            <w:gridSpan w:val="5"/>
            <w:tcMar>
              <w:left w:w="57" w:type="dxa"/>
              <w:right w:w="57" w:type="dxa"/>
            </w:tcMar>
          </w:tcPr>
          <w:p w:rsidR="00CA652D" w:rsidRPr="00CA652D" w:rsidRDefault="00CA652D" w:rsidP="00CA652D">
            <w:pPr>
              <w:pStyle w:val="AERtabletextright"/>
              <w:cnfStyle w:val="100000000000" w:firstRow="1" w:lastRow="0" w:firstColumn="0" w:lastColumn="0" w:oddVBand="0" w:evenVBand="0" w:oddHBand="0" w:evenHBand="0" w:firstRowFirstColumn="0" w:firstRowLastColumn="0" w:lastRowFirstColumn="0" w:lastRowLastColumn="0"/>
            </w:pPr>
            <w:r w:rsidRPr="00CA652D">
              <w:t>Regulatory period 2</w:t>
            </w:r>
          </w:p>
        </w:tc>
        <w:tc>
          <w:tcPr>
            <w:tcW w:w="494" w:type="pct"/>
            <w:tcMar>
              <w:left w:w="57" w:type="dxa"/>
              <w:right w:w="57" w:type="dxa"/>
            </w:tcMar>
          </w:tcPr>
          <w:p w:rsidR="00CA652D" w:rsidRPr="00CA652D" w:rsidRDefault="00CA652D" w:rsidP="00CA652D">
            <w:pPr>
              <w:pStyle w:val="AERtabletextright"/>
              <w:cnfStyle w:val="100000000000" w:firstRow="1" w:lastRow="0" w:firstColumn="0" w:lastColumn="0" w:oddVBand="0" w:evenVBand="0" w:oddHBand="0" w:evenHBand="0" w:firstRowFirstColumn="0" w:firstRowLastColumn="0" w:lastRowFirstColumn="0" w:lastRowLastColumn="0"/>
            </w:pPr>
            <w:r w:rsidRPr="00CA652D">
              <w:t>Future</w:t>
            </w:r>
          </w:p>
        </w:tc>
      </w:tr>
      <w:tr w:rsidR="00CA652D" w:rsidRPr="00626C63"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CA652D" w:rsidRPr="00CA652D" w:rsidRDefault="00CA652D" w:rsidP="00CA652D">
            <w:pPr>
              <w:pStyle w:val="AERtabletextleft"/>
              <w:rPr>
                <w:rStyle w:val="AERtextbold"/>
              </w:rPr>
            </w:pPr>
            <w:r w:rsidRPr="00CA652D">
              <w:rPr>
                <w:rStyle w:val="AERtextbold"/>
              </w:rPr>
              <w:t>Year</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1</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2</w:t>
            </w:r>
          </w:p>
        </w:tc>
        <w:tc>
          <w:tcPr>
            <w:tcW w:w="285"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3</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4</w:t>
            </w:r>
          </w:p>
        </w:tc>
        <w:tc>
          <w:tcPr>
            <w:tcW w:w="285"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5</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6</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7</w:t>
            </w:r>
          </w:p>
        </w:tc>
        <w:tc>
          <w:tcPr>
            <w:tcW w:w="285"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8</w:t>
            </w:r>
          </w:p>
        </w:tc>
        <w:tc>
          <w:tcPr>
            <w:tcW w:w="28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9</w:t>
            </w:r>
          </w:p>
        </w:tc>
        <w:tc>
          <w:tcPr>
            <w:tcW w:w="285"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10</w:t>
            </w:r>
          </w:p>
        </w:tc>
        <w:tc>
          <w:tcPr>
            <w:tcW w:w="494" w:type="pct"/>
            <w:tcMar>
              <w:left w:w="57" w:type="dxa"/>
              <w:right w:w="57" w:type="dxa"/>
            </w:tcMar>
          </w:tcPr>
          <w:p w:rsidR="00CA652D" w:rsidRPr="00CA652D" w:rsidRDefault="00CA652D" w:rsidP="00CA652D">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Forecast (F</w:t>
            </w:r>
            <w:r w:rsidRPr="0021666B">
              <w:rPr>
                <w:rStyle w:val="AERsubscript"/>
              </w:rPr>
              <w:t>t</w:t>
            </w:r>
            <w:r w:rsidRPr="0021666B">
              <w:t>)</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100</w:t>
            </w:r>
          </w:p>
        </w:tc>
        <w:tc>
          <w:tcPr>
            <w:tcW w:w="49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1</w:t>
            </w:r>
            <w:r w:rsidR="00AD3F7B">
              <w:t>0</w:t>
            </w:r>
            <w:r w:rsidRPr="0021666B">
              <w:t>0 p.a.</w:t>
            </w: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Actual (A</w:t>
            </w:r>
            <w:r w:rsidRPr="0021666B">
              <w:rPr>
                <w:rStyle w:val="AERsubscript"/>
              </w:rPr>
              <w:t>t</w:t>
            </w:r>
            <w:r w:rsidRPr="0021666B">
              <w:t>)</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49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110 p.a.</w:t>
            </w: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Underspend (F</w:t>
            </w:r>
            <w:r w:rsidRPr="0021666B">
              <w:rPr>
                <w:rStyle w:val="AERsubscript"/>
              </w:rPr>
              <w:t>t</w:t>
            </w:r>
            <w:r w:rsidRPr="0021666B">
              <w:t xml:space="preserve"> – A</w:t>
            </w:r>
            <w:r w:rsidRPr="0021666B">
              <w:rPr>
                <w:rStyle w:val="AERsubscript"/>
              </w:rPr>
              <w:t>t</w:t>
            </w:r>
            <w:r w:rsidRPr="0021666B">
              <w:t xml:space="preserve"> = </w:t>
            </w:r>
            <w:proofErr w:type="spellStart"/>
            <w:r w:rsidRPr="0021666B">
              <w:t>U</w:t>
            </w:r>
            <w:r w:rsidRPr="0021666B">
              <w:rPr>
                <w:rStyle w:val="AERsubscript"/>
              </w:rPr>
              <w:t>t</w:t>
            </w:r>
            <w:proofErr w:type="spellEnd"/>
            <w:r w:rsidRPr="0021666B">
              <w:t>)</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49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 p.a.</w:t>
            </w: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Incremental efficiency gain (I</w:t>
            </w:r>
            <w:r w:rsidRPr="0021666B">
              <w:rPr>
                <w:rStyle w:val="AERsubscript"/>
              </w:rPr>
              <w:t>t</w:t>
            </w:r>
            <w:r w:rsidRPr="0021666B">
              <w:t xml:space="preserve"> = </w:t>
            </w:r>
            <w:proofErr w:type="spellStart"/>
            <w:r w:rsidRPr="0021666B">
              <w:t>U</w:t>
            </w:r>
            <w:r w:rsidRPr="0021666B">
              <w:rPr>
                <w:rStyle w:val="AERsubscript"/>
              </w:rPr>
              <w:t>t</w:t>
            </w:r>
            <w:proofErr w:type="spellEnd"/>
            <w:r w:rsidRPr="0021666B">
              <w:t xml:space="preserve"> – </w:t>
            </w:r>
            <w:proofErr w:type="spellStart"/>
            <w:r w:rsidRPr="0021666B">
              <w:t>U</w:t>
            </w:r>
            <w:r w:rsidRPr="0021666B">
              <w:rPr>
                <w:rStyle w:val="AERsubscript"/>
              </w:rPr>
              <w:t>t</w:t>
            </w:r>
            <w:proofErr w:type="spellEnd"/>
            <w:r w:rsidRPr="0021666B">
              <w:rPr>
                <w:rStyle w:val="AERsubscript"/>
              </w:rPr>
              <w:t>–1</w:t>
            </w:r>
            <w:r w:rsidRPr="0021666B">
              <w:t>)</w:t>
            </w:r>
          </w:p>
        </w:tc>
        <w:tc>
          <w:tcPr>
            <w:tcW w:w="284"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B56174" w:rsidP="00BF4E21">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494" w:type="pct"/>
            <w:tcMar>
              <w:left w:w="57" w:type="dxa"/>
              <w:right w:w="57" w:type="dxa"/>
            </w:tcMar>
            <w:vAlign w:val="top"/>
          </w:tcPr>
          <w:p w:rsidR="0021666B" w:rsidRPr="0021666B" w:rsidRDefault="00B56174" w:rsidP="00BF4E21">
            <w:pPr>
              <w:pStyle w:val="AERtabletextright"/>
              <w:cnfStyle w:val="000000000000" w:firstRow="0" w:lastRow="0" w:firstColumn="0" w:lastColumn="0" w:oddVBand="0" w:evenVBand="0" w:oddHBand="0" w:evenHBand="0" w:firstRowFirstColumn="0" w:firstRowLastColumn="0" w:lastRowFirstColumn="0" w:lastRowLastColumn="0"/>
            </w:pPr>
            <w:r>
              <w:t>–</w:t>
            </w:r>
            <w:r w:rsidR="00837D83">
              <w:t>2.2</w:t>
            </w:r>
            <w:r w:rsidR="0021666B" w:rsidRPr="0021666B">
              <w:t xml:space="preserve"> p.a.</w:t>
            </w:r>
            <w:r w:rsidR="00837D83">
              <w:t>*</w:t>
            </w: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(I</w:t>
            </w:r>
            <w:r w:rsidRPr="0021666B">
              <w:rPr>
                <w:rStyle w:val="AERsubscript"/>
              </w:rPr>
              <w:t>1</w:t>
            </w:r>
            <w:r w:rsidRPr="0021666B">
              <w:t>)</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5"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B56174" w:rsidP="0021666B">
            <w:pPr>
              <w:pStyle w:val="AERtabletextright"/>
              <w:cnfStyle w:val="000000000000" w:firstRow="0" w:lastRow="0" w:firstColumn="0" w:lastColumn="0" w:oddVBand="0" w:evenVBand="0" w:oddHBand="0" w:evenHBand="0"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49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(I</w:t>
            </w:r>
            <w:r w:rsidRPr="0021666B">
              <w:rPr>
                <w:rStyle w:val="AERsubscript"/>
              </w:rPr>
              <w:t>2</w:t>
            </w:r>
            <w:r w:rsidRPr="0021666B">
              <w:t>)</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(I</w:t>
            </w:r>
            <w:r w:rsidRPr="0021666B">
              <w:rPr>
                <w:rStyle w:val="AERsubscript"/>
              </w:rPr>
              <w:t>3</w:t>
            </w:r>
            <w:r w:rsidRPr="0021666B">
              <w:t>)</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49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(I</w:t>
            </w:r>
            <w:r w:rsidRPr="0021666B">
              <w:rPr>
                <w:rStyle w:val="AERsubscript"/>
              </w:rPr>
              <w:t>4</w:t>
            </w:r>
            <w:r w:rsidRPr="0021666B">
              <w:t>)</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(I</w:t>
            </w:r>
            <w:r w:rsidRPr="0021666B">
              <w:rPr>
                <w:rStyle w:val="AERsubscript"/>
              </w:rPr>
              <w:t>5</w:t>
            </w:r>
            <w:r w:rsidRPr="0021666B">
              <w:t>)</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494" w:type="pct"/>
            <w:tcMar>
              <w:left w:w="57" w:type="dxa"/>
              <w:right w:w="57" w:type="dxa"/>
            </w:tcMar>
            <w:vAlign w:val="top"/>
          </w:tcPr>
          <w:p w:rsidR="0021666B" w:rsidRPr="0021666B" w:rsidRDefault="0021666B" w:rsidP="0021666B">
            <w:pPr>
              <w:pStyle w:val="AERtabletextright"/>
              <w:cnfStyle w:val="000000000000" w:firstRow="0" w:lastRow="0" w:firstColumn="0" w:lastColumn="0" w:oddVBand="0" w:evenVBand="0" w:oddHBand="0" w:evenHBand="0" w:firstRowFirstColumn="0" w:firstRowLastColumn="0" w:lastRowFirstColumn="0" w:lastRowLastColumn="0"/>
            </w:pP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21666B" w:rsidRPr="0021666B" w:rsidRDefault="0021666B" w:rsidP="0021666B">
            <w:pPr>
              <w:pStyle w:val="AERtabletextleft"/>
            </w:pPr>
            <w:r w:rsidRPr="0021666B">
              <w:t>Carryover amount (C</w:t>
            </w:r>
            <w:r w:rsidRPr="0021666B">
              <w:rPr>
                <w:rStyle w:val="AERsubscript"/>
              </w:rPr>
              <w:t>t</w:t>
            </w:r>
            <w:r w:rsidRPr="0021666B">
              <w:t>)</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21666B" w:rsidRPr="0021666B" w:rsidRDefault="00B56174" w:rsidP="0021666B">
            <w:pPr>
              <w:pStyle w:val="AERtabletextright"/>
              <w:cnfStyle w:val="000000010000" w:firstRow="0" w:lastRow="0" w:firstColumn="0" w:lastColumn="0" w:oddVBand="0" w:evenVBand="0" w:oddHBand="0" w:evenHBand="1" w:firstRowFirstColumn="0" w:firstRowLastColumn="0" w:lastRowFirstColumn="0" w:lastRowLastColumn="0"/>
            </w:pPr>
            <w:r>
              <w:t>–</w:t>
            </w:r>
            <w:r w:rsidR="0021666B" w:rsidRPr="0021666B">
              <w:t>10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21666B" w:rsidRPr="0021666B" w:rsidRDefault="0021666B" w:rsidP="0021666B">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494" w:type="pct"/>
            <w:tcMar>
              <w:left w:w="57" w:type="dxa"/>
              <w:right w:w="57" w:type="dxa"/>
            </w:tcMar>
            <w:vAlign w:val="top"/>
          </w:tcPr>
          <w:p w:rsidR="0021666B" w:rsidRPr="0021666B" w:rsidRDefault="00B56174" w:rsidP="00BF4E21">
            <w:pPr>
              <w:pStyle w:val="AERtabletextright"/>
              <w:cnfStyle w:val="000000010000" w:firstRow="0" w:lastRow="0" w:firstColumn="0" w:lastColumn="0" w:oddVBand="0" w:evenVBand="0" w:oddHBand="0" w:evenHBand="1" w:firstRowFirstColumn="0" w:firstRowLastColumn="0" w:lastRowFirstColumn="0" w:lastRowLastColumn="0"/>
            </w:pPr>
            <w:r>
              <w:t>–</w:t>
            </w:r>
            <w:r w:rsidR="00BF4E21">
              <w:t>39.6</w:t>
            </w:r>
            <w:r w:rsidR="00837D83">
              <w:t>**</w:t>
            </w:r>
          </w:p>
        </w:tc>
      </w:tr>
      <w:tr w:rsidR="00837D83"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837D83" w:rsidRPr="00837D83" w:rsidRDefault="00837D83" w:rsidP="00837D83">
            <w:pPr>
              <w:pStyle w:val="AERtabletextleft"/>
            </w:pPr>
            <w:r w:rsidRPr="00837D83">
              <w:t>Benefits to NSP (F</w:t>
            </w:r>
            <w:r w:rsidRPr="00837D83">
              <w:rPr>
                <w:rStyle w:val="AERsubscript"/>
              </w:rPr>
              <w:t xml:space="preserve">t </w:t>
            </w:r>
            <w:r w:rsidRPr="00837D83">
              <w:t>– A</w:t>
            </w:r>
            <w:r w:rsidRPr="00837D83">
              <w:rPr>
                <w:rStyle w:val="AERsubscript"/>
              </w:rPr>
              <w:t>t</w:t>
            </w:r>
            <w:r w:rsidRPr="00837D83">
              <w:t xml:space="preserve"> +C</w:t>
            </w:r>
            <w:r w:rsidRPr="00837D83">
              <w:rPr>
                <w:rStyle w:val="AERsubscript"/>
              </w:rPr>
              <w:t>t</w:t>
            </w:r>
            <w:r w:rsidRPr="00837D83">
              <w:t>)</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5"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5"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20</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5"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285"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837D83" w:rsidRPr="00837D83">
              <w:t>10</w:t>
            </w:r>
          </w:p>
        </w:tc>
        <w:tc>
          <w:tcPr>
            <w:tcW w:w="494" w:type="pct"/>
            <w:tcMar>
              <w:left w:w="57" w:type="dxa"/>
              <w:right w:w="57" w:type="dxa"/>
            </w:tcMar>
            <w:vAlign w:val="top"/>
          </w:tcPr>
          <w:p w:rsidR="00837D83" w:rsidRPr="00837D83" w:rsidRDefault="00B56174" w:rsidP="00837D83">
            <w:pPr>
              <w:pStyle w:val="AERtabletextright"/>
              <w:cnfStyle w:val="000000000000" w:firstRow="0" w:lastRow="0" w:firstColumn="0" w:lastColumn="0" w:oddVBand="0" w:evenVBand="0" w:oddHBand="0" w:evenHBand="0" w:firstRowFirstColumn="0" w:firstRowLastColumn="0" w:lastRowFirstColumn="0" w:lastRowLastColumn="0"/>
            </w:pPr>
            <w:r>
              <w:t>–</w:t>
            </w:r>
            <w:r w:rsidR="00397100">
              <w:t>216.2</w:t>
            </w:r>
          </w:p>
        </w:tc>
      </w:tr>
      <w:tr w:rsidR="00837D83"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837D83" w:rsidRPr="00837D83" w:rsidRDefault="00837D83" w:rsidP="00837D83">
            <w:pPr>
              <w:pStyle w:val="AERtabletextleft"/>
            </w:pPr>
            <w:r w:rsidRPr="0021666B">
              <w:t xml:space="preserve">Benefits to consumers </w:t>
            </w:r>
            <w:r w:rsidRPr="00837D83">
              <w:br/>
              <w:t>(F</w:t>
            </w:r>
            <w:r w:rsidRPr="00837D83">
              <w:rPr>
                <w:rStyle w:val="AERsubscript"/>
              </w:rPr>
              <w:t>1</w:t>
            </w:r>
            <w:r w:rsidRPr="00837D83">
              <w:t xml:space="preserve"> – (F</w:t>
            </w:r>
            <w:r w:rsidRPr="00837D83">
              <w:rPr>
                <w:rStyle w:val="AERsubscript"/>
              </w:rPr>
              <w:t>t</w:t>
            </w:r>
            <w:r w:rsidRPr="00837D83">
              <w:t xml:space="preserve"> +C</w:t>
            </w:r>
            <w:r w:rsidRPr="00837D83">
              <w:rPr>
                <w:rStyle w:val="AERsubscript"/>
              </w:rPr>
              <w:t>t</w:t>
            </w:r>
            <w:r w:rsidRPr="00837D83">
              <w:t>))</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t>1</w:t>
            </w:r>
            <w:r w:rsidRPr="00837D83">
              <w:t>0</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837D83" w:rsidRPr="00837D83" w:rsidRDefault="00837D83" w:rsidP="00837D83">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494" w:type="pct"/>
            <w:tcMar>
              <w:left w:w="57" w:type="dxa"/>
              <w:right w:w="57" w:type="dxa"/>
            </w:tcMar>
            <w:vAlign w:val="top"/>
          </w:tcPr>
          <w:p w:rsidR="00837D83" w:rsidRPr="00837D83" w:rsidRDefault="00397100" w:rsidP="00837D83">
            <w:pPr>
              <w:pStyle w:val="AERtabletextright"/>
              <w:cnfStyle w:val="000000010000" w:firstRow="0" w:lastRow="0" w:firstColumn="0" w:lastColumn="0" w:oddVBand="0" w:evenVBand="0" w:oddHBand="0" w:evenHBand="1" w:firstRowFirstColumn="0" w:firstRowLastColumn="0" w:lastRowFirstColumn="0" w:lastRowLastColumn="0"/>
            </w:pPr>
            <w:r>
              <w:t>39.6</w:t>
            </w:r>
          </w:p>
        </w:tc>
      </w:tr>
      <w:tr w:rsidR="00397100"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397100" w:rsidRPr="00397100" w:rsidRDefault="00397100" w:rsidP="00397100">
            <w:pPr>
              <w:pStyle w:val="AERtabletextleft"/>
            </w:pPr>
            <w:r w:rsidRPr="00397100">
              <w:t>Discounted benefits to NSP**</w:t>
            </w:r>
            <w:r w:rsidR="00BF4E21">
              <w:t>*</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10</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9.4</w:t>
            </w:r>
          </w:p>
        </w:tc>
        <w:tc>
          <w:tcPr>
            <w:tcW w:w="285"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8.9</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8.4</w:t>
            </w:r>
          </w:p>
        </w:tc>
        <w:tc>
          <w:tcPr>
            <w:tcW w:w="285"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7.9</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14.9</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7.0</w:t>
            </w:r>
          </w:p>
        </w:tc>
        <w:tc>
          <w:tcPr>
            <w:tcW w:w="285"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6.7</w:t>
            </w:r>
          </w:p>
        </w:tc>
        <w:tc>
          <w:tcPr>
            <w:tcW w:w="28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6.3</w:t>
            </w:r>
          </w:p>
        </w:tc>
        <w:tc>
          <w:tcPr>
            <w:tcW w:w="285"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5.9</w:t>
            </w:r>
          </w:p>
        </w:tc>
        <w:tc>
          <w:tcPr>
            <w:tcW w:w="494" w:type="pct"/>
            <w:tcMar>
              <w:left w:w="57" w:type="dxa"/>
              <w:right w:w="57" w:type="dxa"/>
            </w:tcMar>
            <w:vAlign w:val="top"/>
          </w:tcPr>
          <w:p w:rsidR="00397100" w:rsidRPr="00397100" w:rsidRDefault="00B56174" w:rsidP="00397100">
            <w:pPr>
              <w:pStyle w:val="AERtabletextright"/>
              <w:cnfStyle w:val="000000000000" w:firstRow="0" w:lastRow="0" w:firstColumn="0" w:lastColumn="0" w:oddVBand="0" w:evenVBand="0" w:oddHBand="0" w:evenHBand="0" w:firstRowFirstColumn="0" w:firstRowLastColumn="0" w:lastRowFirstColumn="0" w:lastRowLastColumn="0"/>
            </w:pPr>
            <w:r>
              <w:t>–</w:t>
            </w:r>
            <w:r w:rsidR="00397100" w:rsidRPr="00397100">
              <w:t xml:space="preserve">120.7 </w:t>
            </w:r>
          </w:p>
        </w:tc>
      </w:tr>
      <w:tr w:rsidR="00397100"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397100" w:rsidRPr="00397100" w:rsidRDefault="00397100" w:rsidP="00BF4E21">
            <w:pPr>
              <w:pStyle w:val="AERtabletextleft"/>
            </w:pPr>
            <w:r w:rsidRPr="0021666B">
              <w:t>Discounted benefits to consumers**</w:t>
            </w:r>
            <w:r w:rsidRPr="00397100">
              <w:t>*</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397100">
              <w:t>7.</w:t>
            </w:r>
            <w:r>
              <w:t>5</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397100" w:rsidRPr="00397100" w:rsidRDefault="00397100" w:rsidP="00397100">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494" w:type="pct"/>
            <w:tcMar>
              <w:left w:w="57" w:type="dxa"/>
              <w:right w:w="57" w:type="dxa"/>
            </w:tcMar>
            <w:vAlign w:val="top"/>
          </w:tcPr>
          <w:p w:rsidR="00397100" w:rsidRPr="00397100" w:rsidRDefault="00397100" w:rsidP="00BF4E21">
            <w:pPr>
              <w:pStyle w:val="AERtabletextright"/>
              <w:cnfStyle w:val="000000010000" w:firstRow="0" w:lastRow="0" w:firstColumn="0" w:lastColumn="0" w:oddVBand="0" w:evenVBand="0" w:oddHBand="0" w:evenHBand="1" w:firstRowFirstColumn="0" w:firstRowLastColumn="0" w:lastRowFirstColumn="0" w:lastRowLastColumn="0"/>
            </w:pPr>
            <w:r w:rsidRPr="00397100">
              <w:t>22.</w:t>
            </w:r>
            <w:r>
              <w:t>1</w:t>
            </w:r>
          </w:p>
        </w:tc>
      </w:tr>
    </w:tbl>
    <w:p w:rsidR="00837D83" w:rsidRPr="00837D83" w:rsidRDefault="00CA652D" w:rsidP="00837D83">
      <w:pPr>
        <w:pStyle w:val="AERtablesource"/>
      </w:pPr>
      <w:r w:rsidRPr="00CA652D">
        <w:t>Notes:</w:t>
      </w:r>
      <w:r w:rsidRPr="00CA652D">
        <w:tab/>
      </w:r>
      <w:r w:rsidR="00BF4E21">
        <w:t>*</w:t>
      </w:r>
      <w:r w:rsidR="00837D83">
        <w:t xml:space="preserve"> This is the per annum equivalent of a –$10m incremental loss in the first year of each subsequent period.</w:t>
      </w:r>
    </w:p>
    <w:p w:rsidR="00837D83" w:rsidRDefault="00CA652D" w:rsidP="00CA652D">
      <w:pPr>
        <w:pStyle w:val="AERtablesource"/>
      </w:pPr>
      <w:r w:rsidRPr="00CA652D">
        <w:tab/>
        <w:t>*</w:t>
      </w:r>
      <w:r w:rsidR="00837D83">
        <w:t>*</w:t>
      </w:r>
      <w:r w:rsidRPr="00CA652D">
        <w:t xml:space="preserve"> </w:t>
      </w:r>
      <w:r w:rsidR="00BF4E21">
        <w:t>This is the value, in year 11 dollar terms, of a –$10m carryover in the first year of every subsequent regulatory control period.</w:t>
      </w:r>
    </w:p>
    <w:p w:rsidR="00CA652D" w:rsidRPr="00CA652D" w:rsidRDefault="00837D83" w:rsidP="00BF4E21">
      <w:pPr>
        <w:pStyle w:val="AERtablesource"/>
      </w:pPr>
      <w:r>
        <w:tab/>
        <w:t xml:space="preserve">*** </w:t>
      </w:r>
      <w:r w:rsidR="00CA652D" w:rsidRPr="00CA652D">
        <w:t>Assumes a re</w:t>
      </w:r>
      <w:r w:rsidR="00BF4E21">
        <w:t>al discount rate of 6 per cent.</w:t>
      </w:r>
    </w:p>
    <w:p w:rsidR="00986068" w:rsidRPr="00986068" w:rsidRDefault="00986068" w:rsidP="00986068">
      <w:pPr>
        <w:pStyle w:val="AERbodytext"/>
        <w:numPr>
          <w:ilvl w:val="0"/>
          <w:numId w:val="6"/>
        </w:numPr>
      </w:pPr>
      <w:r w:rsidRPr="00986068">
        <w:t>As result of these effects, the NSP will incur the efficiency loss in every year since the opex allowance is set at the efficient level (see row 'Underspend (F</w:t>
      </w:r>
      <w:r w:rsidRPr="00986068">
        <w:rPr>
          <w:rStyle w:val="AERsubscript"/>
        </w:rPr>
        <w:t>t</w:t>
      </w:r>
      <w:r w:rsidRPr="00986068">
        <w:t xml:space="preserve"> – A</w:t>
      </w:r>
      <w:r w:rsidRPr="00986068">
        <w:rPr>
          <w:rStyle w:val="AERsubscript"/>
        </w:rPr>
        <w:t>t</w:t>
      </w:r>
      <w:r w:rsidRPr="00986068">
        <w:t xml:space="preserve"> = </w:t>
      </w:r>
      <w:proofErr w:type="spellStart"/>
      <w:r w:rsidRPr="00986068">
        <w:t>U</w:t>
      </w:r>
      <w:r w:rsidRPr="00986068">
        <w:rPr>
          <w:rStyle w:val="AERsubscript"/>
        </w:rPr>
        <w:t>t</w:t>
      </w:r>
      <w:proofErr w:type="spellEnd"/>
      <w:r w:rsidRPr="00986068">
        <w:t>)' in</w:t>
      </w:r>
      <w:r w:rsidR="00CC262D">
        <w:t xml:space="preserve"> </w:t>
      </w:r>
      <w:r w:rsidR="003454F9">
        <w:fldChar w:fldCharType="begin"/>
      </w:r>
      <w:r w:rsidR="003454F9">
        <w:instrText xml:space="preserve"> REF _Ref373338623 \h </w:instrText>
      </w:r>
      <w:r w:rsidR="003454F9">
        <w:fldChar w:fldCharType="separate"/>
      </w:r>
      <w:r w:rsidR="003454F9">
        <w:t xml:space="preserve">Figure </w:t>
      </w:r>
      <w:r w:rsidR="003454F9">
        <w:rPr>
          <w:noProof/>
        </w:rPr>
        <w:t>B</w:t>
      </w:r>
      <w:r w:rsidR="003454F9">
        <w:t>.</w:t>
      </w:r>
      <w:r w:rsidR="003454F9">
        <w:rPr>
          <w:noProof/>
        </w:rPr>
        <w:t>1</w:t>
      </w:r>
      <w:r w:rsidR="003454F9">
        <w:fldChar w:fldCharType="end"/>
      </w:r>
      <w:r w:rsidRPr="00986068">
        <w:t xml:space="preserve">). </w:t>
      </w:r>
    </w:p>
    <w:p w:rsidR="00986068" w:rsidRPr="00986068" w:rsidRDefault="00986068" w:rsidP="00986068">
      <w:pPr>
        <w:pStyle w:val="AERbodytext"/>
        <w:numPr>
          <w:ilvl w:val="0"/>
          <w:numId w:val="6"/>
        </w:numPr>
      </w:pPr>
      <w:r w:rsidRPr="00986068">
        <w:t>It will also incur an EBSS penalty of $10 million in the first year of each subsequent regulatory control period (see row 'Incremental efficiency gain (I</w:t>
      </w:r>
      <w:r w:rsidRPr="00986068">
        <w:rPr>
          <w:rStyle w:val="AERsubscript"/>
        </w:rPr>
        <w:t>t</w:t>
      </w:r>
      <w:r w:rsidRPr="00986068">
        <w:t xml:space="preserve"> = </w:t>
      </w:r>
      <w:proofErr w:type="spellStart"/>
      <w:r w:rsidRPr="00986068">
        <w:t>U</w:t>
      </w:r>
      <w:r w:rsidRPr="00986068">
        <w:rPr>
          <w:rStyle w:val="AERsubscript"/>
        </w:rPr>
        <w:t>t</w:t>
      </w:r>
      <w:proofErr w:type="spellEnd"/>
      <w:r w:rsidRPr="00986068">
        <w:t xml:space="preserve"> – </w:t>
      </w:r>
      <w:proofErr w:type="spellStart"/>
      <w:r w:rsidRPr="00986068">
        <w:t>U</w:t>
      </w:r>
      <w:r w:rsidRPr="00986068">
        <w:rPr>
          <w:rStyle w:val="AERsubscript"/>
        </w:rPr>
        <w:t>t</w:t>
      </w:r>
      <w:proofErr w:type="spellEnd"/>
      <w:r w:rsidRPr="00986068">
        <w:rPr>
          <w:rStyle w:val="AERsubscript"/>
        </w:rPr>
        <w:t>–1</w:t>
      </w:r>
      <w:r w:rsidRPr="00986068">
        <w:t xml:space="preserve">)' in </w:t>
      </w:r>
      <w:r w:rsidR="003454F9">
        <w:fldChar w:fldCharType="begin"/>
      </w:r>
      <w:r w:rsidR="003454F9">
        <w:instrText xml:space="preserve"> REF _Ref373338623 \h </w:instrText>
      </w:r>
      <w:r w:rsidR="003454F9">
        <w:fldChar w:fldCharType="separate"/>
      </w:r>
      <w:r w:rsidR="003454F9">
        <w:t xml:space="preserve">Figure </w:t>
      </w:r>
      <w:r w:rsidR="003454F9">
        <w:rPr>
          <w:noProof/>
        </w:rPr>
        <w:t>B</w:t>
      </w:r>
      <w:r w:rsidR="003454F9">
        <w:t>.</w:t>
      </w:r>
      <w:r w:rsidR="003454F9">
        <w:rPr>
          <w:noProof/>
        </w:rPr>
        <w:t>1</w:t>
      </w:r>
      <w:r w:rsidR="003454F9">
        <w:fldChar w:fldCharType="end"/>
      </w:r>
      <w:r w:rsidRPr="00986068">
        <w:t>).</w:t>
      </w:r>
    </w:p>
    <w:p w:rsidR="00986068" w:rsidRPr="00986068" w:rsidRDefault="00986068" w:rsidP="00986068">
      <w:pPr>
        <w:pStyle w:val="AERbodytext"/>
        <w:numPr>
          <w:ilvl w:val="0"/>
          <w:numId w:val="6"/>
        </w:numPr>
      </w:pPr>
      <w:r w:rsidRPr="00986068">
        <w:lastRenderedPageBreak/>
        <w:t>Figure A.2 provides a more detailed illustration of how the EBSS shares the loss between the NSP and consumers over time.</w:t>
      </w:r>
    </w:p>
    <w:p w:rsidR="007003F3" w:rsidRDefault="007003F3" w:rsidP="007003F3">
      <w:pPr>
        <w:pStyle w:val="AERbodytext"/>
      </w:pPr>
      <w:r>
        <w:t xml:space="preserve">Under this scenario, the total efficiency loss is </w:t>
      </w:r>
      <w:r w:rsidRPr="007003F3">
        <w:t>$176.7 (the total sum of the 'Discounted benefits to the NSP' row and 'Discounted benefits to the consumers' row)</w:t>
      </w:r>
      <w:r>
        <w:t>.</w:t>
      </w:r>
    </w:p>
    <w:p w:rsidR="00904854" w:rsidRDefault="00CA652D" w:rsidP="007003F3">
      <w:pPr>
        <w:pStyle w:val="AERbodytext"/>
      </w:pPr>
      <w:r w:rsidRPr="00CA652D">
        <w:t>Through the operation of the EBSS with a</w:t>
      </w:r>
      <w:r w:rsidR="00BF4E21">
        <w:t>n exogenous</w:t>
      </w:r>
      <w:r w:rsidRPr="00CA652D">
        <w:t xml:space="preserve"> forecasting approach the NSP </w:t>
      </w:r>
      <w:r w:rsidR="00B56174">
        <w:t>incurs</w:t>
      </w:r>
      <w:r w:rsidR="00B56174" w:rsidRPr="00CA652D">
        <w:t xml:space="preserve"> </w:t>
      </w:r>
      <w:r w:rsidRPr="00CA652D">
        <w:t>$2</w:t>
      </w:r>
      <w:r w:rsidR="00BF4E21">
        <w:t>0</w:t>
      </w:r>
      <w:r w:rsidRPr="00CA652D">
        <w:t>6.</w:t>
      </w:r>
      <w:r w:rsidR="00BF4E21">
        <w:t>2 </w:t>
      </w:r>
      <w:r w:rsidRPr="00CA652D">
        <w:t>million (the sum of the 'Discounted benefits to the NSP' row)</w:t>
      </w:r>
      <w:r w:rsidR="007003F3">
        <w:t>.</w:t>
      </w:r>
      <w:r w:rsidRPr="00CA652D">
        <w:t xml:space="preserve"> This represents </w:t>
      </w:r>
      <w:r w:rsidR="00BF4E21">
        <w:t>117</w:t>
      </w:r>
      <w:r w:rsidRPr="00CA652D">
        <w:t xml:space="preserve"> per cent of the efficiency </w:t>
      </w:r>
      <w:r w:rsidR="00BF4E21">
        <w:t>loss</w:t>
      </w:r>
      <w:r w:rsidRPr="00CA652D">
        <w:t xml:space="preserve">. </w:t>
      </w:r>
    </w:p>
    <w:p w:rsidR="00CA652D" w:rsidRPr="00CA652D" w:rsidRDefault="00CA652D" w:rsidP="00904854">
      <w:pPr>
        <w:pStyle w:val="AERbodytext"/>
      </w:pPr>
      <w:r w:rsidRPr="00CA652D">
        <w:t xml:space="preserve">Network users </w:t>
      </w:r>
      <w:r w:rsidR="00B56174">
        <w:t>benefit by</w:t>
      </w:r>
      <w:r w:rsidR="00B56174" w:rsidRPr="00CA652D">
        <w:t xml:space="preserve"> </w:t>
      </w:r>
      <w:r w:rsidRPr="00CA652D">
        <w:t>$</w:t>
      </w:r>
      <w:r w:rsidR="00BF4E21">
        <w:t>29.6</w:t>
      </w:r>
      <w:r w:rsidRPr="00CA652D">
        <w:t xml:space="preserve"> million</w:t>
      </w:r>
      <w:r w:rsidR="00904854">
        <w:t xml:space="preserve"> </w:t>
      </w:r>
      <w:r w:rsidR="00904854" w:rsidRPr="00904854">
        <w:t>(the sum of the</w:t>
      </w:r>
      <w:r w:rsidR="00904854">
        <w:t xml:space="preserve"> 'Discounted benefits to the consumers</w:t>
      </w:r>
      <w:r w:rsidR="00904854" w:rsidRPr="00904854">
        <w:t>' row)</w:t>
      </w:r>
      <w:r w:rsidR="00904854">
        <w:t>,</w:t>
      </w:r>
      <w:r w:rsidR="00754B2B">
        <w:t xml:space="preserve"> </w:t>
      </w:r>
      <w:r w:rsidRPr="00CA652D">
        <w:t xml:space="preserve">or </w:t>
      </w:r>
      <w:r w:rsidR="00986068">
        <w:br/>
      </w:r>
      <w:r w:rsidR="00BF4E21">
        <w:t>–17</w:t>
      </w:r>
      <w:r w:rsidRPr="00CA652D">
        <w:t xml:space="preserve"> per cent, of the efficiency </w:t>
      </w:r>
      <w:r w:rsidR="00BF4E21">
        <w:t>loss</w:t>
      </w:r>
      <w:r w:rsidRPr="00CA652D">
        <w:t>.</w:t>
      </w:r>
    </w:p>
    <w:p w:rsidR="00571896" w:rsidRDefault="00571896" w:rsidP="00571896">
      <w:pPr>
        <w:pStyle w:val="Heading7"/>
      </w:pPr>
      <w:bookmarkStart w:id="35" w:name="_Ref372121735"/>
      <w:r w:rsidRPr="005F1327">
        <w:lastRenderedPageBreak/>
        <w:t xml:space="preserve">How the EBSS </w:t>
      </w:r>
      <w:r>
        <w:t xml:space="preserve">interacts with an adjusted revealed cost </w:t>
      </w:r>
      <w:r w:rsidRPr="005F1327">
        <w:t>forecasting approach</w:t>
      </w:r>
      <w:bookmarkEnd w:id="35"/>
    </w:p>
    <w:p w:rsidR="00571896" w:rsidRPr="005F1327" w:rsidRDefault="00571896" w:rsidP="00571896">
      <w:pPr>
        <w:pStyle w:val="AERbodytext"/>
        <w:numPr>
          <w:ilvl w:val="0"/>
          <w:numId w:val="6"/>
        </w:numPr>
      </w:pPr>
      <w:r w:rsidRPr="005F1327">
        <w:t>Assume a NSP's forecast opex is $100 million each year in the first regulatory per</w:t>
      </w:r>
      <w:r>
        <w:t>iod. During this period the NSP is inefficient and overspends by $10 million</w:t>
      </w:r>
      <w:r w:rsidRPr="005F1327">
        <w:t xml:space="preserve"> in each year. As a result, it deliver</w:t>
      </w:r>
      <w:r>
        <w:t>s</w:t>
      </w:r>
      <w:r w:rsidRPr="005F1327">
        <w:t xml:space="preserve"> opex at $</w:t>
      </w:r>
      <w:r>
        <w:t>110</w:t>
      </w:r>
      <w:r w:rsidRPr="005F1327">
        <w:t xml:space="preserve"> million each year for the foreseeable future (</w:t>
      </w:r>
      <w:r w:rsidR="000A1B34">
        <w:t xml:space="preserve">for simplicity </w:t>
      </w:r>
      <w:r w:rsidRPr="005F1327">
        <w:t>we are assuming no changes to scale</w:t>
      </w:r>
      <w:r w:rsidR="000A1B34">
        <w:t>,</w:t>
      </w:r>
      <w:r w:rsidRPr="005F1327">
        <w:t xml:space="preserve"> real prices</w:t>
      </w:r>
      <w:r w:rsidR="000A1B34">
        <w:t xml:space="preserve"> or productivity</w:t>
      </w:r>
      <w:r w:rsidRPr="005F1327">
        <w:t>).</w:t>
      </w:r>
    </w:p>
    <w:p w:rsidR="009E67B9" w:rsidRDefault="00571896" w:rsidP="009E67B9">
      <w:pPr>
        <w:pStyle w:val="AERbodytext"/>
      </w:pPr>
      <w:r>
        <w:t xml:space="preserve">Equal weighting is given to the revealed cost and the exogenous forecasting approach. The efficient </w:t>
      </w:r>
      <w:r w:rsidR="00AB2107">
        <w:t xml:space="preserve">benchmark </w:t>
      </w:r>
      <w:r>
        <w:t xml:space="preserve">level of opex remains $100 million. Thus the NSP's forecast opex is $105 million for each year in subsequent regulatory control periods and the NSP will </w:t>
      </w:r>
      <w:r w:rsidRPr="00571896">
        <w:t xml:space="preserve">overspend its allowance by </w:t>
      </w:r>
      <w:r>
        <w:t>$</w:t>
      </w:r>
      <w:r w:rsidRPr="00571896">
        <w:t xml:space="preserve">5 </w:t>
      </w:r>
      <w:r>
        <w:t>million</w:t>
      </w:r>
      <w:r w:rsidRPr="00571896">
        <w:t xml:space="preserve"> each year </w:t>
      </w:r>
      <w:r w:rsidR="009E67B9" w:rsidRPr="009E67B9">
        <w:t>(see row 'Underspe</w:t>
      </w:r>
      <w:r w:rsidR="009E67B9">
        <w:t>nd (F</w:t>
      </w:r>
      <w:r w:rsidR="009E67B9" w:rsidRPr="00CE64B1">
        <w:rPr>
          <w:rStyle w:val="AERsubscript"/>
        </w:rPr>
        <w:t>t</w:t>
      </w:r>
      <w:r w:rsidR="009E67B9">
        <w:t xml:space="preserve"> – A</w:t>
      </w:r>
      <w:r w:rsidR="009E67B9" w:rsidRPr="00CE64B1">
        <w:rPr>
          <w:rStyle w:val="AERsubscript"/>
        </w:rPr>
        <w:t>t</w:t>
      </w:r>
      <w:r w:rsidR="009E67B9">
        <w:t xml:space="preserve"> = </w:t>
      </w:r>
      <w:proofErr w:type="spellStart"/>
      <w:r w:rsidR="009E67B9">
        <w:t>U</w:t>
      </w:r>
      <w:r w:rsidR="009E67B9" w:rsidRPr="00CE64B1">
        <w:rPr>
          <w:rStyle w:val="AERsubscript"/>
        </w:rPr>
        <w:t>t</w:t>
      </w:r>
      <w:proofErr w:type="spellEnd"/>
      <w:r w:rsidR="009E67B9">
        <w:t>)' from year 6</w:t>
      </w:r>
      <w:r w:rsidR="00754B2B">
        <w:t xml:space="preserve"> </w:t>
      </w:r>
      <w:r w:rsidR="009E67B9">
        <w:t xml:space="preserve">in </w:t>
      </w:r>
      <w:r w:rsidR="003454F9">
        <w:fldChar w:fldCharType="begin"/>
      </w:r>
      <w:r w:rsidR="003454F9">
        <w:instrText xml:space="preserve"> REF _Ref373338553 \h </w:instrText>
      </w:r>
      <w:r w:rsidR="003454F9">
        <w:fldChar w:fldCharType="separate"/>
      </w:r>
      <w:r w:rsidR="003454F9">
        <w:t xml:space="preserve">Figure </w:t>
      </w:r>
      <w:r w:rsidR="003454F9">
        <w:rPr>
          <w:noProof/>
        </w:rPr>
        <w:t>C</w:t>
      </w:r>
      <w:r w:rsidR="003454F9">
        <w:t>.</w:t>
      </w:r>
      <w:r w:rsidR="003454F9">
        <w:rPr>
          <w:noProof/>
        </w:rPr>
        <w:t>1</w:t>
      </w:r>
      <w:r w:rsidR="003454F9">
        <w:fldChar w:fldCharType="end"/>
      </w:r>
      <w:r w:rsidR="009E67B9" w:rsidRPr="009E67B9">
        <w:t>)</w:t>
      </w:r>
      <w:r w:rsidR="000A1B34">
        <w:t>.</w:t>
      </w:r>
      <w:r w:rsidR="00CC262D">
        <w:t xml:space="preserve"> </w:t>
      </w:r>
    </w:p>
    <w:p w:rsidR="003454F9" w:rsidRDefault="003454F9" w:rsidP="003454F9">
      <w:pPr>
        <w:pStyle w:val="Caption"/>
      </w:pPr>
      <w:bookmarkStart w:id="36" w:name="_Ref373338553"/>
      <w:r>
        <w:t xml:space="preserve">Figure </w:t>
      </w:r>
      <w:r w:rsidR="009C4565">
        <w:fldChar w:fldCharType="begin"/>
      </w:r>
      <w:r w:rsidR="009C4565">
        <w:instrText xml:space="preserve"> STYLEREF 7 \s </w:instrText>
      </w:r>
      <w:r w:rsidR="009C4565">
        <w:fldChar w:fldCharType="separate"/>
      </w:r>
      <w:r>
        <w:rPr>
          <w:noProof/>
        </w:rPr>
        <w:t>C</w:t>
      </w:r>
      <w:r w:rsidR="009C4565">
        <w:rPr>
          <w:noProof/>
        </w:rPr>
        <w:fldChar w:fldCharType="end"/>
      </w:r>
      <w:r>
        <w:t>.</w:t>
      </w:r>
      <w:r w:rsidR="009C4565">
        <w:fldChar w:fldCharType="begin"/>
      </w:r>
      <w:r w:rsidR="009C4565">
        <w:instrText xml:space="preserve"> SEQ AFigure \* ARABIC \s 7 </w:instrText>
      </w:r>
      <w:r w:rsidR="009C4565">
        <w:fldChar w:fldCharType="separate"/>
      </w:r>
      <w:r>
        <w:rPr>
          <w:noProof/>
        </w:rPr>
        <w:t>1</w:t>
      </w:r>
      <w:r w:rsidR="009C4565">
        <w:rPr>
          <w:noProof/>
        </w:rPr>
        <w:fldChar w:fldCharType="end"/>
      </w:r>
      <w:bookmarkEnd w:id="36"/>
      <w:r>
        <w:tab/>
      </w:r>
      <w:r w:rsidRPr="00CA652D">
        <w:t xml:space="preserve">Example of how the EBSS </w:t>
      </w:r>
      <w:r w:rsidRPr="00CC262D">
        <w:t>interacts with an adjusted revealed cost forecast</w:t>
      </w:r>
    </w:p>
    <w:tbl>
      <w:tblPr>
        <w:tblStyle w:val="AERtable-numbers"/>
        <w:tblW w:w="5000" w:type="pct"/>
        <w:tblLook w:val="04A0" w:firstRow="1" w:lastRow="0" w:firstColumn="1" w:lastColumn="0" w:noHBand="0" w:noVBand="1"/>
      </w:tblPr>
      <w:tblGrid>
        <w:gridCol w:w="3034"/>
        <w:gridCol w:w="520"/>
        <w:gridCol w:w="519"/>
        <w:gridCol w:w="521"/>
        <w:gridCol w:w="519"/>
        <w:gridCol w:w="523"/>
        <w:gridCol w:w="519"/>
        <w:gridCol w:w="519"/>
        <w:gridCol w:w="521"/>
        <w:gridCol w:w="519"/>
        <w:gridCol w:w="523"/>
        <w:gridCol w:w="903"/>
      </w:tblGrid>
      <w:tr w:rsidR="00571896" w:rsidRPr="00FC3838" w:rsidTr="00B61E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CA652D" w:rsidRDefault="00571896" w:rsidP="00571896">
            <w:pPr>
              <w:pStyle w:val="AERtabletextleft"/>
            </w:pPr>
          </w:p>
        </w:tc>
        <w:tc>
          <w:tcPr>
            <w:tcW w:w="1423" w:type="pct"/>
            <w:gridSpan w:val="5"/>
            <w:tcMar>
              <w:left w:w="57" w:type="dxa"/>
              <w:right w:w="57" w:type="dxa"/>
            </w:tcMar>
          </w:tcPr>
          <w:p w:rsidR="00571896" w:rsidRPr="00571896" w:rsidRDefault="00571896" w:rsidP="00571896">
            <w:pPr>
              <w:pStyle w:val="AERtabletextright"/>
              <w:cnfStyle w:val="100000000000" w:firstRow="1" w:lastRow="0" w:firstColumn="0" w:lastColumn="0" w:oddVBand="0" w:evenVBand="0" w:oddHBand="0" w:evenHBand="0" w:firstRowFirstColumn="0" w:firstRowLastColumn="0" w:lastRowFirstColumn="0" w:lastRowLastColumn="0"/>
            </w:pPr>
            <w:r w:rsidRPr="00CA652D">
              <w:t>Regulatory period 1</w:t>
            </w:r>
          </w:p>
        </w:tc>
        <w:tc>
          <w:tcPr>
            <w:tcW w:w="1423" w:type="pct"/>
            <w:gridSpan w:val="5"/>
            <w:tcMar>
              <w:left w:w="57" w:type="dxa"/>
              <w:right w:w="57" w:type="dxa"/>
            </w:tcMar>
          </w:tcPr>
          <w:p w:rsidR="00571896" w:rsidRPr="00571896" w:rsidRDefault="00571896" w:rsidP="00571896">
            <w:pPr>
              <w:pStyle w:val="AERtabletextright"/>
              <w:cnfStyle w:val="100000000000" w:firstRow="1" w:lastRow="0" w:firstColumn="0" w:lastColumn="0" w:oddVBand="0" w:evenVBand="0" w:oddHBand="0" w:evenHBand="0" w:firstRowFirstColumn="0" w:firstRowLastColumn="0" w:lastRowFirstColumn="0" w:lastRowLastColumn="0"/>
            </w:pPr>
            <w:r w:rsidRPr="00CA652D">
              <w:t>Regulatory period 2</w:t>
            </w:r>
          </w:p>
        </w:tc>
        <w:tc>
          <w:tcPr>
            <w:tcW w:w="494" w:type="pct"/>
            <w:tcMar>
              <w:left w:w="57" w:type="dxa"/>
              <w:right w:w="57" w:type="dxa"/>
            </w:tcMar>
          </w:tcPr>
          <w:p w:rsidR="00571896" w:rsidRPr="00571896" w:rsidRDefault="00571896" w:rsidP="00571896">
            <w:pPr>
              <w:pStyle w:val="AERtabletextright"/>
              <w:cnfStyle w:val="100000000000" w:firstRow="1" w:lastRow="0" w:firstColumn="0" w:lastColumn="0" w:oddVBand="0" w:evenVBand="0" w:oddHBand="0" w:evenHBand="0" w:firstRowFirstColumn="0" w:firstRowLastColumn="0" w:lastRowFirstColumn="0" w:lastRowLastColumn="0"/>
            </w:pPr>
            <w:r w:rsidRPr="00CA652D">
              <w:t>Future</w:t>
            </w:r>
          </w:p>
        </w:tc>
      </w:tr>
      <w:tr w:rsidR="00571896" w:rsidRPr="00626C63"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rPr>
                <w:rStyle w:val="AERtextbold"/>
              </w:rPr>
            </w:pPr>
            <w:r w:rsidRPr="00CA652D">
              <w:rPr>
                <w:rStyle w:val="AERtextbold"/>
              </w:rPr>
              <w:t>Year</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1</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2</w:t>
            </w:r>
          </w:p>
        </w:tc>
        <w:tc>
          <w:tcPr>
            <w:tcW w:w="285"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3</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4</w:t>
            </w:r>
          </w:p>
        </w:tc>
        <w:tc>
          <w:tcPr>
            <w:tcW w:w="285"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5</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6</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7</w:t>
            </w:r>
          </w:p>
        </w:tc>
        <w:tc>
          <w:tcPr>
            <w:tcW w:w="285"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8</w:t>
            </w:r>
          </w:p>
        </w:tc>
        <w:tc>
          <w:tcPr>
            <w:tcW w:w="284"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9</w:t>
            </w:r>
          </w:p>
        </w:tc>
        <w:tc>
          <w:tcPr>
            <w:tcW w:w="285" w:type="pct"/>
            <w:tcMar>
              <w:left w:w="57" w:type="dxa"/>
              <w:right w:w="57" w:type="dxa"/>
            </w:tcMar>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CA652D">
              <w:rPr>
                <w:rStyle w:val="AERtextbold"/>
              </w:rPr>
              <w:t>10</w:t>
            </w:r>
          </w:p>
        </w:tc>
        <w:tc>
          <w:tcPr>
            <w:tcW w:w="494" w:type="pct"/>
            <w:tcMar>
              <w:left w:w="57" w:type="dxa"/>
              <w:right w:w="57" w:type="dxa"/>
            </w:tcMar>
          </w:tcPr>
          <w:p w:rsidR="00571896" w:rsidRPr="00CA652D" w:rsidRDefault="00571896" w:rsidP="00571896">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571896">
              <w:t>Forecast (F</w:t>
            </w:r>
            <w:r w:rsidRPr="00571896">
              <w:rPr>
                <w:rStyle w:val="AERsubscript"/>
              </w:rPr>
              <w:t>t</w:t>
            </w:r>
            <w:r w:rsidRPr="00571896">
              <w:t>)</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105</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105</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105</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105</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105</w:t>
            </w:r>
          </w:p>
        </w:tc>
        <w:tc>
          <w:tcPr>
            <w:tcW w:w="49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571896">
              <w:t>1</w:t>
            </w:r>
            <w:r>
              <w:t>05</w:t>
            </w:r>
            <w:r w:rsidRPr="00571896">
              <w:t xml:space="preserve"> p.a.</w:t>
            </w:r>
          </w:p>
        </w:tc>
      </w:tr>
      <w:tr w:rsidR="00571896"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Actual (A</w:t>
            </w:r>
            <w:r w:rsidRPr="00571896">
              <w:rPr>
                <w:rStyle w:val="AERsubscript"/>
              </w:rPr>
              <w:t>t</w:t>
            </w:r>
            <w:r w:rsidRPr="00571896">
              <w:t>)</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w:t>
            </w:r>
          </w:p>
        </w:tc>
        <w:tc>
          <w:tcPr>
            <w:tcW w:w="49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110 p.a.</w:t>
            </w: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571896">
              <w:t>Underspend (F</w:t>
            </w:r>
            <w:r w:rsidRPr="00571896">
              <w:rPr>
                <w:rStyle w:val="AERsubscript"/>
              </w:rPr>
              <w:t>t</w:t>
            </w:r>
            <w:r w:rsidRPr="00571896">
              <w:t xml:space="preserve"> – A</w:t>
            </w:r>
            <w:r w:rsidRPr="00571896">
              <w:rPr>
                <w:rStyle w:val="AERsubscript"/>
              </w:rPr>
              <w:t>t</w:t>
            </w:r>
            <w:r w:rsidRPr="00571896">
              <w:t xml:space="preserve"> = </w:t>
            </w:r>
            <w:proofErr w:type="spellStart"/>
            <w:r w:rsidRPr="00571896">
              <w:t>U</w:t>
            </w:r>
            <w:r w:rsidRPr="00571896">
              <w:rPr>
                <w:rStyle w:val="AERsubscript"/>
              </w:rPr>
              <w:t>t</w:t>
            </w:r>
            <w:proofErr w:type="spellEnd"/>
            <w:r w:rsidRPr="00571896">
              <w:t>)</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10</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10</w:t>
            </w:r>
          </w:p>
        </w:tc>
        <w:tc>
          <w:tcPr>
            <w:tcW w:w="285"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10</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10</w:t>
            </w:r>
          </w:p>
        </w:tc>
        <w:tc>
          <w:tcPr>
            <w:tcW w:w="285"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10</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5</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5</w:t>
            </w:r>
          </w:p>
        </w:tc>
        <w:tc>
          <w:tcPr>
            <w:tcW w:w="285"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5</w:t>
            </w: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5</w:t>
            </w:r>
          </w:p>
        </w:tc>
        <w:tc>
          <w:tcPr>
            <w:tcW w:w="285"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571896">
              <w:t>5</w:t>
            </w:r>
          </w:p>
        </w:tc>
        <w:tc>
          <w:tcPr>
            <w:tcW w:w="49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t>5</w:t>
            </w:r>
            <w:r w:rsidR="00571896" w:rsidRPr="00571896">
              <w:t xml:space="preserve"> p.a.</w:t>
            </w:r>
          </w:p>
        </w:tc>
      </w:tr>
      <w:tr w:rsidR="00571896"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 xml:space="preserve">Incremental efficiency </w:t>
            </w:r>
            <w:r w:rsidRPr="00571896">
              <w:t>gain (I</w:t>
            </w:r>
            <w:r w:rsidRPr="00571896">
              <w:rPr>
                <w:rStyle w:val="AERsubscript"/>
              </w:rPr>
              <w:t>t</w:t>
            </w:r>
            <w:r w:rsidRPr="00571896">
              <w:t xml:space="preserve"> = </w:t>
            </w:r>
            <w:proofErr w:type="spellStart"/>
            <w:r w:rsidRPr="00571896">
              <w:t>U</w:t>
            </w:r>
            <w:r w:rsidRPr="00571896">
              <w:rPr>
                <w:rStyle w:val="AERsubscript"/>
              </w:rPr>
              <w:t>t</w:t>
            </w:r>
            <w:proofErr w:type="spellEnd"/>
            <w:r w:rsidRPr="00571896">
              <w:t xml:space="preserve"> – </w:t>
            </w:r>
            <w:proofErr w:type="spellStart"/>
            <w:r w:rsidRPr="00571896">
              <w:t>U</w:t>
            </w:r>
            <w:r w:rsidRPr="00571896">
              <w:rPr>
                <w:rStyle w:val="AERsubscript"/>
              </w:rPr>
              <w:t>t</w:t>
            </w:r>
            <w:proofErr w:type="spellEnd"/>
            <w:r w:rsidRPr="00571896">
              <w:rPr>
                <w:rStyle w:val="AERsubscript"/>
              </w:rPr>
              <w:t>–1</w:t>
            </w:r>
            <w:r w:rsidRPr="00571896">
              <w:t>)</w:t>
            </w:r>
          </w:p>
        </w:tc>
        <w:tc>
          <w:tcPr>
            <w:tcW w:w="284"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t>5</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494"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t>1.1</w:t>
            </w:r>
            <w:r w:rsidR="00571896" w:rsidRPr="00571896">
              <w:t xml:space="preserve"> p.a.*</w:t>
            </w: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21666B" w:rsidRDefault="00571896" w:rsidP="00571896">
            <w:pPr>
              <w:pStyle w:val="AERtabletextleft"/>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r>
      <w:tr w:rsidR="00571896"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Carryover (I</w:t>
            </w:r>
            <w:r w:rsidRPr="00571896">
              <w:rPr>
                <w:rStyle w:val="AERsubscript"/>
              </w:rPr>
              <w:t>1</w:t>
            </w:r>
            <w:r w:rsidRPr="00571896">
              <w:t>)</w:t>
            </w: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5"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4"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5"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4" w:type="pct"/>
            <w:tcMar>
              <w:left w:w="57" w:type="dxa"/>
              <w:right w:w="57" w:type="dxa"/>
            </w:tcMar>
            <w:vAlign w:val="top"/>
          </w:tcPr>
          <w:p w:rsidR="00571896" w:rsidRPr="00571896" w:rsidRDefault="00B56174" w:rsidP="00571896">
            <w:pPr>
              <w:pStyle w:val="AERtabletextright"/>
              <w:cnfStyle w:val="000000000000" w:firstRow="0" w:lastRow="0" w:firstColumn="0" w:lastColumn="0" w:oddVBand="0" w:evenVBand="0" w:oddHBand="0" w:evenHBand="0" w:firstRowFirstColumn="0" w:firstRowLastColumn="0" w:lastRowFirstColumn="0" w:lastRowLastColumn="0"/>
            </w:pPr>
            <w:r>
              <w:t>–</w:t>
            </w:r>
            <w:r w:rsidR="00571896" w:rsidRPr="0021666B">
              <w:t>10</w:t>
            </w: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49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Carryover (I</w:t>
            </w:r>
            <w:r w:rsidRPr="00571896">
              <w:rPr>
                <w:rStyle w:val="AERsubscript"/>
              </w:rPr>
              <w:t>2</w:t>
            </w:r>
            <w:r w:rsidRPr="00571896">
              <w:t>)</w:t>
            </w: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r>
      <w:tr w:rsidR="00571896"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Carryover (I</w:t>
            </w:r>
            <w:r w:rsidRPr="00571896">
              <w:rPr>
                <w:rStyle w:val="AERsubscript"/>
              </w:rPr>
              <w:t>3</w:t>
            </w:r>
            <w:r w:rsidRPr="00571896">
              <w:t>)</w:t>
            </w: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49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Carryover (I</w:t>
            </w:r>
            <w:r w:rsidRPr="00571896">
              <w:rPr>
                <w:rStyle w:val="AERsubscript"/>
              </w:rPr>
              <w:t>4</w:t>
            </w:r>
            <w:r w:rsidRPr="00571896">
              <w:t>)</w:t>
            </w: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49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r>
      <w:tr w:rsidR="00571896"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Carryover (I</w:t>
            </w:r>
            <w:r w:rsidRPr="00571896">
              <w:rPr>
                <w:rStyle w:val="AERsubscript"/>
              </w:rPr>
              <w:t>5</w:t>
            </w:r>
            <w:r w:rsidRPr="00571896">
              <w:t>)</w:t>
            </w: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r w:rsidRPr="0021666B">
              <w:t>0</w:t>
            </w:r>
          </w:p>
        </w:tc>
        <w:tc>
          <w:tcPr>
            <w:tcW w:w="494" w:type="pct"/>
            <w:tcMar>
              <w:left w:w="57" w:type="dxa"/>
              <w:right w:w="57" w:type="dxa"/>
            </w:tcMar>
            <w:vAlign w:val="top"/>
          </w:tcPr>
          <w:p w:rsidR="00571896" w:rsidRPr="0021666B" w:rsidRDefault="00571896" w:rsidP="00571896">
            <w:pPr>
              <w:pStyle w:val="AERtabletextright"/>
              <w:cnfStyle w:val="000000000000" w:firstRow="0" w:lastRow="0" w:firstColumn="0" w:lastColumn="0" w:oddVBand="0" w:evenVBand="0" w:oddHBand="0" w:evenHBand="0" w:firstRowFirstColumn="0" w:firstRowLastColumn="0" w:lastRowFirstColumn="0" w:lastRowLastColumn="0"/>
            </w:pP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 xml:space="preserve">Carryover </w:t>
            </w:r>
            <w:r w:rsidRPr="00571896">
              <w:t>amount (C</w:t>
            </w:r>
            <w:r w:rsidRPr="00571896">
              <w:rPr>
                <w:rStyle w:val="AERsubscript"/>
              </w:rPr>
              <w:t>t</w:t>
            </w:r>
            <w:r w:rsidRPr="00571896">
              <w:t>)</w:t>
            </w: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5" w:type="pct"/>
            <w:tcMar>
              <w:left w:w="57" w:type="dxa"/>
              <w:right w:w="57" w:type="dxa"/>
            </w:tcMar>
            <w:vAlign w:val="top"/>
          </w:tcPr>
          <w:p w:rsidR="00571896" w:rsidRPr="0021666B"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p>
        </w:tc>
        <w:tc>
          <w:tcPr>
            <w:tcW w:w="28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571896" w:rsidRPr="0021666B">
              <w:t>10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494" w:type="pct"/>
            <w:tcMar>
              <w:left w:w="57" w:type="dxa"/>
              <w:right w:w="57" w:type="dxa"/>
            </w:tcMar>
            <w:vAlign w:val="top"/>
          </w:tcPr>
          <w:p w:rsidR="00571896" w:rsidRPr="00571896"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t>19.8</w:t>
            </w:r>
            <w:r w:rsidR="00571896" w:rsidRPr="00571896">
              <w:t>**</w:t>
            </w:r>
          </w:p>
        </w:tc>
      </w:tr>
      <w:tr w:rsidR="009B26D2"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9B26D2" w:rsidRPr="009B26D2" w:rsidRDefault="009B26D2" w:rsidP="009B26D2">
            <w:pPr>
              <w:pStyle w:val="AERtabletextleft"/>
            </w:pPr>
            <w:r w:rsidRPr="009B26D2">
              <w:t>Benefits to NSP (F</w:t>
            </w:r>
            <w:r w:rsidRPr="009B26D2">
              <w:rPr>
                <w:rStyle w:val="AERsubscript"/>
              </w:rPr>
              <w:t xml:space="preserve">t </w:t>
            </w:r>
            <w:r w:rsidRPr="009B26D2">
              <w:t>– A</w:t>
            </w:r>
            <w:r w:rsidRPr="009B26D2">
              <w:rPr>
                <w:rStyle w:val="AERsubscript"/>
              </w:rPr>
              <w:t>t</w:t>
            </w:r>
            <w:r w:rsidRPr="009B26D2">
              <w:t xml:space="preserve"> +C</w:t>
            </w:r>
            <w:r w:rsidRPr="009B26D2">
              <w:rPr>
                <w:rStyle w:val="AERsubscript"/>
              </w:rPr>
              <w:t>t</w:t>
            </w:r>
            <w:r w:rsidRPr="009B26D2">
              <w:t>)</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15</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5</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5</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5</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5</w:t>
            </w:r>
          </w:p>
        </w:tc>
        <w:tc>
          <w:tcPr>
            <w:tcW w:w="49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t>108.1</w:t>
            </w:r>
          </w:p>
        </w:tc>
      </w:tr>
      <w:tr w:rsidR="00571896"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571896" w:rsidRPr="00571896" w:rsidRDefault="00571896" w:rsidP="00571896">
            <w:pPr>
              <w:pStyle w:val="AERtabletextleft"/>
            </w:pPr>
            <w:r w:rsidRPr="0021666B">
              <w:t xml:space="preserve">Benefits to consumers </w:t>
            </w:r>
            <w:r w:rsidRPr="00571896">
              <w:br/>
              <w:t>(F</w:t>
            </w:r>
            <w:r w:rsidRPr="00571896">
              <w:rPr>
                <w:rStyle w:val="AERsubscript"/>
              </w:rPr>
              <w:t>1</w:t>
            </w:r>
            <w:r w:rsidRPr="00571896">
              <w:t xml:space="preserve"> – (F</w:t>
            </w:r>
            <w:r w:rsidRPr="00571896">
              <w:rPr>
                <w:rStyle w:val="AERsubscript"/>
              </w:rPr>
              <w:t>t</w:t>
            </w:r>
            <w:r w:rsidRPr="00571896">
              <w:t xml:space="preserve"> +C</w:t>
            </w:r>
            <w:r w:rsidRPr="00571896">
              <w:rPr>
                <w:rStyle w:val="AERsubscript"/>
              </w:rPr>
              <w:t>t</w:t>
            </w:r>
            <w:r w:rsidRPr="00571896">
              <w:t>))</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t>1</w:t>
            </w:r>
            <w:r w:rsidRPr="00571896">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4"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285" w:type="pct"/>
            <w:tcMar>
              <w:left w:w="57" w:type="dxa"/>
              <w:right w:w="57" w:type="dxa"/>
            </w:tcMar>
            <w:vAlign w:val="top"/>
          </w:tcPr>
          <w:p w:rsidR="00571896" w:rsidRPr="00571896" w:rsidRDefault="00571896" w:rsidP="00571896">
            <w:pPr>
              <w:pStyle w:val="AERtabletextright"/>
              <w:cnfStyle w:val="000000010000" w:firstRow="0" w:lastRow="0" w:firstColumn="0" w:lastColumn="0" w:oddVBand="0" w:evenVBand="0" w:oddHBand="0" w:evenHBand="1" w:firstRowFirstColumn="0" w:firstRowLastColumn="0" w:lastRowFirstColumn="0" w:lastRowLastColumn="0"/>
            </w:pPr>
            <w:r w:rsidRPr="0021666B">
              <w:t>0</w:t>
            </w:r>
          </w:p>
        </w:tc>
        <w:tc>
          <w:tcPr>
            <w:tcW w:w="494" w:type="pct"/>
            <w:tcMar>
              <w:left w:w="57" w:type="dxa"/>
              <w:right w:w="57" w:type="dxa"/>
            </w:tcMar>
            <w:vAlign w:val="top"/>
          </w:tcPr>
          <w:p w:rsidR="00571896" w:rsidRPr="00571896" w:rsidRDefault="00B56174" w:rsidP="00571896">
            <w:pPr>
              <w:pStyle w:val="AERtabletextright"/>
              <w:cnfStyle w:val="000000010000" w:firstRow="0" w:lastRow="0" w:firstColumn="0" w:lastColumn="0" w:oddVBand="0" w:evenVBand="0" w:oddHBand="0" w:evenHBand="1" w:firstRowFirstColumn="0" w:firstRowLastColumn="0" w:lastRowFirstColumn="0" w:lastRowLastColumn="0"/>
            </w:pPr>
            <w:r>
              <w:t>–</w:t>
            </w:r>
            <w:r w:rsidR="009B26D2">
              <w:t>68.6</w:t>
            </w:r>
          </w:p>
        </w:tc>
      </w:tr>
      <w:tr w:rsidR="009B26D2" w:rsidRPr="00FC3838" w:rsidTr="00B61E34">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9B26D2" w:rsidRPr="009B26D2" w:rsidRDefault="009B26D2" w:rsidP="009B26D2">
            <w:pPr>
              <w:pStyle w:val="AERtabletextleft"/>
            </w:pPr>
            <w:r w:rsidRPr="009B26D2">
              <w:t>Discounted benefits to NSP***</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10</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9.4</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8.9</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8.4</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7.9</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11.2</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3.5</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3.3</w:t>
            </w:r>
          </w:p>
        </w:tc>
        <w:tc>
          <w:tcPr>
            <w:tcW w:w="28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3.1</w:t>
            </w:r>
          </w:p>
        </w:tc>
        <w:tc>
          <w:tcPr>
            <w:tcW w:w="285"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3.0</w:t>
            </w:r>
          </w:p>
        </w:tc>
        <w:tc>
          <w:tcPr>
            <w:tcW w:w="494" w:type="pct"/>
            <w:tcMar>
              <w:left w:w="57" w:type="dxa"/>
              <w:right w:w="57" w:type="dxa"/>
            </w:tcMar>
            <w:vAlign w:val="top"/>
          </w:tcPr>
          <w:p w:rsidR="009B26D2" w:rsidRPr="009B26D2" w:rsidRDefault="00B56174" w:rsidP="009B26D2">
            <w:pPr>
              <w:pStyle w:val="AERtabletextright"/>
              <w:cnfStyle w:val="000000000000" w:firstRow="0" w:lastRow="0" w:firstColumn="0" w:lastColumn="0" w:oddVBand="0" w:evenVBand="0" w:oddHBand="0" w:evenHBand="0" w:firstRowFirstColumn="0" w:firstRowLastColumn="0" w:lastRowFirstColumn="0" w:lastRowLastColumn="0"/>
            </w:pPr>
            <w:r>
              <w:t>–</w:t>
            </w:r>
            <w:r w:rsidR="009B26D2" w:rsidRPr="009B26D2">
              <w:t>60.4</w:t>
            </w:r>
          </w:p>
        </w:tc>
      </w:tr>
      <w:tr w:rsidR="009B26D2" w:rsidRPr="00FC3838" w:rsidTr="00B61E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9" w:type="pct"/>
            <w:tcMar>
              <w:left w:w="57" w:type="dxa"/>
              <w:right w:w="57" w:type="dxa"/>
            </w:tcMar>
          </w:tcPr>
          <w:p w:rsidR="009B26D2" w:rsidRPr="009B26D2" w:rsidRDefault="009B26D2" w:rsidP="009B26D2">
            <w:pPr>
              <w:pStyle w:val="AERtabletextleft"/>
            </w:pPr>
            <w:r w:rsidRPr="009B26D2">
              <w:t>Discounted benefits to consumers***</w:t>
            </w:r>
          </w:p>
        </w:tc>
        <w:tc>
          <w:tcPr>
            <w:tcW w:w="284"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0</w:t>
            </w:r>
          </w:p>
        </w:tc>
        <w:tc>
          <w:tcPr>
            <w:tcW w:w="284"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0</w:t>
            </w:r>
          </w:p>
        </w:tc>
        <w:tc>
          <w:tcPr>
            <w:tcW w:w="285"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0</w:t>
            </w:r>
          </w:p>
        </w:tc>
        <w:tc>
          <w:tcPr>
            <w:tcW w:w="284"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0</w:t>
            </w:r>
          </w:p>
        </w:tc>
        <w:tc>
          <w:tcPr>
            <w:tcW w:w="285"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0</w:t>
            </w:r>
          </w:p>
        </w:tc>
        <w:tc>
          <w:tcPr>
            <w:tcW w:w="284" w:type="pct"/>
            <w:tcMar>
              <w:left w:w="57" w:type="dxa"/>
              <w:right w:w="57" w:type="dxa"/>
            </w:tcMar>
            <w:vAlign w:val="top"/>
          </w:tcPr>
          <w:p w:rsidR="009B26D2" w:rsidRPr="009B26D2" w:rsidRDefault="009B26D2" w:rsidP="009B26D2">
            <w:pPr>
              <w:pStyle w:val="AERtabletextright"/>
              <w:cnfStyle w:val="000000010000" w:firstRow="0" w:lastRow="0" w:firstColumn="0" w:lastColumn="0" w:oddVBand="0" w:evenVBand="0" w:oddHBand="0" w:evenHBand="1" w:firstRowFirstColumn="0" w:firstRowLastColumn="0" w:lastRowFirstColumn="0" w:lastRowLastColumn="0"/>
            </w:pPr>
            <w:r w:rsidRPr="009B26D2">
              <w:t>3.7</w:t>
            </w:r>
          </w:p>
        </w:tc>
        <w:tc>
          <w:tcPr>
            <w:tcW w:w="284" w:type="pct"/>
            <w:tcMar>
              <w:left w:w="57" w:type="dxa"/>
              <w:right w:w="57" w:type="dxa"/>
            </w:tcMar>
            <w:vAlign w:val="top"/>
          </w:tcPr>
          <w:p w:rsidR="009B26D2" w:rsidRPr="009B26D2"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rsidRPr="009B26D2">
              <w:t>3.5</w:t>
            </w:r>
          </w:p>
        </w:tc>
        <w:tc>
          <w:tcPr>
            <w:tcW w:w="285" w:type="pct"/>
            <w:tcMar>
              <w:left w:w="57" w:type="dxa"/>
              <w:right w:w="57" w:type="dxa"/>
            </w:tcMar>
            <w:vAlign w:val="top"/>
          </w:tcPr>
          <w:p w:rsidR="009B26D2" w:rsidRPr="009B26D2"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rsidRPr="009B26D2">
              <w:t>3.3</w:t>
            </w:r>
          </w:p>
        </w:tc>
        <w:tc>
          <w:tcPr>
            <w:tcW w:w="284" w:type="pct"/>
            <w:tcMar>
              <w:left w:w="57" w:type="dxa"/>
              <w:right w:w="57" w:type="dxa"/>
            </w:tcMar>
            <w:vAlign w:val="top"/>
          </w:tcPr>
          <w:p w:rsidR="009B26D2" w:rsidRPr="009B26D2"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rsidRPr="009B26D2">
              <w:t>3.1</w:t>
            </w:r>
          </w:p>
        </w:tc>
        <w:tc>
          <w:tcPr>
            <w:tcW w:w="285" w:type="pct"/>
            <w:tcMar>
              <w:left w:w="57" w:type="dxa"/>
              <w:right w:w="57" w:type="dxa"/>
            </w:tcMar>
            <w:vAlign w:val="top"/>
          </w:tcPr>
          <w:p w:rsidR="009B26D2" w:rsidRPr="009B26D2"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rsidRPr="009B26D2">
              <w:t>3.0</w:t>
            </w:r>
          </w:p>
        </w:tc>
        <w:tc>
          <w:tcPr>
            <w:tcW w:w="494" w:type="pct"/>
            <w:tcMar>
              <w:left w:w="57" w:type="dxa"/>
              <w:right w:w="57" w:type="dxa"/>
            </w:tcMar>
            <w:vAlign w:val="top"/>
          </w:tcPr>
          <w:p w:rsidR="009B26D2" w:rsidRPr="009B26D2" w:rsidRDefault="00B56174" w:rsidP="009B26D2">
            <w:pPr>
              <w:pStyle w:val="AERtabletextright"/>
              <w:cnfStyle w:val="000000010000" w:firstRow="0" w:lastRow="0" w:firstColumn="0" w:lastColumn="0" w:oddVBand="0" w:evenVBand="0" w:oddHBand="0" w:evenHBand="1" w:firstRowFirstColumn="0" w:firstRowLastColumn="0" w:lastRowFirstColumn="0" w:lastRowLastColumn="0"/>
            </w:pPr>
            <w:r>
              <w:t>–</w:t>
            </w:r>
            <w:r w:rsidR="009B26D2" w:rsidRPr="009B26D2">
              <w:t>38.3</w:t>
            </w:r>
          </w:p>
        </w:tc>
      </w:tr>
    </w:tbl>
    <w:p w:rsidR="00571896" w:rsidRPr="00837D83" w:rsidRDefault="00571896" w:rsidP="00571896">
      <w:pPr>
        <w:pStyle w:val="AERtablesource"/>
      </w:pPr>
      <w:r w:rsidRPr="00CA652D">
        <w:t>Notes:</w:t>
      </w:r>
      <w:r w:rsidRPr="00CA652D">
        <w:tab/>
      </w:r>
      <w:r>
        <w:t>* This is the per annum equivalent of a –$5m incremental loss in the first year of each subsequent period.</w:t>
      </w:r>
    </w:p>
    <w:p w:rsidR="00571896" w:rsidRDefault="00571896" w:rsidP="00571896">
      <w:pPr>
        <w:pStyle w:val="AERtablesource"/>
      </w:pPr>
      <w:r w:rsidRPr="00CA652D">
        <w:tab/>
        <w:t>*</w:t>
      </w:r>
      <w:r>
        <w:t>*</w:t>
      </w:r>
      <w:r w:rsidRPr="00CA652D">
        <w:t xml:space="preserve"> </w:t>
      </w:r>
      <w:r>
        <w:t>This is the value, in year 11 dollar terms, of a –$</w:t>
      </w:r>
      <w:r w:rsidR="009B26D2">
        <w:t>5</w:t>
      </w:r>
      <w:r>
        <w:t>m carryover in the first year of every subsequent regulatory control period.</w:t>
      </w:r>
    </w:p>
    <w:p w:rsidR="00571896" w:rsidRPr="00CA652D" w:rsidRDefault="00571896" w:rsidP="00571896">
      <w:pPr>
        <w:pStyle w:val="AERtablesource"/>
      </w:pPr>
      <w:r>
        <w:tab/>
        <w:t xml:space="preserve">*** </w:t>
      </w:r>
      <w:r w:rsidRPr="00CA652D">
        <w:t>Assumes a re</w:t>
      </w:r>
      <w:r>
        <w:t>al discount rate of 6 per cent.</w:t>
      </w:r>
    </w:p>
    <w:p w:rsidR="000A1B34" w:rsidRPr="000A1B34" w:rsidRDefault="000A1B34" w:rsidP="000A1B34">
      <w:pPr>
        <w:pStyle w:val="AERbodytext"/>
        <w:numPr>
          <w:ilvl w:val="0"/>
          <w:numId w:val="6"/>
        </w:numPr>
      </w:pPr>
      <w:r w:rsidRPr="000A1B34">
        <w:t xml:space="preserve">It will also receive an EBSS penalty of $10 million in the first year of the </w:t>
      </w:r>
      <w:r w:rsidR="00B56174">
        <w:t>second</w:t>
      </w:r>
      <w:r w:rsidR="00B56174" w:rsidRPr="000A1B34">
        <w:t xml:space="preserve"> </w:t>
      </w:r>
      <w:r w:rsidRPr="000A1B34">
        <w:t xml:space="preserve">regulatory control period and $5 million in the first year of </w:t>
      </w:r>
      <w:r w:rsidR="00B56174">
        <w:t xml:space="preserve">the third and </w:t>
      </w:r>
      <w:r w:rsidRPr="000A1B34">
        <w:t xml:space="preserve">subsequent regulatory control periods (see row </w:t>
      </w:r>
      <w:r w:rsidRPr="000A1B34">
        <w:lastRenderedPageBreak/>
        <w:t>'Carryover amount (C</w:t>
      </w:r>
      <w:r w:rsidRPr="000A1B34">
        <w:rPr>
          <w:rStyle w:val="AERsubscript"/>
        </w:rPr>
        <w:t>t</w:t>
      </w:r>
      <w:r w:rsidRPr="000A1B34">
        <w:t>)' for year 6 in Figure A.3).</w:t>
      </w:r>
      <w:r w:rsidRPr="000A1B34">
        <w:rPr>
          <w:rStyle w:val="FootnoteReference"/>
        </w:rPr>
        <w:footnoteReference w:id="34"/>
      </w:r>
      <w:r w:rsidRPr="000A1B34">
        <w:t xml:space="preserve"> </w:t>
      </w:r>
      <w:r w:rsidR="003454F9">
        <w:fldChar w:fldCharType="begin"/>
      </w:r>
      <w:r w:rsidR="003454F9">
        <w:instrText xml:space="preserve"> REF _Ref373338553 \h </w:instrText>
      </w:r>
      <w:r w:rsidR="003454F9">
        <w:fldChar w:fldCharType="separate"/>
      </w:r>
      <w:r w:rsidR="003454F9">
        <w:t xml:space="preserve">Figure </w:t>
      </w:r>
      <w:r w:rsidR="003454F9">
        <w:rPr>
          <w:noProof/>
        </w:rPr>
        <w:t>C</w:t>
      </w:r>
      <w:r w:rsidR="003454F9">
        <w:t>.</w:t>
      </w:r>
      <w:r w:rsidR="003454F9">
        <w:rPr>
          <w:noProof/>
        </w:rPr>
        <w:t>1</w:t>
      </w:r>
      <w:r w:rsidR="003454F9">
        <w:fldChar w:fldCharType="end"/>
      </w:r>
      <w:r w:rsidRPr="000A1B34">
        <w:t xml:space="preserve"> provides a more detailed illustration of how the losses are shared between NSPs and consumers over time.</w:t>
      </w:r>
    </w:p>
    <w:p w:rsidR="00A15E01" w:rsidRPr="00A15E01" w:rsidRDefault="00A15E01" w:rsidP="00A15E01">
      <w:pPr>
        <w:pStyle w:val="AERbodytext"/>
        <w:numPr>
          <w:ilvl w:val="0"/>
          <w:numId w:val="6"/>
        </w:numPr>
      </w:pPr>
      <w:r w:rsidRPr="00A15E01">
        <w:t xml:space="preserve">Under this scenario, the total efficiency loss is </w:t>
      </w:r>
      <w:r w:rsidR="00310892">
        <w:t xml:space="preserve">again </w:t>
      </w:r>
      <w:r w:rsidRPr="00A15E01">
        <w:t>$176.7 (the total sum of the 'Discounted benefits to the NSP' row and 'Discounted benefits to the consumers' row).</w:t>
      </w:r>
    </w:p>
    <w:p w:rsidR="00A15E01" w:rsidRPr="00A15E01" w:rsidRDefault="00A15E01" w:rsidP="00A15E01">
      <w:pPr>
        <w:pStyle w:val="AERbodytext"/>
        <w:numPr>
          <w:ilvl w:val="0"/>
          <w:numId w:val="6"/>
        </w:numPr>
      </w:pPr>
      <w:r w:rsidRPr="00A15E01">
        <w:t>Through the operation of the EBSS with the adjusted revealed cost forecasting approach the NSP retains $129.2 million (the sum of the 'Discounted benefits to the NSP' row)</w:t>
      </w:r>
      <w:r>
        <w:t xml:space="preserve">. </w:t>
      </w:r>
      <w:r w:rsidRPr="00A15E01">
        <w:t>This represents 73</w:t>
      </w:r>
      <w:r w:rsidR="004801F4">
        <w:t> </w:t>
      </w:r>
      <w:r w:rsidRPr="00A15E01">
        <w:t>per</w:t>
      </w:r>
      <w:r w:rsidR="004801F4">
        <w:t> </w:t>
      </w:r>
      <w:r w:rsidRPr="00A15E01">
        <w:t xml:space="preserve">cent of the efficiency loss. </w:t>
      </w:r>
    </w:p>
    <w:p w:rsidR="00A15E01" w:rsidRPr="00A15E01" w:rsidRDefault="00A15E01" w:rsidP="00A15E01">
      <w:pPr>
        <w:pStyle w:val="AERbodytext"/>
      </w:pPr>
      <w:r w:rsidRPr="00A15E01">
        <w:t>Network users retain $47.5 million</w:t>
      </w:r>
      <w:r>
        <w:t xml:space="preserve"> </w:t>
      </w:r>
      <w:r w:rsidRPr="00A15E01">
        <w:t>(the sum of the 'Discounted benefits to the consumers' row), or 27</w:t>
      </w:r>
      <w:r w:rsidR="004801F4">
        <w:t> </w:t>
      </w:r>
      <w:r w:rsidRPr="00A15E01">
        <w:t>per cent, of the efficiency loss.</w:t>
      </w:r>
    </w:p>
    <w:p w:rsidR="00FC3481" w:rsidRDefault="00FC3481" w:rsidP="00140E44">
      <w:pPr>
        <w:pStyle w:val="Heading7"/>
      </w:pPr>
      <w:bookmarkStart w:id="37" w:name="_Ref370475101"/>
      <w:r w:rsidRPr="00140E44">
        <w:lastRenderedPageBreak/>
        <w:t>Summary of submissions</w:t>
      </w:r>
      <w:bookmarkEnd w:id="37"/>
    </w:p>
    <w:p w:rsidR="00FC3481" w:rsidRPr="003A3D75" w:rsidRDefault="001D078A" w:rsidP="00AD553B">
      <w:pPr>
        <w:pStyle w:val="Caption"/>
        <w:rPr>
          <w:rStyle w:val="AERtexthighlight"/>
        </w:rPr>
      </w:pPr>
      <w:proofErr w:type="gramStart"/>
      <w:r>
        <w:t xml:space="preserve">Table </w:t>
      </w:r>
      <w:r w:rsidR="009C4565">
        <w:fldChar w:fldCharType="begin"/>
      </w:r>
      <w:r w:rsidR="009C4565">
        <w:instrText xml:space="preserve"> STYLEREF 7 \s </w:instrText>
      </w:r>
      <w:r w:rsidR="009C4565">
        <w:fldChar w:fldCharType="separate"/>
      </w:r>
      <w:r>
        <w:rPr>
          <w:noProof/>
        </w:rPr>
        <w:t>D</w:t>
      </w:r>
      <w:r w:rsidR="009C4565">
        <w:rPr>
          <w:noProof/>
        </w:rPr>
        <w:fldChar w:fldCharType="end"/>
      </w:r>
      <w:r>
        <w:t>.</w:t>
      </w:r>
      <w:proofErr w:type="gramEnd"/>
      <w:r>
        <w:fldChar w:fldCharType="begin"/>
      </w:r>
      <w:r>
        <w:instrText xml:space="preserve"> SEQ ATable \* ARABIC \s 7 </w:instrText>
      </w:r>
      <w:r>
        <w:fldChar w:fldCharType="separate"/>
      </w:r>
      <w:r>
        <w:rPr>
          <w:noProof/>
        </w:rPr>
        <w:t>1</w:t>
      </w:r>
      <w:r>
        <w:fldChar w:fldCharType="end"/>
      </w:r>
      <w:r>
        <w:tab/>
      </w:r>
      <w:r w:rsidR="00FC3481">
        <w:t xml:space="preserve">Summary of submissions on </w:t>
      </w:r>
      <w:r w:rsidR="00AD553B" w:rsidRPr="00AD553B">
        <w:t>the EBSS</w:t>
      </w:r>
    </w:p>
    <w:tbl>
      <w:tblPr>
        <w:tblStyle w:val="AERtable-text"/>
        <w:tblW w:w="0" w:type="auto"/>
        <w:tblLayout w:type="fixed"/>
        <w:tblLook w:val="04A0" w:firstRow="1" w:lastRow="0" w:firstColumn="1" w:lastColumn="0" w:noHBand="0" w:noVBand="1"/>
      </w:tblPr>
      <w:tblGrid>
        <w:gridCol w:w="1888"/>
        <w:gridCol w:w="1608"/>
        <w:gridCol w:w="5746"/>
      </w:tblGrid>
      <w:tr w:rsidR="00FC3481" w:rsidTr="00AD553B">
        <w:trPr>
          <w:cnfStyle w:val="100000000000" w:firstRow="1" w:lastRow="0" w:firstColumn="0" w:lastColumn="0" w:oddVBand="0" w:evenVBand="0" w:oddHBand="0" w:evenHBand="0" w:firstRowFirstColumn="0" w:firstRowLastColumn="0" w:lastRowFirstColumn="0" w:lastRowLastColumn="0"/>
        </w:trPr>
        <w:tc>
          <w:tcPr>
            <w:tcW w:w="1888" w:type="dxa"/>
          </w:tcPr>
          <w:p w:rsidR="00FC3481" w:rsidRPr="00FC3481" w:rsidRDefault="00FC3481" w:rsidP="00FC3481">
            <w:pPr>
              <w:pStyle w:val="AERtabletextleft"/>
            </w:pPr>
            <w:r>
              <w:t>Issue</w:t>
            </w:r>
          </w:p>
        </w:tc>
        <w:tc>
          <w:tcPr>
            <w:tcW w:w="1608" w:type="dxa"/>
          </w:tcPr>
          <w:p w:rsidR="00FC3481" w:rsidRPr="00FC3481" w:rsidRDefault="00FC3481" w:rsidP="00FC3481">
            <w:pPr>
              <w:pStyle w:val="AERtabletextleft"/>
            </w:pPr>
            <w:r>
              <w:t>Stakeholder</w:t>
            </w:r>
          </w:p>
        </w:tc>
        <w:tc>
          <w:tcPr>
            <w:tcW w:w="5746" w:type="dxa"/>
          </w:tcPr>
          <w:p w:rsidR="00FC3481" w:rsidRPr="00FC3481" w:rsidRDefault="00FC3481" w:rsidP="00FC3481">
            <w:pPr>
              <w:pStyle w:val="AERtabletextleft"/>
            </w:pPr>
            <w:r>
              <w:t>Summary</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Carryover period</w:t>
            </w:r>
          </w:p>
        </w:tc>
        <w:tc>
          <w:tcPr>
            <w:tcW w:w="1608" w:type="dxa"/>
          </w:tcPr>
          <w:p w:rsidR="00AD553B" w:rsidRPr="00AD553B" w:rsidRDefault="00AD553B" w:rsidP="00FC3838">
            <w:pPr>
              <w:pStyle w:val="AERtabletextleft"/>
              <w:rPr>
                <w:rFonts w:eastAsia="Calibri"/>
              </w:rPr>
            </w:pPr>
            <w:r w:rsidRPr="00AD553B">
              <w:rPr>
                <w:rFonts w:eastAsia="Calibri"/>
              </w:rPr>
              <w:t>Ergon</w:t>
            </w:r>
          </w:p>
        </w:tc>
        <w:tc>
          <w:tcPr>
            <w:tcW w:w="5746" w:type="dxa"/>
          </w:tcPr>
          <w:p w:rsidR="00AD553B" w:rsidRPr="00AD553B" w:rsidRDefault="00AD553B" w:rsidP="00FC3838">
            <w:pPr>
              <w:pStyle w:val="AERtabletextleft"/>
              <w:rPr>
                <w:rFonts w:eastAsia="Calibri"/>
              </w:rPr>
            </w:pPr>
            <w:r w:rsidRPr="00AD553B">
              <w:rPr>
                <w:rFonts w:eastAsia="Calibri"/>
              </w:rPr>
              <w:t>Consideration should be given to aligning the application of the EBSS with the regulatory control period in circumstances where that period extends beyond five years.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Carryover period</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FC3838">
            <w:pPr>
              <w:pStyle w:val="AERtabletextleft"/>
              <w:rPr>
                <w:rFonts w:eastAsia="Calibri"/>
              </w:rPr>
            </w:pPr>
            <w:r w:rsidRPr="00AD553B">
              <w:rPr>
                <w:rFonts w:eastAsia="Calibri"/>
              </w:rPr>
              <w:t>The EBSS should accommodate regulatory control periods longer than five years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Carryover period</w:t>
            </w:r>
          </w:p>
        </w:tc>
        <w:tc>
          <w:tcPr>
            <w:tcW w:w="1608" w:type="dxa"/>
          </w:tcPr>
          <w:p w:rsidR="00AD553B" w:rsidRPr="00AD553B" w:rsidRDefault="00AD553B" w:rsidP="00FC3838">
            <w:pPr>
              <w:pStyle w:val="AERtabletextleft"/>
              <w:rPr>
                <w:rFonts w:eastAsia="Calibri"/>
              </w:rPr>
            </w:pPr>
            <w:r w:rsidRPr="00AD553B">
              <w:rPr>
                <w:rFonts w:eastAsia="Calibri"/>
              </w:rPr>
              <w:t>SP AusNet</w:t>
            </w:r>
          </w:p>
        </w:tc>
        <w:tc>
          <w:tcPr>
            <w:tcW w:w="5746" w:type="dxa"/>
          </w:tcPr>
          <w:p w:rsidR="00AD553B" w:rsidRPr="00AD553B" w:rsidRDefault="00AD553B" w:rsidP="00FC3838">
            <w:pPr>
              <w:pStyle w:val="AERtabletextleft"/>
              <w:rPr>
                <w:rFonts w:eastAsia="Calibri"/>
              </w:rPr>
            </w:pPr>
            <w:r w:rsidRPr="00AD553B">
              <w:rPr>
                <w:rFonts w:eastAsia="Calibri"/>
              </w:rPr>
              <w:t xml:space="preserve">The </w:t>
            </w:r>
            <w:r w:rsidR="00986B8D">
              <w:rPr>
                <w:rFonts w:eastAsia="Calibri"/>
              </w:rPr>
              <w:t>p</w:t>
            </w:r>
            <w:r w:rsidRPr="00AD553B">
              <w:rPr>
                <w:rFonts w:eastAsia="Calibri"/>
              </w:rPr>
              <w:t xml:space="preserve">roposed EBSS does not make clear how it would operate where a regulatory period is not five years. NSPs should retain the opex efficiencies they generate for at least the six years that would occur under the ‘default’ scheme. For regulatory periods of longer than five years it would be appropriate to match the EBSS to the duration of the regulatory </w:t>
            </w:r>
            <w:r w:rsidR="00C64F13">
              <w:rPr>
                <w:rFonts w:eastAsia="Calibri"/>
              </w:rPr>
              <w:t>p</w:t>
            </w:r>
            <w:r w:rsidRPr="00AD553B">
              <w:rPr>
                <w:rFonts w:eastAsia="Calibri"/>
              </w:rPr>
              <w:t>eriod.</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Carryover period</w:t>
            </w:r>
          </w:p>
        </w:tc>
        <w:tc>
          <w:tcPr>
            <w:tcW w:w="1608" w:type="dxa"/>
          </w:tcPr>
          <w:p w:rsidR="00AD553B" w:rsidRPr="00AD553B" w:rsidRDefault="00AD553B" w:rsidP="00FC3838">
            <w:pPr>
              <w:pStyle w:val="AERtabletextleft"/>
              <w:rPr>
                <w:rFonts w:eastAsia="Calibri"/>
              </w:rPr>
            </w:pPr>
            <w:r w:rsidRPr="00AD553B">
              <w:rPr>
                <w:rFonts w:eastAsia="Calibri"/>
              </w:rPr>
              <w:t>ENA</w:t>
            </w:r>
          </w:p>
        </w:tc>
        <w:tc>
          <w:tcPr>
            <w:tcW w:w="5746" w:type="dxa"/>
          </w:tcPr>
          <w:p w:rsidR="00AD553B" w:rsidRPr="00AD553B" w:rsidRDefault="00AD553B" w:rsidP="00FC3838">
            <w:pPr>
              <w:pStyle w:val="AERtabletextleft"/>
              <w:rPr>
                <w:rFonts w:eastAsia="Calibri"/>
              </w:rPr>
            </w:pPr>
            <w:r w:rsidRPr="00AD553B">
              <w:rPr>
                <w:rFonts w:eastAsia="Calibri"/>
              </w:rPr>
              <w:t>The EBSS should align the regulatory control period with the application of the schemes if the regulatory control period is longer than five years.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PIAC</w:t>
            </w:r>
          </w:p>
        </w:tc>
        <w:tc>
          <w:tcPr>
            <w:tcW w:w="5746" w:type="dxa"/>
          </w:tcPr>
          <w:p w:rsidR="00AD553B" w:rsidRPr="00AD553B" w:rsidRDefault="00AD553B" w:rsidP="00FC3838">
            <w:pPr>
              <w:pStyle w:val="AERtabletextleft"/>
              <w:rPr>
                <w:rFonts w:eastAsia="Calibri"/>
              </w:rPr>
            </w:pPr>
            <w:r w:rsidRPr="00AD553B">
              <w:rPr>
                <w:rFonts w:eastAsia="Calibri"/>
              </w:rPr>
              <w:t>Welcomed the removal of specific exclusions and adjustments.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APA</w:t>
            </w:r>
          </w:p>
        </w:tc>
        <w:tc>
          <w:tcPr>
            <w:tcW w:w="5746" w:type="dxa"/>
          </w:tcPr>
          <w:p w:rsidR="00AD553B" w:rsidRPr="00AD553B" w:rsidRDefault="00723456" w:rsidP="00FC3838">
            <w:pPr>
              <w:pStyle w:val="AERtabletextleft"/>
              <w:rPr>
                <w:rFonts w:eastAsia="Calibri"/>
              </w:rPr>
            </w:pPr>
            <w:r>
              <w:rPr>
                <w:rFonts w:eastAsia="Calibri"/>
              </w:rPr>
              <w:t>Did</w:t>
            </w:r>
            <w:r w:rsidRPr="00AD553B">
              <w:rPr>
                <w:rFonts w:eastAsia="Calibri"/>
              </w:rPr>
              <w:t xml:space="preserve"> </w:t>
            </w:r>
            <w:r w:rsidR="00AD553B" w:rsidRPr="00AD553B">
              <w:rPr>
                <w:rFonts w:eastAsia="Calibri"/>
              </w:rPr>
              <w:t>not support the inclusion of uncontrollable costs in the EBSS.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APA</w:t>
            </w:r>
          </w:p>
        </w:tc>
        <w:tc>
          <w:tcPr>
            <w:tcW w:w="5746" w:type="dxa"/>
          </w:tcPr>
          <w:p w:rsidR="00AD553B" w:rsidRPr="00AD553B" w:rsidRDefault="00AD553B" w:rsidP="00723456">
            <w:pPr>
              <w:pStyle w:val="AERtabletextleft"/>
              <w:rPr>
                <w:rFonts w:eastAsia="Calibri"/>
              </w:rPr>
            </w:pPr>
            <w:r w:rsidRPr="00AD553B">
              <w:rPr>
                <w:rFonts w:eastAsia="Calibri"/>
              </w:rPr>
              <w:t>Consider</w:t>
            </w:r>
            <w:r w:rsidR="00723456">
              <w:rPr>
                <w:rFonts w:eastAsia="Calibri"/>
              </w:rPr>
              <w:t>ed</w:t>
            </w:r>
            <w:r w:rsidRPr="00AD553B">
              <w:rPr>
                <w:rFonts w:eastAsia="Calibri"/>
              </w:rPr>
              <w:t xml:space="preserve"> all exclusions should be specified up front.</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CP PAL SAPN</w:t>
            </w:r>
          </w:p>
        </w:tc>
        <w:tc>
          <w:tcPr>
            <w:tcW w:w="5746" w:type="dxa"/>
          </w:tcPr>
          <w:p w:rsidR="00AD553B" w:rsidRPr="00AD553B" w:rsidRDefault="00AD553B" w:rsidP="00FC3838">
            <w:pPr>
              <w:pStyle w:val="AERtabletextleft"/>
              <w:rPr>
                <w:rFonts w:eastAsia="Calibri"/>
              </w:rPr>
            </w:pPr>
            <w:r w:rsidRPr="00AD553B">
              <w:rPr>
                <w:rFonts w:eastAsia="Calibri"/>
              </w:rPr>
              <w:t>Sought greater certainty that the AER will only exclude cost categories ex post in a limited and appropriate manner.</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ENA</w:t>
            </w:r>
          </w:p>
        </w:tc>
        <w:tc>
          <w:tcPr>
            <w:tcW w:w="5746" w:type="dxa"/>
          </w:tcPr>
          <w:p w:rsidR="00AD553B" w:rsidRPr="00AD553B" w:rsidRDefault="00AD553B" w:rsidP="00FC3838">
            <w:pPr>
              <w:pStyle w:val="AERtabletextleft"/>
              <w:rPr>
                <w:rFonts w:eastAsia="Calibri"/>
              </w:rPr>
            </w:pPr>
            <w:r w:rsidRPr="00AD553B">
              <w:rPr>
                <w:rFonts w:eastAsia="Calibri"/>
              </w:rPr>
              <w:t>Uncontrollable cost</w:t>
            </w:r>
            <w:r w:rsidR="00986B8D">
              <w:rPr>
                <w:rFonts w:eastAsia="Calibri"/>
              </w:rPr>
              <w:t>s</w:t>
            </w:r>
            <w:r w:rsidRPr="00AD553B">
              <w:rPr>
                <w:rFonts w:eastAsia="Calibri"/>
              </w:rPr>
              <w:t xml:space="preserve"> should be excluded from the EBSS.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ENA</w:t>
            </w:r>
          </w:p>
        </w:tc>
        <w:tc>
          <w:tcPr>
            <w:tcW w:w="5746" w:type="dxa"/>
          </w:tcPr>
          <w:p w:rsidR="00AD553B" w:rsidRPr="00AD553B" w:rsidRDefault="00AD553B" w:rsidP="00FC3838">
            <w:pPr>
              <w:pStyle w:val="AERtabletextleft"/>
              <w:rPr>
                <w:rFonts w:eastAsia="Calibri"/>
              </w:rPr>
            </w:pPr>
            <w:r w:rsidRPr="00AD553B">
              <w:rPr>
                <w:rFonts w:eastAsia="Calibri"/>
              </w:rPr>
              <w:t>NSPs should be able to apply for pass through events to be added to the allowance for the purpose of calculating carryover amounts, even if the NSP chooses not to recover the pass through costs from network users.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Energex</w:t>
            </w:r>
          </w:p>
        </w:tc>
        <w:tc>
          <w:tcPr>
            <w:tcW w:w="5746" w:type="dxa"/>
          </w:tcPr>
          <w:p w:rsidR="00AD553B" w:rsidRPr="00AD553B" w:rsidRDefault="00AD553B" w:rsidP="00FC3838">
            <w:pPr>
              <w:pStyle w:val="AERtabletextleft"/>
              <w:rPr>
                <w:rFonts w:eastAsia="Calibri"/>
              </w:rPr>
            </w:pPr>
            <w:r w:rsidRPr="00AD553B">
              <w:rPr>
                <w:rFonts w:eastAsia="Calibri"/>
              </w:rPr>
              <w:t>NSPs should be able to nominate cost categories to be excluded from the EBSS prior to the commencement of the regulatory control period.</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Energex</w:t>
            </w:r>
          </w:p>
        </w:tc>
        <w:tc>
          <w:tcPr>
            <w:tcW w:w="5746" w:type="dxa"/>
          </w:tcPr>
          <w:p w:rsidR="00AD553B" w:rsidRPr="00AD553B" w:rsidRDefault="00AD553B" w:rsidP="00051383">
            <w:pPr>
              <w:pStyle w:val="AERtabletextleft"/>
              <w:rPr>
                <w:rFonts w:eastAsia="Calibri"/>
              </w:rPr>
            </w:pPr>
            <w:r w:rsidRPr="00AD553B">
              <w:rPr>
                <w:rFonts w:eastAsia="Calibri"/>
              </w:rPr>
              <w:t>The EBSS should allow for adjustments to allowances for uncontrollable costs</w:t>
            </w:r>
            <w:r w:rsidR="00051383">
              <w:rPr>
                <w:rFonts w:eastAsia="Calibri"/>
              </w:rPr>
              <w:t>. These should include costs that</w:t>
            </w:r>
            <w:r w:rsidRPr="00AD553B">
              <w:rPr>
                <w:rFonts w:eastAsia="Calibri"/>
              </w:rPr>
              <w:t xml:space="preserve"> would qualify for a pass</w:t>
            </w:r>
            <w:r w:rsidR="00723456">
              <w:rPr>
                <w:rFonts w:eastAsia="Calibri"/>
              </w:rPr>
              <w:t xml:space="preserve"> </w:t>
            </w:r>
            <w:r w:rsidRPr="00AD553B">
              <w:rPr>
                <w:rFonts w:eastAsia="Calibri"/>
              </w:rPr>
              <w:t xml:space="preserve">through if the NSP applied </w:t>
            </w:r>
            <w:r w:rsidR="00051383">
              <w:rPr>
                <w:rFonts w:eastAsia="Calibri"/>
              </w:rPr>
              <w:t xml:space="preserve">and costs that </w:t>
            </w:r>
            <w:r w:rsidR="00051383" w:rsidRPr="00051383">
              <w:rPr>
                <w:rFonts w:eastAsia="Calibri"/>
              </w:rPr>
              <w:t xml:space="preserve">would qualify for a pass through </w:t>
            </w:r>
            <w:r w:rsidRPr="00AD553B">
              <w:rPr>
                <w:rFonts w:eastAsia="Calibri"/>
              </w:rPr>
              <w:t>but for the materiality threshold.</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Ergon</w:t>
            </w:r>
          </w:p>
        </w:tc>
        <w:tc>
          <w:tcPr>
            <w:tcW w:w="5746" w:type="dxa"/>
          </w:tcPr>
          <w:p w:rsidR="00AD553B" w:rsidRPr="00AD553B" w:rsidRDefault="00AD553B" w:rsidP="00FC3838">
            <w:pPr>
              <w:pStyle w:val="AERtabletextleft"/>
              <w:rPr>
                <w:rFonts w:eastAsia="Calibri"/>
              </w:rPr>
            </w:pPr>
            <w:r w:rsidRPr="00AD553B">
              <w:rPr>
                <w:rFonts w:eastAsia="Calibri"/>
              </w:rPr>
              <w:t>NSPs should be able to propose exclusions for consideration by the AER in certain circumstances.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FC3838">
            <w:pPr>
              <w:pStyle w:val="AERtabletextleft"/>
              <w:rPr>
                <w:rFonts w:eastAsia="Calibri"/>
              </w:rPr>
            </w:pPr>
            <w:r w:rsidRPr="00AD553B">
              <w:rPr>
                <w:rFonts w:eastAsia="Calibri"/>
              </w:rPr>
              <w:t>NSPs should be able to propose amendments to the scheme or adjustments and exclusions.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723456">
            <w:pPr>
              <w:pStyle w:val="AERtabletextleft"/>
              <w:rPr>
                <w:rFonts w:eastAsia="Calibri"/>
              </w:rPr>
            </w:pPr>
            <w:r w:rsidRPr="00AD553B">
              <w:rPr>
                <w:rFonts w:eastAsia="Calibri"/>
              </w:rPr>
              <w:t>Detail on adjustments and exclusions should be established ex</w:t>
            </w:r>
            <w:r w:rsidR="00723456">
              <w:rPr>
                <w:rFonts w:eastAsia="Calibri"/>
              </w:rPr>
              <w:t xml:space="preserve"> </w:t>
            </w:r>
            <w:r w:rsidRPr="00AD553B">
              <w:rPr>
                <w:rFonts w:eastAsia="Calibri"/>
              </w:rPr>
              <w:t>ante in a revenue determination.</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Jemena</w:t>
            </w:r>
          </w:p>
        </w:tc>
        <w:tc>
          <w:tcPr>
            <w:tcW w:w="5746" w:type="dxa"/>
          </w:tcPr>
          <w:p w:rsidR="00AD553B" w:rsidRPr="00AD553B" w:rsidRDefault="00AD553B" w:rsidP="00FC3838">
            <w:pPr>
              <w:pStyle w:val="AERtabletextleft"/>
              <w:rPr>
                <w:rFonts w:eastAsia="Calibri"/>
              </w:rPr>
            </w:pPr>
            <w:r w:rsidRPr="00AD553B">
              <w:rPr>
                <w:rFonts w:eastAsia="Calibri"/>
              </w:rPr>
              <w:t>The exclusions allowed by the current EBSS are appropriate and should be maintained going forward.</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FC3838">
            <w:pPr>
              <w:pStyle w:val="AERtabletextleft"/>
              <w:rPr>
                <w:rFonts w:eastAsia="Calibri"/>
              </w:rPr>
            </w:pPr>
            <w:r w:rsidRPr="00AD553B">
              <w:rPr>
                <w:rFonts w:eastAsia="Calibri"/>
              </w:rPr>
              <w:t>There should be minimal adjustment made to the opex allowances and actuals. Adjustments should only be made to maintain equivalence between forecast and actual opex.</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Networks NSW</w:t>
            </w:r>
          </w:p>
        </w:tc>
        <w:tc>
          <w:tcPr>
            <w:tcW w:w="5746" w:type="dxa"/>
          </w:tcPr>
          <w:p w:rsidR="00AD553B" w:rsidRPr="00AD553B" w:rsidRDefault="00AD553B" w:rsidP="00FC3838">
            <w:pPr>
              <w:pStyle w:val="AERtabletextleft"/>
              <w:rPr>
                <w:rFonts w:eastAsia="Calibri"/>
              </w:rPr>
            </w:pPr>
            <w:r w:rsidRPr="00AD553B">
              <w:rPr>
                <w:rFonts w:eastAsia="Calibri"/>
              </w:rPr>
              <w:t>The EBSS should allow NSPs to nominate uncontrollable cost categories to be excluded from the EBSS.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lastRenderedPageBreak/>
              <w:t>Exclusions/adjustments</w:t>
            </w:r>
          </w:p>
        </w:tc>
        <w:tc>
          <w:tcPr>
            <w:tcW w:w="1608" w:type="dxa"/>
          </w:tcPr>
          <w:p w:rsidR="00AD553B" w:rsidRPr="00AD553B" w:rsidRDefault="00AD553B" w:rsidP="00FC3838">
            <w:pPr>
              <w:pStyle w:val="AERtabletextleft"/>
              <w:rPr>
                <w:rFonts w:eastAsia="Calibri"/>
              </w:rPr>
            </w:pPr>
            <w:r w:rsidRPr="00AD553B">
              <w:rPr>
                <w:rFonts w:eastAsia="Calibri"/>
              </w:rPr>
              <w:t>Networks NSW</w:t>
            </w:r>
          </w:p>
        </w:tc>
        <w:tc>
          <w:tcPr>
            <w:tcW w:w="5746" w:type="dxa"/>
          </w:tcPr>
          <w:p w:rsidR="00AD553B" w:rsidRPr="00AD553B" w:rsidRDefault="00AD553B" w:rsidP="00FC3838">
            <w:pPr>
              <w:pStyle w:val="AERtabletextleft"/>
              <w:rPr>
                <w:rFonts w:eastAsia="Calibri"/>
              </w:rPr>
            </w:pPr>
            <w:r w:rsidRPr="00AD553B">
              <w:rPr>
                <w:rFonts w:eastAsia="Calibri"/>
              </w:rPr>
              <w:t>Sought clarity on excluding cost from the EBSS not forecast using a revealed cost approach. Considered only uncontrollable costs should be excluded from the EBSS.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PIAC</w:t>
            </w:r>
          </w:p>
        </w:tc>
        <w:tc>
          <w:tcPr>
            <w:tcW w:w="5746" w:type="dxa"/>
          </w:tcPr>
          <w:p w:rsidR="00AD553B" w:rsidRPr="00AD553B" w:rsidRDefault="00986B8D" w:rsidP="00FC3838">
            <w:pPr>
              <w:pStyle w:val="AERtabletextleft"/>
              <w:rPr>
                <w:rFonts w:eastAsia="Calibri"/>
              </w:rPr>
            </w:pPr>
            <w:r>
              <w:rPr>
                <w:rFonts w:eastAsia="Calibri"/>
              </w:rPr>
              <w:t>T</w:t>
            </w:r>
            <w:r w:rsidR="00AD553B" w:rsidRPr="00AD553B">
              <w:rPr>
                <w:rFonts w:eastAsia="Calibri"/>
              </w:rPr>
              <w:t>he AER correctly recognises that there is no reason why forecasting risk associated with uncontrollable opex or growth should be shared differently than</w:t>
            </w:r>
            <w:r w:rsidR="00C64F13">
              <w:rPr>
                <w:rFonts w:eastAsia="Calibri"/>
              </w:rPr>
              <w:t xml:space="preserve"> how</w:t>
            </w:r>
            <w:r w:rsidR="00AD553B" w:rsidRPr="00AD553B">
              <w:rPr>
                <w:rFonts w:eastAsia="Calibri"/>
              </w:rPr>
              <w:t xml:space="preserve"> the forecasting risk associated with controllable opex is shared.</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SP AusNet</w:t>
            </w:r>
          </w:p>
        </w:tc>
        <w:tc>
          <w:tcPr>
            <w:tcW w:w="5746" w:type="dxa"/>
          </w:tcPr>
          <w:p w:rsidR="00AD553B" w:rsidRPr="00AD553B" w:rsidRDefault="00AD553B" w:rsidP="00FC3838">
            <w:pPr>
              <w:pStyle w:val="AERtabletextleft"/>
              <w:rPr>
                <w:rFonts w:eastAsia="Calibri"/>
              </w:rPr>
            </w:pPr>
            <w:r w:rsidRPr="00AD553B">
              <w:rPr>
                <w:rFonts w:eastAsia="Calibri"/>
              </w:rPr>
              <w:t>The proposed discretion for the AER to exclude cost</w:t>
            </w:r>
            <w:r w:rsidR="00C64F13">
              <w:rPr>
                <w:rFonts w:eastAsia="Calibri"/>
              </w:rPr>
              <w:t>s</w:t>
            </w:r>
            <w:r w:rsidRPr="00AD553B">
              <w:rPr>
                <w:rFonts w:eastAsia="Calibri"/>
              </w:rPr>
              <w:t xml:space="preserve"> from the EBSS ex post will weaken the operation of the incentive by introducing uncertainty over what the scale of benefits or penalties will be for expenditure decisions.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SP AusNet</w:t>
            </w:r>
          </w:p>
        </w:tc>
        <w:tc>
          <w:tcPr>
            <w:tcW w:w="5746" w:type="dxa"/>
          </w:tcPr>
          <w:p w:rsidR="00AD553B" w:rsidRPr="00AD553B" w:rsidRDefault="00AD553B" w:rsidP="00702811">
            <w:pPr>
              <w:pStyle w:val="AERtabletextleft"/>
              <w:rPr>
                <w:rFonts w:eastAsia="Calibri"/>
              </w:rPr>
            </w:pPr>
            <w:r w:rsidRPr="00AD553B">
              <w:rPr>
                <w:rFonts w:eastAsia="Calibri"/>
              </w:rPr>
              <w:t>The expenditure incentive schemes could be improved by allowing greater flexibility to make ex ante exclusions or to treat certain categories on a different basis.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VIC NSPs</w:t>
            </w:r>
          </w:p>
        </w:tc>
        <w:tc>
          <w:tcPr>
            <w:tcW w:w="5746" w:type="dxa"/>
          </w:tcPr>
          <w:p w:rsidR="00AD553B" w:rsidRPr="00AD553B" w:rsidRDefault="00AD553B" w:rsidP="00FC3838">
            <w:pPr>
              <w:pStyle w:val="AERtabletextleft"/>
              <w:rPr>
                <w:rFonts w:eastAsia="Calibri"/>
              </w:rPr>
            </w:pPr>
            <w:r w:rsidRPr="00AD553B">
              <w:rPr>
                <w:rFonts w:eastAsia="Calibri"/>
              </w:rPr>
              <w:t>The AER’s discretion to make ex post exclusions and adjustments should be limited.</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Exclusions/adjustments</w:t>
            </w:r>
          </w:p>
        </w:tc>
        <w:tc>
          <w:tcPr>
            <w:tcW w:w="1608" w:type="dxa"/>
          </w:tcPr>
          <w:p w:rsidR="00AD553B" w:rsidRPr="00AD553B" w:rsidRDefault="00AD553B" w:rsidP="00FC3838">
            <w:pPr>
              <w:pStyle w:val="AERtabletextleft"/>
              <w:rPr>
                <w:rFonts w:eastAsia="Calibri"/>
              </w:rPr>
            </w:pPr>
            <w:r w:rsidRPr="00AD553B">
              <w:rPr>
                <w:rFonts w:eastAsia="Calibri"/>
              </w:rPr>
              <w:t>COSBOA</w:t>
            </w:r>
          </w:p>
        </w:tc>
        <w:tc>
          <w:tcPr>
            <w:tcW w:w="5746" w:type="dxa"/>
          </w:tcPr>
          <w:p w:rsidR="00AD553B" w:rsidRPr="00AD553B" w:rsidRDefault="00AD553B" w:rsidP="00FC3838">
            <w:pPr>
              <w:pStyle w:val="AERtabletextleft"/>
              <w:rPr>
                <w:rFonts w:eastAsia="Calibri"/>
              </w:rPr>
            </w:pPr>
            <w:r w:rsidRPr="00AD553B">
              <w:rPr>
                <w:rFonts w:eastAsia="Calibri"/>
              </w:rPr>
              <w:t>Generally support including all opex items in the EBSS on the basis that excluding them would blunt any incentive for NSPs to ensure these costs are efficient.</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Cotton Australia</w:t>
            </w:r>
          </w:p>
        </w:tc>
        <w:tc>
          <w:tcPr>
            <w:tcW w:w="5746" w:type="dxa"/>
          </w:tcPr>
          <w:p w:rsidR="00AD553B" w:rsidRPr="00AD553B" w:rsidRDefault="00AD553B" w:rsidP="00FC3838">
            <w:pPr>
              <w:pStyle w:val="AERtabletextleft"/>
              <w:rPr>
                <w:rFonts w:eastAsia="Calibri"/>
              </w:rPr>
            </w:pPr>
            <w:r w:rsidRPr="00AD553B">
              <w:rPr>
                <w:rFonts w:eastAsia="Calibri"/>
              </w:rPr>
              <w:t>Support</w:t>
            </w:r>
            <w:r w:rsidR="00723456">
              <w:rPr>
                <w:rFonts w:eastAsia="Calibri"/>
              </w:rPr>
              <w:t>ed</w:t>
            </w:r>
            <w:r w:rsidRPr="00AD553B">
              <w:rPr>
                <w:rFonts w:eastAsia="Calibri"/>
              </w:rPr>
              <w:t xml:space="preserve"> CANEGROWERS submission.</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National Irrigators’ Council</w:t>
            </w:r>
          </w:p>
        </w:tc>
        <w:tc>
          <w:tcPr>
            <w:tcW w:w="5746" w:type="dxa"/>
          </w:tcPr>
          <w:p w:rsidR="00AD553B" w:rsidRPr="00AD553B" w:rsidRDefault="00AD553B" w:rsidP="00723456">
            <w:pPr>
              <w:pStyle w:val="AERtabletextleft"/>
              <w:rPr>
                <w:rFonts w:eastAsia="Calibri"/>
              </w:rPr>
            </w:pPr>
            <w:r w:rsidRPr="00AD553B">
              <w:rPr>
                <w:rFonts w:eastAsia="Calibri"/>
              </w:rPr>
              <w:t>Support</w:t>
            </w:r>
            <w:r w:rsidR="00723456">
              <w:rPr>
                <w:rFonts w:eastAsia="Calibri"/>
              </w:rPr>
              <w:t>ed</w:t>
            </w:r>
            <w:r w:rsidRPr="00AD553B">
              <w:rPr>
                <w:rFonts w:eastAsia="Calibri"/>
              </w:rPr>
              <w:t xml:space="preserve"> CANEGROWERS submission.</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Uniting Care Australia</w:t>
            </w:r>
          </w:p>
        </w:tc>
        <w:tc>
          <w:tcPr>
            <w:tcW w:w="5746" w:type="dxa"/>
          </w:tcPr>
          <w:p w:rsidR="00AD553B" w:rsidRPr="00AD553B" w:rsidRDefault="00AD553B" w:rsidP="00723456">
            <w:pPr>
              <w:pStyle w:val="AERtabletextleft"/>
              <w:rPr>
                <w:rFonts w:eastAsia="Calibri"/>
              </w:rPr>
            </w:pPr>
            <w:r w:rsidRPr="00AD553B">
              <w:rPr>
                <w:rFonts w:eastAsia="Calibri"/>
              </w:rPr>
              <w:t>Support</w:t>
            </w:r>
            <w:r w:rsidR="00723456">
              <w:rPr>
                <w:rFonts w:eastAsia="Calibri"/>
              </w:rPr>
              <w:t>ed</w:t>
            </w:r>
            <w:r w:rsidRPr="00AD553B">
              <w:rPr>
                <w:rFonts w:eastAsia="Calibri"/>
              </w:rPr>
              <w:t xml:space="preserve"> ‘the thrust’ of the EBSS. Consider</w:t>
            </w:r>
            <w:r w:rsidR="00723456">
              <w:rPr>
                <w:rFonts w:eastAsia="Calibri"/>
              </w:rPr>
              <w:t>ed</w:t>
            </w:r>
            <w:r w:rsidRPr="00AD553B">
              <w:rPr>
                <w:rFonts w:eastAsia="Calibri"/>
              </w:rPr>
              <w:t xml:space="preserve"> there needs to be close monitoring and review of the performance of the EBSS.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702811" w:rsidP="00FC3838">
            <w:pPr>
              <w:pStyle w:val="AERtabletextleft"/>
              <w:rPr>
                <w:rFonts w:eastAsia="Calibri"/>
              </w:rPr>
            </w:pPr>
            <w:r w:rsidRPr="00702811">
              <w:t>Ethnic Communities’ Council of NSW</w:t>
            </w:r>
          </w:p>
        </w:tc>
        <w:tc>
          <w:tcPr>
            <w:tcW w:w="5746" w:type="dxa"/>
          </w:tcPr>
          <w:p w:rsidR="00AD553B" w:rsidRPr="00AD553B" w:rsidRDefault="00AD553B" w:rsidP="00723456">
            <w:pPr>
              <w:pStyle w:val="AERtabletextleft"/>
              <w:rPr>
                <w:rFonts w:eastAsia="Calibri"/>
              </w:rPr>
            </w:pPr>
            <w:r w:rsidRPr="00AD553B">
              <w:rPr>
                <w:rFonts w:eastAsia="Calibri"/>
              </w:rPr>
              <w:t>Supported the symmetrical carryover with 30</w:t>
            </w:r>
            <w:r w:rsidR="00723456">
              <w:rPr>
                <w:rFonts w:eastAsia="Calibri"/>
              </w:rPr>
              <w:t xml:space="preserve"> per cent</w:t>
            </w:r>
            <w:r w:rsidRPr="00AD553B">
              <w:rPr>
                <w:rFonts w:eastAsia="Calibri"/>
              </w:rPr>
              <w:t xml:space="preserve"> sharing but believe</w:t>
            </w:r>
            <w:r w:rsidR="00723456">
              <w:rPr>
                <w:rFonts w:eastAsia="Calibri"/>
              </w:rPr>
              <w:t>d</w:t>
            </w:r>
            <w:r w:rsidRPr="00AD553B">
              <w:rPr>
                <w:rFonts w:eastAsia="Calibri"/>
              </w:rPr>
              <w:t xml:space="preserve"> it </w:t>
            </w:r>
            <w:proofErr w:type="gramStart"/>
            <w:r w:rsidRPr="00AD553B">
              <w:rPr>
                <w:rFonts w:eastAsia="Calibri"/>
              </w:rPr>
              <w:t>will need</w:t>
            </w:r>
            <w:proofErr w:type="gramEnd"/>
            <w:r w:rsidRPr="00AD553B">
              <w:rPr>
                <w:rFonts w:eastAsia="Calibri"/>
              </w:rPr>
              <w:t xml:space="preserve"> close monitoring. </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PIAC</w:t>
            </w:r>
          </w:p>
        </w:tc>
        <w:tc>
          <w:tcPr>
            <w:tcW w:w="5746" w:type="dxa"/>
          </w:tcPr>
          <w:p w:rsidR="00AD553B" w:rsidRPr="00AD553B" w:rsidRDefault="00AD553B" w:rsidP="00FC3838">
            <w:pPr>
              <w:pStyle w:val="AERtabletextleft"/>
              <w:rPr>
                <w:rFonts w:eastAsia="Calibri"/>
              </w:rPr>
            </w:pPr>
            <w:r w:rsidRPr="00AD553B">
              <w:rPr>
                <w:rFonts w:eastAsia="Calibri"/>
              </w:rPr>
              <w:t>The AER should continue to assess the effectiveness of the EBSS in driving down opex.</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APA</w:t>
            </w:r>
          </w:p>
        </w:tc>
        <w:tc>
          <w:tcPr>
            <w:tcW w:w="5746" w:type="dxa"/>
          </w:tcPr>
          <w:p w:rsidR="00AD553B" w:rsidRPr="00AD553B" w:rsidRDefault="00AD553B" w:rsidP="00FC3838">
            <w:pPr>
              <w:pStyle w:val="AERtabletextleft"/>
              <w:rPr>
                <w:rFonts w:eastAsia="Calibri"/>
              </w:rPr>
            </w:pPr>
            <w:r w:rsidRPr="00AD553B">
              <w:rPr>
                <w:rFonts w:eastAsia="Calibri"/>
              </w:rPr>
              <w:t>Consider</w:t>
            </w:r>
            <w:r w:rsidR="00723456">
              <w:rPr>
                <w:rFonts w:eastAsia="Calibri"/>
              </w:rPr>
              <w:t>ed the</w:t>
            </w:r>
            <w:r w:rsidRPr="00AD553B">
              <w:rPr>
                <w:rFonts w:eastAsia="Calibri"/>
              </w:rPr>
              <w:t xml:space="preserve"> EBSS asymmetrical because, at the efficiency frontier, efficiency losses are more likely than efficiency gains.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APA</w:t>
            </w:r>
          </w:p>
        </w:tc>
        <w:tc>
          <w:tcPr>
            <w:tcW w:w="5746" w:type="dxa"/>
          </w:tcPr>
          <w:p w:rsidR="00AD553B" w:rsidRPr="00AD553B" w:rsidRDefault="00723456" w:rsidP="00723456">
            <w:pPr>
              <w:pStyle w:val="AERtabletextleft"/>
              <w:rPr>
                <w:rFonts w:eastAsia="Calibri"/>
              </w:rPr>
            </w:pPr>
            <w:r>
              <w:rPr>
                <w:rFonts w:eastAsia="Calibri"/>
              </w:rPr>
              <w:t>The p</w:t>
            </w:r>
            <w:r w:rsidR="00AD553B" w:rsidRPr="00AD553B">
              <w:rPr>
                <w:rFonts w:eastAsia="Calibri"/>
              </w:rPr>
              <w:t>roposed EBSS only contemplates 5 year regulatory periods.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General</w:t>
            </w:r>
          </w:p>
        </w:tc>
        <w:tc>
          <w:tcPr>
            <w:tcW w:w="1608" w:type="dxa"/>
          </w:tcPr>
          <w:p w:rsidR="00AD553B" w:rsidRPr="00AD553B" w:rsidRDefault="00AD553B" w:rsidP="00FC3838">
            <w:pPr>
              <w:pStyle w:val="AERtabletextleft"/>
              <w:rPr>
                <w:rFonts w:eastAsia="Calibri"/>
              </w:rPr>
            </w:pPr>
            <w:r w:rsidRPr="00AD553B">
              <w:rPr>
                <w:rFonts w:eastAsia="Calibri"/>
              </w:rPr>
              <w:t>PIAC</w:t>
            </w:r>
          </w:p>
        </w:tc>
        <w:tc>
          <w:tcPr>
            <w:tcW w:w="5746" w:type="dxa"/>
          </w:tcPr>
          <w:p w:rsidR="00AD553B" w:rsidRPr="00AD553B" w:rsidRDefault="00AD553B" w:rsidP="00723456">
            <w:pPr>
              <w:pStyle w:val="AERtabletextleft"/>
              <w:rPr>
                <w:rFonts w:eastAsia="Calibri"/>
              </w:rPr>
            </w:pPr>
            <w:r w:rsidRPr="00AD553B">
              <w:rPr>
                <w:rFonts w:eastAsia="Calibri"/>
              </w:rPr>
              <w:t>PIAC recommend</w:t>
            </w:r>
            <w:r w:rsidR="00723456">
              <w:rPr>
                <w:rFonts w:eastAsia="Calibri"/>
              </w:rPr>
              <w:t>ed</w:t>
            </w:r>
            <w:r w:rsidRPr="00AD553B">
              <w:rPr>
                <w:rFonts w:eastAsia="Calibri"/>
              </w:rPr>
              <w:t xml:space="preserve"> that the AER undertake further quantitative and qualitative assessment of the effectiveness of the EBSS in driving more efficient opex by the NSPs, and adapt the EBSS in the future accordingly.</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CANEGROWERS</w:t>
            </w:r>
          </w:p>
        </w:tc>
        <w:tc>
          <w:tcPr>
            <w:tcW w:w="5746" w:type="dxa"/>
          </w:tcPr>
          <w:p w:rsidR="00AD553B" w:rsidRPr="00AD553B" w:rsidRDefault="00AD553B" w:rsidP="00FC3838">
            <w:pPr>
              <w:pStyle w:val="AERtabletextleft"/>
              <w:rPr>
                <w:rFonts w:eastAsia="Calibri"/>
              </w:rPr>
            </w:pPr>
            <w:proofErr w:type="gramStart"/>
            <w:r w:rsidRPr="00AD553B">
              <w:rPr>
                <w:rFonts w:eastAsia="Calibri"/>
              </w:rPr>
              <w:t>A 30:70 symmetrical sharing scheme</w:t>
            </w:r>
            <w:proofErr w:type="gramEnd"/>
            <w:r w:rsidRPr="00AD553B">
              <w:rPr>
                <w:rFonts w:eastAsia="Calibri"/>
              </w:rPr>
              <w:t xml:space="preserve"> is too generous for NSPs and requires them to carry too little risk for their investment decisions. The incentive power should be no less than 100:0.</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PIAC</w:t>
            </w:r>
          </w:p>
        </w:tc>
        <w:tc>
          <w:tcPr>
            <w:tcW w:w="5746" w:type="dxa"/>
          </w:tcPr>
          <w:p w:rsidR="00AD553B" w:rsidRPr="00AD553B" w:rsidRDefault="00AD553B" w:rsidP="00FC3838">
            <w:pPr>
              <w:pStyle w:val="AERtabletextleft"/>
              <w:rPr>
                <w:rFonts w:eastAsia="Calibri"/>
              </w:rPr>
            </w:pPr>
            <w:r w:rsidRPr="00AD553B">
              <w:rPr>
                <w:rFonts w:eastAsia="Calibri"/>
              </w:rPr>
              <w:t xml:space="preserve">Agreed </w:t>
            </w:r>
            <w:r w:rsidR="00471EBF">
              <w:rPr>
                <w:rFonts w:eastAsia="Calibri"/>
              </w:rPr>
              <w:t xml:space="preserve">with </w:t>
            </w:r>
            <w:r w:rsidRPr="00AD553B">
              <w:rPr>
                <w:rFonts w:eastAsia="Calibri"/>
              </w:rPr>
              <w:t>the proposed 30:70 sharing of gains and losses and had no objection to a symmetric EBSS.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CP PAL SAPN</w:t>
            </w:r>
          </w:p>
        </w:tc>
        <w:tc>
          <w:tcPr>
            <w:tcW w:w="5746" w:type="dxa"/>
          </w:tcPr>
          <w:p w:rsidR="00AD553B" w:rsidRPr="00AD553B" w:rsidRDefault="00AD553B" w:rsidP="00FC3838">
            <w:pPr>
              <w:pStyle w:val="AERtabletextleft"/>
              <w:rPr>
                <w:rFonts w:eastAsia="Calibri"/>
              </w:rPr>
            </w:pPr>
            <w:r w:rsidRPr="00AD553B">
              <w:rPr>
                <w:rFonts w:eastAsia="Calibri"/>
              </w:rPr>
              <w:t>Encouraged the AER to consider higher rewards for efficient firms to drive efficiency improvements for relatively inefficient firms.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CP PAL SAPN</w:t>
            </w:r>
          </w:p>
        </w:tc>
        <w:tc>
          <w:tcPr>
            <w:tcW w:w="5746" w:type="dxa"/>
          </w:tcPr>
          <w:p w:rsidR="00AD553B" w:rsidRPr="00AD553B" w:rsidRDefault="00AD553B" w:rsidP="00471EBF">
            <w:pPr>
              <w:pStyle w:val="AERtabletextleft"/>
              <w:rPr>
                <w:rFonts w:eastAsia="Calibri"/>
              </w:rPr>
            </w:pPr>
            <w:r w:rsidRPr="00AD553B">
              <w:rPr>
                <w:rFonts w:eastAsia="Calibri"/>
              </w:rPr>
              <w:t xml:space="preserve">Considered adjusting opex for expected productivity growth will reduce the EBSS incentives. Further, such an approach </w:t>
            </w:r>
            <w:r w:rsidR="00471EBF">
              <w:rPr>
                <w:rFonts w:eastAsia="Calibri"/>
              </w:rPr>
              <w:t>would</w:t>
            </w:r>
            <w:r w:rsidR="00471EBF" w:rsidRPr="00AD553B">
              <w:rPr>
                <w:rFonts w:eastAsia="Calibri"/>
              </w:rPr>
              <w:t xml:space="preserve"> </w:t>
            </w:r>
            <w:r w:rsidRPr="00AD553B">
              <w:rPr>
                <w:rFonts w:eastAsia="Calibri"/>
              </w:rPr>
              <w:t xml:space="preserve">not </w:t>
            </w:r>
            <w:r w:rsidR="00471EBF">
              <w:rPr>
                <w:rFonts w:eastAsia="Calibri"/>
              </w:rPr>
              <w:t xml:space="preserve">be </w:t>
            </w:r>
            <w:r w:rsidRPr="00AD553B">
              <w:rPr>
                <w:rFonts w:eastAsia="Calibri"/>
              </w:rPr>
              <w:t>consistent with the symmetric incentive properties of the EBSS.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Energex</w:t>
            </w:r>
          </w:p>
        </w:tc>
        <w:tc>
          <w:tcPr>
            <w:tcW w:w="5746" w:type="dxa"/>
          </w:tcPr>
          <w:p w:rsidR="00AD553B" w:rsidRPr="00AD553B" w:rsidRDefault="00AD553B" w:rsidP="00FC3838">
            <w:pPr>
              <w:pStyle w:val="AERtabletextleft"/>
              <w:rPr>
                <w:rFonts w:eastAsia="Calibri"/>
              </w:rPr>
            </w:pPr>
            <w:r w:rsidRPr="00AD553B">
              <w:rPr>
                <w:rFonts w:eastAsia="Calibri"/>
              </w:rPr>
              <w:t xml:space="preserve">To the extent </w:t>
            </w:r>
            <w:r w:rsidR="00471EBF">
              <w:rPr>
                <w:rFonts w:eastAsia="Calibri"/>
              </w:rPr>
              <w:t xml:space="preserve">the </w:t>
            </w:r>
            <w:r w:rsidRPr="00AD553B">
              <w:rPr>
                <w:rFonts w:eastAsia="Calibri"/>
              </w:rPr>
              <w:t>base year opex used to forecast opex for the subsequent regulatory control period is adjusted the sharing ratio will be impacted.</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lastRenderedPageBreak/>
              <w:t>Incentive power</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FC3838">
            <w:pPr>
              <w:pStyle w:val="AERtabletextleft"/>
              <w:rPr>
                <w:rFonts w:eastAsia="Calibri"/>
              </w:rPr>
            </w:pPr>
            <w:r w:rsidRPr="00AD553B">
              <w:rPr>
                <w:rFonts w:eastAsia="Calibri"/>
              </w:rPr>
              <w:t>The productivity factor in opex forecast could compromise the integrity of the EBSS.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7F1047">
            <w:pPr>
              <w:pStyle w:val="AERtabletextleft"/>
              <w:rPr>
                <w:rFonts w:eastAsia="Calibri"/>
              </w:rPr>
            </w:pPr>
            <w:r w:rsidRPr="00AD553B">
              <w:rPr>
                <w:rFonts w:eastAsia="Calibri"/>
              </w:rPr>
              <w:t xml:space="preserve">Adjustments to base year opex where it has evidence of material inefficiency can lead to </w:t>
            </w:r>
            <w:r w:rsidR="00243612">
              <w:rPr>
                <w:rFonts w:eastAsia="Calibri"/>
              </w:rPr>
              <w:t>a NSP</w:t>
            </w:r>
            <w:r w:rsidRPr="00AD553B">
              <w:rPr>
                <w:rFonts w:eastAsia="Calibri"/>
              </w:rPr>
              <w:t xml:space="preserve"> incurring a penalty greater than 100 per cent of the deemed inefficiency</w:t>
            </w:r>
            <w:r w:rsidR="007F1047" w:rsidRPr="00AD553B">
              <w:rPr>
                <w:rFonts w:eastAsia="Calibri"/>
              </w:rPr>
              <w:t xml:space="preserve"> </w:t>
            </w:r>
            <w:r w:rsidR="007F1047" w:rsidRPr="007F1047">
              <w:rPr>
                <w:rFonts w:eastAsia="Calibri"/>
              </w:rPr>
              <w:t>under the EBSS</w:t>
            </w:r>
            <w:r w:rsidRPr="00AD553B">
              <w:rPr>
                <w:rFonts w:eastAsia="Calibri"/>
              </w:rPr>
              <w:t>.</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2D4EF5" w:rsidP="00FC3838">
            <w:pPr>
              <w:pStyle w:val="AERtabletextleft"/>
              <w:rPr>
                <w:rFonts w:eastAsia="Calibri"/>
              </w:rPr>
            </w:pPr>
            <w:proofErr w:type="spellStart"/>
            <w:r>
              <w:rPr>
                <w:rFonts w:eastAsia="Calibri"/>
              </w:rPr>
              <w:t>Incenta</w:t>
            </w:r>
            <w:proofErr w:type="spellEnd"/>
            <w:r>
              <w:rPr>
                <w:rFonts w:eastAsia="Calibri"/>
              </w:rPr>
              <w:t xml:space="preserve"> Economic Consulting</w:t>
            </w:r>
          </w:p>
        </w:tc>
        <w:tc>
          <w:tcPr>
            <w:tcW w:w="5746" w:type="dxa"/>
          </w:tcPr>
          <w:p w:rsidR="00AD553B" w:rsidRPr="00AD553B" w:rsidRDefault="00AD553B" w:rsidP="00FC3838">
            <w:pPr>
              <w:pStyle w:val="AERtabletextleft"/>
              <w:rPr>
                <w:rFonts w:eastAsia="Calibri"/>
              </w:rPr>
            </w:pPr>
            <w:r w:rsidRPr="00AD553B">
              <w:rPr>
                <w:rFonts w:eastAsia="Calibri"/>
              </w:rPr>
              <w:t xml:space="preserve">Applying the standard EBSS while also imposing an efficiency-adjustment to the base year will potentially result in the NSP bearing more than 100 per cent of the deemed inefficiency. The penalty could be reduced to no more than </w:t>
            </w:r>
            <w:r w:rsidR="00C64F13">
              <w:rPr>
                <w:rFonts w:eastAsia="Calibri"/>
              </w:rPr>
              <w:t xml:space="preserve">100 </w:t>
            </w:r>
            <w:r w:rsidRPr="00AD553B">
              <w:rPr>
                <w:rFonts w:eastAsia="Calibri"/>
              </w:rPr>
              <w:t>per cent by adjusting either the EBSS, or by applying a correction to the base year adjustment.</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FC3838">
            <w:pPr>
              <w:pStyle w:val="AERtabletextleft"/>
              <w:rPr>
                <w:rFonts w:eastAsia="Calibri"/>
              </w:rPr>
            </w:pPr>
            <w:r w:rsidRPr="00AD553B">
              <w:rPr>
                <w:rFonts w:eastAsia="Calibri"/>
              </w:rPr>
              <w:t>The use of a revealed cost forecasting approach, even with the EBSS, provides an incentive to inflate costs in the base year.</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FC3838">
            <w:pPr>
              <w:pStyle w:val="AERtabletextleft"/>
              <w:rPr>
                <w:rFonts w:eastAsia="Calibri"/>
              </w:rPr>
            </w:pPr>
            <w:r w:rsidRPr="00AD553B">
              <w:rPr>
                <w:rFonts w:eastAsia="Calibri"/>
              </w:rPr>
              <w:t>Increasing the incentive power could be considered if there is clear evidence that doing so would increase the benefit to consumers. If the power was increased there would need to be equivalent changes to other incentive schemes.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VIC NSPs</w:t>
            </w:r>
          </w:p>
        </w:tc>
        <w:tc>
          <w:tcPr>
            <w:tcW w:w="5746" w:type="dxa"/>
          </w:tcPr>
          <w:p w:rsidR="00AD553B" w:rsidRPr="00AD553B" w:rsidRDefault="00AD553B" w:rsidP="00FC3838">
            <w:pPr>
              <w:pStyle w:val="AERtabletextleft"/>
              <w:rPr>
                <w:rFonts w:eastAsia="Calibri"/>
              </w:rPr>
            </w:pPr>
            <w:r w:rsidRPr="00AD553B">
              <w:rPr>
                <w:rFonts w:eastAsia="Calibri"/>
              </w:rPr>
              <w:t>The AER’s proposal to incorporate a productivity factor in opex forecasts would inappropriately impact the symmetry of the EBSS and the balance of incentives across other schemes.</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Incentive power</w:t>
            </w:r>
          </w:p>
        </w:tc>
        <w:tc>
          <w:tcPr>
            <w:tcW w:w="1608" w:type="dxa"/>
          </w:tcPr>
          <w:p w:rsidR="00AD553B" w:rsidRPr="00AD553B" w:rsidRDefault="00AD553B" w:rsidP="00FC3838">
            <w:pPr>
              <w:pStyle w:val="AERtabletextleft"/>
              <w:rPr>
                <w:rFonts w:eastAsia="Calibri"/>
              </w:rPr>
            </w:pPr>
            <w:r w:rsidRPr="00AD553B">
              <w:rPr>
                <w:rFonts w:eastAsia="Calibri"/>
              </w:rPr>
              <w:t>VIC NSPs</w:t>
            </w:r>
          </w:p>
        </w:tc>
        <w:tc>
          <w:tcPr>
            <w:tcW w:w="5746" w:type="dxa"/>
          </w:tcPr>
          <w:p w:rsidR="00AD553B" w:rsidRPr="00AD553B" w:rsidRDefault="00AD553B" w:rsidP="00FC3838">
            <w:pPr>
              <w:pStyle w:val="AERtabletextleft"/>
              <w:rPr>
                <w:rFonts w:eastAsia="Calibri"/>
              </w:rPr>
            </w:pPr>
            <w:r w:rsidRPr="00AD553B">
              <w:rPr>
                <w:rFonts w:eastAsia="Calibri"/>
              </w:rPr>
              <w:t>Both the EBSS and CESS should provide an option to apply a higher incentive rate to NSPs approaching the efficiency frontier.</w:t>
            </w:r>
          </w:p>
        </w:tc>
      </w:tr>
      <w:tr w:rsidR="00AD553B" w:rsidTr="00AD553B">
        <w:tc>
          <w:tcPr>
            <w:tcW w:w="1888" w:type="dxa"/>
          </w:tcPr>
          <w:p w:rsidR="00AD553B" w:rsidRPr="00AD553B" w:rsidRDefault="00AD553B" w:rsidP="00AD553B">
            <w:pPr>
              <w:pStyle w:val="AERtabletextleft"/>
              <w:rPr>
                <w:rFonts w:eastAsia="Calibri"/>
              </w:rPr>
            </w:pPr>
            <w:r w:rsidRPr="00AD553B">
              <w:rPr>
                <w:rFonts w:eastAsia="Calibri"/>
              </w:rPr>
              <w:t>Opex forecast</w:t>
            </w:r>
          </w:p>
        </w:tc>
        <w:tc>
          <w:tcPr>
            <w:tcW w:w="1608" w:type="dxa"/>
          </w:tcPr>
          <w:p w:rsidR="00AD553B" w:rsidRPr="00AD553B" w:rsidRDefault="00AD553B" w:rsidP="00FC3838">
            <w:pPr>
              <w:pStyle w:val="AERtabletextleft"/>
              <w:rPr>
                <w:rFonts w:eastAsia="Calibri"/>
              </w:rPr>
            </w:pPr>
            <w:r w:rsidRPr="00AD553B">
              <w:rPr>
                <w:rFonts w:eastAsia="Calibri"/>
              </w:rPr>
              <w:t>CP PAL SAPN</w:t>
            </w:r>
          </w:p>
        </w:tc>
        <w:tc>
          <w:tcPr>
            <w:tcW w:w="5746" w:type="dxa"/>
          </w:tcPr>
          <w:p w:rsidR="00AD553B" w:rsidRPr="00AD553B" w:rsidRDefault="00AD553B" w:rsidP="00FC3838">
            <w:pPr>
              <w:pStyle w:val="AERtabletextleft"/>
              <w:rPr>
                <w:rFonts w:eastAsia="Calibri"/>
              </w:rPr>
            </w:pPr>
            <w:r w:rsidRPr="00AD553B">
              <w:rPr>
                <w:rFonts w:eastAsia="Calibri"/>
              </w:rPr>
              <w:t>Sought clarity on the AER’s use of benchmarking to determine opex.</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Other</w:t>
            </w:r>
          </w:p>
        </w:tc>
        <w:tc>
          <w:tcPr>
            <w:tcW w:w="1608" w:type="dxa"/>
          </w:tcPr>
          <w:p w:rsidR="00AD553B" w:rsidRPr="00AD553B" w:rsidRDefault="002D4EF5" w:rsidP="00FC3838">
            <w:pPr>
              <w:pStyle w:val="AERtabletextleft"/>
              <w:rPr>
                <w:rFonts w:eastAsia="Calibri"/>
              </w:rPr>
            </w:pPr>
            <w:proofErr w:type="spellStart"/>
            <w:r>
              <w:rPr>
                <w:rFonts w:eastAsia="Calibri"/>
              </w:rPr>
              <w:t>Incenta</w:t>
            </w:r>
            <w:proofErr w:type="spellEnd"/>
            <w:r>
              <w:rPr>
                <w:rFonts w:eastAsia="Calibri"/>
              </w:rPr>
              <w:t xml:space="preserve"> Economic Consulting</w:t>
            </w:r>
          </w:p>
        </w:tc>
        <w:tc>
          <w:tcPr>
            <w:tcW w:w="5746" w:type="dxa"/>
          </w:tcPr>
          <w:p w:rsidR="00AD553B" w:rsidRPr="00AD553B" w:rsidRDefault="00AD553B" w:rsidP="00FC3838">
            <w:pPr>
              <w:pStyle w:val="AERtabletextleft"/>
              <w:rPr>
                <w:rFonts w:eastAsia="Calibri"/>
              </w:rPr>
            </w:pPr>
            <w:r w:rsidRPr="00AD553B">
              <w:rPr>
                <w:rFonts w:eastAsia="Calibri"/>
              </w:rPr>
              <w:t>A ‘fit for purpose’ forecasting method should be considered for lumpy opex categories and an adjusted EBSS, consistent with the forecasting method (e.g. a scheme like the CESS), should be applied.</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Other</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FC3838">
            <w:pPr>
              <w:pStyle w:val="AERtabletextleft"/>
              <w:rPr>
                <w:rFonts w:eastAsia="Calibri"/>
              </w:rPr>
            </w:pPr>
            <w:r w:rsidRPr="00AD553B">
              <w:rPr>
                <w:rFonts w:eastAsia="Calibri"/>
              </w:rPr>
              <w:t>NSPs’ debt financing costs should be subject to an incentive sharing scheme. A revealed cost approach and EBSS should apply to the cost of debt.</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Other</w:t>
            </w:r>
          </w:p>
        </w:tc>
        <w:tc>
          <w:tcPr>
            <w:tcW w:w="1608" w:type="dxa"/>
          </w:tcPr>
          <w:p w:rsidR="00AD553B" w:rsidRPr="00AD553B" w:rsidRDefault="00AD553B" w:rsidP="00FC3838">
            <w:pPr>
              <w:pStyle w:val="AERtabletextleft"/>
              <w:rPr>
                <w:rFonts w:eastAsia="Calibri"/>
              </w:rPr>
            </w:pPr>
            <w:r w:rsidRPr="00AD553B">
              <w:rPr>
                <w:rFonts w:eastAsia="Calibri"/>
              </w:rPr>
              <w:t>Grid Australia</w:t>
            </w:r>
          </w:p>
        </w:tc>
        <w:tc>
          <w:tcPr>
            <w:tcW w:w="5746" w:type="dxa"/>
          </w:tcPr>
          <w:p w:rsidR="00AD553B" w:rsidRPr="00AD553B" w:rsidRDefault="00AD553B" w:rsidP="00FC3838">
            <w:pPr>
              <w:pStyle w:val="AERtabletextleft"/>
              <w:rPr>
                <w:rFonts w:eastAsia="Calibri"/>
              </w:rPr>
            </w:pPr>
            <w:r w:rsidRPr="00AD553B">
              <w:rPr>
                <w:rFonts w:eastAsia="Calibri"/>
              </w:rPr>
              <w:t>Opex categories not well suited to the revealed cost forecasting technique should be subject to a different forecasting approach and a different EBSS (possibly similar to the CESS).</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Other</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7F1047">
            <w:pPr>
              <w:pStyle w:val="AERtabletextleft"/>
              <w:rPr>
                <w:rFonts w:eastAsia="Calibri"/>
              </w:rPr>
            </w:pPr>
            <w:r w:rsidRPr="00AD553B">
              <w:rPr>
                <w:rFonts w:eastAsia="Calibri"/>
              </w:rPr>
              <w:t xml:space="preserve">NSPs have, at times, transferred costs from one period to another, reducing costs in the earlier period in order to earn a bonus from the EBSS. The costs </w:t>
            </w:r>
            <w:r w:rsidR="007F1047" w:rsidRPr="007F1047">
              <w:rPr>
                <w:rFonts w:eastAsia="Calibri"/>
              </w:rPr>
              <w:t xml:space="preserve">transferred </w:t>
            </w:r>
            <w:r w:rsidRPr="00AD553B">
              <w:rPr>
                <w:rFonts w:eastAsia="Calibri"/>
              </w:rPr>
              <w:t>to the next period effectively allow the NSP to be paid twice for the same work and gain a bonus at the same time</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Other</w:t>
            </w:r>
          </w:p>
        </w:tc>
        <w:tc>
          <w:tcPr>
            <w:tcW w:w="1608" w:type="dxa"/>
          </w:tcPr>
          <w:p w:rsidR="00AD553B" w:rsidRPr="00AD553B" w:rsidRDefault="00AD553B" w:rsidP="00FC3838">
            <w:pPr>
              <w:pStyle w:val="AERtabletextleft"/>
              <w:rPr>
                <w:rFonts w:eastAsia="Calibri"/>
              </w:rPr>
            </w:pPr>
            <w:r w:rsidRPr="00AD553B">
              <w:rPr>
                <w:rFonts w:eastAsia="Calibri"/>
              </w:rPr>
              <w:t>MEU</w:t>
            </w:r>
          </w:p>
        </w:tc>
        <w:tc>
          <w:tcPr>
            <w:tcW w:w="5746" w:type="dxa"/>
          </w:tcPr>
          <w:p w:rsidR="00AD553B" w:rsidRPr="00AD553B" w:rsidRDefault="00AD553B" w:rsidP="006C40DF">
            <w:pPr>
              <w:pStyle w:val="AERtabletextleft"/>
              <w:rPr>
                <w:rFonts w:eastAsia="Calibri"/>
              </w:rPr>
            </w:pPr>
            <w:r w:rsidRPr="00AD553B">
              <w:rPr>
                <w:rFonts w:eastAsia="Calibri"/>
              </w:rPr>
              <w:t xml:space="preserve">Consumers have a greater potential </w:t>
            </w:r>
            <w:r w:rsidR="007F1047">
              <w:rPr>
                <w:rFonts w:eastAsia="Calibri"/>
              </w:rPr>
              <w:t>to</w:t>
            </w:r>
            <w:r w:rsidR="007F1047" w:rsidRPr="00AD553B">
              <w:rPr>
                <w:rFonts w:eastAsia="Calibri"/>
              </w:rPr>
              <w:t xml:space="preserve"> </w:t>
            </w:r>
            <w:r w:rsidRPr="00AD553B">
              <w:rPr>
                <w:rFonts w:eastAsia="Calibri"/>
              </w:rPr>
              <w:t xml:space="preserve">pay more for </w:t>
            </w:r>
            <w:r w:rsidR="007F1047">
              <w:rPr>
                <w:rFonts w:eastAsia="Calibri"/>
              </w:rPr>
              <w:t>a</w:t>
            </w:r>
            <w:r w:rsidR="007F1047" w:rsidRPr="00AD553B">
              <w:rPr>
                <w:rFonts w:eastAsia="Calibri"/>
              </w:rPr>
              <w:t xml:space="preserve"> </w:t>
            </w:r>
            <w:r w:rsidRPr="00AD553B">
              <w:rPr>
                <w:rFonts w:eastAsia="Calibri"/>
              </w:rPr>
              <w:t xml:space="preserve">service due to the asymmetry of forecasting risk, </w:t>
            </w:r>
            <w:r w:rsidR="006C40DF">
              <w:rPr>
                <w:rFonts w:eastAsia="Calibri"/>
              </w:rPr>
              <w:t>as well as</w:t>
            </w:r>
            <w:r w:rsidRPr="00AD553B">
              <w:rPr>
                <w:rFonts w:eastAsia="Calibri"/>
              </w:rPr>
              <w:t xml:space="preserve"> paying a benefit through the EBSS. This opex forecasting asymmetry should be reflected in the sharing scheme.</w:t>
            </w:r>
          </w:p>
        </w:tc>
      </w:tr>
      <w:tr w:rsidR="00AD553B" w:rsidTr="00AD553B">
        <w:tc>
          <w:tcPr>
            <w:tcW w:w="1888" w:type="dxa"/>
          </w:tcPr>
          <w:p w:rsidR="00AD553B" w:rsidRPr="00AD553B" w:rsidRDefault="00AD553B" w:rsidP="00FC3838">
            <w:pPr>
              <w:pStyle w:val="AERtabletextleft"/>
              <w:rPr>
                <w:rFonts w:eastAsia="Calibri"/>
              </w:rPr>
            </w:pPr>
            <w:r w:rsidRPr="00AD553B">
              <w:rPr>
                <w:rFonts w:eastAsia="Calibri"/>
              </w:rPr>
              <w:t>Tax</w:t>
            </w:r>
          </w:p>
        </w:tc>
        <w:tc>
          <w:tcPr>
            <w:tcW w:w="1608" w:type="dxa"/>
          </w:tcPr>
          <w:p w:rsidR="00AD553B" w:rsidRPr="00AD553B" w:rsidRDefault="00AD553B" w:rsidP="00FC3838">
            <w:pPr>
              <w:pStyle w:val="AERtabletextleft"/>
              <w:rPr>
                <w:rFonts w:eastAsia="Calibri"/>
              </w:rPr>
            </w:pPr>
            <w:r w:rsidRPr="00AD553B">
              <w:rPr>
                <w:rFonts w:eastAsia="Calibri"/>
              </w:rPr>
              <w:t>CP PAL SAPN</w:t>
            </w:r>
          </w:p>
        </w:tc>
        <w:tc>
          <w:tcPr>
            <w:tcW w:w="5746" w:type="dxa"/>
          </w:tcPr>
          <w:p w:rsidR="00AD553B" w:rsidRPr="00AD553B" w:rsidRDefault="00AD553B" w:rsidP="00FC3838">
            <w:pPr>
              <w:pStyle w:val="AERtabletextleft"/>
              <w:rPr>
                <w:rFonts w:eastAsia="Calibri"/>
              </w:rPr>
            </w:pPr>
            <w:r w:rsidRPr="00AD553B">
              <w:rPr>
                <w:rFonts w:eastAsia="Calibri"/>
              </w:rPr>
              <w:t>The AER should correct the EBSS for the impact of tax.</w:t>
            </w:r>
          </w:p>
        </w:tc>
      </w:tr>
      <w:tr w:rsidR="00AD553B" w:rsidTr="00AD553B">
        <w:trPr>
          <w:cnfStyle w:val="000000010000" w:firstRow="0" w:lastRow="0" w:firstColumn="0" w:lastColumn="0" w:oddVBand="0" w:evenVBand="0" w:oddHBand="0" w:evenHBand="1" w:firstRowFirstColumn="0" w:firstRowLastColumn="0" w:lastRowFirstColumn="0" w:lastRowLastColumn="0"/>
        </w:trPr>
        <w:tc>
          <w:tcPr>
            <w:tcW w:w="1888" w:type="dxa"/>
          </w:tcPr>
          <w:p w:rsidR="00AD553B" w:rsidRPr="00AD553B" w:rsidRDefault="00AD553B" w:rsidP="00FC3838">
            <w:pPr>
              <w:pStyle w:val="AERtabletextleft"/>
              <w:rPr>
                <w:rFonts w:eastAsia="Calibri"/>
              </w:rPr>
            </w:pPr>
            <w:r w:rsidRPr="00AD553B">
              <w:rPr>
                <w:rFonts w:eastAsia="Calibri"/>
              </w:rPr>
              <w:t>Tax</w:t>
            </w:r>
          </w:p>
        </w:tc>
        <w:tc>
          <w:tcPr>
            <w:tcW w:w="1608" w:type="dxa"/>
          </w:tcPr>
          <w:p w:rsidR="00AD553B" w:rsidRPr="00AD553B" w:rsidRDefault="00AD553B" w:rsidP="00FC3838">
            <w:pPr>
              <w:pStyle w:val="AERtabletextleft"/>
              <w:rPr>
                <w:rFonts w:eastAsia="Calibri"/>
              </w:rPr>
            </w:pPr>
            <w:r w:rsidRPr="00AD553B">
              <w:rPr>
                <w:rFonts w:eastAsia="Calibri"/>
              </w:rPr>
              <w:t>VIC NSPs</w:t>
            </w:r>
          </w:p>
        </w:tc>
        <w:tc>
          <w:tcPr>
            <w:tcW w:w="5746" w:type="dxa"/>
          </w:tcPr>
          <w:p w:rsidR="00AD553B" w:rsidRPr="00AD553B" w:rsidRDefault="00AD553B" w:rsidP="00FC3838">
            <w:pPr>
              <w:pStyle w:val="AERtabletextleft"/>
              <w:rPr>
                <w:rFonts w:eastAsia="Calibri"/>
              </w:rPr>
            </w:pPr>
            <w:r w:rsidRPr="00AD553B">
              <w:rPr>
                <w:rFonts w:eastAsia="Calibri"/>
              </w:rPr>
              <w:t>The incentive levels under both the EBSS and CESS should be adjusted to account for the effect of tax.</w:t>
            </w:r>
          </w:p>
        </w:tc>
      </w:tr>
    </w:tbl>
    <w:p w:rsidR="00FC3481" w:rsidRPr="0077722D" w:rsidRDefault="00FC3481" w:rsidP="00FC3481">
      <w:pPr>
        <w:pStyle w:val="AERbodytext"/>
      </w:pPr>
    </w:p>
    <w:sectPr w:rsidR="00FC3481" w:rsidRPr="0077722D" w:rsidSect="0045608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FD" w:rsidRPr="00AB4345" w:rsidRDefault="005746FD" w:rsidP="00AB4345">
      <w:r>
        <w:separator/>
      </w:r>
    </w:p>
  </w:endnote>
  <w:endnote w:type="continuationSeparator" w:id="0">
    <w:p w:rsidR="005746FD" w:rsidRPr="00AB4345" w:rsidRDefault="005746F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FD" w:rsidRDefault="005746FD"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9C4565">
      <w:rPr>
        <w:rStyle w:val="PageNumber"/>
        <w:noProof/>
      </w:rPr>
      <w:t>1</w:t>
    </w:r>
    <w:r>
      <w:rPr>
        <w:rStyle w:val="PageNumber"/>
      </w:rPr>
      <w:fldChar w:fldCharType="end"/>
    </w:r>
  </w:p>
  <w:p w:rsidR="005746FD" w:rsidRDefault="005746FD"/>
  <w:p w:rsidR="005746FD" w:rsidRDefault="005746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5746FD" w:rsidRPr="00376B36" w:rsidRDefault="005746FD" w:rsidP="009E2DCB">
        <w:pPr>
          <w:pStyle w:val="Footer"/>
          <w:tabs>
            <w:tab w:val="clear" w:pos="4513"/>
          </w:tabs>
        </w:pPr>
        <w:r w:rsidRPr="00824CC8">
          <w:fldChar w:fldCharType="begin"/>
        </w:r>
        <w:r w:rsidRPr="00824CC8">
          <w:instrText xml:space="preserve"> PAGE   \* MERGEFORMAT </w:instrText>
        </w:r>
        <w:r w:rsidRPr="00824CC8">
          <w:fldChar w:fldCharType="separate"/>
        </w:r>
        <w:r w:rsidR="009C4565">
          <w:rPr>
            <w:noProof/>
          </w:rPr>
          <w:t>32</w:t>
        </w:r>
        <w:r w:rsidRPr="00824CC8">
          <w:fldChar w:fldCharType="end"/>
        </w:r>
        <w:r>
          <w:rPr>
            <w:rStyle w:val="AERbody"/>
          </w:rPr>
          <w:tab/>
        </w:r>
        <w:r w:rsidRPr="00DF4B26">
          <w:rPr>
            <w:rStyle w:val="AERtextblue"/>
          </w:rPr>
          <w:t>Better Regulation |</w:t>
        </w:r>
        <w:r w:rsidRPr="00210880">
          <w:rPr>
            <w:rStyle w:val="AERbody"/>
          </w:rPr>
          <w:t xml:space="preserve"> </w:t>
        </w:r>
        <w:r w:rsidRPr="00DF4B26">
          <w:rPr>
            <w:rStyle w:val="AERtextorange"/>
          </w:rPr>
          <w:t>Explanatory Statement</w:t>
        </w:r>
        <w:r>
          <w:rPr>
            <w:rStyle w:val="AERbody"/>
          </w:rPr>
          <w:t xml:space="preserve"> </w:t>
        </w:r>
        <w:r w:rsidRPr="00DF4B26">
          <w:rPr>
            <w:rStyle w:val="AERtextblue"/>
          </w:rPr>
          <w:t>| Efficiency Benefit Sharing Scheme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FD" w:rsidRPr="00824CC8" w:rsidRDefault="005746FD" w:rsidP="00824CC8">
    <w:pPr>
      <w:pStyle w:val="Footer"/>
      <w:rPr>
        <w:rStyle w:val="AERbody"/>
      </w:rPr>
    </w:pPr>
    <w:r w:rsidRPr="00DF4B26">
      <w:rPr>
        <w:rStyle w:val="AERtextblue"/>
      </w:rPr>
      <w:t xml:space="preserve">Better Regulation | </w:t>
    </w:r>
    <w:r w:rsidRPr="00DF4B26">
      <w:rPr>
        <w:rStyle w:val="AERtextorange"/>
      </w:rPr>
      <w:t>Explanatory Statement</w:t>
    </w:r>
    <w:r w:rsidRPr="00DF4B26">
      <w:rPr>
        <w:rStyle w:val="AERtextblue"/>
      </w:rPr>
      <w:t xml:space="preserve"> | Efficiency Benefit Sharing Scheme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C4565">
      <w:rPr>
        <w:rStyle w:val="AERbody"/>
        <w:noProof/>
      </w:rPr>
      <w:t>33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FD" w:rsidRPr="00AB4345" w:rsidRDefault="005746FD" w:rsidP="00AB4345">
      <w:r>
        <w:separator/>
      </w:r>
    </w:p>
  </w:footnote>
  <w:footnote w:type="continuationSeparator" w:id="0">
    <w:p w:rsidR="005746FD" w:rsidRPr="00AB4345" w:rsidRDefault="005746FD" w:rsidP="00AB4345">
      <w:r>
        <w:continuationSeparator/>
      </w:r>
    </w:p>
  </w:footnote>
  <w:footnote w:id="1">
    <w:p w:rsidR="005746FD" w:rsidRDefault="005746FD" w:rsidP="00243612">
      <w:pPr>
        <w:pStyle w:val="FootnoteText"/>
      </w:pPr>
      <w:r>
        <w:rPr>
          <w:rStyle w:val="FootnoteReference"/>
        </w:rPr>
        <w:footnoteRef/>
      </w:r>
      <w:r>
        <w:t xml:space="preserve"> </w:t>
      </w:r>
      <w:r>
        <w:tab/>
      </w:r>
      <w:proofErr w:type="gramStart"/>
      <w:r w:rsidRPr="00184A56">
        <w:t xml:space="preserve">AER, </w:t>
      </w:r>
      <w:r w:rsidRPr="00184A56">
        <w:rPr>
          <w:rStyle w:val="AERtextitalic"/>
        </w:rPr>
        <w:t>Efficiency Benefit Sharing Scheme</w:t>
      </w:r>
      <w:r>
        <w:rPr>
          <w:rStyle w:val="AERtextitalic"/>
        </w:rPr>
        <w:t>—</w:t>
      </w:r>
      <w:r w:rsidRPr="00184A56">
        <w:rPr>
          <w:rStyle w:val="AERtextitalic"/>
        </w:rPr>
        <w:t>Distribution Network Service Providers</w:t>
      </w:r>
      <w:r w:rsidRPr="00184A56">
        <w:t xml:space="preserve">, June 2008; AER, </w:t>
      </w:r>
      <w:r w:rsidRPr="00184A56">
        <w:rPr>
          <w:rStyle w:val="AERtextitalic"/>
        </w:rPr>
        <w:t>Efficiency Benefit Sharing Scheme</w:t>
      </w:r>
      <w:r>
        <w:rPr>
          <w:rStyle w:val="AERtextitalic"/>
        </w:rPr>
        <w:t>—</w:t>
      </w:r>
      <w:r w:rsidRPr="00184A56">
        <w:rPr>
          <w:rStyle w:val="AERtextitalic"/>
        </w:rPr>
        <w:t>Transmission Network Service Providers</w:t>
      </w:r>
      <w:r w:rsidRPr="00184A56">
        <w:t>, September 2007.</w:t>
      </w:r>
      <w:proofErr w:type="gramEnd"/>
    </w:p>
  </w:footnote>
  <w:footnote w:id="2">
    <w:p w:rsidR="005746FD" w:rsidRDefault="005746FD" w:rsidP="00C524CE">
      <w:pPr>
        <w:pStyle w:val="FootnoteText"/>
      </w:pPr>
      <w:r>
        <w:rPr>
          <w:rStyle w:val="FootnoteReference"/>
        </w:rPr>
        <w:footnoteRef/>
      </w:r>
      <w:r>
        <w:t xml:space="preserve"> </w:t>
      </w:r>
      <w:r>
        <w:tab/>
      </w:r>
      <w:r w:rsidRPr="002C1EBC">
        <w:t xml:space="preserve">AER, </w:t>
      </w:r>
      <w:r w:rsidRPr="002C1EBC">
        <w:rPr>
          <w:rStyle w:val="AERtextitalic"/>
        </w:rPr>
        <w:t>Expenditure Forecasting Assessment Guidelines</w:t>
      </w:r>
      <w:r w:rsidRPr="002C1EBC">
        <w:t xml:space="preserve">, </w:t>
      </w:r>
      <w:r>
        <w:t>2</w:t>
      </w:r>
      <w:r w:rsidRPr="002C1EBC">
        <w:t xml:space="preserve">9 </w:t>
      </w:r>
      <w:r>
        <w:t>November</w:t>
      </w:r>
      <w:r w:rsidRPr="002C1EBC">
        <w:t xml:space="preserve"> 2013.</w:t>
      </w:r>
    </w:p>
  </w:footnote>
  <w:footnote w:id="3">
    <w:p w:rsidR="005746FD" w:rsidRDefault="005746FD">
      <w:pPr>
        <w:pStyle w:val="FootnoteText"/>
      </w:pPr>
      <w:r>
        <w:rPr>
          <w:rStyle w:val="FootnoteReference"/>
        </w:rPr>
        <w:footnoteRef/>
      </w:r>
      <w:r>
        <w:t xml:space="preserve"> </w:t>
      </w:r>
      <w:r>
        <w:tab/>
      </w:r>
      <w:proofErr w:type="gramStart"/>
      <w:r w:rsidRPr="002C1EBC">
        <w:t>NER, cl. 6.5.8 and 6A.6.5.</w:t>
      </w:r>
      <w:proofErr w:type="gramEnd"/>
    </w:p>
  </w:footnote>
  <w:footnote w:id="4">
    <w:p w:rsidR="005746FD" w:rsidRDefault="005746FD">
      <w:pPr>
        <w:pStyle w:val="FootnoteText"/>
      </w:pPr>
      <w:r>
        <w:rPr>
          <w:rStyle w:val="FootnoteReference"/>
        </w:rPr>
        <w:footnoteRef/>
      </w:r>
      <w:r>
        <w:t xml:space="preserve"> </w:t>
      </w:r>
      <w:r>
        <w:tab/>
      </w:r>
      <w:r w:rsidRPr="00472DC2">
        <w:t xml:space="preserve">AER, </w:t>
      </w:r>
      <w:r w:rsidRPr="00472DC2">
        <w:rPr>
          <w:rStyle w:val="AERtextitalic"/>
        </w:rPr>
        <w:t>Issues paper: Expenditure incentives guidelines for electricity network service providers</w:t>
      </w:r>
      <w:r w:rsidRPr="00472DC2">
        <w:t>,</w:t>
      </w:r>
      <w:r>
        <w:t xml:space="preserve"> March 2013; AER, </w:t>
      </w:r>
      <w:r w:rsidRPr="00472DC2">
        <w:rPr>
          <w:rStyle w:val="AERtextitalic"/>
        </w:rPr>
        <w:t>Explanatory statement: Proposed Efficiency Benefit Sharing Scheme</w:t>
      </w:r>
      <w:r>
        <w:t>, August 213; AER,</w:t>
      </w:r>
      <w:r w:rsidRPr="00472DC2">
        <w:rPr>
          <w:rStyle w:val="AERtextitalic"/>
        </w:rPr>
        <w:t xml:space="preserve"> Proposed Efficiency Benefit Sharing Scheme</w:t>
      </w:r>
      <w:r>
        <w:t>, August 213.</w:t>
      </w:r>
    </w:p>
  </w:footnote>
  <w:footnote w:id="5">
    <w:p w:rsidR="005746FD" w:rsidRDefault="005746FD" w:rsidP="008D5470">
      <w:pPr>
        <w:pStyle w:val="FootnoteText"/>
      </w:pPr>
      <w:r>
        <w:rPr>
          <w:rStyle w:val="FootnoteReference"/>
        </w:rPr>
        <w:footnoteRef/>
      </w:r>
      <w:r>
        <w:t xml:space="preserve"> </w:t>
      </w:r>
      <w:r>
        <w:tab/>
        <w:t xml:space="preserve">Our draft EBSS and Issues Paper, and submissions to these, are available on our website: </w:t>
      </w:r>
      <w:hyperlink r:id="rId1" w:history="1">
        <w:r w:rsidRPr="00CB170C">
          <w:rPr>
            <w:rStyle w:val="Hyperlink"/>
          </w:rPr>
          <w:t>http://www.aer.gov.au/node/18869</w:t>
        </w:r>
      </w:hyperlink>
      <w:r>
        <w:t xml:space="preserve"> </w:t>
      </w:r>
    </w:p>
  </w:footnote>
  <w:footnote w:id="6">
    <w:p w:rsidR="005746FD" w:rsidRDefault="005746FD">
      <w:pPr>
        <w:pStyle w:val="FootnoteText"/>
      </w:pPr>
      <w:r>
        <w:rPr>
          <w:rStyle w:val="FootnoteReference"/>
        </w:rPr>
        <w:footnoteRef/>
      </w:r>
      <w:r>
        <w:t xml:space="preserve"> </w:t>
      </w:r>
      <w:r>
        <w:tab/>
        <w:t xml:space="preserve">An example of a bottom up forecasting approach is to </w:t>
      </w:r>
      <w:r w:rsidRPr="006B7352">
        <w:t xml:space="preserve">forecast the volume of all tasks </w:t>
      </w:r>
      <w:r>
        <w:t>to be</w:t>
      </w:r>
      <w:r w:rsidRPr="006B7352">
        <w:t xml:space="preserve"> undertake</w:t>
      </w:r>
      <w:r>
        <w:t>n</w:t>
      </w:r>
      <w:r w:rsidRPr="006B7352">
        <w:t xml:space="preserve"> in the forecast period and multiply</w:t>
      </w:r>
      <w:r>
        <w:t>ing</w:t>
      </w:r>
      <w:r w:rsidRPr="006B7352">
        <w:t xml:space="preserve"> this by a forecast unit rate for each task.</w:t>
      </w:r>
    </w:p>
  </w:footnote>
  <w:footnote w:id="7">
    <w:p w:rsidR="005746FD" w:rsidRDefault="005746FD" w:rsidP="00AD442E">
      <w:pPr>
        <w:pStyle w:val="FootnoteText"/>
      </w:pPr>
      <w:r>
        <w:rPr>
          <w:rStyle w:val="FootnoteReference"/>
        </w:rPr>
        <w:footnoteRef/>
      </w:r>
      <w:r>
        <w:t xml:space="preserve"> </w:t>
      </w:r>
      <w:r>
        <w:tab/>
        <w:t>If forecast opex is set using a single year revealed cost approach the i</w:t>
      </w:r>
      <w:r w:rsidRPr="009860C9">
        <w:t xml:space="preserve">ncentive </w:t>
      </w:r>
      <w:r>
        <w:t>to</w:t>
      </w:r>
      <w:r w:rsidRPr="009860C9">
        <w:t xml:space="preserve"> reduce recurrent opex declines as the regulatory control period progresses. It then increases again after the base year used to forecast opex for the following regulatory control period.</w:t>
      </w:r>
      <w:r>
        <w:t xml:space="preserve"> NSPs retain 100 per cent of non-recurrent efficiency gains in years other than the base year. In the base year NSPs have an incentive to increase opex since this will increase their allowance for the following regulatory control period. </w:t>
      </w:r>
    </w:p>
  </w:footnote>
  <w:footnote w:id="8">
    <w:p w:rsidR="005746FD" w:rsidRDefault="005746FD" w:rsidP="00FA1C14">
      <w:pPr>
        <w:pStyle w:val="FootnoteText"/>
        <w:tabs>
          <w:tab w:val="left" w:pos="7025"/>
        </w:tabs>
      </w:pPr>
      <w:r>
        <w:rPr>
          <w:rStyle w:val="FootnoteReference"/>
        </w:rPr>
        <w:footnoteRef/>
      </w:r>
      <w:r>
        <w:t xml:space="preserve"> </w:t>
      </w:r>
      <w:r>
        <w:tab/>
        <w:t xml:space="preserve">SP AusNet, </w:t>
      </w:r>
      <w:r w:rsidRPr="006F6C85">
        <w:rPr>
          <w:rStyle w:val="AERtextitalic"/>
        </w:rPr>
        <w:t>Draft Capital Expenditure Incentive Guidelines and Proposed Efficiency Benefit Sharing Scheme</w:t>
      </w:r>
      <w:r>
        <w:t>, 20 September 2013, pp. 1–2.</w:t>
      </w:r>
      <w:r>
        <w:tab/>
      </w:r>
    </w:p>
  </w:footnote>
  <w:footnote w:id="9">
    <w:p w:rsidR="005746FD" w:rsidRDefault="005746FD">
      <w:pPr>
        <w:pStyle w:val="FootnoteText"/>
      </w:pPr>
      <w:r>
        <w:rPr>
          <w:rStyle w:val="FootnoteReference"/>
        </w:rPr>
        <w:footnoteRef/>
      </w:r>
      <w:r>
        <w:t xml:space="preserve"> </w:t>
      </w:r>
      <w:r>
        <w:tab/>
      </w:r>
      <w:proofErr w:type="gramStart"/>
      <w:r>
        <w:t xml:space="preserve">APA Group, </w:t>
      </w:r>
      <w:r w:rsidRPr="006F6C85">
        <w:rPr>
          <w:rStyle w:val="AERtextitalic"/>
        </w:rPr>
        <w:t>AER Draft Expenditure Incentives Guidelines and Explanatory Statements</w:t>
      </w:r>
      <w:r>
        <w:t xml:space="preserve">, 20 September 2013, p. 4; Grid Australia, </w:t>
      </w:r>
      <w:r w:rsidRPr="006F6C85">
        <w:rPr>
          <w:rStyle w:val="AERtextitalic"/>
        </w:rPr>
        <w:t>Proposed Efficiency Benefit Sharing Scheme</w:t>
      </w:r>
      <w:r>
        <w:t>, 20 September 2013, p. 3.</w:t>
      </w:r>
      <w:proofErr w:type="gramEnd"/>
    </w:p>
  </w:footnote>
  <w:footnote w:id="10">
    <w:p w:rsidR="005746FD" w:rsidRDefault="005746FD">
      <w:pPr>
        <w:pStyle w:val="FootnoteText"/>
      </w:pPr>
      <w:r>
        <w:rPr>
          <w:rStyle w:val="FootnoteReference"/>
        </w:rPr>
        <w:footnoteRef/>
      </w:r>
      <w:r>
        <w:t xml:space="preserve"> </w:t>
      </w:r>
      <w:r>
        <w:tab/>
      </w:r>
      <w:proofErr w:type="gramStart"/>
      <w:r w:rsidRPr="005746DB">
        <w:t xml:space="preserve">CitiPower, Powercor Australia and SA Power Networks, </w:t>
      </w:r>
      <w:r w:rsidRPr="006F6C85">
        <w:rPr>
          <w:rStyle w:val="AERtextitalic"/>
        </w:rPr>
        <w:t>Response to the draft Capital Expenditure Incentives Guidelines and proposed Efficiency Benefit Sharing Scheme</w:t>
      </w:r>
      <w:r w:rsidRPr="005746DB">
        <w:t>, 20 September 2013</w:t>
      </w:r>
      <w:r>
        <w:t>, pp. 10–11.</w:t>
      </w:r>
      <w:proofErr w:type="gramEnd"/>
    </w:p>
  </w:footnote>
  <w:footnote w:id="11">
    <w:p w:rsidR="005746FD" w:rsidRPr="00480916" w:rsidRDefault="005746FD">
      <w:pPr>
        <w:pStyle w:val="FootnoteText"/>
      </w:pPr>
      <w:r>
        <w:rPr>
          <w:rStyle w:val="FootnoteReference"/>
        </w:rPr>
        <w:footnoteRef/>
      </w:r>
      <w:r>
        <w:t xml:space="preserve"> </w:t>
      </w:r>
      <w:r>
        <w:tab/>
        <w:t xml:space="preserve">Victorian DNSPs, </w:t>
      </w:r>
      <w:r w:rsidRPr="006F6C85">
        <w:rPr>
          <w:rStyle w:val="AERtextitalic"/>
        </w:rPr>
        <w:t>Draft Capital Expenditure Incentives Guidelines and Proposed EBSS, 20 September 2013</w:t>
      </w:r>
      <w:r>
        <w:t>, pp. 5–6.</w:t>
      </w:r>
    </w:p>
  </w:footnote>
  <w:footnote w:id="12">
    <w:p w:rsidR="005746FD" w:rsidRDefault="005746FD">
      <w:pPr>
        <w:pStyle w:val="FootnoteText"/>
      </w:pPr>
      <w:r>
        <w:rPr>
          <w:rStyle w:val="FootnoteReference"/>
        </w:rPr>
        <w:footnoteRef/>
      </w:r>
      <w:r>
        <w:t xml:space="preserve"> </w:t>
      </w:r>
      <w:r>
        <w:tab/>
        <w:t xml:space="preserve">Victorian DNSP, </w:t>
      </w:r>
      <w:r w:rsidRPr="005746DB">
        <w:rPr>
          <w:rStyle w:val="AERtextitalic"/>
        </w:rPr>
        <w:t>Draft Capital Expenditure Incentives Guidelines and Proposed EBSS, 20 September 2013</w:t>
      </w:r>
      <w:r>
        <w:t>, p. 5.</w:t>
      </w:r>
    </w:p>
  </w:footnote>
  <w:footnote w:id="13">
    <w:p w:rsidR="005746FD" w:rsidRDefault="005746FD">
      <w:pPr>
        <w:pStyle w:val="FootnoteText"/>
      </w:pPr>
      <w:r>
        <w:rPr>
          <w:rStyle w:val="FootnoteReference"/>
        </w:rPr>
        <w:footnoteRef/>
      </w:r>
      <w:r>
        <w:t xml:space="preserve"> </w:t>
      </w:r>
      <w:r>
        <w:tab/>
      </w:r>
      <w:proofErr w:type="spellStart"/>
      <w:r w:rsidRPr="005746DB">
        <w:t>Incenta</w:t>
      </w:r>
      <w:proofErr w:type="spellEnd"/>
      <w:r w:rsidRPr="005746DB">
        <w:t xml:space="preserve"> Economic Consulting, </w:t>
      </w:r>
      <w:r w:rsidRPr="005746DB">
        <w:rPr>
          <w:rStyle w:val="AERtextitalic"/>
        </w:rPr>
        <w:t>Advice on certain issues in relation to the Draft Expenditure Forecast Assessment and Efficiency Benefit Sharing Scheme Guidelines</w:t>
      </w:r>
      <w:r w:rsidRPr="005746DB">
        <w:t>, 20 September 2013</w:t>
      </w:r>
      <w:r w:rsidRPr="0012476C">
        <w:t>, p. 13.</w:t>
      </w:r>
    </w:p>
  </w:footnote>
  <w:footnote w:id="14">
    <w:p w:rsidR="005746FD" w:rsidRDefault="005746FD" w:rsidP="005D2AF3">
      <w:pPr>
        <w:pStyle w:val="FootnoteText"/>
      </w:pPr>
      <w:r>
        <w:rPr>
          <w:rStyle w:val="FootnoteReference"/>
        </w:rPr>
        <w:footnoteRef/>
      </w:r>
      <w:r>
        <w:t xml:space="preserve"> </w:t>
      </w:r>
      <w:r>
        <w:tab/>
        <w:t xml:space="preserve">AER, </w:t>
      </w:r>
      <w:r w:rsidRPr="005D2AF3">
        <w:rPr>
          <w:rStyle w:val="AERtextitalic"/>
        </w:rPr>
        <w:t>Expenditure Forecast Assessment Guideline for Electricity Distribution</w:t>
      </w:r>
      <w:r>
        <w:t xml:space="preserve">, </w:t>
      </w:r>
      <w:r w:rsidRPr="005D2AF3">
        <w:t>November 2013</w:t>
      </w:r>
      <w:r>
        <w:t xml:space="preserve">, pp. 22–23; AER, </w:t>
      </w:r>
      <w:r w:rsidRPr="005D2AF3">
        <w:rPr>
          <w:rStyle w:val="AERtextitalic"/>
        </w:rPr>
        <w:t xml:space="preserve">Expenditure Forecast Assessment Guideline for Electricity </w:t>
      </w:r>
      <w:r>
        <w:rPr>
          <w:rStyle w:val="AERtextitalic"/>
        </w:rPr>
        <w:t>Transmission</w:t>
      </w:r>
      <w:r>
        <w:t xml:space="preserve">, </w:t>
      </w:r>
      <w:r w:rsidRPr="005D2AF3">
        <w:t>November 2013</w:t>
      </w:r>
      <w:r>
        <w:t>, pp. 22–23</w:t>
      </w:r>
      <w:r w:rsidR="001D078A">
        <w:t>.</w:t>
      </w:r>
    </w:p>
  </w:footnote>
  <w:footnote w:id="15">
    <w:p w:rsidR="005746FD" w:rsidRDefault="005746FD" w:rsidP="005D2AF3">
      <w:pPr>
        <w:pStyle w:val="FootnoteText"/>
      </w:pPr>
      <w:r>
        <w:rPr>
          <w:rStyle w:val="FootnoteReference"/>
        </w:rPr>
        <w:footnoteRef/>
      </w:r>
      <w:r>
        <w:t xml:space="preserve"> </w:t>
      </w:r>
      <w:r>
        <w:tab/>
        <w:t xml:space="preserve">AER, </w:t>
      </w:r>
      <w:r w:rsidRPr="005D2AF3">
        <w:rPr>
          <w:rStyle w:val="AERtextitalic"/>
        </w:rPr>
        <w:t>Expenditure Forecast Assessment Guideline for Electricity Distribution</w:t>
      </w:r>
      <w:r>
        <w:t xml:space="preserve">, </w:t>
      </w:r>
      <w:r w:rsidRPr="005D2AF3">
        <w:t>November 2013</w:t>
      </w:r>
      <w:r>
        <w:t xml:space="preserve">, pp. 22–23; AER, </w:t>
      </w:r>
      <w:r w:rsidRPr="005D2AF3">
        <w:rPr>
          <w:rStyle w:val="AERtextitalic"/>
        </w:rPr>
        <w:t xml:space="preserve">Expenditure Forecast Assessment Guideline for Electricity </w:t>
      </w:r>
      <w:r>
        <w:rPr>
          <w:rStyle w:val="AERtextitalic"/>
        </w:rPr>
        <w:t>Transmission</w:t>
      </w:r>
      <w:r>
        <w:t xml:space="preserve">, </w:t>
      </w:r>
      <w:r w:rsidRPr="005D2AF3">
        <w:t>November 2013</w:t>
      </w:r>
      <w:r>
        <w:t>, pp. 22–23</w:t>
      </w:r>
      <w:r w:rsidR="001D078A">
        <w:t>.</w:t>
      </w:r>
    </w:p>
  </w:footnote>
  <w:footnote w:id="16">
    <w:p w:rsidR="005746FD" w:rsidRDefault="005746FD">
      <w:pPr>
        <w:pStyle w:val="FootnoteText"/>
      </w:pPr>
      <w:r>
        <w:rPr>
          <w:rStyle w:val="FootnoteReference"/>
        </w:rPr>
        <w:footnoteRef/>
      </w:r>
      <w:r>
        <w:t xml:space="preserve"> </w:t>
      </w:r>
      <w:r>
        <w:tab/>
      </w:r>
      <w:r w:rsidRPr="005746DB">
        <w:t xml:space="preserve">Ergon Energy, </w:t>
      </w:r>
      <w:r w:rsidRPr="005D2AF3">
        <w:rPr>
          <w:rStyle w:val="AERtextitalic"/>
        </w:rPr>
        <w:t>Draft Revised Efficiency Benefit Sharing Scheme</w:t>
      </w:r>
      <w:r w:rsidRPr="005746DB">
        <w:t>, 20 September 2013</w:t>
      </w:r>
      <w:r>
        <w:t xml:space="preserve">, pp. 1–2; Grid Australia, </w:t>
      </w:r>
      <w:r w:rsidRPr="005D2AF3">
        <w:rPr>
          <w:rStyle w:val="AERtextitalic"/>
        </w:rPr>
        <w:t>Proposed Efficiency Benefit Sharing Scheme</w:t>
      </w:r>
      <w:r w:rsidRPr="005746DB">
        <w:t>, 20 September 2013</w:t>
      </w:r>
      <w:r>
        <w:t xml:space="preserve">, p. 3; SP AusNet, </w:t>
      </w:r>
      <w:r w:rsidRPr="005D2AF3">
        <w:rPr>
          <w:rStyle w:val="AERtextitalic"/>
        </w:rPr>
        <w:t>Draft Capital Expenditure Incentive Guidelines and Proposed Efficiency Benefit Sharing Scheme</w:t>
      </w:r>
      <w:r>
        <w:t>, 20 September 2013, p. 2.</w:t>
      </w:r>
    </w:p>
  </w:footnote>
  <w:footnote w:id="17">
    <w:p w:rsidR="005746FD" w:rsidRDefault="005746FD">
      <w:pPr>
        <w:pStyle w:val="FootnoteText"/>
      </w:pPr>
      <w:r>
        <w:rPr>
          <w:rStyle w:val="FootnoteReference"/>
        </w:rPr>
        <w:footnoteRef/>
      </w:r>
      <w:r>
        <w:t xml:space="preserve"> </w:t>
      </w:r>
      <w:r>
        <w:tab/>
      </w:r>
      <w:r w:rsidRPr="005746DB">
        <w:t xml:space="preserve">Ergon Energy, </w:t>
      </w:r>
      <w:r w:rsidRPr="006B2288">
        <w:rPr>
          <w:rStyle w:val="AERtextitalic"/>
        </w:rPr>
        <w:t>Draft Revised Efficiency Benefit Sharing Scheme</w:t>
      </w:r>
      <w:r w:rsidRPr="005746DB">
        <w:t>, 20 September 2013</w:t>
      </w:r>
      <w:r>
        <w:t xml:space="preserve">, pp. 1–2; Grid Australia, </w:t>
      </w:r>
      <w:r w:rsidRPr="006B2288">
        <w:rPr>
          <w:rStyle w:val="AERtextitalic"/>
        </w:rPr>
        <w:t>Proposed Efficiency Benefit Sharing Scheme</w:t>
      </w:r>
      <w:r w:rsidRPr="005746DB">
        <w:t>, 20 September 2013</w:t>
      </w:r>
      <w:r>
        <w:t xml:space="preserve">, p. 3; SP AusNet, </w:t>
      </w:r>
      <w:r w:rsidRPr="006B2288">
        <w:rPr>
          <w:rStyle w:val="AERtextitalic"/>
        </w:rPr>
        <w:t>Draft Capital Expenditure Incentive Guidelines and Proposed Efficiency Benefit Sharing Scheme</w:t>
      </w:r>
      <w:r>
        <w:t>, 20 September 2013, p. 2.</w:t>
      </w:r>
    </w:p>
  </w:footnote>
  <w:footnote w:id="18">
    <w:p w:rsidR="005746FD" w:rsidRDefault="005746FD">
      <w:pPr>
        <w:pStyle w:val="FootnoteText"/>
      </w:pPr>
      <w:r>
        <w:rPr>
          <w:rStyle w:val="FootnoteReference"/>
        </w:rPr>
        <w:footnoteRef/>
      </w:r>
      <w:r>
        <w:t xml:space="preserve"> </w:t>
      </w:r>
      <w:r>
        <w:tab/>
        <w:t xml:space="preserve">SP AusNet, </w:t>
      </w:r>
      <w:r w:rsidRPr="006B2288">
        <w:rPr>
          <w:rStyle w:val="AERtextitalic"/>
        </w:rPr>
        <w:t>Draft Capital Expenditure Incentive Guidelines and Proposed Efficiency Benefit Sharing Scheme</w:t>
      </w:r>
      <w:r>
        <w:t>, 20 September 2013, p. 2.</w:t>
      </w:r>
    </w:p>
  </w:footnote>
  <w:footnote w:id="19">
    <w:p w:rsidR="005746FD" w:rsidRDefault="005746FD">
      <w:pPr>
        <w:pStyle w:val="FootnoteText"/>
      </w:pPr>
      <w:r>
        <w:rPr>
          <w:rStyle w:val="FootnoteReference"/>
        </w:rPr>
        <w:footnoteRef/>
      </w:r>
      <w:r>
        <w:t xml:space="preserve"> </w:t>
      </w:r>
      <w:r>
        <w:tab/>
        <w:t xml:space="preserve">NER, clauses </w:t>
      </w:r>
      <w:r w:rsidRPr="0021397A">
        <w:t>6.5.8</w:t>
      </w:r>
      <w:r>
        <w:t>(c</w:t>
      </w:r>
      <w:proofErr w:type="gramStart"/>
      <w:r>
        <w:t>)(</w:t>
      </w:r>
      <w:proofErr w:type="gramEnd"/>
      <w:r>
        <w:t>2)</w:t>
      </w:r>
      <w:r w:rsidRPr="0021397A">
        <w:t xml:space="preserve"> and 6A.6.5</w:t>
      </w:r>
      <w:r>
        <w:t>(b)(1).</w:t>
      </w:r>
    </w:p>
  </w:footnote>
  <w:footnote w:id="20">
    <w:p w:rsidR="005746FD" w:rsidRDefault="005746FD">
      <w:pPr>
        <w:pStyle w:val="FootnoteText"/>
      </w:pPr>
      <w:r>
        <w:rPr>
          <w:rStyle w:val="FootnoteReference"/>
        </w:rPr>
        <w:footnoteRef/>
      </w:r>
      <w:r>
        <w:t xml:space="preserve"> </w:t>
      </w:r>
      <w:r>
        <w:tab/>
        <w:t xml:space="preserve">NER, clauses </w:t>
      </w:r>
      <w:r w:rsidRPr="0021397A">
        <w:t>6.5.8</w:t>
      </w:r>
      <w:r>
        <w:t>(c</w:t>
      </w:r>
      <w:proofErr w:type="gramStart"/>
      <w:r>
        <w:t>)(</w:t>
      </w:r>
      <w:proofErr w:type="gramEnd"/>
      <w:r>
        <w:t>4)</w:t>
      </w:r>
      <w:r w:rsidRPr="0021397A">
        <w:t xml:space="preserve"> and 6A.6.5</w:t>
      </w:r>
      <w:r>
        <w:t>(b)(3).</w:t>
      </w:r>
    </w:p>
  </w:footnote>
  <w:footnote w:id="21">
    <w:p w:rsidR="005746FD" w:rsidRDefault="005746FD">
      <w:pPr>
        <w:pStyle w:val="FootnoteText"/>
      </w:pPr>
      <w:r>
        <w:rPr>
          <w:rStyle w:val="FootnoteReference"/>
        </w:rPr>
        <w:footnoteRef/>
      </w:r>
      <w:r>
        <w:t xml:space="preserve"> </w:t>
      </w:r>
      <w:r>
        <w:tab/>
        <w:t xml:space="preserve">NEL, clause </w:t>
      </w:r>
      <w:proofErr w:type="gramStart"/>
      <w:r>
        <w:t>7A(</w:t>
      </w:r>
      <w:proofErr w:type="gramEnd"/>
      <w:r>
        <w:t>3).</w:t>
      </w:r>
    </w:p>
  </w:footnote>
  <w:footnote w:id="22">
    <w:p w:rsidR="005746FD" w:rsidRDefault="005746FD">
      <w:pPr>
        <w:pStyle w:val="FootnoteText"/>
      </w:pPr>
      <w:r>
        <w:rPr>
          <w:rStyle w:val="FootnoteReference"/>
        </w:rPr>
        <w:footnoteRef/>
      </w:r>
      <w:r>
        <w:t xml:space="preserve"> </w:t>
      </w:r>
      <w:r>
        <w:tab/>
        <w:t xml:space="preserve">Public Interest Advocacy Centre, </w:t>
      </w:r>
      <w:r w:rsidRPr="005746DB">
        <w:rPr>
          <w:rStyle w:val="AERtextitalic"/>
        </w:rPr>
        <w:t>Having the desired effect: submission to the AER’s Draft Expenditure Incentive Guideline</w:t>
      </w:r>
      <w:r>
        <w:t>, 20 September 2013, pp. 30–31.</w:t>
      </w:r>
    </w:p>
  </w:footnote>
  <w:footnote w:id="23">
    <w:p w:rsidR="005746FD" w:rsidRDefault="005746FD">
      <w:pPr>
        <w:pStyle w:val="FootnoteText"/>
      </w:pPr>
      <w:r>
        <w:rPr>
          <w:rStyle w:val="FootnoteReference"/>
        </w:rPr>
        <w:footnoteRef/>
      </w:r>
      <w:r>
        <w:t xml:space="preserve"> </w:t>
      </w:r>
      <w:r>
        <w:tab/>
        <w:t xml:space="preserve">Major Energy Users, </w:t>
      </w:r>
      <w:r w:rsidRPr="006B2288">
        <w:rPr>
          <w:rStyle w:val="AERtextitalic"/>
        </w:rPr>
        <w:t>Proposed Guidelines for Incentives for Opex and Capex: MEU Comments on the draft guidelines</w:t>
      </w:r>
      <w:r>
        <w:t>, September 2013, p. 14.</w:t>
      </w:r>
    </w:p>
  </w:footnote>
  <w:footnote w:id="24">
    <w:p w:rsidR="005746FD" w:rsidRDefault="005746FD">
      <w:pPr>
        <w:pStyle w:val="FootnoteText"/>
      </w:pPr>
      <w:r>
        <w:rPr>
          <w:rStyle w:val="FootnoteReference"/>
        </w:rPr>
        <w:footnoteRef/>
      </w:r>
      <w:r>
        <w:t xml:space="preserve"> </w:t>
      </w:r>
      <w:r>
        <w:tab/>
        <w:t xml:space="preserve">Public Interest Advocacy Centre, </w:t>
      </w:r>
      <w:r w:rsidRPr="005746DB">
        <w:rPr>
          <w:rStyle w:val="AERtextitalic"/>
        </w:rPr>
        <w:t>Having the desired effect: submission to the AER’s Draft Expenditure Incentive Guideline</w:t>
      </w:r>
      <w:r>
        <w:t>, 20 September 2013, p. 30.</w:t>
      </w:r>
    </w:p>
  </w:footnote>
  <w:footnote w:id="25">
    <w:p w:rsidR="005746FD" w:rsidRDefault="005746FD">
      <w:pPr>
        <w:pStyle w:val="FootnoteText"/>
      </w:pPr>
      <w:r>
        <w:rPr>
          <w:rStyle w:val="FootnoteReference"/>
        </w:rPr>
        <w:footnoteRef/>
      </w:r>
      <w:r>
        <w:t xml:space="preserve"> </w:t>
      </w:r>
      <w:r>
        <w:tab/>
        <w:t xml:space="preserve">APA Group, </w:t>
      </w:r>
      <w:r w:rsidRPr="006B2288">
        <w:rPr>
          <w:rStyle w:val="AERtextitalic"/>
        </w:rPr>
        <w:t>AER Draft Expenditure Incentives Guidelines and Explanatory Statements</w:t>
      </w:r>
      <w:r>
        <w:t xml:space="preserve">, 20 September 2013, pp. 2–3; </w:t>
      </w:r>
      <w:r w:rsidRPr="005746DB">
        <w:t xml:space="preserve">Energy Networks Association, </w:t>
      </w:r>
      <w:r w:rsidRPr="005746DB">
        <w:rPr>
          <w:rStyle w:val="AERtextitalic"/>
        </w:rPr>
        <w:t>AER ‘Better Regulation’: Capital Expenditure Incentive Guidelines and Efficiency Benefit Sharing Scheme: Submission on Draft Guidelines and associated Explanatory Statements</w:t>
      </w:r>
      <w:r w:rsidRPr="005746DB">
        <w:t>, 20 September 2013</w:t>
      </w:r>
      <w:r>
        <w:t xml:space="preserve">, p. 4; Energex, </w:t>
      </w:r>
      <w:r w:rsidRPr="00D43689">
        <w:rPr>
          <w:rStyle w:val="AERtextitalic"/>
        </w:rPr>
        <w:t>Energex response to AER's Draft Capital Expenditure Incentive Guideline and proposed Efficiency Benefit Sharing Scheme for Electricity Distributors</w:t>
      </w:r>
      <w:r>
        <w:t xml:space="preserve">, 20 September 2013, pp. 1–2; Networks NSW, </w:t>
      </w:r>
      <w:r w:rsidRPr="00D43689">
        <w:rPr>
          <w:rStyle w:val="AERtextitalic"/>
        </w:rPr>
        <w:t>Response to draft capex incentives guidelines and proposed changes to the EBSS</w:t>
      </w:r>
      <w:r>
        <w:t>, 20 September 2013, pp. 2–3.</w:t>
      </w:r>
    </w:p>
  </w:footnote>
  <w:footnote w:id="26">
    <w:p w:rsidR="005746FD" w:rsidRDefault="005746FD">
      <w:pPr>
        <w:pStyle w:val="FootnoteText"/>
      </w:pPr>
      <w:r>
        <w:rPr>
          <w:rStyle w:val="FootnoteReference"/>
        </w:rPr>
        <w:footnoteRef/>
      </w:r>
      <w:r>
        <w:t xml:space="preserve"> </w:t>
      </w:r>
      <w:r>
        <w:tab/>
        <w:t xml:space="preserve">Council of Small Business Australia, </w:t>
      </w:r>
      <w:r w:rsidRPr="00D43689">
        <w:rPr>
          <w:rStyle w:val="AERtextitalic"/>
        </w:rPr>
        <w:t>Comments on AER Draft Capital Expenditure Incentive &amp; EBSS Guidelines, September 2013</w:t>
      </w:r>
      <w:r>
        <w:t>, p. 9.</w:t>
      </w:r>
    </w:p>
  </w:footnote>
  <w:footnote w:id="27">
    <w:p w:rsidR="005746FD" w:rsidRDefault="005746FD">
      <w:pPr>
        <w:pStyle w:val="FootnoteText"/>
      </w:pPr>
      <w:r>
        <w:rPr>
          <w:rStyle w:val="FootnoteReference"/>
        </w:rPr>
        <w:footnoteRef/>
      </w:r>
      <w:r>
        <w:t xml:space="preserve"> </w:t>
      </w:r>
      <w:r>
        <w:tab/>
        <w:t xml:space="preserve">Energy Networks Association, </w:t>
      </w:r>
      <w:r w:rsidRPr="00D43689">
        <w:rPr>
          <w:rStyle w:val="AERtextitalic"/>
        </w:rPr>
        <w:t>AER ‘Better Regulation’: Capital Expenditure Incentive Guidelines and Efficiency Benefit Sharing Scheme: Submission on Draft Guidelines and associated Explanatory Statements</w:t>
      </w:r>
      <w:r>
        <w:t>, 20 September 2013, pp. 4–5.</w:t>
      </w:r>
    </w:p>
  </w:footnote>
  <w:footnote w:id="28">
    <w:p w:rsidR="005746FD" w:rsidRDefault="005746FD">
      <w:pPr>
        <w:pStyle w:val="FootnoteText"/>
      </w:pPr>
      <w:r>
        <w:rPr>
          <w:rStyle w:val="FootnoteReference"/>
        </w:rPr>
        <w:footnoteRef/>
      </w:r>
      <w:r>
        <w:t xml:space="preserve"> </w:t>
      </w:r>
      <w:r>
        <w:tab/>
        <w:t xml:space="preserve">Energex, </w:t>
      </w:r>
      <w:r w:rsidRPr="00D43689">
        <w:rPr>
          <w:rStyle w:val="AERtextitalic"/>
        </w:rPr>
        <w:t>Energex response to AER's Draft Capital Expenditure Incentive Guideline and proposed Efficiency Benefit Sharing Scheme for Electricity Distributors</w:t>
      </w:r>
      <w:r>
        <w:t>, 20 September 2013, pp. 1–2.</w:t>
      </w:r>
    </w:p>
  </w:footnote>
  <w:footnote w:id="29">
    <w:p w:rsidR="005746FD" w:rsidRDefault="005746FD">
      <w:pPr>
        <w:pStyle w:val="FootnoteText"/>
      </w:pPr>
      <w:r>
        <w:rPr>
          <w:rStyle w:val="FootnoteReference"/>
        </w:rPr>
        <w:footnoteRef/>
      </w:r>
      <w:r>
        <w:t xml:space="preserve"> </w:t>
      </w:r>
      <w:r>
        <w:tab/>
      </w:r>
      <w:proofErr w:type="gramStart"/>
      <w:r>
        <w:t xml:space="preserve">Grid Australia, </w:t>
      </w:r>
      <w:r w:rsidRPr="00D43689">
        <w:rPr>
          <w:rStyle w:val="AERtextitalic"/>
        </w:rPr>
        <w:t>Proposed Efficiency Benefit Sharing Scheme</w:t>
      </w:r>
      <w:r>
        <w:t>, 20 September 2013, p. 5.</w:t>
      </w:r>
      <w:proofErr w:type="gramEnd"/>
    </w:p>
  </w:footnote>
  <w:footnote w:id="30">
    <w:p w:rsidR="005746FD" w:rsidRDefault="005746FD">
      <w:pPr>
        <w:pStyle w:val="FootnoteText"/>
      </w:pPr>
      <w:r>
        <w:rPr>
          <w:rStyle w:val="FootnoteReference"/>
        </w:rPr>
        <w:footnoteRef/>
      </w:r>
      <w:r>
        <w:t xml:space="preserve"> </w:t>
      </w:r>
      <w:r>
        <w:tab/>
        <w:t xml:space="preserve">Energex, </w:t>
      </w:r>
      <w:r w:rsidRPr="00D43689">
        <w:rPr>
          <w:rStyle w:val="AERtextitalic"/>
        </w:rPr>
        <w:t>Energex response to AER's Draft Capital Expenditure Incentive Guideline and proposed Efficiency Benefit Sharing Scheme for Electricity Distributors</w:t>
      </w:r>
      <w:r>
        <w:t xml:space="preserve">, 20 September 2013, p. 2; Grid Australia, </w:t>
      </w:r>
      <w:r w:rsidRPr="00D43689">
        <w:rPr>
          <w:rStyle w:val="AERtextitalic"/>
        </w:rPr>
        <w:t>Proposed Efficiency Benefit Sharing Scheme</w:t>
      </w:r>
      <w:r>
        <w:t xml:space="preserve">, 20 September 2013, pp. 5–6; </w:t>
      </w:r>
      <w:proofErr w:type="spellStart"/>
      <w:r>
        <w:t>Incenta</w:t>
      </w:r>
      <w:proofErr w:type="spellEnd"/>
      <w:r>
        <w:t xml:space="preserve"> Economic Consulting, </w:t>
      </w:r>
      <w:r w:rsidRPr="00D43689">
        <w:rPr>
          <w:rStyle w:val="AERtextitalic"/>
        </w:rPr>
        <w:t>Advice on certain issues in relation to the Draft Expenditure Forecast Assessment and Efficiency Benefit Sharing Scheme Guidelines</w:t>
      </w:r>
      <w:r>
        <w:t>, 20 September 2013, pp. 15–21.</w:t>
      </w:r>
    </w:p>
  </w:footnote>
  <w:footnote w:id="31">
    <w:p w:rsidR="005746FD" w:rsidRDefault="005746FD" w:rsidP="003051EB">
      <w:pPr>
        <w:pStyle w:val="FootnoteText"/>
      </w:pPr>
      <w:r>
        <w:rPr>
          <w:rStyle w:val="FootnoteReference"/>
        </w:rPr>
        <w:footnoteRef/>
      </w:r>
      <w:r>
        <w:t xml:space="preserve"> </w:t>
      </w:r>
      <w:r>
        <w:tab/>
        <w:t xml:space="preserve">AER, </w:t>
      </w:r>
      <w:r w:rsidRPr="005D2AF3">
        <w:rPr>
          <w:rStyle w:val="AERtextitalic"/>
        </w:rPr>
        <w:t>Expenditure Forecast Assessment Guideline for Electricity Distribution</w:t>
      </w:r>
      <w:r>
        <w:t xml:space="preserve">, </w:t>
      </w:r>
      <w:r w:rsidRPr="005D2AF3">
        <w:t>November 2013</w:t>
      </w:r>
      <w:r>
        <w:t xml:space="preserve">, pp. 22–23; AER, </w:t>
      </w:r>
      <w:r w:rsidRPr="005D2AF3">
        <w:rPr>
          <w:rStyle w:val="AERtextitalic"/>
        </w:rPr>
        <w:t xml:space="preserve">Expenditure Forecast Assessment Guideline for Electricity </w:t>
      </w:r>
      <w:r>
        <w:rPr>
          <w:rStyle w:val="AERtextitalic"/>
        </w:rPr>
        <w:t>Transmission</w:t>
      </w:r>
      <w:r>
        <w:t xml:space="preserve">, </w:t>
      </w:r>
      <w:r w:rsidRPr="005D2AF3">
        <w:t>November 2013</w:t>
      </w:r>
      <w:r>
        <w:t>, pp. 22–23</w:t>
      </w:r>
      <w:r w:rsidR="001D078A">
        <w:t>.</w:t>
      </w:r>
    </w:p>
  </w:footnote>
  <w:footnote w:id="32">
    <w:p w:rsidR="005746FD" w:rsidRDefault="005746FD">
      <w:pPr>
        <w:pStyle w:val="FootnoteText"/>
      </w:pPr>
      <w:r>
        <w:rPr>
          <w:rStyle w:val="FootnoteReference"/>
        </w:rPr>
        <w:footnoteRef/>
      </w:r>
      <w:r>
        <w:t xml:space="preserve"> </w:t>
      </w:r>
      <w:r>
        <w:tab/>
      </w:r>
      <w:r w:rsidRPr="00E77D2B">
        <w:t xml:space="preserve">CitiPower, Powercor Australia and SA Power Networks, </w:t>
      </w:r>
      <w:r w:rsidRPr="00D43689">
        <w:rPr>
          <w:rStyle w:val="AERtextitalic"/>
        </w:rPr>
        <w:t>Response to the draft Capital Expenditure Incentives Guidelines and proposed Efficiency Benefit Sharing Scheme</w:t>
      </w:r>
      <w:r w:rsidRPr="00E77D2B">
        <w:t>, 20 September 2013</w:t>
      </w:r>
      <w:r>
        <w:t xml:space="preserve">, pp. 11–12; Victorian DNSPs, </w:t>
      </w:r>
      <w:r w:rsidRPr="00D43689">
        <w:rPr>
          <w:rStyle w:val="AERtextitalic"/>
        </w:rPr>
        <w:t>Draft Capital Expenditure Incentives Guidelines and Proposed EBSS</w:t>
      </w:r>
      <w:r w:rsidRPr="00E77D2B">
        <w:t>, 20 September 2013</w:t>
      </w:r>
      <w:r>
        <w:t>, p. 6.</w:t>
      </w:r>
    </w:p>
  </w:footnote>
  <w:footnote w:id="33">
    <w:p w:rsidR="005746FD" w:rsidRDefault="005746FD" w:rsidP="00BA75F1">
      <w:pPr>
        <w:pStyle w:val="FootnoteText"/>
      </w:pPr>
      <w:r>
        <w:rPr>
          <w:rStyle w:val="FootnoteReference"/>
        </w:rPr>
        <w:footnoteRef/>
      </w:r>
      <w:r>
        <w:t xml:space="preserve"> </w:t>
      </w:r>
      <w:r>
        <w:tab/>
      </w:r>
      <w:r w:rsidRPr="00E77D2B">
        <w:t xml:space="preserve">CitiPower, Powercor Australia and SA Power Networks, </w:t>
      </w:r>
      <w:r w:rsidRPr="00D43689">
        <w:rPr>
          <w:rStyle w:val="AERtextitalic"/>
        </w:rPr>
        <w:t>Response to the draft Capital Expenditure Incentives Guidelines and proposed Efficiency Benefit Sharing Scheme</w:t>
      </w:r>
      <w:r w:rsidRPr="00E77D2B">
        <w:t>, 20 September 2013</w:t>
      </w:r>
      <w:r>
        <w:t xml:space="preserve">, pp. 11–12; Victorian DNSPs, </w:t>
      </w:r>
      <w:r w:rsidRPr="00D43689">
        <w:rPr>
          <w:rStyle w:val="AERtextitalic"/>
        </w:rPr>
        <w:t>Draft Capital Expenditure Incentives Guidelines and Proposed EBSS</w:t>
      </w:r>
      <w:r w:rsidRPr="00E77D2B">
        <w:t>, 20 September 2013</w:t>
      </w:r>
      <w:r>
        <w:t>, p. 6.</w:t>
      </w:r>
    </w:p>
  </w:footnote>
  <w:footnote w:id="34">
    <w:p w:rsidR="005746FD" w:rsidRDefault="005746FD" w:rsidP="000A1B34">
      <w:pPr>
        <w:pStyle w:val="FootnoteText"/>
      </w:pPr>
      <w:r>
        <w:rPr>
          <w:rStyle w:val="FootnoteReference"/>
        </w:rPr>
        <w:footnoteRef/>
      </w:r>
      <w:r>
        <w:t xml:space="preserve"> </w:t>
      </w:r>
      <w:r>
        <w:tab/>
        <w:t xml:space="preserve">The $5 million </w:t>
      </w:r>
      <w:r w:rsidRPr="009E67B9">
        <w:t>EBSS penalty</w:t>
      </w:r>
      <w:r>
        <w:t xml:space="preserve"> will take effect from year 11, five years after the incremental efficiency loss in year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7"/>
  </w:num>
  <w:num w:numId="9">
    <w:abstractNumId w:val="6"/>
  </w:num>
  <w:num w:numId="10">
    <w:abstractNumId w:val="6"/>
  </w:num>
  <w:num w:numId="11">
    <w:abstractNumId w:val="7"/>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868\D13 143835  Better Regulation - Efficiency Benefit Sharing Scheme - Explanatory Statement - Final - 2013 11(2).DOCX"/>
  </w:docVars>
  <w:rsids>
    <w:rsidRoot w:val="000C052F"/>
    <w:rsid w:val="000041DF"/>
    <w:rsid w:val="00011129"/>
    <w:rsid w:val="00012A9E"/>
    <w:rsid w:val="00014F55"/>
    <w:rsid w:val="0002238E"/>
    <w:rsid w:val="00022606"/>
    <w:rsid w:val="00036229"/>
    <w:rsid w:val="00040599"/>
    <w:rsid w:val="00040749"/>
    <w:rsid w:val="0004260A"/>
    <w:rsid w:val="00046657"/>
    <w:rsid w:val="00051383"/>
    <w:rsid w:val="00064604"/>
    <w:rsid w:val="000840A5"/>
    <w:rsid w:val="000A1B34"/>
    <w:rsid w:val="000A1CC2"/>
    <w:rsid w:val="000A206C"/>
    <w:rsid w:val="000A5342"/>
    <w:rsid w:val="000B15CA"/>
    <w:rsid w:val="000C048C"/>
    <w:rsid w:val="000C052F"/>
    <w:rsid w:val="000C153B"/>
    <w:rsid w:val="000C3430"/>
    <w:rsid w:val="000D03C2"/>
    <w:rsid w:val="000D04B1"/>
    <w:rsid w:val="000D401F"/>
    <w:rsid w:val="000E1A25"/>
    <w:rsid w:val="000E5650"/>
    <w:rsid w:val="000E7B5E"/>
    <w:rsid w:val="000F3A6A"/>
    <w:rsid w:val="001033B3"/>
    <w:rsid w:val="00103639"/>
    <w:rsid w:val="00105636"/>
    <w:rsid w:val="001158BB"/>
    <w:rsid w:val="0012476C"/>
    <w:rsid w:val="001317E7"/>
    <w:rsid w:val="00136190"/>
    <w:rsid w:val="00140E44"/>
    <w:rsid w:val="00150A90"/>
    <w:rsid w:val="001543D2"/>
    <w:rsid w:val="0016745A"/>
    <w:rsid w:val="00174026"/>
    <w:rsid w:val="00176840"/>
    <w:rsid w:val="00180C41"/>
    <w:rsid w:val="001814C4"/>
    <w:rsid w:val="00181D07"/>
    <w:rsid w:val="00184078"/>
    <w:rsid w:val="00184A56"/>
    <w:rsid w:val="001856EE"/>
    <w:rsid w:val="00192F51"/>
    <w:rsid w:val="00193B3E"/>
    <w:rsid w:val="00194C3C"/>
    <w:rsid w:val="001A100F"/>
    <w:rsid w:val="001B01FD"/>
    <w:rsid w:val="001B78DF"/>
    <w:rsid w:val="001C12E5"/>
    <w:rsid w:val="001C2DDC"/>
    <w:rsid w:val="001C5A12"/>
    <w:rsid w:val="001D078A"/>
    <w:rsid w:val="001D333A"/>
    <w:rsid w:val="001D6786"/>
    <w:rsid w:val="001E2D9A"/>
    <w:rsid w:val="001E4127"/>
    <w:rsid w:val="001F1F57"/>
    <w:rsid w:val="001F3027"/>
    <w:rsid w:val="0020711E"/>
    <w:rsid w:val="00210880"/>
    <w:rsid w:val="00212657"/>
    <w:rsid w:val="0021397A"/>
    <w:rsid w:val="0021666B"/>
    <w:rsid w:val="002242E6"/>
    <w:rsid w:val="002257B9"/>
    <w:rsid w:val="0023137D"/>
    <w:rsid w:val="002421AB"/>
    <w:rsid w:val="00243612"/>
    <w:rsid w:val="002454B4"/>
    <w:rsid w:val="00247C3C"/>
    <w:rsid w:val="002516C2"/>
    <w:rsid w:val="00253C52"/>
    <w:rsid w:val="002550DA"/>
    <w:rsid w:val="00266710"/>
    <w:rsid w:val="002805B8"/>
    <w:rsid w:val="0029352A"/>
    <w:rsid w:val="002938CE"/>
    <w:rsid w:val="00294F45"/>
    <w:rsid w:val="002A0C61"/>
    <w:rsid w:val="002A5FFA"/>
    <w:rsid w:val="002B0A89"/>
    <w:rsid w:val="002B6640"/>
    <w:rsid w:val="002B7A79"/>
    <w:rsid w:val="002C1EBC"/>
    <w:rsid w:val="002C2922"/>
    <w:rsid w:val="002C7F4D"/>
    <w:rsid w:val="002D4EF5"/>
    <w:rsid w:val="002D5FA6"/>
    <w:rsid w:val="002D61AC"/>
    <w:rsid w:val="002E36F1"/>
    <w:rsid w:val="002E4720"/>
    <w:rsid w:val="002E5FBA"/>
    <w:rsid w:val="002F442C"/>
    <w:rsid w:val="002F5B96"/>
    <w:rsid w:val="00303452"/>
    <w:rsid w:val="003051EB"/>
    <w:rsid w:val="00305E33"/>
    <w:rsid w:val="00310892"/>
    <w:rsid w:val="00314137"/>
    <w:rsid w:val="003215C9"/>
    <w:rsid w:val="00325618"/>
    <w:rsid w:val="00330FFD"/>
    <w:rsid w:val="003324F7"/>
    <w:rsid w:val="00334F88"/>
    <w:rsid w:val="0033660D"/>
    <w:rsid w:val="003454F9"/>
    <w:rsid w:val="003707DB"/>
    <w:rsid w:val="00375740"/>
    <w:rsid w:val="00375AEC"/>
    <w:rsid w:val="003761E4"/>
    <w:rsid w:val="00376236"/>
    <w:rsid w:val="0037652C"/>
    <w:rsid w:val="00376B36"/>
    <w:rsid w:val="003800E4"/>
    <w:rsid w:val="00380FF5"/>
    <w:rsid w:val="0038446D"/>
    <w:rsid w:val="003852DD"/>
    <w:rsid w:val="0038636C"/>
    <w:rsid w:val="00397100"/>
    <w:rsid w:val="003A466F"/>
    <w:rsid w:val="003A51A6"/>
    <w:rsid w:val="003A6174"/>
    <w:rsid w:val="003B3E2B"/>
    <w:rsid w:val="003C534B"/>
    <w:rsid w:val="003C7AA1"/>
    <w:rsid w:val="003D189D"/>
    <w:rsid w:val="003E7336"/>
    <w:rsid w:val="003F1AE3"/>
    <w:rsid w:val="003F6E20"/>
    <w:rsid w:val="003F7D47"/>
    <w:rsid w:val="004030AB"/>
    <w:rsid w:val="00403EF5"/>
    <w:rsid w:val="00405172"/>
    <w:rsid w:val="00412282"/>
    <w:rsid w:val="00413280"/>
    <w:rsid w:val="00424101"/>
    <w:rsid w:val="004256BA"/>
    <w:rsid w:val="00431866"/>
    <w:rsid w:val="00431999"/>
    <w:rsid w:val="00435682"/>
    <w:rsid w:val="004358DD"/>
    <w:rsid w:val="0043791C"/>
    <w:rsid w:val="00440D70"/>
    <w:rsid w:val="00456081"/>
    <w:rsid w:val="00464F5D"/>
    <w:rsid w:val="00471EBF"/>
    <w:rsid w:val="00472AD0"/>
    <w:rsid w:val="00472DC2"/>
    <w:rsid w:val="00474FBD"/>
    <w:rsid w:val="004801F4"/>
    <w:rsid w:val="00480916"/>
    <w:rsid w:val="00491D7D"/>
    <w:rsid w:val="00493826"/>
    <w:rsid w:val="00494982"/>
    <w:rsid w:val="004A6E56"/>
    <w:rsid w:val="004B5BBD"/>
    <w:rsid w:val="004C34CE"/>
    <w:rsid w:val="004C3F45"/>
    <w:rsid w:val="004E0F9D"/>
    <w:rsid w:val="004E40EF"/>
    <w:rsid w:val="004E73F7"/>
    <w:rsid w:val="004F210D"/>
    <w:rsid w:val="004F6CAC"/>
    <w:rsid w:val="004F76A0"/>
    <w:rsid w:val="00500E7F"/>
    <w:rsid w:val="00504506"/>
    <w:rsid w:val="005152E1"/>
    <w:rsid w:val="0052179D"/>
    <w:rsid w:val="00531D10"/>
    <w:rsid w:val="0054243A"/>
    <w:rsid w:val="005456A9"/>
    <w:rsid w:val="00547F80"/>
    <w:rsid w:val="00555D52"/>
    <w:rsid w:val="005566D7"/>
    <w:rsid w:val="00561F7F"/>
    <w:rsid w:val="00566B35"/>
    <w:rsid w:val="00571896"/>
    <w:rsid w:val="0057270B"/>
    <w:rsid w:val="005732CC"/>
    <w:rsid w:val="005746DB"/>
    <w:rsid w:val="005746FD"/>
    <w:rsid w:val="00574A19"/>
    <w:rsid w:val="00575422"/>
    <w:rsid w:val="0057633F"/>
    <w:rsid w:val="005938C6"/>
    <w:rsid w:val="00594897"/>
    <w:rsid w:val="005A0431"/>
    <w:rsid w:val="005A0CA8"/>
    <w:rsid w:val="005A163A"/>
    <w:rsid w:val="005B3752"/>
    <w:rsid w:val="005B61C2"/>
    <w:rsid w:val="005C4161"/>
    <w:rsid w:val="005D26B7"/>
    <w:rsid w:val="005D2AF3"/>
    <w:rsid w:val="005D4AA1"/>
    <w:rsid w:val="005E020D"/>
    <w:rsid w:val="005F1327"/>
    <w:rsid w:val="005F6082"/>
    <w:rsid w:val="0060146C"/>
    <w:rsid w:val="0060207D"/>
    <w:rsid w:val="006039F2"/>
    <w:rsid w:val="006061B0"/>
    <w:rsid w:val="0060732E"/>
    <w:rsid w:val="006076A9"/>
    <w:rsid w:val="00626C63"/>
    <w:rsid w:val="00634B1B"/>
    <w:rsid w:val="006379BD"/>
    <w:rsid w:val="00641409"/>
    <w:rsid w:val="00650848"/>
    <w:rsid w:val="006513A1"/>
    <w:rsid w:val="006544EA"/>
    <w:rsid w:val="0066569F"/>
    <w:rsid w:val="0067485F"/>
    <w:rsid w:val="00676DAE"/>
    <w:rsid w:val="0069004B"/>
    <w:rsid w:val="006A5438"/>
    <w:rsid w:val="006A6537"/>
    <w:rsid w:val="006A67DE"/>
    <w:rsid w:val="006A7264"/>
    <w:rsid w:val="006B08EB"/>
    <w:rsid w:val="006B2288"/>
    <w:rsid w:val="006B2B35"/>
    <w:rsid w:val="006B481F"/>
    <w:rsid w:val="006B7352"/>
    <w:rsid w:val="006C0FC7"/>
    <w:rsid w:val="006C40DF"/>
    <w:rsid w:val="006D1269"/>
    <w:rsid w:val="006D7A87"/>
    <w:rsid w:val="006E0889"/>
    <w:rsid w:val="006F44AF"/>
    <w:rsid w:val="006F5C11"/>
    <w:rsid w:val="006F638E"/>
    <w:rsid w:val="006F6C85"/>
    <w:rsid w:val="006F7DDB"/>
    <w:rsid w:val="007003F3"/>
    <w:rsid w:val="00700F25"/>
    <w:rsid w:val="00701063"/>
    <w:rsid w:val="00702811"/>
    <w:rsid w:val="00703E42"/>
    <w:rsid w:val="00711F98"/>
    <w:rsid w:val="007121A9"/>
    <w:rsid w:val="007173A0"/>
    <w:rsid w:val="00723456"/>
    <w:rsid w:val="00727BB9"/>
    <w:rsid w:val="007368AD"/>
    <w:rsid w:val="00750936"/>
    <w:rsid w:val="00751D2A"/>
    <w:rsid w:val="00754B2B"/>
    <w:rsid w:val="00755095"/>
    <w:rsid w:val="00757449"/>
    <w:rsid w:val="007662A5"/>
    <w:rsid w:val="0077663B"/>
    <w:rsid w:val="007800F4"/>
    <w:rsid w:val="0078654E"/>
    <w:rsid w:val="00796A07"/>
    <w:rsid w:val="007B2033"/>
    <w:rsid w:val="007C22FE"/>
    <w:rsid w:val="007C5524"/>
    <w:rsid w:val="007E42A2"/>
    <w:rsid w:val="007E7B6B"/>
    <w:rsid w:val="007F1047"/>
    <w:rsid w:val="007F10E3"/>
    <w:rsid w:val="007F2C0E"/>
    <w:rsid w:val="007F3CBC"/>
    <w:rsid w:val="00804AEB"/>
    <w:rsid w:val="00807609"/>
    <w:rsid w:val="00810116"/>
    <w:rsid w:val="00810A30"/>
    <w:rsid w:val="00824CC8"/>
    <w:rsid w:val="00833722"/>
    <w:rsid w:val="00836D17"/>
    <w:rsid w:val="00837D83"/>
    <w:rsid w:val="00840A55"/>
    <w:rsid w:val="00841E25"/>
    <w:rsid w:val="008464CD"/>
    <w:rsid w:val="008466AD"/>
    <w:rsid w:val="008515EE"/>
    <w:rsid w:val="0085273A"/>
    <w:rsid w:val="00861C4E"/>
    <w:rsid w:val="00866D21"/>
    <w:rsid w:val="00872D85"/>
    <w:rsid w:val="00876D26"/>
    <w:rsid w:val="008800DA"/>
    <w:rsid w:val="00883DDA"/>
    <w:rsid w:val="00891FF9"/>
    <w:rsid w:val="0089239B"/>
    <w:rsid w:val="00893367"/>
    <w:rsid w:val="0089632C"/>
    <w:rsid w:val="008A0C40"/>
    <w:rsid w:val="008B7956"/>
    <w:rsid w:val="008C3B67"/>
    <w:rsid w:val="008C3F48"/>
    <w:rsid w:val="008C43E4"/>
    <w:rsid w:val="008C6245"/>
    <w:rsid w:val="008D49B4"/>
    <w:rsid w:val="008D5470"/>
    <w:rsid w:val="008D5DF2"/>
    <w:rsid w:val="008D7498"/>
    <w:rsid w:val="008D7D4C"/>
    <w:rsid w:val="008E0C20"/>
    <w:rsid w:val="008E1EBA"/>
    <w:rsid w:val="008E4891"/>
    <w:rsid w:val="008F1FB7"/>
    <w:rsid w:val="008F289D"/>
    <w:rsid w:val="00904854"/>
    <w:rsid w:val="009120A0"/>
    <w:rsid w:val="00922986"/>
    <w:rsid w:val="00932C9E"/>
    <w:rsid w:val="00932E96"/>
    <w:rsid w:val="00933318"/>
    <w:rsid w:val="00936BD0"/>
    <w:rsid w:val="009418E6"/>
    <w:rsid w:val="0094235F"/>
    <w:rsid w:val="0094279F"/>
    <w:rsid w:val="00946B98"/>
    <w:rsid w:val="0095018C"/>
    <w:rsid w:val="0095052A"/>
    <w:rsid w:val="00960B3C"/>
    <w:rsid w:val="00961B65"/>
    <w:rsid w:val="009658F0"/>
    <w:rsid w:val="00967B64"/>
    <w:rsid w:val="0097007B"/>
    <w:rsid w:val="009703FD"/>
    <w:rsid w:val="00971655"/>
    <w:rsid w:val="00971C63"/>
    <w:rsid w:val="009728C3"/>
    <w:rsid w:val="00974C6F"/>
    <w:rsid w:val="009816F1"/>
    <w:rsid w:val="00986068"/>
    <w:rsid w:val="009860C9"/>
    <w:rsid w:val="00986B8D"/>
    <w:rsid w:val="009A296A"/>
    <w:rsid w:val="009A4AE9"/>
    <w:rsid w:val="009B26D2"/>
    <w:rsid w:val="009B315C"/>
    <w:rsid w:val="009B4884"/>
    <w:rsid w:val="009B5901"/>
    <w:rsid w:val="009C08F1"/>
    <w:rsid w:val="009C4565"/>
    <w:rsid w:val="009C71D5"/>
    <w:rsid w:val="009E2DCB"/>
    <w:rsid w:val="009E4EFA"/>
    <w:rsid w:val="009E67B9"/>
    <w:rsid w:val="009E6E3F"/>
    <w:rsid w:val="009F5DD3"/>
    <w:rsid w:val="009F7CE4"/>
    <w:rsid w:val="00A063B9"/>
    <w:rsid w:val="00A11162"/>
    <w:rsid w:val="00A15E01"/>
    <w:rsid w:val="00A25C0D"/>
    <w:rsid w:val="00A32D30"/>
    <w:rsid w:val="00A43227"/>
    <w:rsid w:val="00A46CCD"/>
    <w:rsid w:val="00A55C1F"/>
    <w:rsid w:val="00A65133"/>
    <w:rsid w:val="00A652C5"/>
    <w:rsid w:val="00A73D23"/>
    <w:rsid w:val="00A82840"/>
    <w:rsid w:val="00A85C5A"/>
    <w:rsid w:val="00A96A08"/>
    <w:rsid w:val="00AA0161"/>
    <w:rsid w:val="00AA2238"/>
    <w:rsid w:val="00AB1D08"/>
    <w:rsid w:val="00AB2107"/>
    <w:rsid w:val="00AB3CCE"/>
    <w:rsid w:val="00AB4345"/>
    <w:rsid w:val="00AB5BD7"/>
    <w:rsid w:val="00AC00B2"/>
    <w:rsid w:val="00AC0135"/>
    <w:rsid w:val="00AC070D"/>
    <w:rsid w:val="00AC1B94"/>
    <w:rsid w:val="00AC435C"/>
    <w:rsid w:val="00AC7582"/>
    <w:rsid w:val="00AC7F02"/>
    <w:rsid w:val="00AD0616"/>
    <w:rsid w:val="00AD34FF"/>
    <w:rsid w:val="00AD3F7B"/>
    <w:rsid w:val="00AD442E"/>
    <w:rsid w:val="00AD4DE6"/>
    <w:rsid w:val="00AD553B"/>
    <w:rsid w:val="00AE1C69"/>
    <w:rsid w:val="00AE6A21"/>
    <w:rsid w:val="00AE6DBC"/>
    <w:rsid w:val="00AF23BF"/>
    <w:rsid w:val="00AF3E95"/>
    <w:rsid w:val="00AF413D"/>
    <w:rsid w:val="00AF5C9A"/>
    <w:rsid w:val="00AF7C67"/>
    <w:rsid w:val="00AF7CA7"/>
    <w:rsid w:val="00B00C52"/>
    <w:rsid w:val="00B15FE9"/>
    <w:rsid w:val="00B17A9B"/>
    <w:rsid w:val="00B45E21"/>
    <w:rsid w:val="00B51883"/>
    <w:rsid w:val="00B56174"/>
    <w:rsid w:val="00B61E34"/>
    <w:rsid w:val="00B61FD4"/>
    <w:rsid w:val="00B674DB"/>
    <w:rsid w:val="00B800C3"/>
    <w:rsid w:val="00B82E8D"/>
    <w:rsid w:val="00B9264D"/>
    <w:rsid w:val="00B937CA"/>
    <w:rsid w:val="00B948AD"/>
    <w:rsid w:val="00B94D99"/>
    <w:rsid w:val="00BA2ED3"/>
    <w:rsid w:val="00BA75F1"/>
    <w:rsid w:val="00BB3FA1"/>
    <w:rsid w:val="00BB4AE3"/>
    <w:rsid w:val="00BB62BB"/>
    <w:rsid w:val="00BC05C5"/>
    <w:rsid w:val="00BD04BE"/>
    <w:rsid w:val="00BE28E0"/>
    <w:rsid w:val="00BE31C5"/>
    <w:rsid w:val="00BE4238"/>
    <w:rsid w:val="00BE6F28"/>
    <w:rsid w:val="00BF29FA"/>
    <w:rsid w:val="00BF483C"/>
    <w:rsid w:val="00BF4E21"/>
    <w:rsid w:val="00C0092B"/>
    <w:rsid w:val="00C04D2B"/>
    <w:rsid w:val="00C05473"/>
    <w:rsid w:val="00C136E1"/>
    <w:rsid w:val="00C154C0"/>
    <w:rsid w:val="00C17BD8"/>
    <w:rsid w:val="00C260A2"/>
    <w:rsid w:val="00C269B9"/>
    <w:rsid w:val="00C34255"/>
    <w:rsid w:val="00C42DB2"/>
    <w:rsid w:val="00C452CF"/>
    <w:rsid w:val="00C46E2E"/>
    <w:rsid w:val="00C524CE"/>
    <w:rsid w:val="00C60645"/>
    <w:rsid w:val="00C64F13"/>
    <w:rsid w:val="00C66A6F"/>
    <w:rsid w:val="00C737C5"/>
    <w:rsid w:val="00C8088F"/>
    <w:rsid w:val="00C80FA5"/>
    <w:rsid w:val="00C865B4"/>
    <w:rsid w:val="00C92C43"/>
    <w:rsid w:val="00C95F15"/>
    <w:rsid w:val="00CA32D2"/>
    <w:rsid w:val="00CA3540"/>
    <w:rsid w:val="00CA652D"/>
    <w:rsid w:val="00CA6DED"/>
    <w:rsid w:val="00CA78AD"/>
    <w:rsid w:val="00CB2225"/>
    <w:rsid w:val="00CB2BB5"/>
    <w:rsid w:val="00CB34E9"/>
    <w:rsid w:val="00CB740D"/>
    <w:rsid w:val="00CC262D"/>
    <w:rsid w:val="00CC49D4"/>
    <w:rsid w:val="00CD0BBD"/>
    <w:rsid w:val="00CD391B"/>
    <w:rsid w:val="00CD3E7B"/>
    <w:rsid w:val="00CD4777"/>
    <w:rsid w:val="00CE07A3"/>
    <w:rsid w:val="00CE2BA1"/>
    <w:rsid w:val="00CE64B1"/>
    <w:rsid w:val="00CE6F5A"/>
    <w:rsid w:val="00CF09AF"/>
    <w:rsid w:val="00CF0D8E"/>
    <w:rsid w:val="00CF2E41"/>
    <w:rsid w:val="00CF42CF"/>
    <w:rsid w:val="00D06126"/>
    <w:rsid w:val="00D102E9"/>
    <w:rsid w:val="00D14A57"/>
    <w:rsid w:val="00D1688F"/>
    <w:rsid w:val="00D16D17"/>
    <w:rsid w:val="00D2117F"/>
    <w:rsid w:val="00D25317"/>
    <w:rsid w:val="00D31B7E"/>
    <w:rsid w:val="00D335BC"/>
    <w:rsid w:val="00D43689"/>
    <w:rsid w:val="00D53EFD"/>
    <w:rsid w:val="00D5620D"/>
    <w:rsid w:val="00D56349"/>
    <w:rsid w:val="00D66E8B"/>
    <w:rsid w:val="00D76EED"/>
    <w:rsid w:val="00D83F39"/>
    <w:rsid w:val="00D85019"/>
    <w:rsid w:val="00D85715"/>
    <w:rsid w:val="00D8706C"/>
    <w:rsid w:val="00D90BD1"/>
    <w:rsid w:val="00DA456B"/>
    <w:rsid w:val="00DA4C62"/>
    <w:rsid w:val="00DA543A"/>
    <w:rsid w:val="00DB6A17"/>
    <w:rsid w:val="00DD5520"/>
    <w:rsid w:val="00DD6F0D"/>
    <w:rsid w:val="00DE1D59"/>
    <w:rsid w:val="00DE4B11"/>
    <w:rsid w:val="00DF16C2"/>
    <w:rsid w:val="00DF4B26"/>
    <w:rsid w:val="00E00F76"/>
    <w:rsid w:val="00E0213B"/>
    <w:rsid w:val="00E05136"/>
    <w:rsid w:val="00E07A69"/>
    <w:rsid w:val="00E21E75"/>
    <w:rsid w:val="00E2319E"/>
    <w:rsid w:val="00E25A7B"/>
    <w:rsid w:val="00E3079E"/>
    <w:rsid w:val="00E30EFB"/>
    <w:rsid w:val="00E35DBC"/>
    <w:rsid w:val="00E468C6"/>
    <w:rsid w:val="00E51202"/>
    <w:rsid w:val="00E519DC"/>
    <w:rsid w:val="00E55422"/>
    <w:rsid w:val="00E6375E"/>
    <w:rsid w:val="00E77D2B"/>
    <w:rsid w:val="00E807DA"/>
    <w:rsid w:val="00E84E3A"/>
    <w:rsid w:val="00EA05AF"/>
    <w:rsid w:val="00EA115B"/>
    <w:rsid w:val="00EA2570"/>
    <w:rsid w:val="00EB65C6"/>
    <w:rsid w:val="00EC43B9"/>
    <w:rsid w:val="00ED4D69"/>
    <w:rsid w:val="00EE2604"/>
    <w:rsid w:val="00EE362F"/>
    <w:rsid w:val="00EF0E19"/>
    <w:rsid w:val="00EF14BC"/>
    <w:rsid w:val="00EF62E3"/>
    <w:rsid w:val="00F0434E"/>
    <w:rsid w:val="00F114AE"/>
    <w:rsid w:val="00F25E97"/>
    <w:rsid w:val="00F43CA0"/>
    <w:rsid w:val="00F44604"/>
    <w:rsid w:val="00F50856"/>
    <w:rsid w:val="00F51AAE"/>
    <w:rsid w:val="00F55030"/>
    <w:rsid w:val="00F5556D"/>
    <w:rsid w:val="00F621FE"/>
    <w:rsid w:val="00F62BEC"/>
    <w:rsid w:val="00F6590E"/>
    <w:rsid w:val="00F67D3E"/>
    <w:rsid w:val="00F712AA"/>
    <w:rsid w:val="00F7436A"/>
    <w:rsid w:val="00F74CBD"/>
    <w:rsid w:val="00F75797"/>
    <w:rsid w:val="00F7696F"/>
    <w:rsid w:val="00F774A2"/>
    <w:rsid w:val="00F8209B"/>
    <w:rsid w:val="00F94F72"/>
    <w:rsid w:val="00F95884"/>
    <w:rsid w:val="00F97CD9"/>
    <w:rsid w:val="00FA0576"/>
    <w:rsid w:val="00FA1C14"/>
    <w:rsid w:val="00FB46FA"/>
    <w:rsid w:val="00FB50B4"/>
    <w:rsid w:val="00FC3481"/>
    <w:rsid w:val="00FC3838"/>
    <w:rsid w:val="00FD202B"/>
    <w:rsid w:val="00FD2874"/>
    <w:rsid w:val="00FD4B97"/>
    <w:rsid w:val="00FD5587"/>
    <w:rsid w:val="00FE55EB"/>
    <w:rsid w:val="00FE69A1"/>
    <w:rsid w:val="00FF4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uiPriority="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7E7B6B"/>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10"/>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CB740D"/>
    <w:pPr>
      <w:numPr>
        <w:ilvl w:val="4"/>
      </w:numPr>
    </w:pPr>
  </w:style>
  <w:style w:type="paragraph" w:customStyle="1" w:styleId="AERnumberedlist2second">
    <w:name w:val="AER numbered list 2 second"/>
    <w:basedOn w:val="AERnumberedlist2first"/>
    <w:qFormat/>
    <w:rsid w:val="00CB740D"/>
    <w:pPr>
      <w:numPr>
        <w:ilvl w:val="5"/>
      </w:numPr>
    </w:pPr>
  </w:style>
  <w:style w:type="paragraph" w:customStyle="1" w:styleId="AERnumberedlist2third">
    <w:name w:val="AER numbered list 2 third"/>
    <w:basedOn w:val="AERnumberedlist2second"/>
    <w:qFormat/>
    <w:rsid w:val="00CB740D"/>
    <w:pPr>
      <w:numPr>
        <w:ilvl w:val="6"/>
      </w:numPr>
    </w:pPr>
  </w:style>
  <w:style w:type="paragraph" w:customStyle="1" w:styleId="HeadingBoldBlue">
    <w:name w:val="Heading Bold Blue"/>
    <w:basedOn w:val="AERbodytext"/>
    <w:next w:val="AERbodytext"/>
    <w:link w:val="HeadingBoldBlueChar"/>
    <w:qFormat/>
    <w:rsid w:val="00CB740D"/>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CB740D"/>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CB740D"/>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CB740D"/>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CB740D"/>
    <w:rPr>
      <w:i w:val="0"/>
      <w:sz w:val="20"/>
    </w:rPr>
  </w:style>
  <w:style w:type="paragraph" w:customStyle="1" w:styleId="AERbodytextcentre">
    <w:name w:val="AER body text centre"/>
    <w:basedOn w:val="AERbodytext"/>
    <w:qFormat/>
    <w:rsid w:val="00CB740D"/>
    <w:pPr>
      <w:numPr>
        <w:numId w:val="0"/>
      </w:numPr>
      <w:jc w:val="center"/>
    </w:pPr>
  </w:style>
  <w:style w:type="paragraph" w:customStyle="1" w:styleId="AERbodytextleftalign">
    <w:name w:val="AER body text left align"/>
    <w:basedOn w:val="AERbodytext"/>
    <w:qFormat/>
    <w:rsid w:val="00CB740D"/>
    <w:pPr>
      <w:numPr>
        <w:numId w:val="0"/>
      </w:numPr>
      <w:jc w:val="left"/>
    </w:pPr>
  </w:style>
  <w:style w:type="paragraph" w:customStyle="1" w:styleId="AERbodytextnospacecentre">
    <w:name w:val="AER body text no space centre"/>
    <w:basedOn w:val="AERbodytextnospace"/>
    <w:qFormat/>
    <w:rsid w:val="00CB740D"/>
    <w:pPr>
      <w:numPr>
        <w:numId w:val="0"/>
      </w:numPr>
      <w:jc w:val="center"/>
    </w:pPr>
  </w:style>
  <w:style w:type="paragraph" w:customStyle="1" w:styleId="AERbodytextnospaceleftalign">
    <w:name w:val="AER body text no space left align"/>
    <w:basedOn w:val="AERbodytextnospace"/>
    <w:qFormat/>
    <w:rsid w:val="00CB740D"/>
    <w:pPr>
      <w:numPr>
        <w:numId w:val="0"/>
      </w:numPr>
      <w:tabs>
        <w:tab w:val="num" w:pos="0"/>
      </w:tabs>
      <w:jc w:val="left"/>
    </w:pPr>
  </w:style>
  <w:style w:type="paragraph" w:styleId="Revision">
    <w:name w:val="Revision"/>
    <w:hidden/>
    <w:uiPriority w:val="99"/>
    <w:semiHidden/>
    <w:rsid w:val="00D31B7E"/>
    <w:rPr>
      <w:lang w:eastAsia="en-US"/>
    </w:rPr>
  </w:style>
  <w:style w:type="character" w:styleId="FollowedHyperlink">
    <w:name w:val="FollowedHyperlink"/>
    <w:basedOn w:val="DefaultParagraphFont"/>
    <w:uiPriority w:val="99"/>
    <w:semiHidden/>
    <w:unhideWhenUsed/>
    <w:rsid w:val="008D54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3A2C-A346-4A9F-A500-A22BA481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9977</Words>
  <Characters>56869</Characters>
  <Application>Microsoft Office Word</Application>
  <DocSecurity>4</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66713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efficiency benefit sharing scheme explanatory statement</dc:title>
  <dc:subject/>
  <dc:creator>AER</dc:creator>
  <cp:keywords/>
  <cp:lastModifiedBy>mleco</cp:lastModifiedBy>
  <cp:revision>2</cp:revision>
  <cp:lastPrinted>2012-05-03T01:13:00Z</cp:lastPrinted>
  <dcterms:created xsi:type="dcterms:W3CDTF">2013-11-28T05:24:00Z</dcterms:created>
  <dcterms:modified xsi:type="dcterms:W3CDTF">2013-11-28T05:24:00Z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H:\TRIMDATA\TRIM\TEMP\HPTRIM.5868\D13 143835  Better Regulation - Efficiency Benefit Sharing Scheme - Explanatory Statement - Final - 2013 11(2).DOCX</vt:lpwstr>
  </property>
</Properties>
</file>