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F7" w:rsidRPr="005C4BFE" w:rsidRDefault="00753DF7" w:rsidP="00753DF7">
      <w:pPr>
        <w:pStyle w:val="AERfactsheetsubtitle"/>
      </w:pPr>
    </w:p>
    <w:p w:rsidR="00C41B85" w:rsidRDefault="00AC0236" w:rsidP="00C41B85">
      <w:pPr>
        <w:pStyle w:val="AERfactsheetsubtitle"/>
        <w:rPr>
          <w:noProof/>
          <w:lang w:eastAsia="en-AU"/>
        </w:rPr>
      </w:pPr>
      <w:r w:rsidRPr="00B0183D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7E2850" wp14:editId="2BDD6486">
                <wp:simplePos x="0" y="0"/>
                <wp:positionH relativeFrom="column">
                  <wp:posOffset>-457200</wp:posOffset>
                </wp:positionH>
                <wp:positionV relativeFrom="paragraph">
                  <wp:posOffset>-42545</wp:posOffset>
                </wp:positionV>
                <wp:extent cx="7640955" cy="2122805"/>
                <wp:effectExtent l="0" t="0" r="17145" b="29845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0955" cy="2122805"/>
                          <a:chOff x="0" y="0"/>
                          <a:chExt cx="7641536" cy="2122998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87179"/>
                            <a:ext cx="7632015" cy="13335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4C" w:rsidRPr="00EF759C" w:rsidRDefault="00654F4C" w:rsidP="001D49FD">
                              <w:pPr>
                                <w:ind w:left="567"/>
                                <w:rPr>
                                  <w:rFonts w:cs="Calibri"/>
                                  <w:color w:val="FFFFFF"/>
                                  <w:sz w:val="18"/>
                                </w:rPr>
                              </w:pPr>
                            </w:p>
                            <w:p w:rsidR="00654F4C" w:rsidRPr="00EF759C" w:rsidRDefault="00654F4C" w:rsidP="001D49FD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EF759C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Better Regu</w:t>
                              </w:r>
                              <w:r w:rsidRPr="00EF759C">
                                <w:rPr>
                                  <w:rFonts w:ascii="Trebuchet MS" w:hAnsi="Trebuchet MS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l</w:t>
                              </w:r>
                              <w:r w:rsidRPr="00EF759C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ation:</w:t>
                              </w:r>
                            </w:p>
                            <w:p w:rsidR="00654F4C" w:rsidRPr="00EF759C" w:rsidRDefault="00654F4C" w:rsidP="004D1DC0">
                              <w:pPr>
                                <w:ind w:left="567"/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</w:pPr>
                              <w:r w:rsidRPr="00EF759C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 xml:space="preserve">Consumer engagement guideline for </w:t>
                              </w:r>
                              <w:r w:rsidR="00EF759C" w:rsidRPr="00EF759C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br/>
                              </w:r>
                              <w:r w:rsidRPr="00EF759C">
                                <w:rPr>
                                  <w:rFonts w:ascii="MS Reference Sans Serif" w:hAnsi="MS Reference Sans Serif" w:cs="Tunga"/>
                                  <w:color w:val="FFFFFF"/>
                                  <w:spacing w:val="10"/>
                                  <w:w w:val="99"/>
                                  <w:kern w:val="44"/>
                                  <w:sz w:val="40"/>
                                  <w:szCs w:val="40"/>
                                </w:rPr>
                                <w:t>network service providers</w:t>
                              </w:r>
                            </w:p>
                            <w:p w:rsidR="00654F4C" w:rsidRPr="00E83166" w:rsidRDefault="00654F4C" w:rsidP="001D49FD">
                              <w:pPr>
                                <w:ind w:left="567" w:right="681"/>
                                <w:jc w:val="right"/>
                                <w:rPr>
                                  <w:rFonts w:ascii="MS Reference Sans Serif" w:hAnsi="MS Reference Sans Serif" w:cs="Tunga"/>
                                  <w:color w:val="FFFFFF"/>
                                </w:rPr>
                              </w:pPr>
                            </w:p>
                            <w:p w:rsidR="00654F4C" w:rsidRPr="00390BEB" w:rsidRDefault="00654F4C" w:rsidP="001D49FD">
                              <w:pPr>
                                <w:ind w:left="567" w:right="941"/>
                                <w:jc w:val="right"/>
                                <w:rPr>
                                  <w:rFonts w:cs="Calibri"/>
                                  <w:b/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" name="Straight Connector 2"/>
                        <wps:cNvCnPr>
                          <a:cxnSpLocks noChangeShapeType="1"/>
                        </wps:cNvCnPr>
                        <wps:spPr bwMode="auto">
                          <a:xfrm>
                            <a:off x="0" y="2122998"/>
                            <a:ext cx="7641536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835" y="0"/>
                            <a:ext cx="2361537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-36pt;margin-top:-3.35pt;width:601.65pt;height:167.15pt;z-index:251657216" coordsize="76415,2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7871;width:76320;height:133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MZ8IA&#10;AADaAAAADwAAAGRycy9kb3ducmV2LnhtbESPT2vCQBTE74LfYXmF3nRTD1VTV6kWwYsH/9DzI/ua&#10;DWbfhuwzpv30XUHwOMzMb5jFqve16qiNVWADb+MMFHERbMWlgfNpO5qBioJssQ5MBn4pwmo5HCww&#10;t+HGB+qOUqoE4ZijASfS5FrHwpHHOA4NcfJ+QutRkmxLbVu8Jbiv9STL3rXHitOCw4Y2jorL8eoN&#10;yParu8Ry//c938m0Pmg31fu1Ma8v/ecHKKFenuFHe2cNTOB+Jd0Av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sxnwgAAANoAAAAPAAAAAAAAAAAAAAAAAJgCAABkcnMvZG93&#10;bnJldi54bWxQSwUGAAAAAAQABAD1AAAAhwMAAAAA&#10;" fillcolor="#006a99" stroked="f">
                  <v:textbox>
                    <w:txbxContent>
                      <w:p w:rsidR="00654F4C" w:rsidRPr="00EF759C" w:rsidRDefault="00654F4C" w:rsidP="001D49FD">
                        <w:pPr>
                          <w:ind w:left="567"/>
                          <w:rPr>
                            <w:rFonts w:cs="Calibri"/>
                            <w:color w:val="FFFFFF"/>
                            <w:sz w:val="18"/>
                          </w:rPr>
                        </w:pPr>
                      </w:p>
                      <w:p w:rsidR="00654F4C" w:rsidRPr="00EF759C" w:rsidRDefault="00654F4C" w:rsidP="001D49FD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EF759C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Better Regu</w:t>
                        </w:r>
                        <w:r w:rsidRPr="00EF759C">
                          <w:rPr>
                            <w:rFonts w:ascii="Trebuchet MS" w:hAnsi="Trebuchet MS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l</w:t>
                        </w:r>
                        <w:r w:rsidRPr="00EF759C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ation:</w:t>
                        </w:r>
                      </w:p>
                      <w:p w:rsidR="00654F4C" w:rsidRPr="00EF759C" w:rsidRDefault="00654F4C" w:rsidP="004D1DC0">
                        <w:pPr>
                          <w:ind w:left="567"/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</w:pPr>
                        <w:r w:rsidRPr="00EF759C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 xml:space="preserve">Consumer engagement guideline for </w:t>
                        </w:r>
                        <w:r w:rsidR="00EF759C" w:rsidRPr="00EF759C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br/>
                        </w:r>
                        <w:r w:rsidRPr="00EF759C">
                          <w:rPr>
                            <w:rFonts w:ascii="MS Reference Sans Serif" w:hAnsi="MS Reference Sans Serif" w:cs="Tunga"/>
                            <w:color w:val="FFFFFF"/>
                            <w:spacing w:val="10"/>
                            <w:w w:val="99"/>
                            <w:kern w:val="44"/>
                            <w:sz w:val="40"/>
                            <w:szCs w:val="40"/>
                          </w:rPr>
                          <w:t>network service providers</w:t>
                        </w:r>
                      </w:p>
                      <w:p w:rsidR="00654F4C" w:rsidRPr="00E83166" w:rsidRDefault="00654F4C" w:rsidP="001D49FD">
                        <w:pPr>
                          <w:ind w:left="567" w:right="681"/>
                          <w:jc w:val="right"/>
                          <w:rPr>
                            <w:rFonts w:ascii="MS Reference Sans Serif" w:hAnsi="MS Reference Sans Serif" w:cs="Tunga"/>
                            <w:color w:val="FFFFFF"/>
                          </w:rPr>
                        </w:pPr>
                      </w:p>
                      <w:p w:rsidR="00654F4C" w:rsidRPr="00390BEB" w:rsidRDefault="00654F4C" w:rsidP="001D49FD">
                        <w:pPr>
                          <w:ind w:left="567" w:right="941"/>
                          <w:jc w:val="right"/>
                          <w:rPr>
                            <w:rFonts w:cs="Calibri"/>
                            <w:b/>
                            <w:color w:val="FFFFFF"/>
                          </w:rPr>
                        </w:pPr>
                      </w:p>
                    </w:txbxContent>
                  </v:textbox>
                </v:shape>
                <v:line id="Straight Connector 2" o:spid="_x0000_s1028" style="position:absolute;visibility:visible;mso-wrap-style:square" from="0,21229" to="76415,21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TpqMUAAADaAAAADwAAAGRycy9kb3ducmV2LnhtbESPT2vCQBTE70K/w/IKXoJuasDa1FWK&#10;IFqlB/8cenzsvibB7NuQXTV+e7cgeBxm5jfMdN7ZWlyo9ZVjBW/DFASxdqbiQsHxsBxMQPiAbLB2&#10;TApu5GE+e+lNMTfuyju67EMhIoR9jgrKEJpcSq9LsuiHriGO3p9rLYYo20KaFq8Rbms5StOxtFhx&#10;XCixoUVJ+rQ/WwXJ92+RGa1/1stF8nE6Ju+rzXirVP+1+/oEEagLz/CjvTYKMvi/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TpqMUAAADaAAAADwAAAAAAAAAA&#10;AAAAAAChAgAAZHJzL2Rvd25yZXYueG1sUEsFBgAAAAAEAAQA+QAAAJMDAAAAAA==&#10;" strokecolor="#929292" strokeweight="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5168;width:23615;height:66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B3kbEAAAA2gAAAA8AAABkcnMvZG93bnJldi54bWxEj09rwkAUxO8Fv8PyBG91o7ai0VWk0FKK&#10;F/+AHp/ZZzYk+zZktzF++65Q8DjMzG+Y5bqzlWip8YVjBaNhAoI4c7rgXMHx8Pk6A+EDssbKMSm4&#10;k4f1qveyxFS7G++o3YdcRAj7FBWYEOpUSp8ZsuiHriaO3tU1FkOUTS51g7cIt5UcJ8lUWiw4Lhis&#10;6cNQVu5/rYL2ej6+l5ufy+E+357Kydx8uWSn1KDfbRYgAnXhGf5vf2sFb/C4Em+AX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B3kbEAAAA2gAAAA8AAAAAAAAAAAAAAAAA&#10;nwIAAGRycy9kb3ducmV2LnhtbFBLBQYAAAAABAAEAPcAAACQAwAAAAA=&#10;">
                  <v:imagedata r:id="rId10" o:title=""/>
                  <v:path arrowok="t"/>
                </v:shape>
                <w10:wrap type="topAndBottom"/>
              </v:group>
            </w:pict>
          </mc:Fallback>
        </mc:AlternateContent>
      </w:r>
      <w:r w:rsidR="00140B22" w:rsidRPr="00140B22">
        <w:rPr>
          <w:noProof/>
          <w:lang w:eastAsia="en-AU"/>
        </w:rPr>
        <w:t xml:space="preserve">The consumer engagement guideline for network service </w:t>
      </w:r>
      <w:r w:rsidR="00140B22" w:rsidRPr="00965787">
        <w:rPr>
          <w:noProof/>
          <w:lang w:eastAsia="en-AU"/>
        </w:rPr>
        <w:t>providers</w:t>
      </w:r>
      <w:r w:rsidR="00140B22" w:rsidRPr="00140B22">
        <w:rPr>
          <w:noProof/>
          <w:lang w:eastAsia="en-AU"/>
        </w:rPr>
        <w:t xml:space="preserve"> sets out a framework for electricity and gas service providers to better engage with consumers.</w:t>
      </w:r>
      <w:r w:rsidR="00DB0203">
        <w:rPr>
          <w:noProof/>
          <w:lang w:eastAsia="en-AU"/>
        </w:rPr>
        <w:t xml:space="preserve"> T</w:t>
      </w:r>
      <w:r w:rsidR="00DB0203" w:rsidRPr="00DB0203">
        <w:rPr>
          <w:noProof/>
          <w:lang w:eastAsia="en-AU"/>
        </w:rPr>
        <w:t xml:space="preserve">he guideline </w:t>
      </w:r>
      <w:r w:rsidR="00C1381E">
        <w:rPr>
          <w:noProof/>
          <w:lang w:eastAsia="en-AU"/>
        </w:rPr>
        <w:t xml:space="preserve">aims to </w:t>
      </w:r>
      <w:r w:rsidR="00DB0203" w:rsidRPr="00DB0203">
        <w:rPr>
          <w:noProof/>
          <w:lang w:eastAsia="en-AU"/>
        </w:rPr>
        <w:t xml:space="preserve">help </w:t>
      </w:r>
      <w:r w:rsidR="00F66D01">
        <w:rPr>
          <w:noProof/>
          <w:lang w:eastAsia="en-AU"/>
        </w:rPr>
        <w:t>these businesses</w:t>
      </w:r>
      <w:r w:rsidR="00DB0203" w:rsidRPr="00DB0203">
        <w:rPr>
          <w:noProof/>
          <w:lang w:eastAsia="en-AU"/>
        </w:rPr>
        <w:t xml:space="preserve"> </w:t>
      </w:r>
      <w:r w:rsidR="00DB0203">
        <w:rPr>
          <w:noProof/>
          <w:lang w:eastAsia="en-AU"/>
        </w:rPr>
        <w:t xml:space="preserve">develop strategies to </w:t>
      </w:r>
      <w:r w:rsidR="00DB0203" w:rsidRPr="00DB0203">
        <w:rPr>
          <w:noProof/>
          <w:lang w:eastAsia="en-AU"/>
        </w:rPr>
        <w:t xml:space="preserve">engage systematically, consistently and strategically with consumers on issues that </w:t>
      </w:r>
      <w:r w:rsidR="00C41B85">
        <w:rPr>
          <w:noProof/>
          <w:lang w:eastAsia="en-AU"/>
        </w:rPr>
        <w:t>are significant to both parties.</w:t>
      </w:r>
    </w:p>
    <w:p w:rsidR="00E30D6C" w:rsidRPr="00EF759C" w:rsidRDefault="00E30D6C" w:rsidP="00EF759C">
      <w:pPr>
        <w:rPr>
          <w:lang w:eastAsia="en-AU"/>
        </w:rPr>
        <w:sectPr w:rsidR="00E30D6C" w:rsidRPr="00EF759C" w:rsidSect="00BE5A7F">
          <w:pgSz w:w="11906" w:h="16838"/>
          <w:pgMar w:top="720" w:right="720" w:bottom="720" w:left="720" w:header="708" w:footer="708" w:gutter="0"/>
          <w:cols w:space="284"/>
          <w:docGrid w:linePitch="360"/>
        </w:sectPr>
      </w:pPr>
    </w:p>
    <w:p w:rsidR="00B815B7" w:rsidRDefault="005C4BFE" w:rsidP="00B815B7">
      <w:pPr>
        <w:pStyle w:val="AERFactsheetHeading1"/>
      </w:pPr>
      <w:r>
        <w:lastRenderedPageBreak/>
        <w:br/>
      </w:r>
      <w:r w:rsidR="00B815B7">
        <w:t>Why is consumer engagement important?</w:t>
      </w:r>
    </w:p>
    <w:p w:rsidR="00B815B7" w:rsidRDefault="00B815B7" w:rsidP="00B815B7">
      <w:pPr>
        <w:pStyle w:val="AERfactsheetbodytext"/>
      </w:pPr>
      <w:r>
        <w:t>C</w:t>
      </w:r>
      <w:r w:rsidRPr="00533F1E">
        <w:t xml:space="preserve">onsumer engagement is about working openly and collaboratively with consumers and providing opportunities for their views and preferences to be heard and to influence service providers' decisions. </w:t>
      </w:r>
      <w:r w:rsidR="006C003B">
        <w:t>Effective consumer engagement requires commitment from both service providers and consumers.</w:t>
      </w:r>
    </w:p>
    <w:p w:rsidR="00B815B7" w:rsidRDefault="00B815B7" w:rsidP="00B815B7">
      <w:pPr>
        <w:pStyle w:val="AERfactsheetbodytex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67662BE3" wp14:editId="55AEA10B">
                <wp:extent cx="3131820" cy="724486"/>
                <wp:effectExtent l="0" t="0" r="11430" b="190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724486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4C" w:rsidRDefault="00654F4C" w:rsidP="00B815B7">
                            <w:pPr>
                              <w:pStyle w:val="AERfactsheetbodytext"/>
                            </w:pPr>
                            <w:r w:rsidRPr="00533F1E">
                              <w:t xml:space="preserve">Stronger consumer engagement can help us test service providers' expenditure proposals, and can raise alternative </w:t>
                            </w:r>
                            <w:proofErr w:type="gramStart"/>
                            <w:r w:rsidRPr="00533F1E">
                              <w:t>views</w:t>
                            </w:r>
                            <w:proofErr w:type="gramEnd"/>
                            <w:r w:rsidRPr="00533F1E">
                              <w:t xml:space="preserve"> on matters such as service priorities, capital expenditure proposals and price structures. </w:t>
                            </w:r>
                          </w:p>
                          <w:p w:rsidR="00654F4C" w:rsidRPr="00697FF1" w:rsidRDefault="00654F4C" w:rsidP="00B815B7">
                            <w:pPr>
                              <w:pStyle w:val="AERfactsheetbodytext"/>
                            </w:pP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0" type="#_x0000_t202" style="width:246.6pt;height:5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" fillcolor="#dbe5f1" strokecolor="#006a99">
                <v:textbox inset=",,2mm">
                  <w:txbxContent>
                    <w:p w:rsidR="00654F4C" w:rsidRDefault="00654F4C" w:rsidP="00B815B7">
                      <w:pPr>
                        <w:pStyle w:val="AERfactsheetbodytext"/>
                      </w:pPr>
                      <w:r w:rsidRPr="00533F1E">
                        <w:t xml:space="preserve">Stronger consumer engagement can help us test service providers' expenditure proposals, and can raise alternative </w:t>
                      </w:r>
                      <w:proofErr w:type="gramStart"/>
                      <w:r w:rsidRPr="00533F1E">
                        <w:t>views</w:t>
                      </w:r>
                      <w:proofErr w:type="gramEnd"/>
                      <w:r w:rsidRPr="00533F1E">
                        <w:t xml:space="preserve"> on matters such as service priorities, capital expenditure proposals and price structures. </w:t>
                      </w:r>
                    </w:p>
                    <w:p w:rsidR="00654F4C" w:rsidRPr="00697FF1" w:rsidRDefault="00654F4C" w:rsidP="00B815B7">
                      <w:pPr>
                        <w:pStyle w:val="AERfactsheet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0B22" w:rsidRDefault="00140B22" w:rsidP="00B815B7">
      <w:pPr>
        <w:pStyle w:val="AERFactsheetHeading1"/>
      </w:pPr>
      <w:r w:rsidRPr="00484BD1">
        <w:t>What do we expect from service providers?</w:t>
      </w:r>
    </w:p>
    <w:p w:rsidR="00140B22" w:rsidRDefault="00140B22" w:rsidP="00140B22">
      <w:pPr>
        <w:pStyle w:val="AERfactsheetbodytext"/>
      </w:pPr>
      <w:r w:rsidRPr="00484BD1">
        <w:t>Service providers should demonstrate a commitment to ongoing and genuine consumer engagement on a broad range of issues relevant to consumers.</w:t>
      </w:r>
    </w:p>
    <w:p w:rsidR="00B815B7" w:rsidRDefault="00B815B7" w:rsidP="00B815B7">
      <w:pPr>
        <w:pStyle w:val="AERfactsheetbodytext"/>
      </w:pPr>
      <w:r w:rsidRPr="00533F1E">
        <w:t xml:space="preserve">The guideline </w:t>
      </w:r>
      <w:r>
        <w:t>gives</w:t>
      </w:r>
      <w:r w:rsidRPr="00533F1E">
        <w:t xml:space="preserve"> service providers a high level framework to integrate consumer engagement into their business-as-usual operations.</w:t>
      </w:r>
    </w:p>
    <w:p w:rsidR="00A42083" w:rsidRDefault="00A42083" w:rsidP="00BA46DC">
      <w:pPr>
        <w:pStyle w:val="AERfactsheetbodytext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7650D52" wp14:editId="6ABCD2F6">
                <wp:extent cx="3131820" cy="548640"/>
                <wp:effectExtent l="0" t="0" r="11430" b="2286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54864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4C" w:rsidRDefault="00654F4C" w:rsidP="00B815B7">
                            <w:pPr>
                              <w:pStyle w:val="AERfactsheetbodytext"/>
                            </w:pPr>
                            <w:r w:rsidRPr="00484BD1">
                              <w:t xml:space="preserve">We expect all service providers—gas and electricity, transmission and distribution—to use the guideline to enhance their consumer engagement activities. </w:t>
                            </w:r>
                          </w:p>
                          <w:p w:rsidR="00654F4C" w:rsidRPr="00697FF1" w:rsidRDefault="00654F4C" w:rsidP="00A42083">
                            <w:pPr>
                              <w:pStyle w:val="AERfactsheetbodytext"/>
                            </w:pP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31" type="#_x0000_t202" style="width:246.6pt;height:4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" fillcolor="#dbe5f1" strokecolor="#006a99">
                <v:textbox inset=",,2mm">
                  <w:txbxContent>
                    <w:p w:rsidR="00654F4C" w:rsidRDefault="00654F4C" w:rsidP="00B815B7">
                      <w:pPr>
                        <w:pStyle w:val="AERfactsheetbodytext"/>
                      </w:pPr>
                      <w:r w:rsidRPr="00484BD1">
                        <w:t xml:space="preserve">We expect all service providers—gas and electricity, transmission and distribution—to use the guideline to enhance their consumer engagement activities. </w:t>
                      </w:r>
                    </w:p>
                    <w:p w:rsidR="00654F4C" w:rsidRPr="00697FF1" w:rsidRDefault="00654F4C" w:rsidP="00A42083">
                      <w:pPr>
                        <w:pStyle w:val="AERfactsheet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4BFE" w:rsidRDefault="005C4BFE" w:rsidP="006C003B">
      <w:pPr>
        <w:pStyle w:val="AERFactsheetHeading1"/>
      </w:pPr>
      <w:r w:rsidRPr="00697FF1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68F60ED7" wp14:editId="42A44863">
            <wp:simplePos x="0" y="0"/>
            <wp:positionH relativeFrom="column">
              <wp:posOffset>-451485</wp:posOffset>
            </wp:positionH>
            <wp:positionV relativeFrom="page">
              <wp:posOffset>10203815</wp:posOffset>
            </wp:positionV>
            <wp:extent cx="8827135" cy="492760"/>
            <wp:effectExtent l="0" t="0" r="0" b="2540"/>
            <wp:wrapNone/>
            <wp:docPr id="31" name="Picture 31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column"/>
      </w:r>
    </w:p>
    <w:p w:rsidR="006C003B" w:rsidRDefault="003A1227" w:rsidP="006C003B">
      <w:pPr>
        <w:pStyle w:val="AERFactsheetHeading1"/>
      </w:pPr>
      <w:r>
        <w:t>How d</w:t>
      </w:r>
      <w:r w:rsidR="00490BCE">
        <w:t>oes the regulatory framework support consumer engagement?</w:t>
      </w:r>
    </w:p>
    <w:p w:rsidR="00965787" w:rsidRDefault="00965787" w:rsidP="006C003B">
      <w:pPr>
        <w:pStyle w:val="AERfactsheetbodytext"/>
        <w:rPr>
          <w:noProof/>
          <w:lang w:eastAsia="en-AU"/>
        </w:rPr>
      </w:pPr>
      <w:r w:rsidRPr="00965787">
        <w:rPr>
          <w:noProof/>
          <w:lang w:eastAsia="en-AU"/>
        </w:rPr>
        <w:t>We expect each service provider to develop consumer engagement approaches and strategies that address the best practice principles and the four components of the guideline</w:t>
      </w:r>
      <w:r w:rsidR="001A2F34">
        <w:rPr>
          <w:noProof/>
          <w:lang w:eastAsia="en-AU"/>
        </w:rPr>
        <w:t xml:space="preserve"> that are explained </w:t>
      </w:r>
      <w:r w:rsidR="001A44ED">
        <w:rPr>
          <w:noProof/>
          <w:lang w:eastAsia="en-AU"/>
        </w:rPr>
        <w:t>over the page</w:t>
      </w:r>
      <w:r w:rsidR="001A2F34">
        <w:rPr>
          <w:noProof/>
          <w:lang w:eastAsia="en-AU"/>
        </w:rPr>
        <w:t>.</w:t>
      </w:r>
    </w:p>
    <w:p w:rsidR="003A1227" w:rsidRPr="00697FF1" w:rsidRDefault="007D292D" w:rsidP="00DF2B64">
      <w:pPr>
        <w:pStyle w:val="AERfactsheetbodytext"/>
      </w:pPr>
      <w:r>
        <w:t xml:space="preserve">Implementing the guideline will help service providers demonstrate how their spending proposals contribute to the objectives contained in the national electricity and gas laws. That is, that their spending proposals </w:t>
      </w:r>
      <w:r w:rsidRPr="007D292D">
        <w:t>promote efficient</w:t>
      </w:r>
      <w:r w:rsidR="00EF759C">
        <w:t xml:space="preserve"> </w:t>
      </w:r>
      <w:r w:rsidRPr="007D292D">
        <w:t xml:space="preserve">investment in, and efficient operation and use of, </w:t>
      </w:r>
      <w:r w:rsidR="001A44ED">
        <w:t xml:space="preserve">energy </w:t>
      </w:r>
      <w:r w:rsidRPr="007D292D">
        <w:t xml:space="preserve">services for the long term interests of </w:t>
      </w:r>
      <w:r>
        <w:t xml:space="preserve">energy </w:t>
      </w:r>
      <w:r w:rsidRPr="007D292D">
        <w:t>consumers</w:t>
      </w:r>
      <w:r>
        <w:rPr>
          <w:noProof/>
          <w:lang w:eastAsia="en-AU"/>
        </w:rPr>
        <w:t>.</w:t>
      </w:r>
    </w:p>
    <w:p w:rsidR="006C003B" w:rsidRDefault="005C4BFE" w:rsidP="006C003B">
      <w:pPr>
        <w:pStyle w:val="AERfactsheetbodytext"/>
        <w:rPr>
          <w:noProof/>
          <w:lang w:eastAsia="en-AU"/>
        </w:rPr>
      </w:pPr>
      <w:r>
        <w:rPr>
          <w:noProof/>
          <w:lang w:eastAsia="en-AU"/>
        </w:rPr>
        <w:t>S</w:t>
      </w:r>
      <w:r w:rsidR="006C003B" w:rsidRPr="00533F1E">
        <w:rPr>
          <w:noProof/>
          <w:lang w:eastAsia="en-AU"/>
        </w:rPr>
        <w:t xml:space="preserve">ervice providers </w:t>
      </w:r>
      <w:r w:rsidR="006C003B">
        <w:rPr>
          <w:noProof/>
          <w:lang w:eastAsia="en-AU"/>
        </w:rPr>
        <w:t xml:space="preserve">must </w:t>
      </w:r>
      <w:r w:rsidR="006C003B" w:rsidRPr="00533F1E">
        <w:rPr>
          <w:noProof/>
          <w:lang w:eastAsia="en-AU"/>
        </w:rPr>
        <w:t>describe how they have engaged with consumers, and how they have sought to address any relevant concerns identified as a result of that engagement. Service providers present this information in an overview report to their regulatory or revenue proposals.</w:t>
      </w:r>
    </w:p>
    <w:p w:rsidR="006C003B" w:rsidRDefault="006C003B" w:rsidP="006C003B">
      <w:pPr>
        <w:pStyle w:val="AERfactsheetbodytext"/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3379E897" wp14:editId="66DCAE89">
                <wp:extent cx="2980023" cy="979715"/>
                <wp:effectExtent l="0" t="0" r="11430" b="1143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23" cy="9797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6A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F4C" w:rsidRDefault="00654F4C" w:rsidP="005C4BFE">
                            <w:pPr>
                              <w:pStyle w:val="AERfactsheetbodytext"/>
                            </w:pPr>
                            <w:r>
                              <w:t xml:space="preserve">When assessing expenditure proposals we will </w:t>
                            </w:r>
                            <w:r w:rsidRPr="00533F1E">
                              <w:t>have regard</w:t>
                            </w:r>
                            <w:r>
                              <w:t xml:space="preserve"> </w:t>
                            </w:r>
                            <w:r w:rsidRPr="00533F1E">
                              <w:t>to how a service provider engaged with its consumers and accounted for the long term interests of those consumers</w:t>
                            </w:r>
                            <w:r>
                              <w:t xml:space="preserve">. Consumer engagement is a factor we can consider when setting expenditure </w:t>
                            </w:r>
                            <w:r w:rsidR="001A2F34">
                              <w:t>forecasts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2" type="#_x0000_t202" style="width:234.6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" fillcolor="#dbe5f1" strokecolor="#006a99">
                <v:textbox>
                  <w:txbxContent>
                    <w:p w:rsidR="00654F4C" w:rsidRDefault="00654F4C" w:rsidP="005C4BFE">
                      <w:pPr>
                        <w:pStyle w:val="AERfactsheetbodytext"/>
                      </w:pPr>
                      <w:r>
                        <w:t xml:space="preserve">When assessing expenditure proposals we will </w:t>
                      </w:r>
                      <w:r w:rsidRPr="00533F1E">
                        <w:t>have regard</w:t>
                      </w:r>
                      <w:r>
                        <w:t xml:space="preserve"> </w:t>
                      </w:r>
                      <w:r w:rsidRPr="00533F1E">
                        <w:t>to how a service provider engaged with its consumers and accounted for the long term interests of those consumers</w:t>
                      </w:r>
                      <w:r>
                        <w:t xml:space="preserve">. Consumer engagement is a factor we can consider when setting expenditure </w:t>
                      </w:r>
                      <w:r w:rsidR="001A2F34">
                        <w:t>forecasts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003B" w:rsidRPr="00972CBD" w:rsidRDefault="003A1227" w:rsidP="006C003B">
      <w:pPr>
        <w:pStyle w:val="AERfactsheetbodytext"/>
      </w:pPr>
      <w:r>
        <w:t xml:space="preserve">The consumer engagement guideline </w:t>
      </w:r>
      <w:r w:rsidR="006C003B" w:rsidRPr="00972CBD">
        <w:t>complement</w:t>
      </w:r>
      <w:r>
        <w:t>s</w:t>
      </w:r>
      <w:r w:rsidR="006C003B" w:rsidRPr="00972CBD">
        <w:t xml:space="preserve"> other </w:t>
      </w:r>
      <w:r>
        <w:t xml:space="preserve">measures </w:t>
      </w:r>
      <w:r w:rsidR="006C003B" w:rsidRPr="00972CBD">
        <w:t xml:space="preserve">to assist consumer involvement in </w:t>
      </w:r>
      <w:r w:rsidR="00654F4C">
        <w:t>energy regulation</w:t>
      </w:r>
      <w:r w:rsidR="006C003B" w:rsidRPr="00972CBD">
        <w:t>. Th</w:t>
      </w:r>
      <w:r w:rsidR="002929FD">
        <w:t>ese</w:t>
      </w:r>
      <w:r w:rsidR="006C003B" w:rsidRPr="00972CBD">
        <w:t xml:space="preserve"> include </w:t>
      </w:r>
      <w:r w:rsidR="006C003B">
        <w:t xml:space="preserve">our </w:t>
      </w:r>
      <w:r w:rsidR="006C003B" w:rsidRPr="00972CBD">
        <w:t>consumer-focused issues papers</w:t>
      </w:r>
      <w:r w:rsidR="002929FD">
        <w:t>,</w:t>
      </w:r>
      <w:r w:rsidR="006C003B">
        <w:t xml:space="preserve"> and t</w:t>
      </w:r>
      <w:r w:rsidR="006C003B" w:rsidRPr="000919C1">
        <w:t xml:space="preserve">he Consumer Challenge Panel </w:t>
      </w:r>
      <w:r w:rsidR="006C003B">
        <w:t xml:space="preserve">that </w:t>
      </w:r>
      <w:r w:rsidR="001A44ED">
        <w:t xml:space="preserve">advises us </w:t>
      </w:r>
      <w:r w:rsidR="00654F4C" w:rsidRPr="00654F4C">
        <w:t>on issues that are important to consumers</w:t>
      </w:r>
      <w:r w:rsidR="006C003B" w:rsidRPr="000919C1">
        <w:t>.</w:t>
      </w: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682B02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noProof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1DF718" wp14:editId="4A9D3DBE">
                <wp:simplePos x="0" y="0"/>
                <wp:positionH relativeFrom="column">
                  <wp:posOffset>-467995</wp:posOffset>
                </wp:positionH>
                <wp:positionV relativeFrom="paragraph">
                  <wp:posOffset>12642</wp:posOffset>
                </wp:positionV>
                <wp:extent cx="7642225" cy="323850"/>
                <wp:effectExtent l="0" t="0" r="15875" b="381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2225" cy="323850"/>
                          <a:chOff x="-15351" y="0"/>
                          <a:chExt cx="7646046" cy="32385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5351" y="0"/>
                            <a:ext cx="7635240" cy="304631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4C" w:rsidRPr="006B1EE6" w:rsidRDefault="00654F4C" w:rsidP="00802901">
                              <w:pPr>
                                <w:ind w:left="567"/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</w:pPr>
                              <w:r w:rsidRPr="006B1EE6"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  <w:t xml:space="preserve">BETTER REGULATION: </w:t>
                              </w:r>
                              <w:r>
                                <w:rPr>
                                  <w:rFonts w:ascii="Univers 45 Light" w:hAnsi="Univers 45 Light" w:cs="Calibri"/>
                                  <w:b/>
                                  <w:color w:val="FFFFFF"/>
                                  <w:spacing w:val="20"/>
                                  <w:w w:val="80"/>
                                  <w:kern w:val="22"/>
                                </w:rPr>
                                <w:t>CONSUMER ENGAGEMENT GUIDELINE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Straight Connector 6"/>
                        <wps:cNvCnPr>
                          <a:cxnSpLocks noChangeShapeType="1"/>
                        </wps:cNvCnPr>
                        <wps:spPr bwMode="auto">
                          <a:xfrm>
                            <a:off x="-14070" y="323850"/>
                            <a:ext cx="7644765" cy="0"/>
                          </a:xfrm>
                          <a:prstGeom prst="line">
                            <a:avLst/>
                          </a:prstGeom>
                          <a:noFill/>
                          <a:ln w="63500" algn="ctr">
                            <a:solidFill>
                              <a:srgbClr val="9292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3" o:spid="_x0000_s1033" style="position:absolute;margin-left:-36.85pt;margin-top:1pt;width:601.75pt;height:25.5pt;z-index:251661312;mso-position-horizontal-relative:text;mso-position-vertical-relative:text;mso-width-relative:margin" coordorigin="-153" coordsize="7646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-153;width:76351;height:3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v+MEA&#10;AADbAAAADwAAAGRycy9kb3ducmV2LnhtbERP22oCMRB9L/gPYYS+1axCL2yNImKhfRCp9gOGZLq7&#10;uJmsmzG7/n1TKPRtDuc6y/XoW5Woj01gA/NZAYrYBtdwZeDr9PbwAioKssM2MBm4UYT1anK3xNKF&#10;gT8pHaVSOYRjiQZqka7UOtqaPMZZ6Igz9x16j5JhX2nX45DDfasXRfGkPTacG2rsaFuTPR+v3oAc&#10;Fnt7k/Rsh3T6uOzTbvt42BlzPx03r6CERvkX/7nfXZ4/h99f8gF6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L/jBAAAA2wAAAA8AAAAAAAAAAAAAAAAAmAIAAGRycy9kb3du&#10;cmV2LnhtbFBLBQYAAAAABAAEAPUAAACGAwAAAAA=&#10;" fillcolor="#006a99" stroked="f">
                  <v:textbox>
                    <w:txbxContent>
                      <w:p w:rsidR="00654F4C" w:rsidRPr="006B1EE6" w:rsidRDefault="00654F4C" w:rsidP="00802901">
                        <w:pPr>
                          <w:ind w:left="567"/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</w:pPr>
                        <w:r w:rsidRPr="006B1EE6"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  <w:t xml:space="preserve">BETTER REGULATION: </w:t>
                        </w:r>
                        <w:r>
                          <w:rPr>
                            <w:rFonts w:ascii="Univers 45 Light" w:hAnsi="Univers 45 Light" w:cs="Calibri"/>
                            <w:b/>
                            <w:color w:val="FFFFFF"/>
                            <w:spacing w:val="20"/>
                            <w:w w:val="80"/>
                            <w:kern w:val="22"/>
                          </w:rPr>
                          <w:t>CONSUMER ENGAGEMENT GUIDELINE</w:t>
                        </w:r>
                      </w:p>
                    </w:txbxContent>
                  </v:textbox>
                </v:shape>
                <v:line id="Straight Connector 6" o:spid="_x0000_s1035" style="position:absolute;visibility:visible;mso-wrap-style:square" from="-140,3238" to="76306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wjw8MAAADbAAAADwAAAGRycy9kb3ducmV2LnhtbERPS4vCMBC+C/sfwix4KZqugqtdoyyC&#10;qCt78HHwOCSzbbGZlCZq/fdGWPA2H99zpvPWVuJKjS8dK/jopyCItTMl5wqOh2VvDMIHZIOVY1Jw&#10;Jw/z2VtniplxN97RdR9yEUPYZ6igCKHOpPS6IIu+72riyP25xmKIsMmlafAWw20lB2k6khZLjg0F&#10;1rQoSJ/3F6sg2ZzyodH6d71cJJPzMflc/Yy2SnXf2+8vEIHa8BL/u9cmzh/A85d4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cI8PDAAAA2wAAAA8AAAAAAAAAAAAA&#10;AAAAoQIAAGRycy9kb3ducmV2LnhtbFBLBQYAAAAABAAEAPkAAACRAwAAAAA=&#10;" strokecolor="#929292" strokeweight="5pt"/>
              </v:group>
            </w:pict>
          </mc:Fallback>
        </mc:AlternateContent>
      </w: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noProof/>
          <w:lang w:eastAsia="en-A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E0AC120" wp14:editId="2D9FE036">
                <wp:simplePos x="0" y="0"/>
                <wp:positionH relativeFrom="column">
                  <wp:posOffset>-25603</wp:posOffset>
                </wp:positionH>
                <wp:positionV relativeFrom="paragraph">
                  <wp:posOffset>53543</wp:posOffset>
                </wp:positionV>
                <wp:extent cx="6605625" cy="2392071"/>
                <wp:effectExtent l="0" t="0" r="0" b="0"/>
                <wp:wrapNone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6005" y="0"/>
                            <a:ext cx="6420551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6A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4F4C" w:rsidRPr="004D1DC0" w:rsidRDefault="00654F4C" w:rsidP="00802901">
                              <w:pPr>
                                <w:pStyle w:val="NormalWeb"/>
                                <w:spacing w:before="0" w:beforeAutospacing="0" w:after="0" w:afterAutospacing="0" w:line="288" w:lineRule="auto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unga" w:hAnsi="Tung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Overview of the consumer engagement guideline for network service providers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47238" y="1039669"/>
                            <a:ext cx="5760000" cy="28080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54F4C" w:rsidRPr="00CB7714" w:rsidRDefault="00654F4C" w:rsidP="00802901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B7714">
                                <w:rPr>
                                  <w:rFonts w:ascii="Tunga" w:eastAsia="Calibri" w:hAnsi="Tunga" w:cs="Tunga"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Best practice principles (clear, accurate and timely communication, accessible and inclusive, transparent, measurable)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44469" y="465278"/>
                            <a:ext cx="5760000" cy="280670"/>
                          </a:xfrm>
                          <a:prstGeom prst="rect">
                            <a:avLst/>
                          </a:prstGeom>
                          <a:solidFill>
                            <a:srgbClr val="006A99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654F4C" w:rsidRDefault="00654F4C" w:rsidP="00A02F2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 xml:space="preserve">Guideline objective: aligning network services with the long term interests of consumers 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7264" y="1910536"/>
                            <a:ext cx="1188000" cy="28080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54F4C" w:rsidRDefault="00654F4C" w:rsidP="005F5C65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Priorities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54" name="Elbow Connector 54"/>
                        <wps:cNvCnPr>
                          <a:stCxn id="48" idx="2"/>
                          <a:endCxn id="46" idx="0"/>
                        </wps:cNvCnPr>
                        <wps:spPr>
                          <a:xfrm rot="5400000">
                            <a:off x="1789218" y="472515"/>
                            <a:ext cx="590067" cy="228597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006A99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stCxn id="41" idx="2"/>
                          <a:endCxn id="48" idx="0"/>
                        </wps:cNvCnPr>
                        <wps:spPr>
                          <a:xfrm>
                            <a:off x="3224469" y="745948"/>
                            <a:ext cx="2769" cy="29372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A99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832953" y="1910518"/>
                            <a:ext cx="1188000" cy="28080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54F4C" w:rsidRDefault="00654F4C" w:rsidP="006A6C7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Delivery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69024" y="1910536"/>
                            <a:ext cx="1188000" cy="28080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54F4C" w:rsidRDefault="00654F4C" w:rsidP="006A6C7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916450" y="1910536"/>
                            <a:ext cx="1188000" cy="280800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654F4C" w:rsidRDefault="00654F4C" w:rsidP="006A6C7D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Tunga" w:eastAsia="Calibri" w:hAnsi="Tunga" w:cs="Tunga"/>
                                  <w:sz w:val="16"/>
                                  <w:szCs w:val="16"/>
                                </w:rPr>
                                <w:t>Evaluation and review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ctr" anchorCtr="0" upright="1">
                          <a:noAutofit/>
                        </wps:bodyPr>
                      </wps:wsp>
                      <wps:wsp>
                        <wps:cNvPr id="37" name="Elbow Connector 37"/>
                        <wps:cNvCnPr>
                          <a:stCxn id="48" idx="2"/>
                          <a:endCxn id="33" idx="0"/>
                        </wps:cNvCnPr>
                        <wps:spPr>
                          <a:xfrm rot="5400000">
                            <a:off x="2532072" y="1215351"/>
                            <a:ext cx="590049" cy="80028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006A99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Elbow Connector 38"/>
                        <wps:cNvCnPr>
                          <a:stCxn id="35" idx="0"/>
                          <a:endCxn id="48" idx="2"/>
                        </wps:cNvCnPr>
                        <wps:spPr>
                          <a:xfrm rot="16200000" flipV="1">
                            <a:off x="3350098" y="1197610"/>
                            <a:ext cx="590067" cy="83578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006A99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Elbow Connector 39"/>
                        <wps:cNvCnPr>
                          <a:stCxn id="48" idx="2"/>
                          <a:endCxn id="36" idx="0"/>
                        </wps:cNvCnPr>
                        <wps:spPr>
                          <a:xfrm rot="16200000" flipH="1">
                            <a:off x="4073811" y="473896"/>
                            <a:ext cx="590067" cy="228321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solidFill>
                              <a:srgbClr val="006A99"/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" o:spid="_x0000_s1033" editas="canvas" style="position:absolute;margin-left:-2pt;margin-top:4.2pt;width:520.15pt;height:188.35pt;z-index:251659264;mso-position-horizontal-relative:text;mso-position-vertical-relative:text" coordsize="66052,2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">
                <v:shape id="_x0000_s1034" type="#_x0000_t75" style="position:absolute;width:66052;height:23920;visibility:visible;mso-wrap-style:square">
                  <v:fill o:detectmouseclick="t"/>
                  <v:path o:connecttype="none"/>
                </v:shape>
                <v:rect id="Rectangle 34" o:spid="_x0000_s1035" style="position:absolute;left:360;width:64205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e5MMA&#10;AADbAAAADwAAAGRycy9kb3ducmV2LnhtbESPT4vCMBTE7wt+h/AEb2vqH0SqUcRFcCke7C7o8dE8&#10;22LzUpKsdr+9EQSPw8z8hlmuO9OIGzlfW1YwGiYgiAuray4V/P7sPucgfEDW2FgmBf/kYb3qfSwx&#10;1fbOR7rloRQRwj5FBVUIbSqlLyoy6Ie2JY7exTqDIUpXSu3wHuGmkeMkmUmDNceFClvaVlRc8z+j&#10;IHO5/N4fateed35+Kigbl1+ZUoN+t1mACNSFd/jV3msFky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/e5MMAAADbAAAADwAAAAAAAAAAAAAAAACYAgAAZHJzL2Rv&#10;d25yZXYueG1sUEsFBgAAAAAEAAQA9QAAAIgDAAAAAA==&#10;" filled="f" fillcolor="#006a99" stroked="f" strokeweight="2pt">
                  <v:textbox inset=",1mm,,1mm">
                    <w:txbxContent>
                      <w:p w:rsidR="00654F4C" w:rsidRPr="004D1DC0" w:rsidRDefault="00654F4C" w:rsidP="00802901">
                        <w:pPr>
                          <w:pStyle w:val="NormalWeb"/>
                          <w:spacing w:before="0" w:beforeAutospacing="0" w:after="0" w:afterAutospacing="0" w:line="288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Tunga" w:hAnsi="Tunga"/>
                            <w:b/>
                            <w:bCs/>
                            <w:color w:val="000000" w:themeColor="text1"/>
                            <w:kern w:val="24"/>
                          </w:rPr>
                          <w:t>Overview of the consumer engagement guideline for network service providers</w:t>
                        </w:r>
                      </w:p>
                    </w:txbxContent>
                  </v:textbox>
                </v:rect>
                <v:rect id="Rectangle 48" o:spid="_x0000_s1036" style="position:absolute;left:3472;top:10396;width:57600;height:2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yysIA&#10;AADbAAAADwAAAGRycy9kb3ducmV2LnhtbERPy2rCQBTdC/2H4Ra604mlFI0ZJbS1dFPEKEJ2l8w1&#10;CWbuhMyYx993FgWXh/NOdqNpRE+dqy0rWC4iEMSF1TWXCs6n/XwFwnlkjY1lUjCRg932aZZgrO3A&#10;R+ozX4oQwi5GBZX3bSylKyoy6Ba2JQ7c1XYGfYBdKXWHQwg3jXyNondpsObQUGFLHxUVt+xuFOiD&#10;n9bX/FNfvr/a32xKl3m6apR6eR7TDQhPo3+I/90/WsFbGBu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XLLKwgAAANsAAAAPAAAAAAAAAAAAAAAAAJgCAABkcnMvZG93&#10;bnJldi54bWxQSwUGAAAAAAQABAD1AAAAhwMAAAAA&#10;" fillcolor="#006a99" stroked="f">
                  <v:textbox inset=",1mm,,1mm">
                    <w:txbxContent>
                      <w:p w:rsidR="00654F4C" w:rsidRPr="00CB7714" w:rsidRDefault="00654F4C" w:rsidP="00802901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rPr>
                            <w:color w:val="FFFFFF" w:themeColor="background1"/>
                          </w:rPr>
                        </w:pPr>
                        <w:r w:rsidRPr="00CB7714">
                          <w:rPr>
                            <w:rFonts w:ascii="Tunga" w:eastAsia="Calibri" w:hAnsi="Tunga" w:cs="Tunga"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Best practice principles (clear, accurate and timely communication, accessible and inclusive, transparent, measurable)</w:t>
                        </w:r>
                      </w:p>
                    </w:txbxContent>
                  </v:textbox>
                </v:rect>
                <v:rect id="Rectangle 41" o:spid="_x0000_s1037" style="position:absolute;left:3444;top:4652;width:57600;height:2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YVcIA&#10;AADbAAAADwAAAGRycy9kb3ducmV2LnhtbESPT4vCMBTE7wt+h/AEb9tU8R/VKCIIyl52qxdvz+aZ&#10;FpuX0kSt334jLOxxmJnfMMt1Z2vxoNZXjhUMkxQEceF0xUbB6bj7nIPwAVlj7ZgUvMjDetX7WGKm&#10;3ZN/6JEHIyKEfYYKyhCaTEpflGTRJ64hjt7VtRZDlK2RusVnhNtajtJ0Ki1WHBdKbGhbUnHL71bB&#10;wWzHZ337+p7kl2J68fqKZiaVGvS7zQJEoC78h//ae61gPIT3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FhVwgAAANsAAAAPAAAAAAAAAAAAAAAAAJgCAABkcnMvZG93&#10;bnJldi54bWxQSwUGAAAAAAQABAD1AAAAhwMAAAAA&#10;" fillcolor="#006a99" strokeweight="1pt">
                  <v:textbox inset=",1mm,,1mm">
                    <w:txbxContent>
                      <w:p w:rsidR="00654F4C" w:rsidRDefault="00654F4C" w:rsidP="00A02F2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 xml:space="preserve">Guideline objective: aligning network services with the long term interests of consumers </w:t>
                        </w:r>
                      </w:p>
                    </w:txbxContent>
                  </v:textbox>
                </v:rect>
                <v:rect id="Rectangle 46" o:spid="_x0000_s1038" style="position:absolute;left:3472;top:19105;width:11880;height:2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XGb8A&#10;AADbAAAADwAAAGRycy9kb3ducmV2LnhtbESPwQrCMBBE74L/EFbwpqkiItUoIoqiB7H6AWuztsVm&#10;U5qo9e+NIHgcZuYNM1s0phRPql1hWcGgH4EgTq0uOFNwOW96ExDOI2ssLZOCNzlYzNutGcbavvhE&#10;z8RnIkDYxagg976KpXRpTgZd31bEwbvZ2qAPss6krvEV4KaUwygaS4MFh4UcK1rllN6Th1Fw2DbH&#10;ocHTSu7Wl0O2X9Pteialup1mOQXhqfH/8K+90wpGY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lRcZvwAAANsAAAAPAAAAAAAAAAAAAAAAAJgCAABkcnMvZG93bnJl&#10;di54bWxQSwUGAAAAAAQABAD1AAAAhAMAAAAA&#10;" fillcolor="#dbe5f1" stroked="f">
                  <v:textbox inset=",1mm,,1mm">
                    <w:txbxContent>
                      <w:p w:rsidR="00654F4C" w:rsidRDefault="00654F4C" w:rsidP="005F5C65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Priorities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54" o:spid="_x0000_s1039" type="#_x0000_t34" style="position:absolute;left:17891;top:4725;width:5901;height:2286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ikK8MAAADbAAAADwAAAGRycy9kb3ducmV2LnhtbESP0WoCMRRE3wv9h3ALvhTNVuxWVqNU&#10;UfFFpOoHXDa3m6WbmyWJuv69EYQ+DjNzhpnOO9uIC/lQO1bwMchAEJdO11wpOB3X/TGIEJE1No5J&#10;wY0CzGevL1MstLvyD10OsRIJwqFABSbGtpAylIYshoFriZP367zFmKSvpPZ4TXDbyGGW5dJizWnB&#10;YEtLQ+Xf4WwVuOM5r8za77/yfLNa7AxthvFdqd5b9z0BEamL/+Fne6sVfI7g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4pCvDAAAA2wAAAA8AAAAAAAAAAAAA&#10;AAAAoQIAAGRycy9kb3ducmV2LnhtbFBLBQYAAAAABAAEAPkAAACRAwAAAAA=&#10;" strokecolor="#006a99"/>
                <v:line id="Straight Connector 10" o:spid="_x0000_s1040" style="position:absolute;visibility:visible;mso-wrap-style:square" from="32244,7459" to="32272,1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GRS8YAAADbAAAADwAAAGRycy9kb3ducmV2LnhtbESPT2vCQBDF74LfYRmhF6kbBUXSbESE&#10;UosH/7TQHofsNAnNzobsqrGfvnMQvM3w3rz3m2zVu0ZdqAu1ZwPTSQKKuPC25tLA58fr8xJUiMgW&#10;G89k4EYBVvlwkGFq/ZWPdDnFUkkIhxQNVDG2qdahqMhhmPiWWLQf3zmMsnalth1eJdw1epYkC+2w&#10;ZmmosKVNRcXv6ewMvPnj9DD33+/73S6M/86tXo6/9sY8jfr1C6hIfXyY79dbK/hCL7/IADr/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BkUvGAAAA2wAAAA8AAAAAAAAA&#10;AAAAAAAAoQIAAGRycy9kb3ducmV2LnhtbFBLBQYAAAAABAAEAPkAAACUAwAAAAA=&#10;" strokecolor="#006a99"/>
                <v:rect id="Rectangle 33" o:spid="_x0000_s1041" style="position:absolute;left:18329;top:19105;width:11880;height:2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TH/L8A&#10;AADbAAAADwAAAGRycy9kb3ducmV2LnhtbESPwQrCMBBE74L/EFbwpqkKItUoIoqiB7H6AWuztsVm&#10;U5qo9e+NIHgcZuYNM1s0phRPql1hWcGgH4EgTq0uOFNwOW96ExDOI2ssLZOCNzlYzNutGcbavvhE&#10;z8RnIkDYxagg976KpXRpTgZd31bEwbvZ2qAPss6krvEV4KaUwygaS4MFh4UcK1rllN6Th1Fw2DbH&#10;ocHTSu7Wl0O2X9Pteialup1mOQXhqfH/8K+90wpGI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5Mf8vwAAANsAAAAPAAAAAAAAAAAAAAAAAJgCAABkcnMvZG93bnJl&#10;di54bWxQSwUGAAAAAAQABAD1AAAAhAMAAAAA&#10;" fillcolor="#dbe5f1" stroked="f">
                  <v:textbox inset=",1mm,,1mm">
                    <w:txbxContent>
                      <w:p w:rsidR="00654F4C" w:rsidRDefault="00654F4C" w:rsidP="006A6C7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Delivery</w:t>
                        </w:r>
                      </w:p>
                    </w:txbxContent>
                  </v:textbox>
                </v:rect>
                <v:rect id="Rectangle 35" o:spid="_x0000_s1042" style="position:absolute;left:34690;top:19105;width:11880;height:2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6E78A&#10;AADbAAAADwAAAGRycy9kb3ducmV2LnhtbESPzQrCMBCE74LvEFbwpqmKItUoIoqiB/HnAdZmbYvN&#10;pjRR69sbQfA4zMw3zHRem0I8qXK5ZQW9bgSCOLE651TB5bzujEE4j6yxsEwK3uRgPms2phhr++Ij&#10;PU8+FQHCLkYFmfdlLKVLMjLourYkDt7NVgZ9kFUqdYWvADeF7EfRSBrMOSxkWNIyo+R+ehgF+019&#10;6Bs8LuV2ddmnuxXdrmdSqt2qFxMQnmr/D//aW61gMITvl/AD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QfoTvwAAANsAAAAPAAAAAAAAAAAAAAAAAJgCAABkcnMvZG93bnJl&#10;di54bWxQSwUGAAAAAAQABAD1AAAAhAMAAAAA&#10;" fillcolor="#dbe5f1" stroked="f">
                  <v:textbox inset=",1mm,,1mm">
                    <w:txbxContent>
                      <w:p w:rsidR="00654F4C" w:rsidRDefault="00654F4C" w:rsidP="006A6C7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Results</w:t>
                        </w:r>
                      </w:p>
                    </w:txbxContent>
                  </v:textbox>
                </v:rect>
                <v:rect id="Rectangle 36" o:spid="_x0000_s1043" style="position:absolute;left:49164;top:19105;width:11880;height:2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kZL8A&#10;AADbAAAADwAAAGRycy9kb3ducmV2LnhtbESPwQrCMBBE74L/EFbwpqkKItUoIoqiB7H6AWuztsVm&#10;U5qo9e+NIHgcZuYNM1s0phRPql1hWcGgH4EgTq0uOFNwOW96ExDOI2ssLZOCNzlYzNutGcbavvhE&#10;z8RnIkDYxagg976KpXRpTgZd31bEwbvZ2qAPss6krvEV4KaUwygaS4MFh4UcK1rllN6Th1Fw2DbH&#10;ocHTSu7Wl0O2X9Pteialup1mOQXhqfH/8K+90wpGY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k2RkvwAAANsAAAAPAAAAAAAAAAAAAAAAAJgCAABkcnMvZG93bnJl&#10;di54bWxQSwUGAAAAAAQABAD1AAAAhAMAAAAA&#10;" fillcolor="#dbe5f1" stroked="f">
                  <v:textbox inset=",1mm,,1mm">
                    <w:txbxContent>
                      <w:p w:rsidR="00654F4C" w:rsidRDefault="00654F4C" w:rsidP="006A6C7D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Tunga" w:eastAsia="Calibri" w:hAnsi="Tunga" w:cs="Tunga"/>
                            <w:sz w:val="16"/>
                            <w:szCs w:val="16"/>
                          </w:rPr>
                          <w:t>Evaluation and review</w:t>
                        </w:r>
                      </w:p>
                    </w:txbxContent>
                  </v:textbox>
                </v:rect>
                <v:shape id="Elbow Connector 37" o:spid="_x0000_s1044" type="#_x0000_t34" style="position:absolute;left:25320;top:12153;width:5901;height:800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Xf/MMAAADbAAAADwAAAGRycy9kb3ducmV2LnhtbESP3WoCMRSE74W+QzgFb6Rma2G3rEbR&#10;otIbEX8e4LA5bhY3J0sSdfv2TaHg5TAz3zCzRW9bcScfGscK3scZCOLK6YZrBefT5u0TRIjIGlvH&#10;pOCHAizmL4MZlto9+ED3Y6xFgnAoUYGJsSulDJUhi2HsOuLkXZy3GJP0tdQeHwluWznJslxabDgt&#10;GOzoy1B1Pd6sAne65bXZ+H2R59v1amdoO4kjpYav/XIKIlIfn+H/9rdW8FHA35f0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13/zDAAAA2wAAAA8AAAAAAAAAAAAA&#10;AAAAoQIAAGRycy9kb3ducmV2LnhtbFBLBQYAAAAABAAEAPkAAACRAwAAAAA=&#10;" strokecolor="#006a99"/>
                <v:shape id="Elbow Connector 38" o:spid="_x0000_s1045" type="#_x0000_t34" style="position:absolute;left:33500;top:11976;width:5901;height:835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tip8AAAADbAAAADwAAAGRycy9kb3ducmV2LnhtbERPzWqDQBC+F/oOyxRyq2sq2GBdRUIC&#10;IfTQxjzA6E5V4s6Ku03M22cPhR4/vv+8XMworjS7wbKCdRSDIG6tHrhTcK73rxsQziNrHC2Tgjs5&#10;KIvnpxwzbW/8TdeT70QIYZehgt77KZPStT0ZdJGdiAP3Y2eDPsC5k3rGWwg3o3yL41QaHDg09DjR&#10;tqf2cvo1Cnaf9mBI1lXzNTRpkyTvx2PaKLV6WaoPEJ4W/y/+cx+0giSMDV/CD5D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fbYqfAAAAA2wAAAA8AAAAAAAAAAAAAAAAA&#10;oQIAAGRycy9kb3ducmV2LnhtbFBLBQYAAAAABAAEAPkAAACOAwAAAAA=&#10;" strokecolor="#006a99"/>
                <v:shape id="Elbow Connector 39" o:spid="_x0000_s1046" type="#_x0000_t34" style="position:absolute;left:40737;top:4739;width:5901;height:2283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fHPMQAAADbAAAADwAAAGRycy9kb3ducmV2LnhtbESP0WqDQBRE3wP9h+UW8hbXRLCtySaE&#10;0IBIH1rtB1zdG5W4d8XdJvbvu4VCH4eZOcPsDrMZxI0m11tWsI5iEMSN1T23Cj6r8+oZhPPIGgfL&#10;pOCbHBz2D4sdZtre+YNupW9FgLDLUEHn/ZhJ6ZqODLrIjsTBu9jJoA9yaqWe8B7gZpCbOE6lwZ7D&#10;QocjnTpqruWXUfD6ZnNDsjrW732d1knyVBRprdTycT5uQXia/X/4r51rBckL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l8c8xAAAANsAAAAPAAAAAAAAAAAA&#10;AAAAAKECAABkcnMvZG93bnJldi54bWxQSwUGAAAAAAQABAD5AAAAkgMAAAAA&#10;" strokecolor="#006a99"/>
              </v:group>
            </w:pict>
          </mc:Fallback>
        </mc:AlternateContent>
      </w: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5C4BFE" w:rsidRDefault="005C4BF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1A44ED" w:rsidRDefault="001A44ED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</w:p>
    <w:p w:rsidR="00140B22" w:rsidRDefault="003D251E" w:rsidP="00140B22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What</w:t>
      </w:r>
      <w:r w:rsidR="00BA46DC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are the </w:t>
      </w:r>
      <w:r w:rsidR="00C41B85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best practice </w:t>
      </w:r>
      <w:r w:rsidR="00BA46DC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principles</w:t>
      </w:r>
      <w:r w:rsidR="00B815B7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for consumer engagement</w:t>
      </w:r>
      <w:r w:rsidR="00BA46DC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? </w:t>
      </w:r>
    </w:p>
    <w:p w:rsidR="00C53405" w:rsidRDefault="00C53405" w:rsidP="00BA46DC">
      <w:pPr>
        <w:pStyle w:val="AERfactsheetbodytext"/>
      </w:pPr>
      <w:r>
        <w:t>Underpinning the guideline are f</w:t>
      </w:r>
      <w:r w:rsidRPr="00C53405">
        <w:t xml:space="preserve">our best practice principles. They overarch all aspects of consumer engagement, so service providers should use </w:t>
      </w:r>
      <w:r w:rsidR="00F66D01">
        <w:t xml:space="preserve">these </w:t>
      </w:r>
      <w:r w:rsidRPr="00C53405">
        <w:t>principles in undertaking each component of the guideline:</w:t>
      </w:r>
    </w:p>
    <w:p w:rsidR="00BA46DC" w:rsidRDefault="00C53405" w:rsidP="00C53405">
      <w:pPr>
        <w:pStyle w:val="AERfactsheetbulletlist"/>
      </w:pPr>
      <w:r>
        <w:t>C</w:t>
      </w:r>
      <w:r w:rsidR="00BA46DC">
        <w:t>lear, accurate and timely communication—</w:t>
      </w:r>
      <w:r>
        <w:t>w</w:t>
      </w:r>
      <w:r w:rsidR="00BA46DC" w:rsidRPr="00BA46DC">
        <w:t xml:space="preserve">e expect service providers to provide information to consumers that is clear, accurate, relevant and timely, recognising the different communication needs and wants of consumers. </w:t>
      </w:r>
    </w:p>
    <w:p w:rsidR="00BA46DC" w:rsidRDefault="00C53405" w:rsidP="00C53405">
      <w:pPr>
        <w:pStyle w:val="AERfactsheetbulletlist"/>
      </w:pPr>
      <w:r>
        <w:t>A</w:t>
      </w:r>
      <w:r w:rsidR="00BA46DC">
        <w:t>ccessible and inclusive—</w:t>
      </w:r>
      <w:r>
        <w:t>w</w:t>
      </w:r>
      <w:r w:rsidR="00BA46DC" w:rsidRPr="00BA46DC">
        <w:t xml:space="preserve">e expect service providers to recognise, understand and involve consumers early and throughout the business activity or expenditure process. </w:t>
      </w:r>
    </w:p>
    <w:p w:rsidR="00BA46DC" w:rsidRDefault="00C53405" w:rsidP="00C53405">
      <w:pPr>
        <w:pStyle w:val="AERfactsheetbulletlist"/>
      </w:pPr>
      <w:r>
        <w:t>T</w:t>
      </w:r>
      <w:r w:rsidR="00BA46DC">
        <w:t>ransparent—</w:t>
      </w:r>
      <w:r>
        <w:t>w</w:t>
      </w:r>
      <w:r w:rsidR="00BA46DC" w:rsidRPr="00BA46DC">
        <w:t>e expect service providers to clearly identify and explain the role of consumers in the engagement process, and to consult with con</w:t>
      </w:r>
      <w:bookmarkStart w:id="0" w:name="_GoBack"/>
      <w:bookmarkEnd w:id="0"/>
      <w:r w:rsidR="00BA46DC" w:rsidRPr="00BA46DC">
        <w:t xml:space="preserve">sumers on information and feedback processes. </w:t>
      </w:r>
    </w:p>
    <w:p w:rsidR="00BA46DC" w:rsidRDefault="00C53405" w:rsidP="00C53405">
      <w:pPr>
        <w:pStyle w:val="AERfactsheetbulletlist"/>
      </w:pPr>
      <w:r>
        <w:t>M</w:t>
      </w:r>
      <w:r w:rsidR="00BA46DC">
        <w:t>easurable—</w:t>
      </w:r>
      <w:r>
        <w:t>w</w:t>
      </w:r>
      <w:r w:rsidR="00BA46DC" w:rsidRPr="00BA46DC">
        <w:t xml:space="preserve">e expect service providers to measure the success, or otherwise, of their engagement activities. </w:t>
      </w:r>
    </w:p>
    <w:p w:rsidR="0014674D" w:rsidRDefault="00ED2FE7" w:rsidP="003D251E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t>Further e</w:t>
      </w:r>
      <w:r w:rsidR="00BA46DC">
        <w:t xml:space="preserve">lements of what we expect </w:t>
      </w:r>
      <w:r>
        <w:t xml:space="preserve">from </w:t>
      </w:r>
      <w:r w:rsidR="00BA46DC">
        <w:t>service providers under each</w:t>
      </w:r>
      <w:r w:rsidR="00C53405">
        <w:t xml:space="preserve"> principle are in the guideline.</w:t>
      </w:r>
    </w:p>
    <w:p w:rsidR="003D251E" w:rsidRDefault="00A9722B" w:rsidP="003D251E">
      <w:pPr>
        <w:pStyle w:val="AERfactsheetbodytext"/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</w:pP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How </w:t>
      </w:r>
      <w:r w:rsidR="00236EFB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should</w:t>
      </w:r>
      <w:r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 xml:space="preserve"> service providers conduct consumer engagement</w:t>
      </w:r>
      <w:r w:rsidR="00DB0203">
        <w:rPr>
          <w:rFonts w:ascii="Tunga" w:eastAsia="Times New Roman" w:hAnsi="Tunga" w:cs="Tunga"/>
          <w:b/>
          <w:iCs/>
          <w:color w:val="006A99"/>
          <w:spacing w:val="0"/>
          <w:kern w:val="24"/>
          <w:sz w:val="24"/>
          <w:szCs w:val="24"/>
        </w:rPr>
        <w:t>?</w:t>
      </w:r>
    </w:p>
    <w:p w:rsidR="00BA46DC" w:rsidRDefault="00DB0203" w:rsidP="00533F1E">
      <w:pPr>
        <w:pStyle w:val="AERfactsheetbodytext"/>
      </w:pPr>
      <w:r>
        <w:t>T</w:t>
      </w:r>
      <w:r w:rsidR="00BA46DC" w:rsidRPr="00BA46DC">
        <w:t xml:space="preserve">he guideline </w:t>
      </w:r>
      <w:r>
        <w:t xml:space="preserve">is structured </w:t>
      </w:r>
      <w:r w:rsidR="00BA46DC" w:rsidRPr="00BA46DC">
        <w:t>around four components</w:t>
      </w:r>
      <w:r w:rsidR="00A9722B">
        <w:t xml:space="preserve">. </w:t>
      </w:r>
      <w:r w:rsidR="00A003B1">
        <w:t>T</w:t>
      </w:r>
      <w:r w:rsidR="00BA46DC" w:rsidRPr="00BA46DC">
        <w:t xml:space="preserve">he components </w:t>
      </w:r>
      <w:r w:rsidR="00A9722B">
        <w:t xml:space="preserve">set out a process for </w:t>
      </w:r>
      <w:r w:rsidR="00BA46DC" w:rsidRPr="00BA46DC">
        <w:t xml:space="preserve">service providers </w:t>
      </w:r>
      <w:r w:rsidR="00A9722B">
        <w:t xml:space="preserve">to </w:t>
      </w:r>
      <w:r w:rsidR="00BA46DC" w:rsidRPr="00BA46DC">
        <w:t>develop</w:t>
      </w:r>
      <w:r w:rsidR="00A9722B">
        <w:t xml:space="preserve"> and implement</w:t>
      </w:r>
      <w:r w:rsidR="00BA46DC" w:rsidRPr="00BA46DC">
        <w:t xml:space="preserve"> new or improved consumer enga</w:t>
      </w:r>
      <w:r>
        <w:t xml:space="preserve">gement </w:t>
      </w:r>
      <w:r w:rsidR="00A9722B">
        <w:t>activities to meet the best practice principles</w:t>
      </w:r>
      <w:r>
        <w:t>:</w:t>
      </w:r>
    </w:p>
    <w:p w:rsidR="005C4BFE" w:rsidRDefault="005C4BFE" w:rsidP="005C4BFE">
      <w:pPr>
        <w:pStyle w:val="AERfactsheetbulletlist"/>
      </w:pPr>
      <w:r>
        <w:t>Priorities—we expect service providers to identify consumer cohorts, and the current views of those cohorts and their service provider; outline their engagement objectives; and discuss the processes to best achieve those objectives.</w:t>
      </w:r>
    </w:p>
    <w:p w:rsidR="005C4BFE" w:rsidRDefault="005C4BFE" w:rsidP="00533F1E">
      <w:pPr>
        <w:pStyle w:val="AERfactsheetbodytext"/>
      </w:pPr>
    </w:p>
    <w:p w:rsidR="005C4BFE" w:rsidRDefault="001A44ED" w:rsidP="00533F1E">
      <w:pPr>
        <w:pStyle w:val="AERfactsheetbodytext"/>
      </w:pPr>
      <w:r w:rsidRPr="00697FF1"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69694D8F" wp14:editId="07D14DE8">
            <wp:simplePos x="0" y="0"/>
            <wp:positionH relativeFrom="column">
              <wp:posOffset>-603089</wp:posOffset>
            </wp:positionH>
            <wp:positionV relativeFrom="page">
              <wp:posOffset>10198735</wp:posOffset>
            </wp:positionV>
            <wp:extent cx="8827135" cy="492760"/>
            <wp:effectExtent l="0" t="0" r="0" b="2540"/>
            <wp:wrapNone/>
            <wp:docPr id="8" name="Picture 8" descr="Title: Blue end box - Description: Blue end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tle: Blue end box - Description: Blue end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1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5C4BFE" w:rsidRDefault="005C4BFE" w:rsidP="00533F1E">
      <w:pPr>
        <w:pStyle w:val="AERfactsheetbodytext"/>
      </w:pPr>
    </w:p>
    <w:p w:rsidR="00BA46DC" w:rsidRDefault="00BA46DC" w:rsidP="00BA46DC">
      <w:pPr>
        <w:pStyle w:val="AERfactsheetbulletlist"/>
      </w:pPr>
      <w:r>
        <w:t>Delivery</w:t>
      </w:r>
      <w:r w:rsidR="00DB0203">
        <w:t>—w</w:t>
      </w:r>
      <w:r>
        <w:t xml:space="preserve">e expect service providers to address the identified priorities via robust and thorough consumer engagement. </w:t>
      </w:r>
    </w:p>
    <w:p w:rsidR="00DB0203" w:rsidRDefault="00BA46DC" w:rsidP="00BA46DC">
      <w:pPr>
        <w:pStyle w:val="AERfactsheetbulletlist"/>
      </w:pPr>
      <w:r>
        <w:t>Results</w:t>
      </w:r>
      <w:r w:rsidR="00DB0203">
        <w:t>—w</w:t>
      </w:r>
      <w:r>
        <w:t>e expect service providers to articulate the outcomes of their consumer engagement processes and how they measure</w:t>
      </w:r>
      <w:r w:rsidR="00682B02">
        <w:t xml:space="preserve"> the success of those processes</w:t>
      </w:r>
      <w:r>
        <w:t xml:space="preserve"> </w:t>
      </w:r>
      <w:r w:rsidR="00A9722B">
        <w:t>reporting back to us, their business and consumers</w:t>
      </w:r>
    </w:p>
    <w:p w:rsidR="00BA46DC" w:rsidRDefault="00BA46DC" w:rsidP="00BA46DC">
      <w:pPr>
        <w:pStyle w:val="AERfactsheetbulletlist"/>
      </w:pPr>
      <w:r>
        <w:t>Evaluation and review</w:t>
      </w:r>
      <w:r w:rsidR="00DB0203">
        <w:t>—w</w:t>
      </w:r>
      <w:r>
        <w:t xml:space="preserve">e expect service providers to periodically evaluate and review the effectiveness of their consumer engagement processes. </w:t>
      </w:r>
    </w:p>
    <w:p w:rsidR="003D251E" w:rsidRPr="00697FF1" w:rsidRDefault="003D251E" w:rsidP="003D251E">
      <w:pPr>
        <w:pStyle w:val="AERFactsheetHeading1"/>
      </w:pPr>
      <w:r>
        <w:t>M</w:t>
      </w:r>
      <w:r w:rsidRPr="00697FF1">
        <w:t>ore information</w:t>
      </w:r>
    </w:p>
    <w:p w:rsidR="008E4F6E" w:rsidRDefault="003D251E" w:rsidP="003D251E">
      <w:pPr>
        <w:pStyle w:val="AERfactsheetbodytext"/>
      </w:pPr>
      <w:r>
        <w:t xml:space="preserve">This consumer engagement guideline </w:t>
      </w:r>
      <w:r w:rsidR="0014674D">
        <w:t xml:space="preserve">for network service providers </w:t>
      </w:r>
      <w:r w:rsidR="008E4F6E">
        <w:t xml:space="preserve">is available on our website at </w:t>
      </w:r>
      <w:hyperlink r:id="rId12" w:history="1">
        <w:r w:rsidR="008E4F6E">
          <w:rPr>
            <w:rStyle w:val="Hyperlink"/>
          </w:rPr>
          <w:t>http://www.aer.gov.au/node/18894</w:t>
        </w:r>
      </w:hyperlink>
      <w:r w:rsidR="008E4F6E">
        <w:t>.</w:t>
      </w:r>
    </w:p>
    <w:p w:rsidR="00CB7714" w:rsidRDefault="008E4F6E" w:rsidP="00CB7714">
      <w:pPr>
        <w:pStyle w:val="AERfactsheetbodytext"/>
      </w:pPr>
      <w:r>
        <w:t xml:space="preserve">This guideline </w:t>
      </w:r>
      <w:r w:rsidR="003D251E">
        <w:t xml:space="preserve">forms part of </w:t>
      </w:r>
      <w:r w:rsidR="009F02E6">
        <w:t>the Better Regulation program</w:t>
      </w:r>
      <w:r w:rsidR="003D251E">
        <w:t>.</w:t>
      </w:r>
      <w:r w:rsidR="009F02E6">
        <w:t xml:space="preserve"> We </w:t>
      </w:r>
      <w:r w:rsidR="003D251E" w:rsidRPr="00697FF1">
        <w:t xml:space="preserve">initiated </w:t>
      </w:r>
      <w:r>
        <w:t xml:space="preserve">this </w:t>
      </w:r>
      <w:r w:rsidR="003D251E" w:rsidRPr="00697FF1">
        <w:t xml:space="preserve">program following </w:t>
      </w:r>
      <w:r w:rsidR="003D251E">
        <w:t>changes to the reg</w:t>
      </w:r>
      <w:r w:rsidR="00CB7714">
        <w:t xml:space="preserve">ulatory framework in late 2012. </w:t>
      </w:r>
      <w:r w:rsidR="0014674D">
        <w:t xml:space="preserve">The program includes </w:t>
      </w:r>
      <w:r w:rsidR="00CB7714">
        <w:t>se</w:t>
      </w:r>
      <w:r w:rsidR="0014674D">
        <w:t>ven new guidelines that outline</w:t>
      </w:r>
      <w:r w:rsidR="00CB7714">
        <w:t xml:space="preserve"> our revised approach to determining electricity network revenues and prices, and </w:t>
      </w:r>
      <w:r w:rsidR="0014674D">
        <w:t>our establishment of</w:t>
      </w:r>
      <w:r w:rsidR="00CB7714">
        <w:t xml:space="preserve"> the Consumer Challenge Panel.</w:t>
      </w:r>
    </w:p>
    <w:p w:rsidR="003D251E" w:rsidRDefault="003D251E" w:rsidP="003D251E">
      <w:pPr>
        <w:pStyle w:val="AERfactsheetbodytext"/>
      </w:pPr>
      <w:r w:rsidRPr="00697FF1">
        <w:t xml:space="preserve">For more information </w:t>
      </w:r>
      <w:r>
        <w:t xml:space="preserve">on </w:t>
      </w:r>
      <w:r w:rsidRPr="00697FF1">
        <w:t>the Better Regulati</w:t>
      </w:r>
      <w:r w:rsidR="00CB7714">
        <w:t xml:space="preserve">on program </w:t>
      </w:r>
      <w:r w:rsidRPr="00697FF1">
        <w:t xml:space="preserve">please visit our website </w:t>
      </w:r>
      <w:hyperlink r:id="rId13" w:history="1">
        <w:r w:rsidRPr="00D37AAC">
          <w:rPr>
            <w:rStyle w:val="Hyperlink"/>
          </w:rPr>
          <w:t>www.aer.gov.au/better-regulation-reform-program</w:t>
        </w:r>
      </w:hyperlink>
      <w:r w:rsidR="00CB7714">
        <w:t>.</w:t>
      </w:r>
    </w:p>
    <w:p w:rsidR="00F531A1" w:rsidRDefault="008E4F6E" w:rsidP="003D251E">
      <w:pPr>
        <w:pStyle w:val="AERfactsheetbodytext"/>
      </w:pPr>
      <w:r>
        <w:t xml:space="preserve">Our website also has more information on the consumer </w:t>
      </w:r>
      <w:r w:rsidR="00F531A1">
        <w:t xml:space="preserve">Challenge </w:t>
      </w:r>
      <w:r>
        <w:t>P</w:t>
      </w:r>
      <w:r w:rsidR="00F531A1">
        <w:t xml:space="preserve">anel </w:t>
      </w:r>
      <w:r>
        <w:t xml:space="preserve">at </w:t>
      </w:r>
      <w:hyperlink r:id="rId14" w:history="1">
        <w:r>
          <w:rPr>
            <w:rStyle w:val="Hyperlink"/>
          </w:rPr>
          <w:t>http://www.aer.gov.au/about-us/consumer-challenge-panel</w:t>
        </w:r>
      </w:hyperlink>
      <w:r>
        <w:t>.</w:t>
      </w:r>
    </w:p>
    <w:p w:rsidR="00B815B7" w:rsidRPr="005C4BFE" w:rsidRDefault="00B815B7" w:rsidP="005C4BFE">
      <w:pPr>
        <w:rPr>
          <w:rFonts w:ascii="MS Reference Sans Serif" w:hAnsi="MS Reference Sans Serif" w:cs="Shruti"/>
          <w:spacing w:val="-10"/>
          <w:sz w:val="18"/>
          <w:szCs w:val="22"/>
        </w:rPr>
      </w:pPr>
    </w:p>
    <w:sectPr w:rsidR="00B815B7" w:rsidRPr="005C4BFE" w:rsidSect="00C770AC">
      <w:type w:val="continuous"/>
      <w:pgSz w:w="11906" w:h="16838"/>
      <w:pgMar w:top="720" w:right="720" w:bottom="851" w:left="720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4C" w:rsidRDefault="00654F4C" w:rsidP="001C5C75">
      <w:r>
        <w:separator/>
      </w:r>
    </w:p>
  </w:endnote>
  <w:endnote w:type="continuationSeparator" w:id="0">
    <w:p w:rsidR="00654F4C" w:rsidRDefault="00654F4C" w:rsidP="001C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DINOT-Regular">
    <w:altName w:val="DIN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4C" w:rsidRDefault="00654F4C" w:rsidP="001C5C75">
      <w:r>
        <w:separator/>
      </w:r>
    </w:p>
  </w:footnote>
  <w:footnote w:type="continuationSeparator" w:id="0">
    <w:p w:rsidR="00654F4C" w:rsidRDefault="00654F4C" w:rsidP="001C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2CE"/>
    <w:multiLevelType w:val="hybridMultilevel"/>
    <w:tmpl w:val="8A4CF272"/>
    <w:lvl w:ilvl="0" w:tplc="8EF83B6A">
      <w:start w:val="1"/>
      <w:numFmt w:val="bullet"/>
      <w:pStyle w:val="AERfactsheetbulletlist"/>
      <w:lvlText w:val=""/>
      <w:lvlJc w:val="left"/>
      <w:pPr>
        <w:ind w:left="578" w:hanging="360"/>
      </w:pPr>
      <w:rPr>
        <w:rFonts w:ascii="Wingdings" w:hAnsi="Wingdings" w:hint="default"/>
        <w:b w:val="0"/>
        <w:i w:val="0"/>
        <w:sz w:val="22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955620C"/>
    <w:multiLevelType w:val="hybridMultilevel"/>
    <w:tmpl w:val="601A5076"/>
    <w:lvl w:ilvl="0" w:tplc="3D5A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C04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FEF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E82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E9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6F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AB0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7229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6D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E06401"/>
    <w:multiLevelType w:val="hybridMultilevel"/>
    <w:tmpl w:val="2330433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87971"/>
    <w:multiLevelType w:val="multilevel"/>
    <w:tmpl w:val="B1FCC85A"/>
    <w:lvl w:ilvl="0">
      <w:start w:val="1"/>
      <w:numFmt w:val="none"/>
      <w:pStyle w:val="AERbodytext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5C04619A"/>
    <w:multiLevelType w:val="hybridMultilevel"/>
    <w:tmpl w:val="56C093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\\cbrvpwxfs01\home$\asast\AER factsheet - Consumer engagement guideline for network service providers - November 2013.docx"/>
  </w:docVars>
  <w:rsids>
    <w:rsidRoot w:val="00021F03"/>
    <w:rsid w:val="000037E8"/>
    <w:rsid w:val="000173D5"/>
    <w:rsid w:val="00021F03"/>
    <w:rsid w:val="0002557F"/>
    <w:rsid w:val="00035993"/>
    <w:rsid w:val="000437AC"/>
    <w:rsid w:val="000454A0"/>
    <w:rsid w:val="00062407"/>
    <w:rsid w:val="00064636"/>
    <w:rsid w:val="00074102"/>
    <w:rsid w:val="000919C1"/>
    <w:rsid w:val="00097832"/>
    <w:rsid w:val="000B14D9"/>
    <w:rsid w:val="000C07AD"/>
    <w:rsid w:val="000C2F7A"/>
    <w:rsid w:val="000C5D45"/>
    <w:rsid w:val="000F6D07"/>
    <w:rsid w:val="0010059A"/>
    <w:rsid w:val="00111679"/>
    <w:rsid w:val="00140B22"/>
    <w:rsid w:val="0014674D"/>
    <w:rsid w:val="00161C83"/>
    <w:rsid w:val="00197841"/>
    <w:rsid w:val="001A23C5"/>
    <w:rsid w:val="001A2F34"/>
    <w:rsid w:val="001A44ED"/>
    <w:rsid w:val="001A51E5"/>
    <w:rsid w:val="001B10C7"/>
    <w:rsid w:val="001B656D"/>
    <w:rsid w:val="001C5C75"/>
    <w:rsid w:val="001D30D8"/>
    <w:rsid w:val="001D49FD"/>
    <w:rsid w:val="001F7393"/>
    <w:rsid w:val="002106B5"/>
    <w:rsid w:val="00211FD6"/>
    <w:rsid w:val="00225391"/>
    <w:rsid w:val="00226045"/>
    <w:rsid w:val="00235775"/>
    <w:rsid w:val="00235852"/>
    <w:rsid w:val="00236EFB"/>
    <w:rsid w:val="002425E7"/>
    <w:rsid w:val="00243D15"/>
    <w:rsid w:val="00263811"/>
    <w:rsid w:val="0027568A"/>
    <w:rsid w:val="00276959"/>
    <w:rsid w:val="00287E5C"/>
    <w:rsid w:val="00291D2F"/>
    <w:rsid w:val="002929FD"/>
    <w:rsid w:val="002952EB"/>
    <w:rsid w:val="002960E8"/>
    <w:rsid w:val="002A336E"/>
    <w:rsid w:val="002A473F"/>
    <w:rsid w:val="002B7BBC"/>
    <w:rsid w:val="002D4811"/>
    <w:rsid w:val="002E7F4D"/>
    <w:rsid w:val="00325469"/>
    <w:rsid w:val="00354991"/>
    <w:rsid w:val="00360C93"/>
    <w:rsid w:val="00385BB9"/>
    <w:rsid w:val="00391B7D"/>
    <w:rsid w:val="003937FA"/>
    <w:rsid w:val="003A1227"/>
    <w:rsid w:val="003C2697"/>
    <w:rsid w:val="003D251E"/>
    <w:rsid w:val="00404570"/>
    <w:rsid w:val="00425A1C"/>
    <w:rsid w:val="004310E5"/>
    <w:rsid w:val="004322B2"/>
    <w:rsid w:val="004374EE"/>
    <w:rsid w:val="004548EF"/>
    <w:rsid w:val="0047389B"/>
    <w:rsid w:val="00474754"/>
    <w:rsid w:val="00476A6B"/>
    <w:rsid w:val="00484BD1"/>
    <w:rsid w:val="004853A0"/>
    <w:rsid w:val="00490BCE"/>
    <w:rsid w:val="00494803"/>
    <w:rsid w:val="00494E80"/>
    <w:rsid w:val="004B2C04"/>
    <w:rsid w:val="004B3799"/>
    <w:rsid w:val="004B40E2"/>
    <w:rsid w:val="004B41DA"/>
    <w:rsid w:val="004C19B8"/>
    <w:rsid w:val="004D13FD"/>
    <w:rsid w:val="004D1DC0"/>
    <w:rsid w:val="004D6C7B"/>
    <w:rsid w:val="004D7FEB"/>
    <w:rsid w:val="004E0603"/>
    <w:rsid w:val="004E163E"/>
    <w:rsid w:val="004E2EF3"/>
    <w:rsid w:val="004E7790"/>
    <w:rsid w:val="00502044"/>
    <w:rsid w:val="0050430D"/>
    <w:rsid w:val="00506AA6"/>
    <w:rsid w:val="005324C6"/>
    <w:rsid w:val="00533F1E"/>
    <w:rsid w:val="005524C5"/>
    <w:rsid w:val="00563172"/>
    <w:rsid w:val="005744F0"/>
    <w:rsid w:val="00594FDF"/>
    <w:rsid w:val="005C4BFE"/>
    <w:rsid w:val="005D2EBB"/>
    <w:rsid w:val="005E1E92"/>
    <w:rsid w:val="005F0958"/>
    <w:rsid w:val="005F2DC5"/>
    <w:rsid w:val="005F5C65"/>
    <w:rsid w:val="00614C66"/>
    <w:rsid w:val="00631FDC"/>
    <w:rsid w:val="00644E9D"/>
    <w:rsid w:val="00654F4C"/>
    <w:rsid w:val="00655949"/>
    <w:rsid w:val="00661A9B"/>
    <w:rsid w:val="0066205E"/>
    <w:rsid w:val="00662BB4"/>
    <w:rsid w:val="006773B7"/>
    <w:rsid w:val="00682B02"/>
    <w:rsid w:val="00697FF1"/>
    <w:rsid w:val="006A07F6"/>
    <w:rsid w:val="006A6C7D"/>
    <w:rsid w:val="006B322A"/>
    <w:rsid w:val="006B39DB"/>
    <w:rsid w:val="006C003B"/>
    <w:rsid w:val="006C2281"/>
    <w:rsid w:val="006D0E7F"/>
    <w:rsid w:val="006D5C4C"/>
    <w:rsid w:val="006D6D14"/>
    <w:rsid w:val="006F2E4F"/>
    <w:rsid w:val="00700FDF"/>
    <w:rsid w:val="00717108"/>
    <w:rsid w:val="00726CCA"/>
    <w:rsid w:val="00742DF1"/>
    <w:rsid w:val="00753DF7"/>
    <w:rsid w:val="00754FD0"/>
    <w:rsid w:val="0075602D"/>
    <w:rsid w:val="0076117A"/>
    <w:rsid w:val="00776ACC"/>
    <w:rsid w:val="00781A7F"/>
    <w:rsid w:val="00783C6B"/>
    <w:rsid w:val="00792589"/>
    <w:rsid w:val="007A0EEB"/>
    <w:rsid w:val="007C3C57"/>
    <w:rsid w:val="007C5329"/>
    <w:rsid w:val="007C54FB"/>
    <w:rsid w:val="007D01A2"/>
    <w:rsid w:val="007D292D"/>
    <w:rsid w:val="007E5C20"/>
    <w:rsid w:val="00802901"/>
    <w:rsid w:val="00802F24"/>
    <w:rsid w:val="00806704"/>
    <w:rsid w:val="00840060"/>
    <w:rsid w:val="00844636"/>
    <w:rsid w:val="00845455"/>
    <w:rsid w:val="008472A8"/>
    <w:rsid w:val="00854115"/>
    <w:rsid w:val="00871903"/>
    <w:rsid w:val="00877A69"/>
    <w:rsid w:val="00893B2B"/>
    <w:rsid w:val="00896890"/>
    <w:rsid w:val="008A20E4"/>
    <w:rsid w:val="008B28DF"/>
    <w:rsid w:val="008B4DBF"/>
    <w:rsid w:val="008C3A60"/>
    <w:rsid w:val="008D2ED6"/>
    <w:rsid w:val="008D722A"/>
    <w:rsid w:val="008E4F6E"/>
    <w:rsid w:val="008F4918"/>
    <w:rsid w:val="009145A0"/>
    <w:rsid w:val="0091544F"/>
    <w:rsid w:val="00935CAA"/>
    <w:rsid w:val="00953C1D"/>
    <w:rsid w:val="009612A1"/>
    <w:rsid w:val="00963F5A"/>
    <w:rsid w:val="00965787"/>
    <w:rsid w:val="0097251D"/>
    <w:rsid w:val="00987843"/>
    <w:rsid w:val="00995A34"/>
    <w:rsid w:val="009A49EB"/>
    <w:rsid w:val="009A702D"/>
    <w:rsid w:val="009B207C"/>
    <w:rsid w:val="009B4D12"/>
    <w:rsid w:val="009B6A61"/>
    <w:rsid w:val="009D253A"/>
    <w:rsid w:val="009D3387"/>
    <w:rsid w:val="009D3F78"/>
    <w:rsid w:val="009F02E6"/>
    <w:rsid w:val="00A003B1"/>
    <w:rsid w:val="00A02F2D"/>
    <w:rsid w:val="00A0352C"/>
    <w:rsid w:val="00A20317"/>
    <w:rsid w:val="00A26268"/>
    <w:rsid w:val="00A30414"/>
    <w:rsid w:val="00A30634"/>
    <w:rsid w:val="00A30DDC"/>
    <w:rsid w:val="00A42083"/>
    <w:rsid w:val="00A427A5"/>
    <w:rsid w:val="00A43FE2"/>
    <w:rsid w:val="00A45346"/>
    <w:rsid w:val="00A456A9"/>
    <w:rsid w:val="00A522E4"/>
    <w:rsid w:val="00A764A5"/>
    <w:rsid w:val="00A85826"/>
    <w:rsid w:val="00A95AD6"/>
    <w:rsid w:val="00A9722B"/>
    <w:rsid w:val="00AC0236"/>
    <w:rsid w:val="00AD2EBC"/>
    <w:rsid w:val="00AD53EF"/>
    <w:rsid w:val="00AE5C52"/>
    <w:rsid w:val="00B0183D"/>
    <w:rsid w:val="00B74543"/>
    <w:rsid w:val="00B751A5"/>
    <w:rsid w:val="00B7575A"/>
    <w:rsid w:val="00B815B7"/>
    <w:rsid w:val="00BA46DC"/>
    <w:rsid w:val="00BC41F3"/>
    <w:rsid w:val="00BD1663"/>
    <w:rsid w:val="00BE2BD4"/>
    <w:rsid w:val="00BE4211"/>
    <w:rsid w:val="00BE5A7F"/>
    <w:rsid w:val="00BF38DF"/>
    <w:rsid w:val="00C00B1A"/>
    <w:rsid w:val="00C11E06"/>
    <w:rsid w:val="00C1381E"/>
    <w:rsid w:val="00C13A11"/>
    <w:rsid w:val="00C162C3"/>
    <w:rsid w:val="00C26A23"/>
    <w:rsid w:val="00C41B85"/>
    <w:rsid w:val="00C51D00"/>
    <w:rsid w:val="00C53405"/>
    <w:rsid w:val="00C67154"/>
    <w:rsid w:val="00C70568"/>
    <w:rsid w:val="00C71947"/>
    <w:rsid w:val="00C73523"/>
    <w:rsid w:val="00C770AC"/>
    <w:rsid w:val="00C81EED"/>
    <w:rsid w:val="00C866CD"/>
    <w:rsid w:val="00C92E99"/>
    <w:rsid w:val="00C977B9"/>
    <w:rsid w:val="00CA0863"/>
    <w:rsid w:val="00CB3718"/>
    <w:rsid w:val="00CB7714"/>
    <w:rsid w:val="00CD6D0F"/>
    <w:rsid w:val="00CE61CE"/>
    <w:rsid w:val="00CF0FE0"/>
    <w:rsid w:val="00CF228C"/>
    <w:rsid w:val="00CF753C"/>
    <w:rsid w:val="00D11F93"/>
    <w:rsid w:val="00D132C4"/>
    <w:rsid w:val="00D45458"/>
    <w:rsid w:val="00D87002"/>
    <w:rsid w:val="00DB0203"/>
    <w:rsid w:val="00DB2082"/>
    <w:rsid w:val="00DB4C0F"/>
    <w:rsid w:val="00DB6002"/>
    <w:rsid w:val="00DC20AA"/>
    <w:rsid w:val="00DC29DC"/>
    <w:rsid w:val="00DD6C72"/>
    <w:rsid w:val="00DE2845"/>
    <w:rsid w:val="00DE2C4E"/>
    <w:rsid w:val="00DE5EEE"/>
    <w:rsid w:val="00DE6607"/>
    <w:rsid w:val="00DF2B64"/>
    <w:rsid w:val="00E06D2B"/>
    <w:rsid w:val="00E1275F"/>
    <w:rsid w:val="00E21E56"/>
    <w:rsid w:val="00E30D6C"/>
    <w:rsid w:val="00E32544"/>
    <w:rsid w:val="00E342E9"/>
    <w:rsid w:val="00E618EC"/>
    <w:rsid w:val="00E61AE2"/>
    <w:rsid w:val="00E67143"/>
    <w:rsid w:val="00E71C1A"/>
    <w:rsid w:val="00E737B2"/>
    <w:rsid w:val="00E810FA"/>
    <w:rsid w:val="00E811A1"/>
    <w:rsid w:val="00E91EBB"/>
    <w:rsid w:val="00EA470E"/>
    <w:rsid w:val="00EB092A"/>
    <w:rsid w:val="00ED2FE7"/>
    <w:rsid w:val="00ED6C64"/>
    <w:rsid w:val="00EF759C"/>
    <w:rsid w:val="00F0776A"/>
    <w:rsid w:val="00F12DB4"/>
    <w:rsid w:val="00F209E0"/>
    <w:rsid w:val="00F21494"/>
    <w:rsid w:val="00F317A2"/>
    <w:rsid w:val="00F3531F"/>
    <w:rsid w:val="00F44A65"/>
    <w:rsid w:val="00F52FF0"/>
    <w:rsid w:val="00F531A1"/>
    <w:rsid w:val="00F53C09"/>
    <w:rsid w:val="00F56BC0"/>
    <w:rsid w:val="00F65D6C"/>
    <w:rsid w:val="00F66D01"/>
    <w:rsid w:val="00F7252E"/>
    <w:rsid w:val="00F84D92"/>
    <w:rsid w:val="00F8612A"/>
    <w:rsid w:val="00F9348B"/>
    <w:rsid w:val="00F975D9"/>
    <w:rsid w:val="00FB1910"/>
    <w:rsid w:val="00F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F3531F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4">
    <w:name w:val="heading 4"/>
    <w:basedOn w:val="Normal"/>
    <w:next w:val="Normal"/>
    <w:link w:val="Heading4Char"/>
    <w:uiPriority w:val="9"/>
    <w:qFormat/>
    <w:rsid w:val="00697FF1"/>
    <w:pPr>
      <w:keepNext/>
      <w:spacing w:after="240" w:line="288" w:lineRule="auto"/>
      <w:jc w:val="both"/>
      <w:outlineLvl w:val="3"/>
    </w:pPr>
    <w:rPr>
      <w:rFonts w:ascii="Gautami" w:eastAsia="Times New Roman" w:hAnsi="Gautami"/>
      <w:b/>
      <w:iCs/>
      <w:color w:val="365F9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ERtextitalic">
    <w:name w:val="AER text italic"/>
    <w:rsid w:val="00AC0236"/>
    <w:rPr>
      <w:i/>
    </w:rPr>
  </w:style>
  <w:style w:type="character" w:customStyle="1" w:styleId="Heading4Char">
    <w:name w:val="Heading 4 Char"/>
    <w:link w:val="Heading4"/>
    <w:uiPriority w:val="9"/>
    <w:rsid w:val="00697FF1"/>
    <w:rPr>
      <w:rFonts w:ascii="Gautami" w:eastAsia="Times New Roman" w:hAnsi="Gautami"/>
      <w:b/>
      <w:iCs/>
      <w:color w:val="365F91"/>
      <w:sz w:val="24"/>
      <w:szCs w:val="24"/>
    </w:rPr>
  </w:style>
  <w:style w:type="character" w:customStyle="1" w:styleId="AERtextbold">
    <w:name w:val="AER text bold"/>
    <w:rsid w:val="00AC0236"/>
    <w:rPr>
      <w:b/>
    </w:rPr>
  </w:style>
  <w:style w:type="paragraph" w:customStyle="1" w:styleId="AERbodytextnospace">
    <w:name w:val="AER body text no space"/>
    <w:basedOn w:val="Normal"/>
    <w:rsid w:val="00AC0236"/>
    <w:pPr>
      <w:spacing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bodytext">
    <w:name w:val="AER body text"/>
    <w:rsid w:val="00AC0236"/>
    <w:pPr>
      <w:numPr>
        <w:numId w:val="2"/>
      </w:numPr>
      <w:spacing w:after="240" w:line="288" w:lineRule="auto"/>
      <w:jc w:val="both"/>
    </w:pPr>
    <w:rPr>
      <w:rFonts w:ascii="Gautami" w:eastAsia="Times New Roman" w:hAnsi="Gautami"/>
      <w:szCs w:val="24"/>
    </w:rPr>
  </w:style>
  <w:style w:type="paragraph" w:customStyle="1" w:styleId="AERnumberedlistfirststyle">
    <w:name w:val="AER numbered list (first style)"/>
    <w:basedOn w:val="AERbodytext"/>
    <w:rsid w:val="00AC0236"/>
    <w:pPr>
      <w:numPr>
        <w:ilvl w:val="1"/>
      </w:numPr>
      <w:spacing w:after="200"/>
    </w:pPr>
  </w:style>
  <w:style w:type="paragraph" w:customStyle="1" w:styleId="AERnumberedlistsecondstyle">
    <w:name w:val="AER numbered list (second style)"/>
    <w:basedOn w:val="AERnumberedlistfirststyle"/>
    <w:rsid w:val="00AC0236"/>
    <w:pPr>
      <w:numPr>
        <w:ilvl w:val="2"/>
      </w:numPr>
    </w:pPr>
  </w:style>
  <w:style w:type="paragraph" w:customStyle="1" w:styleId="AERnumberedlistthirdstyle">
    <w:name w:val="AER numbered list (third style)"/>
    <w:basedOn w:val="AERnumberedlistsecondstyle"/>
    <w:rsid w:val="00AC0236"/>
    <w:pPr>
      <w:numPr>
        <w:ilvl w:val="3"/>
      </w:numPr>
    </w:pPr>
  </w:style>
  <w:style w:type="paragraph" w:customStyle="1" w:styleId="Default">
    <w:name w:val="Default"/>
    <w:rsid w:val="00AC0236"/>
    <w:pPr>
      <w:autoSpaceDE w:val="0"/>
      <w:autoSpaceDN w:val="0"/>
      <w:adjustRightInd w:val="0"/>
    </w:pPr>
    <w:rPr>
      <w:rFonts w:ascii="DINOT-Regular" w:eastAsia="Times New Roman" w:hAnsi="DINOT-Regular" w:cs="DINOT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24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5324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A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A8"/>
    <w:rPr>
      <w:b/>
      <w:bCs/>
      <w:sz w:val="20"/>
      <w:szCs w:val="20"/>
    </w:rPr>
  </w:style>
  <w:style w:type="paragraph" w:customStyle="1" w:styleId="AERfactsheetsubtitle">
    <w:name w:val="AER factsheet subtitle"/>
    <w:basedOn w:val="Subtitle"/>
    <w:next w:val="Normal"/>
    <w:qFormat/>
    <w:rsid w:val="00697FF1"/>
    <w:pPr>
      <w:spacing w:after="0"/>
    </w:pPr>
    <w:rPr>
      <w:rFonts w:ascii="Tunga" w:eastAsia="Times New Roman" w:hAnsi="Tunga" w:cs="Tunga"/>
      <w:i w:val="0"/>
      <w:color w:val="000000"/>
      <w:spacing w:val="16"/>
      <w:kern w:val="2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F1"/>
    <w:pPr>
      <w:numPr>
        <w:ilvl w:val="1"/>
      </w:numPr>
      <w:spacing w:after="200" w:line="276" w:lineRule="auto"/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97FF1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customStyle="1" w:styleId="AERFactsheetHeading1">
    <w:name w:val="AER Factsheet Heading 1"/>
    <w:basedOn w:val="Heading4"/>
    <w:qFormat/>
    <w:rsid w:val="00697FF1"/>
    <w:pPr>
      <w:spacing w:before="240" w:after="120" w:line="240" w:lineRule="auto"/>
      <w:jc w:val="left"/>
    </w:pPr>
    <w:rPr>
      <w:rFonts w:ascii="Tunga" w:hAnsi="Tunga" w:cs="Tunga"/>
      <w:color w:val="006A99"/>
      <w:kern w:val="24"/>
    </w:rPr>
  </w:style>
  <w:style w:type="paragraph" w:customStyle="1" w:styleId="AERfactsheetbodytext">
    <w:name w:val="AER factsheet body text"/>
    <w:basedOn w:val="Normal"/>
    <w:qFormat/>
    <w:rsid w:val="00697FF1"/>
    <w:pPr>
      <w:spacing w:after="120" w:line="252" w:lineRule="auto"/>
    </w:pPr>
    <w:rPr>
      <w:rFonts w:ascii="MS Reference Sans Serif" w:hAnsi="MS Reference Sans Serif" w:cs="Shruti"/>
      <w:spacing w:val="-10"/>
      <w:sz w:val="18"/>
      <w:szCs w:val="22"/>
    </w:rPr>
  </w:style>
  <w:style w:type="paragraph" w:customStyle="1" w:styleId="AERfactsheetbulletlist">
    <w:name w:val="AER factsheet bullet list"/>
    <w:basedOn w:val="AERbodytextnospace"/>
    <w:qFormat/>
    <w:rsid w:val="00F3531F"/>
    <w:pPr>
      <w:numPr>
        <w:numId w:val="1"/>
      </w:numPr>
      <w:spacing w:after="120" w:line="252" w:lineRule="auto"/>
      <w:ind w:left="284" w:hanging="284"/>
      <w:jc w:val="left"/>
    </w:pPr>
    <w:rPr>
      <w:rFonts w:ascii="MS Reference Sans Serif" w:hAnsi="MS Reference Sans Serif" w:cs="Shruti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697FF1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4D1DC0"/>
    <w:pPr>
      <w:keepNext/>
      <w:tabs>
        <w:tab w:val="left" w:pos="1440"/>
      </w:tabs>
      <w:spacing w:before="120" w:after="120" w:line="288" w:lineRule="auto"/>
      <w:ind w:left="1440" w:hanging="1440"/>
      <w:jc w:val="both"/>
    </w:pPr>
    <w:rPr>
      <w:rFonts w:ascii="Gautami" w:eastAsia="Times New Roman" w:hAnsi="Gautami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er.gov.au/better-regulation-reform-progr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er.gov.au/node/1889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er.gov.au/about-us/consumer-challenge-pa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4339-EF12-4770-83DD-D459CA17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Better Regulation: Consumer engagement guideline for network services providers</vt:lpstr>
    </vt:vector>
  </TitlesOfParts>
  <Manager/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Better Regulation: Consumer engagement guideline for network services providers</dc:title>
  <dc:subject/>
  <dc:creator/>
  <cp:keywords/>
  <dc:description/>
  <cp:lastModifiedBy/>
  <cp:revision>1</cp:revision>
  <dcterms:created xsi:type="dcterms:W3CDTF">2013-11-05T21:38:00Z</dcterms:created>
  <dcterms:modified xsi:type="dcterms:W3CDTF">2013-11-05T21:42:00Z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\\cbrvpwxfs01\home$\asast\AER factsheet - Consumer engagement guideline for network service providers - November 2013.docx</vt:lpwstr>
  </property>
  <property fmtid="{D5CDD505-2E9C-101B-9397-08002B2CF9AE}" pid="3" name="URI">
    <vt:lpwstr>8081788</vt:lpwstr>
  </property>
</Properties>
</file>