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71" w:type="dxa"/>
        <w:tblLayout w:type="fixed"/>
        <w:tblLook w:val="01E0" w:firstRow="1" w:lastRow="1" w:firstColumn="1" w:lastColumn="1" w:noHBand="0" w:noVBand="0"/>
      </w:tblPr>
      <w:tblGrid>
        <w:gridCol w:w="3387"/>
      </w:tblGrid>
      <w:tr w:rsidR="00AE5FBA" w:rsidRPr="00F66C8A" w:rsidTr="00BC2EA4">
        <w:trPr>
          <w:trHeight w:val="2584"/>
        </w:trPr>
        <w:tc>
          <w:tcPr>
            <w:tcW w:w="3387" w:type="dxa"/>
            <w:tcBorders>
              <w:top w:val="single" w:sz="12" w:space="0" w:color="auto"/>
              <w:bottom w:val="single" w:sz="12" w:space="0" w:color="auto"/>
            </w:tcBorders>
          </w:tcPr>
          <w:p w:rsidR="00AE5FBA" w:rsidRPr="003861D6" w:rsidRDefault="00AE5FBA" w:rsidP="00BC2EA4">
            <w:pPr>
              <w:rPr>
                <w:rFonts w:cs="Arial"/>
                <w:b/>
                <w:sz w:val="18"/>
              </w:rPr>
            </w:pPr>
            <w:bookmarkStart w:id="0" w:name="_GoBack"/>
            <w:bookmarkEnd w:id="0"/>
          </w:p>
          <w:p w:rsidR="00AE5FBA" w:rsidRPr="003861D6" w:rsidRDefault="00AE5FBA" w:rsidP="00BC2EA4">
            <w:pPr>
              <w:rPr>
                <w:rFonts w:cs="Arial"/>
                <w:b/>
                <w:sz w:val="18"/>
              </w:rPr>
            </w:pPr>
          </w:p>
          <w:p w:rsidR="00AE5FBA" w:rsidRPr="003861D6" w:rsidRDefault="00AE5FBA" w:rsidP="00BC2EA4">
            <w:pPr>
              <w:rPr>
                <w:rFonts w:cs="Arial"/>
                <w:b/>
              </w:rPr>
            </w:pPr>
            <w:r w:rsidRPr="003861D6">
              <w:rPr>
                <w:rFonts w:cs="Arial"/>
                <w:b/>
              </w:rPr>
              <w:t xml:space="preserve">REGULATORY INFORMATION NOTICE UNDER DIVISION 4 OF PART 3 OF THE NATIONAL ELECTRICITY </w:t>
            </w:r>
            <w:r w:rsidRPr="003861D6">
              <w:rPr>
                <w:b/>
              </w:rPr>
              <w:t>(</w:t>
            </w:r>
            <w:r w:rsidRPr="00E34849">
              <w:rPr>
                <w:b/>
                <w:noProof/>
              </w:rPr>
              <w:t>STATE</w:t>
            </w:r>
            <w:r w:rsidRPr="003861D6">
              <w:rPr>
                <w:b/>
              </w:rPr>
              <w:t xml:space="preserve">) </w:t>
            </w:r>
            <w:r w:rsidRPr="003861D6">
              <w:rPr>
                <w:rFonts w:cs="Arial"/>
                <w:b/>
              </w:rPr>
              <w:t>LAW</w:t>
            </w:r>
          </w:p>
        </w:tc>
      </w:tr>
      <w:tr w:rsidR="00AE5FBA" w:rsidRPr="00F66C8A" w:rsidTr="00BC2EA4">
        <w:trPr>
          <w:trHeight w:val="8570"/>
        </w:trPr>
        <w:tc>
          <w:tcPr>
            <w:tcW w:w="3387" w:type="dxa"/>
            <w:tcBorders>
              <w:top w:val="single" w:sz="12" w:space="0" w:color="auto"/>
            </w:tcBorders>
          </w:tcPr>
          <w:p w:rsidR="00AE5FBA" w:rsidRPr="003861D6" w:rsidRDefault="00AE5FBA" w:rsidP="00BC2EA4">
            <w:pPr>
              <w:rPr>
                <w:rFonts w:cs="Arial"/>
                <w:b/>
                <w:sz w:val="18"/>
              </w:rPr>
            </w:pPr>
          </w:p>
          <w:p w:rsidR="00AE5FBA" w:rsidRPr="003861D6" w:rsidRDefault="00AE5FBA" w:rsidP="00BC2EA4">
            <w:pPr>
              <w:rPr>
                <w:rFonts w:cs="Arial"/>
                <w:b/>
              </w:rPr>
            </w:pPr>
            <w:r w:rsidRPr="003861D6">
              <w:rPr>
                <w:rFonts w:cs="Arial"/>
                <w:b/>
              </w:rPr>
              <w:t>ISSUED BY</w:t>
            </w:r>
          </w:p>
          <w:p w:rsidR="00AE5FBA" w:rsidRPr="003861D6" w:rsidRDefault="00AE5FBA" w:rsidP="00BC2EA4">
            <w:pPr>
              <w:rPr>
                <w:rFonts w:cs="Arial"/>
                <w:b/>
              </w:rPr>
            </w:pPr>
          </w:p>
          <w:p w:rsidR="00AE5FBA" w:rsidRPr="003861D6" w:rsidRDefault="00AE5FBA" w:rsidP="00BC2EA4">
            <w:pPr>
              <w:rPr>
                <w:rFonts w:cs="Arial"/>
                <w:b/>
              </w:rPr>
            </w:pPr>
            <w:r w:rsidRPr="003861D6">
              <w:rPr>
                <w:rFonts w:cs="Arial"/>
                <w:b/>
              </w:rPr>
              <w:t>THE AUSTRALIAN ENERGY REGULATOR</w:t>
            </w:r>
          </w:p>
        </w:tc>
      </w:tr>
      <w:tr w:rsidR="00AE5FBA" w:rsidRPr="00F66C8A" w:rsidTr="00BC2EA4">
        <w:trPr>
          <w:trHeight w:val="472"/>
        </w:trPr>
        <w:tc>
          <w:tcPr>
            <w:tcW w:w="3387" w:type="dxa"/>
          </w:tcPr>
          <w:p w:rsidR="00AE5FBA" w:rsidRPr="003861D6" w:rsidRDefault="00AE5FBA" w:rsidP="00BC2EA4">
            <w:pPr>
              <w:pStyle w:val="NoSpacing"/>
              <w:rPr>
                <w:rFonts w:cs="Arial"/>
                <w:b/>
              </w:rPr>
            </w:pPr>
          </w:p>
          <w:p w:rsidR="00AE5FBA" w:rsidRPr="003861D6" w:rsidRDefault="00AE5FBA" w:rsidP="00BC2EA4">
            <w:pPr>
              <w:pStyle w:val="NoSpacing"/>
              <w:rPr>
                <w:rFonts w:cs="Arial"/>
                <w:b/>
              </w:rPr>
            </w:pPr>
            <w:r w:rsidRPr="003861D6">
              <w:rPr>
                <w:rFonts w:cs="Arial"/>
                <w:b/>
              </w:rPr>
              <w:t>Australian Energy Regulator</w:t>
            </w:r>
          </w:p>
          <w:p w:rsidR="00AE5FBA" w:rsidRPr="003861D6" w:rsidRDefault="00AE5FBA" w:rsidP="00BC2EA4">
            <w:pPr>
              <w:pStyle w:val="NoSpacing"/>
              <w:rPr>
                <w:rFonts w:cs="Arial"/>
                <w:b/>
              </w:rPr>
            </w:pPr>
            <w:r w:rsidRPr="003861D6">
              <w:rPr>
                <w:rFonts w:cs="Arial"/>
                <w:b/>
              </w:rPr>
              <w:t>GPO Box 3131</w:t>
            </w:r>
          </w:p>
          <w:p w:rsidR="00AE5FBA" w:rsidRPr="003861D6" w:rsidRDefault="00AE5FBA" w:rsidP="00BC2EA4">
            <w:pPr>
              <w:pStyle w:val="NoSpacing"/>
              <w:rPr>
                <w:rFonts w:cs="Arial"/>
                <w:b/>
              </w:rPr>
            </w:pPr>
            <w:r w:rsidRPr="003861D6">
              <w:rPr>
                <w:rFonts w:cs="Arial"/>
                <w:b/>
              </w:rPr>
              <w:t>Canberra ACT 2601</w:t>
            </w:r>
          </w:p>
        </w:tc>
      </w:tr>
    </w:tbl>
    <w:p w:rsidR="00AE5FBA" w:rsidRDefault="00AE5FBA" w:rsidP="0052182B">
      <w:pPr>
        <w:pStyle w:val="NoSpacing"/>
      </w:pPr>
    </w:p>
    <w:p w:rsidR="00AE5FBA" w:rsidRDefault="00AE5FBA" w:rsidP="0052182B">
      <w:pPr>
        <w:spacing w:after="200" w:line="276" w:lineRule="auto"/>
        <w:jc w:val="left"/>
      </w:pPr>
      <w:r>
        <w:br w:type="page"/>
      </w:r>
    </w:p>
    <w:p w:rsidR="00AE5FBA" w:rsidRDefault="00AE5FBA" w:rsidP="0052182B">
      <w:pPr>
        <w:jc w:val="center"/>
        <w:rPr>
          <w:rFonts w:cs="Arial"/>
          <w:b/>
        </w:rPr>
        <w:sectPr w:rsidR="00AE5FBA" w:rsidSect="005D24BF">
          <w:footerReference w:type="default" r:id="rId9"/>
          <w:type w:val="continuous"/>
          <w:pgSz w:w="11906" w:h="16838"/>
          <w:pgMar w:top="1440" w:right="1440" w:bottom="1440" w:left="1440" w:header="708" w:footer="708" w:gutter="0"/>
          <w:cols w:space="708"/>
          <w:docGrid w:linePitch="360"/>
        </w:sectPr>
      </w:pPr>
    </w:p>
    <w:p w:rsidR="00AE5FBA" w:rsidRPr="003861D6" w:rsidRDefault="00AE5FBA" w:rsidP="0052182B">
      <w:pPr>
        <w:jc w:val="center"/>
        <w:rPr>
          <w:rFonts w:cs="Arial"/>
          <w:b/>
        </w:rPr>
      </w:pPr>
      <w:r w:rsidRPr="003861D6">
        <w:rPr>
          <w:rFonts w:cs="Arial"/>
          <w:b/>
        </w:rPr>
        <w:lastRenderedPageBreak/>
        <w:t>NATIONAL ELECTRICITY (</w:t>
      </w:r>
      <w:r w:rsidRPr="00E34849">
        <w:rPr>
          <w:rFonts w:cs="Arial"/>
          <w:b/>
          <w:noProof/>
        </w:rPr>
        <w:t>STATE</w:t>
      </w:r>
      <w:r w:rsidRPr="003861D6">
        <w:rPr>
          <w:rFonts w:cs="Arial"/>
          <w:b/>
        </w:rPr>
        <w:t>) LAW</w:t>
      </w:r>
    </w:p>
    <w:p w:rsidR="00AE5FBA" w:rsidRPr="003861D6" w:rsidRDefault="00AE5FBA" w:rsidP="0052182B">
      <w:pPr>
        <w:jc w:val="center"/>
        <w:rPr>
          <w:rFonts w:cs="Arial"/>
          <w:b/>
        </w:rPr>
      </w:pPr>
      <w:r w:rsidRPr="003861D6">
        <w:rPr>
          <w:rFonts w:cs="Arial"/>
          <w:b/>
        </w:rPr>
        <w:t>DIVISION 4 OF PART 3</w:t>
      </w:r>
    </w:p>
    <w:p w:rsidR="00AE5FBA" w:rsidRPr="003861D6" w:rsidRDefault="00AE5FBA" w:rsidP="0052182B">
      <w:pPr>
        <w:jc w:val="center"/>
        <w:rPr>
          <w:rFonts w:cs="Arial"/>
          <w:b/>
        </w:rPr>
      </w:pPr>
      <w:r w:rsidRPr="003861D6">
        <w:rPr>
          <w:rFonts w:cs="Arial"/>
          <w:b/>
        </w:rPr>
        <w:t xml:space="preserve">REGULATORY INFORMATION NOTICE </w:t>
      </w:r>
      <w:r w:rsidRPr="003861D6">
        <w:rPr>
          <w:rFonts w:cs="Arial"/>
          <w:b/>
        </w:rPr>
        <w:br/>
        <w:t>TO PROVIDE, PREPARE AND MAINTAIN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7"/>
      </w:tblGrid>
      <w:tr w:rsidR="00AE5FBA" w:rsidRPr="00F66C8A" w:rsidTr="00BC2EA4">
        <w:tc>
          <w:tcPr>
            <w:tcW w:w="675" w:type="dxa"/>
          </w:tcPr>
          <w:p w:rsidR="00AE5FBA" w:rsidRPr="00F66C8A" w:rsidRDefault="00AE5FBA" w:rsidP="00BC2EA4">
            <w:pPr>
              <w:rPr>
                <w:rFonts w:cs="Arial"/>
              </w:rPr>
            </w:pPr>
            <w:r w:rsidRPr="00F66C8A">
              <w:rPr>
                <w:rFonts w:cs="Arial"/>
              </w:rPr>
              <w:t>TO:</w:t>
            </w:r>
          </w:p>
        </w:tc>
        <w:tc>
          <w:tcPr>
            <w:tcW w:w="8567" w:type="dxa"/>
          </w:tcPr>
          <w:p w:rsidR="00AE5FBA" w:rsidRPr="00F66C8A" w:rsidRDefault="00AE5FBA" w:rsidP="00BC2EA4">
            <w:pPr>
              <w:pStyle w:val="NoSpacing"/>
            </w:pPr>
            <w:r>
              <w:rPr>
                <w:noProof/>
              </w:rPr>
              <w:t>NSP Name</w:t>
            </w:r>
            <w:r w:rsidRPr="00F66C8A">
              <w:t xml:space="preserve"> </w:t>
            </w:r>
            <w:r>
              <w:rPr>
                <w:noProof/>
              </w:rPr>
              <w:t>(ACN XXX XXX XXX)</w:t>
            </w:r>
          </w:p>
          <w:p w:rsidR="00AE5FBA" w:rsidRPr="00F66C8A" w:rsidRDefault="00AE5FBA" w:rsidP="00BC2EA4">
            <w:pPr>
              <w:pStyle w:val="NoSpacing"/>
            </w:pPr>
            <w:r>
              <w:rPr>
                <w:noProof/>
              </w:rPr>
              <w:t>ADDRESS</w:t>
            </w:r>
          </w:p>
          <w:p w:rsidR="00AE5FBA" w:rsidRPr="00F66C8A" w:rsidRDefault="00AE5FBA" w:rsidP="00BC2EA4">
            <w:pPr>
              <w:pStyle w:val="NoSpacing"/>
            </w:pPr>
            <w:r>
              <w:rPr>
                <w:noProof/>
              </w:rPr>
              <w:t>SUBURB</w:t>
            </w:r>
            <w:r w:rsidRPr="00F66C8A">
              <w:t xml:space="preserve">  </w:t>
            </w:r>
            <w:r>
              <w:rPr>
                <w:noProof/>
              </w:rPr>
              <w:t>STATE</w:t>
            </w:r>
            <w:r w:rsidRPr="00F66C8A">
              <w:t xml:space="preserve">  </w:t>
            </w:r>
            <w:r>
              <w:rPr>
                <w:noProof/>
              </w:rPr>
              <w:t>POSTCODE</w:t>
            </w:r>
          </w:p>
        </w:tc>
      </w:tr>
    </w:tbl>
    <w:p w:rsidR="00AE5FBA" w:rsidRPr="00F66C8A" w:rsidRDefault="00AE5FBA" w:rsidP="0052182B">
      <w:pPr>
        <w:rPr>
          <w:rFonts w:cs="Arial"/>
        </w:rPr>
      </w:pPr>
      <w:r w:rsidRPr="00F66C8A">
        <w:rPr>
          <w:rFonts w:cs="Arial"/>
        </w:rPr>
        <w:tab/>
      </w:r>
    </w:p>
    <w:p w:rsidR="00AE5FBA" w:rsidRPr="00FF7FAE" w:rsidRDefault="00AE5FBA" w:rsidP="0052182B">
      <w:pPr>
        <w:pStyle w:val="Body"/>
      </w:pPr>
      <w:r w:rsidRPr="00FF7FAE">
        <w:t>The Australian Energy Regulator (</w:t>
      </w:r>
      <w:r w:rsidRPr="007B24DE">
        <w:rPr>
          <w:b/>
        </w:rPr>
        <w:t>AER</w:t>
      </w:r>
      <w:r w:rsidRPr="00FF7FAE">
        <w:t xml:space="preserve">) considers it reasonably necessary for </w:t>
      </w:r>
      <w:r>
        <w:rPr>
          <w:noProof/>
        </w:rPr>
        <w:t>NSP Name</w:t>
      </w:r>
      <w:r w:rsidRPr="00FF7FAE">
        <w:t xml:space="preserve"> </w:t>
      </w:r>
      <w:r>
        <w:rPr>
          <w:noProof/>
        </w:rPr>
        <w:t>(ACN XXX XXX XXX)</w:t>
      </w:r>
      <w:r w:rsidRPr="00FF7FAE">
        <w:t xml:space="preserve"> (</w:t>
      </w:r>
      <w:r w:rsidRPr="00E34849">
        <w:rPr>
          <w:b/>
          <w:noProof/>
        </w:rPr>
        <w:t>TNSP</w:t>
      </w:r>
      <w:r w:rsidRPr="00FF7FAE">
        <w:t xml:space="preserve">), being a regulated network service provider </w:t>
      </w:r>
      <w:r w:rsidRPr="00166221">
        <w:t xml:space="preserve">for the purposes of section 28D of the </w:t>
      </w:r>
      <w:r w:rsidRPr="003861D6">
        <w:rPr>
          <w:i/>
        </w:rPr>
        <w:t>National Electricity (</w:t>
      </w:r>
      <w:r w:rsidRPr="00E34849">
        <w:rPr>
          <w:i/>
          <w:noProof/>
        </w:rPr>
        <w:t>STATE</w:t>
      </w:r>
      <w:r w:rsidRPr="003861D6">
        <w:rPr>
          <w:i/>
        </w:rPr>
        <w:t>)</w:t>
      </w:r>
      <w:r w:rsidRPr="003861D6">
        <w:rPr>
          <w:b/>
          <w:i/>
        </w:rPr>
        <w:t xml:space="preserve"> </w:t>
      </w:r>
      <w:r w:rsidRPr="003861D6">
        <w:rPr>
          <w:i/>
        </w:rPr>
        <w:t>Law</w:t>
      </w:r>
      <w:r w:rsidRPr="00166221">
        <w:t xml:space="preserve"> (</w:t>
      </w:r>
      <w:r w:rsidRPr="003861D6">
        <w:rPr>
          <w:b/>
        </w:rPr>
        <w:t>NEL</w:t>
      </w:r>
      <w:r w:rsidRPr="00166221">
        <w:t xml:space="preserve">) who provides </w:t>
      </w:r>
      <w:r>
        <w:t xml:space="preserve">electricity </w:t>
      </w:r>
      <w:r>
        <w:rPr>
          <w:noProof/>
        </w:rPr>
        <w:t>transmission</w:t>
      </w:r>
      <w:r>
        <w:t xml:space="preserve"> </w:t>
      </w:r>
      <w:r w:rsidRPr="00166221">
        <w:t xml:space="preserve">services in </w:t>
      </w:r>
      <w:r>
        <w:rPr>
          <w:noProof/>
        </w:rPr>
        <w:t>State</w:t>
      </w:r>
      <w:r w:rsidRPr="00166221">
        <w:t>, to provide and to prepare and maintain the information in the</w:t>
      </w:r>
      <w:r w:rsidRPr="00FF7FAE">
        <w:t xml:space="preserve"> manner and form specified in this Regulatory Information Notice (Notice), which is information the AER requires for the performance or exercise of its functions or powers conferred on it under the NEL or the </w:t>
      </w:r>
      <w:r w:rsidRPr="003861D6">
        <w:rPr>
          <w:i/>
        </w:rPr>
        <w:t>National Electricity Rules</w:t>
      </w:r>
      <w:r w:rsidRPr="00FF7FAE">
        <w:t xml:space="preserve"> (</w:t>
      </w:r>
      <w:r w:rsidRPr="003861D6">
        <w:rPr>
          <w:b/>
        </w:rPr>
        <w:t>NER</w:t>
      </w:r>
      <w:r w:rsidRPr="00FF7FAE">
        <w:t>).</w:t>
      </w:r>
    </w:p>
    <w:p w:rsidR="00AE5FBA" w:rsidRPr="003861D6" w:rsidRDefault="00AE5FBA" w:rsidP="0052182B">
      <w:pPr>
        <w:pStyle w:val="Body"/>
        <w:rPr>
          <w:b/>
        </w:rPr>
      </w:pPr>
      <w:r>
        <w:rPr>
          <w:b/>
        </w:rPr>
        <w:br/>
      </w:r>
      <w:r w:rsidRPr="003861D6">
        <w:rPr>
          <w:b/>
        </w:rPr>
        <w:t>THE MATTERS THE SUBJECT OF THIS NOTICE</w:t>
      </w:r>
    </w:p>
    <w:p w:rsidR="00AE5FBA" w:rsidRDefault="00AE5FBA" w:rsidP="0052182B">
      <w:pPr>
        <w:pStyle w:val="Body"/>
      </w:pPr>
      <w:r w:rsidRPr="00FF7FAE">
        <w:t xml:space="preserve">This </w:t>
      </w:r>
      <w:r w:rsidRPr="00346A0B">
        <w:rPr>
          <w:i/>
        </w:rPr>
        <w:t>Notice</w:t>
      </w:r>
      <w:r w:rsidRPr="00FF7FAE">
        <w:t xml:space="preserve"> sets out the information that must be provided to the AER and prepared and maintained </w:t>
      </w:r>
      <w:r>
        <w:t xml:space="preserve">and the requirements that must be complied with </w:t>
      </w:r>
      <w:r w:rsidRPr="00FF7FAE">
        <w:t xml:space="preserve">by </w:t>
      </w:r>
      <w:r>
        <w:rPr>
          <w:noProof/>
        </w:rPr>
        <w:t>TNSP</w:t>
      </w:r>
      <w:r>
        <w:t xml:space="preserve"> for the purposes of the AER to:</w:t>
      </w:r>
    </w:p>
    <w:p w:rsidR="00AE5FBA" w:rsidRDefault="00AE5FBA" w:rsidP="0052182B">
      <w:pPr>
        <w:pStyle w:val="ListParagraph"/>
        <w:numPr>
          <w:ilvl w:val="0"/>
          <w:numId w:val="24"/>
        </w:numPr>
      </w:pPr>
      <w:r w:rsidRPr="00894DA9">
        <w:t xml:space="preserve">publish network service provider performance reports (annual benchmarking reports) the purpose of which are to describe, in reasonably plain language, the relative efficiency of each </w:t>
      </w:r>
      <w:r>
        <w:rPr>
          <w:noProof/>
        </w:rPr>
        <w:t>Transmission</w:t>
      </w:r>
      <w:r w:rsidRPr="00894DA9">
        <w:t xml:space="preserve"> Network Service Provider in providing </w:t>
      </w:r>
      <w:r>
        <w:rPr>
          <w:noProof/>
        </w:rPr>
        <w:t>prescribed transmission</w:t>
      </w:r>
      <w:r w:rsidRPr="00894DA9">
        <w:t xml:space="preserve"> services over a 12 month period</w:t>
      </w:r>
    </w:p>
    <w:p w:rsidR="00AE5FBA" w:rsidRPr="00894DA9" w:rsidRDefault="00AE5FBA" w:rsidP="0052182B">
      <w:pPr>
        <w:pStyle w:val="ListParagraph"/>
      </w:pPr>
    </w:p>
    <w:p w:rsidR="00AE5FBA" w:rsidRPr="00894DA9" w:rsidRDefault="00AE5FBA" w:rsidP="0052182B">
      <w:pPr>
        <w:pStyle w:val="ListParagraph"/>
        <w:numPr>
          <w:ilvl w:val="0"/>
          <w:numId w:val="24"/>
        </w:numPr>
      </w:pPr>
      <w:r w:rsidRPr="00894DA9">
        <w:t xml:space="preserve">assess benchmark operating expenditure and benchmark capital expenditure that would be incurred by an efficient </w:t>
      </w:r>
      <w:r>
        <w:rPr>
          <w:noProof/>
        </w:rPr>
        <w:t>Transmission</w:t>
      </w:r>
      <w:r w:rsidRPr="00894DA9">
        <w:t xml:space="preserve"> Network Service Provider relevant to building block determinations</w:t>
      </w:r>
    </w:p>
    <w:p w:rsidR="00AE5FBA" w:rsidRPr="00834CE8" w:rsidRDefault="00AE5FBA" w:rsidP="0052182B">
      <w:pPr>
        <w:pStyle w:val="Body"/>
      </w:pPr>
      <w:proofErr w:type="gramStart"/>
      <w:r w:rsidRPr="00834CE8">
        <w:t>in</w:t>
      </w:r>
      <w:proofErr w:type="gramEnd"/>
      <w:r w:rsidRPr="00834CE8">
        <w:t xml:space="preserve"> respect of the </w:t>
      </w:r>
      <w:r>
        <w:rPr>
          <w:noProof/>
        </w:rPr>
        <w:t>transmission</w:t>
      </w:r>
      <w:r w:rsidRPr="00834CE8">
        <w:t xml:space="preserve"> services provided by way of the electricity </w:t>
      </w:r>
      <w:r>
        <w:rPr>
          <w:noProof/>
        </w:rPr>
        <w:t>transmission</w:t>
      </w:r>
      <w:r w:rsidRPr="00834CE8">
        <w:t xml:space="preserve"> network </w:t>
      </w:r>
      <w:r>
        <w:rPr>
          <w:noProof/>
        </w:rPr>
        <w:t>TNSP</w:t>
      </w:r>
      <w:r w:rsidRPr="00834CE8">
        <w:t xml:space="preserve"> operates in </w:t>
      </w:r>
      <w:r>
        <w:rPr>
          <w:noProof/>
        </w:rPr>
        <w:t>State</w:t>
      </w:r>
      <w:r w:rsidRPr="00834CE8">
        <w:t xml:space="preserve">. </w:t>
      </w:r>
    </w:p>
    <w:p w:rsidR="00AE5FBA" w:rsidRDefault="00AE5FBA" w:rsidP="0052182B">
      <w:pPr>
        <w:pStyle w:val="Body"/>
      </w:pPr>
      <w:r>
        <w:t>T</w:t>
      </w:r>
      <w:r w:rsidRPr="00FF7FAE">
        <w:t xml:space="preserve">he AER requires </w:t>
      </w:r>
      <w:r>
        <w:rPr>
          <w:noProof/>
        </w:rPr>
        <w:t>TNSP</w:t>
      </w:r>
      <w:r w:rsidRPr="00FF7FAE">
        <w:t xml:space="preserve"> to:</w:t>
      </w:r>
    </w:p>
    <w:p w:rsidR="00AE5FBA" w:rsidRDefault="00AE5FBA" w:rsidP="0052182B">
      <w:pPr>
        <w:pStyle w:val="ListParagraph"/>
        <w:numPr>
          <w:ilvl w:val="0"/>
          <w:numId w:val="25"/>
        </w:numPr>
      </w:pPr>
      <w:r w:rsidRPr="00A24ABF">
        <w:t>provide the information specified in Schedule 1 to this Notice, audited in accordance with Appendix C to this Notice</w:t>
      </w:r>
      <w:r>
        <w:t xml:space="preserve"> in accordance with section 28M(e) of the NEL</w:t>
      </w:r>
      <w:r w:rsidRPr="00A24ABF">
        <w:t>;</w:t>
      </w:r>
    </w:p>
    <w:p w:rsidR="00AE5FBA" w:rsidRPr="00A24ABF" w:rsidRDefault="00AE5FBA" w:rsidP="0052182B">
      <w:pPr>
        <w:pStyle w:val="ListParagraph"/>
      </w:pPr>
    </w:p>
    <w:p w:rsidR="00AE5FBA" w:rsidRDefault="00AE5FBA" w:rsidP="0052182B">
      <w:pPr>
        <w:pStyle w:val="ListParagraph"/>
        <w:numPr>
          <w:ilvl w:val="0"/>
          <w:numId w:val="25"/>
        </w:numPr>
      </w:pPr>
      <w:r w:rsidRPr="00A24ABF">
        <w:t xml:space="preserve">prepare and maintain the information in the manner and form specified in Schedule 2 to this Notice; </w:t>
      </w:r>
    </w:p>
    <w:p w:rsidR="00AE5FBA" w:rsidRPr="00A24ABF" w:rsidRDefault="00AE5FBA" w:rsidP="0052182B">
      <w:pPr>
        <w:pStyle w:val="ListParagraph"/>
      </w:pPr>
    </w:p>
    <w:p w:rsidR="00AE5FBA" w:rsidRPr="00A24ABF" w:rsidRDefault="00AE5FBA" w:rsidP="0052182B">
      <w:pPr>
        <w:pStyle w:val="ListParagraph"/>
        <w:numPr>
          <w:ilvl w:val="0"/>
          <w:numId w:val="25"/>
        </w:numPr>
      </w:pPr>
      <w:r w:rsidRPr="00A24ABF">
        <w:lastRenderedPageBreak/>
        <w:t>verify, using the statutory declaration in Appendix B to this Notice, the information specified in this Notice</w:t>
      </w:r>
      <w:r>
        <w:t>, in accordance with section 28M(d)</w:t>
      </w:r>
      <w:r w:rsidRPr="00A24ABF">
        <w:t>; and</w:t>
      </w:r>
    </w:p>
    <w:p w:rsidR="00AE5FBA" w:rsidRDefault="00AE5FBA" w:rsidP="0052182B">
      <w:pPr>
        <w:pStyle w:val="Body"/>
      </w:pPr>
      <w:proofErr w:type="gramStart"/>
      <w:r w:rsidRPr="00D6543C">
        <w:t>deliver</w:t>
      </w:r>
      <w:proofErr w:type="gramEnd"/>
      <w:r w:rsidRPr="00D6543C">
        <w:t xml:space="preserve"> the said information and the accompanying Audit Report and Review Report(s) electronically to </w:t>
      </w:r>
      <w:hyperlink r:id="rId10" w:history="1">
        <w:r w:rsidRPr="00D6543C">
          <w:rPr>
            <w:rStyle w:val="Hyperlink"/>
            <w:rFonts w:cs="Arial"/>
          </w:rPr>
          <w:t>AERInquiry@aer.gov.au</w:t>
        </w:r>
      </w:hyperlink>
      <w:r w:rsidRPr="00D6543C">
        <w:t xml:space="preserve">, on or before 5 pm Australian Eastern Standard Time </w:t>
      </w:r>
      <w:r>
        <w:t>on:</w:t>
      </w:r>
    </w:p>
    <w:p w:rsidR="00AE5FBA" w:rsidRPr="00061C82" w:rsidRDefault="00AE5FBA" w:rsidP="0052182B">
      <w:pPr>
        <w:pStyle w:val="Numberlist2"/>
      </w:pPr>
      <w:r w:rsidRPr="00CE48AA">
        <w:t>3</w:t>
      </w:r>
      <w:r>
        <w:t>1</w:t>
      </w:r>
      <w:r w:rsidRPr="00CE48AA">
        <w:t xml:space="preserve"> May 2014 for information relating to the Initial Regulatory Years;</w:t>
      </w:r>
      <w:r w:rsidRPr="00061C82">
        <w:t xml:space="preserve"> and</w:t>
      </w:r>
    </w:p>
    <w:p w:rsidR="00AE5FBA" w:rsidRDefault="00AE5FBA" w:rsidP="0052182B">
      <w:pPr>
        <w:pStyle w:val="Numberlist2"/>
      </w:pPr>
      <w:r w:rsidRPr="00E34849">
        <w:rPr>
          <w:noProof/>
        </w:rPr>
        <w:t>31 October</w:t>
      </w:r>
      <w:r>
        <w:t xml:space="preserve"> (or, if </w:t>
      </w:r>
      <w:r w:rsidRPr="00E34849">
        <w:rPr>
          <w:noProof/>
        </w:rPr>
        <w:t>31 October</w:t>
      </w:r>
      <w:r>
        <w:t xml:space="preserve"> is not a </w:t>
      </w:r>
      <w:r>
        <w:rPr>
          <w:i/>
        </w:rPr>
        <w:t xml:space="preserve">Business </w:t>
      </w:r>
      <w:r w:rsidRPr="00422928">
        <w:rPr>
          <w:i/>
        </w:rPr>
        <w:t>Day</w:t>
      </w:r>
      <w:r>
        <w:t xml:space="preserve">, the next </w:t>
      </w:r>
      <w:r>
        <w:rPr>
          <w:i/>
        </w:rPr>
        <w:t>Business Day</w:t>
      </w:r>
      <w:r>
        <w:t xml:space="preserve">) of each year </w:t>
      </w:r>
      <w:r>
        <w:rPr>
          <w:i/>
        </w:rPr>
        <w:t>t</w:t>
      </w:r>
      <w:r>
        <w:t>, f</w:t>
      </w:r>
      <w:r w:rsidRPr="00422928">
        <w:t>or</w:t>
      </w:r>
      <w:r w:rsidRPr="00061C82">
        <w:t xml:space="preserve"> </w:t>
      </w:r>
      <w:r>
        <w:t xml:space="preserve">information relating to </w:t>
      </w:r>
      <w:r w:rsidRPr="00061C82">
        <w:t>each Subsequent Regulatory Year</w:t>
      </w:r>
      <w:r>
        <w:t>, where:</w:t>
      </w:r>
    </w:p>
    <w:p w:rsidR="00AE5FBA" w:rsidRDefault="00AE5FBA" w:rsidP="0052182B">
      <w:pPr>
        <w:pStyle w:val="Numberlist3"/>
      </w:pPr>
      <w:r>
        <w:t xml:space="preserve">Year </w:t>
      </w:r>
      <w:proofErr w:type="spellStart"/>
      <w:r>
        <w:rPr>
          <w:i/>
        </w:rPr>
        <w:t>t</w:t>
      </w:r>
      <w:proofErr w:type="spellEnd"/>
      <w:r>
        <w:rPr>
          <w:i/>
        </w:rPr>
        <w:t xml:space="preserve"> </w:t>
      </w:r>
      <w:r>
        <w:t xml:space="preserve">commences in </w:t>
      </w:r>
      <w:r>
        <w:rPr>
          <w:noProof/>
        </w:rPr>
        <w:t>2014</w:t>
      </w:r>
      <w:r>
        <w:t>; and</w:t>
      </w:r>
    </w:p>
    <w:p w:rsidR="00AE5FBA" w:rsidRPr="00061C82" w:rsidRDefault="00AE5FBA" w:rsidP="0052182B">
      <w:pPr>
        <w:pStyle w:val="Numberlist3"/>
      </w:pPr>
      <w:r>
        <w:t xml:space="preserve">The relevant Subsequent Regulatory Year is the year </w:t>
      </w:r>
      <w:r>
        <w:rPr>
          <w:i/>
        </w:rPr>
        <w:t>t – 1</w:t>
      </w:r>
      <w:r>
        <w:t>.</w:t>
      </w:r>
    </w:p>
    <w:p w:rsidR="00AE5FBA" w:rsidRPr="00CD4473" w:rsidRDefault="00AE5FBA" w:rsidP="0052182B">
      <w:pPr>
        <w:rPr>
          <w:rFonts w:cs="Arial"/>
          <w:i/>
          <w:sz w:val="18"/>
        </w:rPr>
      </w:pPr>
      <w:r w:rsidRPr="00CD4473">
        <w:rPr>
          <w:rFonts w:cs="Arial"/>
          <w:b/>
          <w:i/>
          <w:sz w:val="18"/>
        </w:rPr>
        <w:t>Explanatory note:</w:t>
      </w:r>
      <w:r w:rsidRPr="00CD4473">
        <w:rPr>
          <w:rFonts w:cs="Arial"/>
          <w:i/>
          <w:sz w:val="18"/>
        </w:rPr>
        <w:t xml:space="preserve"> </w:t>
      </w:r>
      <w:r w:rsidRPr="00E34849">
        <w:rPr>
          <w:rFonts w:cs="Arial"/>
          <w:i/>
          <w:noProof/>
          <w:sz w:val="18"/>
        </w:rPr>
        <w:t>TNSP</w:t>
      </w:r>
      <w:r w:rsidRPr="00CD4473">
        <w:rPr>
          <w:rFonts w:cs="Arial"/>
          <w:i/>
          <w:noProof/>
          <w:sz w:val="18"/>
        </w:rPr>
        <w:t xml:space="preserve"> must provide the information for the 2014 Regulatory Year on Friday, 31 October 2014; the information for the 2015 Regulatory Year on Monday, 2 November 2015 and so on.</w:t>
      </w:r>
    </w:p>
    <w:p w:rsidR="00AE5FBA" w:rsidRPr="00D6543C" w:rsidRDefault="00AE5FBA" w:rsidP="0052182B">
      <w:pPr>
        <w:rPr>
          <w:rFonts w:cs="Arial"/>
        </w:rPr>
      </w:pPr>
      <w:r w:rsidRPr="00D6543C">
        <w:rPr>
          <w:rFonts w:cs="Arial"/>
        </w:rPr>
        <w:t xml:space="preserve">Pursuant to section 28K(1)(c) of the NEL, the reasons for the information required in this Notice to be provided and to be prepared and maintained in the manner and form specified are set out in Appendix </w:t>
      </w:r>
      <w:r>
        <w:rPr>
          <w:rFonts w:cs="Arial"/>
        </w:rPr>
        <w:t>D</w:t>
      </w:r>
      <w:r w:rsidRPr="00D6543C">
        <w:rPr>
          <w:rFonts w:cs="Arial"/>
        </w:rPr>
        <w:t xml:space="preserve"> to this Notice.</w:t>
      </w:r>
    </w:p>
    <w:p w:rsidR="00AE5FBA" w:rsidRPr="003861D6" w:rsidRDefault="00AE5FBA" w:rsidP="0052182B">
      <w:pPr>
        <w:rPr>
          <w:rFonts w:cs="Arial"/>
          <w:b/>
        </w:rPr>
      </w:pPr>
      <w:r>
        <w:rPr>
          <w:rFonts w:cs="Arial"/>
        </w:rPr>
        <w:br/>
      </w:r>
      <w:r w:rsidRPr="003861D6">
        <w:rPr>
          <w:rFonts w:cs="Arial"/>
          <w:b/>
        </w:rPr>
        <w:t>DEFINITIONS AND INTERPRETATION</w:t>
      </w:r>
    </w:p>
    <w:p w:rsidR="00AE5FBA" w:rsidRDefault="00AE5FBA" w:rsidP="0052182B">
      <w:pPr>
        <w:rPr>
          <w:rFonts w:cs="Arial"/>
        </w:rPr>
      </w:pPr>
      <w:r w:rsidRPr="00FF7FAE">
        <w:rPr>
          <w:rFonts w:cs="Arial"/>
        </w:rPr>
        <w:t xml:space="preserve">In this Notice, </w:t>
      </w:r>
      <w:r>
        <w:rPr>
          <w:rFonts w:cs="Arial"/>
        </w:rPr>
        <w:t xml:space="preserve">including the Schedules and Appendices to this Notice, </w:t>
      </w:r>
      <w:r w:rsidRPr="00FF7FAE">
        <w:rPr>
          <w:rFonts w:cs="Arial"/>
        </w:rPr>
        <w:t>unless the contrary intention appears:</w:t>
      </w:r>
    </w:p>
    <w:p w:rsidR="00AE5FBA" w:rsidRPr="003861D6" w:rsidRDefault="00AE5FBA" w:rsidP="0052182B">
      <w:pPr>
        <w:pStyle w:val="Bullets"/>
      </w:pPr>
      <w:r w:rsidRPr="003861D6">
        <w:t xml:space="preserve">the singular includes the plural and the plural includes the singular; </w:t>
      </w:r>
    </w:p>
    <w:p w:rsidR="00AE5FBA" w:rsidRDefault="00AE5FBA" w:rsidP="0052182B">
      <w:pPr>
        <w:pStyle w:val="Bullets"/>
      </w:pPr>
      <w:r w:rsidRPr="003861D6">
        <w:t>a reference to any corporation, whether expressly identified or not, includes a reference to any Representative of that corporation;</w:t>
      </w:r>
      <w:r>
        <w:t xml:space="preserve"> and</w:t>
      </w:r>
    </w:p>
    <w:p w:rsidR="00AE5FBA" w:rsidRDefault="00AE5FBA" w:rsidP="007E49D0">
      <w:pPr>
        <w:pStyle w:val="Bullets"/>
      </w:pPr>
      <w:proofErr w:type="gramStart"/>
      <w:r>
        <w:t>words</w:t>
      </w:r>
      <w:proofErr w:type="gramEnd"/>
      <w:r>
        <w:t xml:space="preserve"> printed in italics like </w:t>
      </w:r>
      <w:r>
        <w:rPr>
          <w:i/>
        </w:rPr>
        <w:t xml:space="preserve">this </w:t>
      </w:r>
      <w:r>
        <w:t xml:space="preserve">will have the meaning given in Appendix F of this </w:t>
      </w:r>
      <w:r w:rsidRPr="00D40EAA">
        <w:rPr>
          <w:i/>
        </w:rPr>
        <w:t>Notice</w:t>
      </w:r>
      <w:r>
        <w:t xml:space="preserve"> or in the table below, or the meaning given in Chapter 10 of the </w:t>
      </w:r>
      <w:r w:rsidRPr="00D40EAA">
        <w:rPr>
          <w:i/>
        </w:rPr>
        <w:t>NER</w:t>
      </w:r>
      <w:r>
        <w:t xml:space="preserve"> if that term is not defined in this </w:t>
      </w:r>
      <w:r w:rsidRPr="00D40EAA">
        <w:rPr>
          <w:i/>
        </w:rPr>
        <w:t>Notice</w:t>
      </w:r>
      <w:r w:rsidRPr="003861D6">
        <w:t>.</w:t>
      </w:r>
    </w:p>
    <w:tbl>
      <w:tblPr>
        <w:tblStyle w:val="MediumShading1-Accent1"/>
        <w:tblW w:w="5000" w:type="pct"/>
        <w:tblLook w:val="04A0" w:firstRow="1" w:lastRow="0" w:firstColumn="1" w:lastColumn="0" w:noHBand="0" w:noVBand="1"/>
      </w:tblPr>
      <w:tblGrid>
        <w:gridCol w:w="2255"/>
        <w:gridCol w:w="6987"/>
      </w:tblGrid>
      <w:tr w:rsidR="00AE5FBA" w:rsidRPr="004B7705" w:rsidTr="005C6FE1">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top w:val="none" w:sz="0" w:space="0" w:color="auto"/>
              <w:left w:val="none" w:sz="0" w:space="0" w:color="auto"/>
              <w:bottom w:val="none" w:sz="0" w:space="0" w:color="auto"/>
              <w:right w:val="none" w:sz="0" w:space="0" w:color="auto"/>
            </w:tcBorders>
          </w:tcPr>
          <w:p w:rsidR="00AE5FBA" w:rsidRPr="004B7705" w:rsidRDefault="00AE5FBA" w:rsidP="005C6FE1">
            <w:pPr>
              <w:rPr>
                <w:rFonts w:ascii="Gautami" w:eastAsia="Calibri" w:hAnsi="Gautami" w:cs="Gautami"/>
                <w:sz w:val="16"/>
                <w:szCs w:val="16"/>
              </w:rPr>
            </w:pPr>
            <w:r w:rsidRPr="004B7705">
              <w:rPr>
                <w:rFonts w:ascii="Gautami" w:eastAsia="Calibri" w:hAnsi="Gautami" w:cs="Gautami"/>
                <w:sz w:val="16"/>
                <w:szCs w:val="16"/>
              </w:rPr>
              <w:t>Term</w:t>
            </w:r>
          </w:p>
        </w:tc>
        <w:tc>
          <w:tcPr>
            <w:tcW w:w="3780" w:type="pct"/>
            <w:tcBorders>
              <w:top w:val="none" w:sz="0" w:space="0" w:color="auto"/>
              <w:left w:val="none" w:sz="0" w:space="0" w:color="auto"/>
              <w:bottom w:val="none" w:sz="0" w:space="0" w:color="auto"/>
              <w:right w:val="none" w:sz="0" w:space="0" w:color="auto"/>
            </w:tcBorders>
          </w:tcPr>
          <w:p w:rsidR="00AE5FBA" w:rsidRPr="004B7705" w:rsidRDefault="00AE5FBA" w:rsidP="005C6FE1">
            <w:pPr>
              <w:spacing w:before="40" w:after="40"/>
              <w:cnfStyle w:val="100000000000" w:firstRow="1" w:lastRow="0" w:firstColumn="0" w:lastColumn="0" w:oddVBand="0" w:evenVBand="0" w:oddHBand="0"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Definition</w:t>
            </w:r>
          </w:p>
        </w:tc>
      </w:tr>
      <w:tr w:rsidR="00AE5FBA" w:rsidRPr="005A79F8" w:rsidTr="005C6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704282" w:rsidRDefault="00AE5FBA" w:rsidP="005C6FE1">
            <w:pPr>
              <w:rPr>
                <w:rFonts w:ascii="Gautami" w:eastAsia="Calibri" w:hAnsi="Gautami" w:cs="Gautami"/>
                <w:b w:val="0"/>
                <w:i/>
                <w:sz w:val="16"/>
                <w:szCs w:val="16"/>
              </w:rPr>
            </w:pPr>
            <w:r w:rsidRPr="00704282">
              <w:rPr>
                <w:rFonts w:ascii="Gautami" w:eastAsia="Calibri" w:hAnsi="Gautami" w:cs="Gautami"/>
                <w:b w:val="0"/>
                <w:i/>
                <w:sz w:val="16"/>
                <w:szCs w:val="16"/>
              </w:rPr>
              <w:t>Actual Information</w:t>
            </w:r>
          </w:p>
        </w:tc>
        <w:tc>
          <w:tcPr>
            <w:tcW w:w="3780" w:type="pct"/>
            <w:tcBorders>
              <w:left w:val="none" w:sz="0" w:space="0" w:color="auto"/>
            </w:tcBorders>
          </w:tcPr>
          <w:p w:rsidR="00AE5FBA" w:rsidRPr="005A79F8" w:rsidRDefault="00AE5FBA" w:rsidP="005C6FE1">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Information presented in response to the Notice whose presentation is </w:t>
            </w:r>
            <w:r w:rsidRPr="00704282">
              <w:rPr>
                <w:rFonts w:ascii="Gautami" w:eastAsia="Calibri" w:hAnsi="Gautami" w:cs="Gautami"/>
                <w:i/>
                <w:sz w:val="16"/>
                <w:szCs w:val="16"/>
              </w:rPr>
              <w:t>Materially</w:t>
            </w:r>
            <w:r w:rsidRPr="005A79F8">
              <w:rPr>
                <w:rFonts w:ascii="Gautami" w:eastAsia="Calibri" w:hAnsi="Gautami" w:cs="Gautami"/>
                <w:sz w:val="16"/>
                <w:szCs w:val="16"/>
              </w:rPr>
              <w:t xml:space="preserve"> dependent on information recorded </w:t>
            </w:r>
            <w:r w:rsidRPr="00D16E96">
              <w:rPr>
                <w:rFonts w:ascii="Gautami" w:eastAsia="Calibri" w:hAnsi="Gautami" w:cs="Gautami"/>
                <w:sz w:val="16"/>
                <w:szCs w:val="16"/>
              </w:rPr>
              <w:t xml:space="preserve">in </w:t>
            </w:r>
            <w:r w:rsidRPr="00E34849">
              <w:rPr>
                <w:rFonts w:ascii="Gautami" w:eastAsia="Calibri" w:hAnsi="Gautami" w:cs="Gautami"/>
                <w:noProof/>
                <w:sz w:val="16"/>
                <w:szCs w:val="16"/>
              </w:rPr>
              <w:t>TNSP</w:t>
            </w:r>
            <w:r w:rsidRPr="00D16E96">
              <w:rPr>
                <w:rFonts w:ascii="Gautami" w:eastAsia="Calibri" w:hAnsi="Gautami" w:cs="Gautami"/>
                <w:sz w:val="16"/>
                <w:szCs w:val="16"/>
              </w:rPr>
              <w:t>'s historical accounting records or other records used in the normal</w:t>
            </w:r>
            <w:r w:rsidRPr="005A79F8">
              <w:rPr>
                <w:rFonts w:ascii="Gautami" w:eastAsia="Calibri" w:hAnsi="Gautami" w:cs="Gautami"/>
                <w:sz w:val="16"/>
                <w:szCs w:val="16"/>
              </w:rPr>
              <w:t xml:space="preserve"> course of business, and whose presentation for the purposes of the Notice is not contingent on judgments and assumptions for which there are valid alternatives, which could lead to a </w:t>
            </w:r>
            <w:r w:rsidRPr="00704282">
              <w:rPr>
                <w:rFonts w:ascii="Gautami" w:eastAsia="Calibri" w:hAnsi="Gautami" w:cs="Gautami"/>
                <w:i/>
                <w:sz w:val="16"/>
                <w:szCs w:val="16"/>
              </w:rPr>
              <w:t>Materially</w:t>
            </w:r>
            <w:r w:rsidRPr="005A79F8">
              <w:rPr>
                <w:rFonts w:ascii="Gautami" w:eastAsia="Calibri" w:hAnsi="Gautami" w:cs="Gautami"/>
                <w:sz w:val="16"/>
                <w:szCs w:val="16"/>
              </w:rPr>
              <w:t xml:space="preserve"> different presentation in the response to the Notice. </w:t>
            </w:r>
          </w:p>
          <w:p w:rsidR="00AE5FBA" w:rsidRPr="005A79F8" w:rsidRDefault="00AE5FBA" w:rsidP="005C6FE1">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F36E81">
              <w:rPr>
                <w:rFonts w:ascii="Gautami" w:eastAsia="Calibri" w:hAnsi="Gautami" w:cs="Gautami"/>
                <w:sz w:val="16"/>
                <w:szCs w:val="16"/>
              </w:rPr>
              <w:t>‘Accounting records’ include trial balances, the general ledger, subsidiary accounting ledgers, journal entries and documentation to support journal entries. Actual financial information may include accounting estimates, such as accruals and provisions, and any adjustments made to the accounting records to populate</w:t>
            </w:r>
            <w:r>
              <w:rPr>
                <w:rFonts w:ascii="Gautami" w:eastAsia="Calibri" w:hAnsi="Gautami" w:cs="Gautami"/>
                <w:sz w:val="16"/>
                <w:szCs w:val="16"/>
              </w:rPr>
              <w:t xml:space="preserve"> </w:t>
            </w:r>
            <w:r w:rsidRPr="00E34849">
              <w:rPr>
                <w:rFonts w:ascii="Gautami" w:eastAsia="Calibri" w:hAnsi="Gautami" w:cs="Gautami"/>
                <w:noProof/>
                <w:sz w:val="16"/>
                <w:szCs w:val="16"/>
              </w:rPr>
              <w:t>TNSP</w:t>
            </w:r>
            <w:r w:rsidRPr="00F36E81">
              <w:rPr>
                <w:rFonts w:ascii="Gautami" w:eastAsia="Calibri" w:hAnsi="Gautami" w:cs="Gautami"/>
                <w:sz w:val="16"/>
                <w:szCs w:val="16"/>
              </w:rPr>
              <w:t>’s regulatory accounts and responses to the Notice. 'Records used in the normal course of business', for the purposes of non-financial information, includes asset registers, geographical information systems, outage analysis systems, and so on.</w:t>
            </w:r>
          </w:p>
        </w:tc>
      </w:tr>
      <w:tr w:rsidR="00AE5FBA" w:rsidRPr="005A79F8" w:rsidTr="005C6FE1">
        <w:trPr>
          <w:cnfStyle w:val="000000010000" w:firstRow="0" w:lastRow="0" w:firstColumn="0" w:lastColumn="0" w:oddVBand="0" w:evenVBand="0" w:oddHBand="0" w:evenHBand="1"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704282" w:rsidRDefault="00AE5FBA" w:rsidP="005C6FE1">
            <w:pPr>
              <w:rPr>
                <w:rFonts w:ascii="Gautami" w:eastAsia="Calibri" w:hAnsi="Gautami" w:cs="Gautami"/>
                <w:b w:val="0"/>
                <w:i/>
                <w:sz w:val="16"/>
                <w:szCs w:val="16"/>
              </w:rPr>
            </w:pPr>
            <w:r w:rsidRPr="00704282">
              <w:rPr>
                <w:rFonts w:ascii="Gautami" w:eastAsia="Calibri" w:hAnsi="Gautami" w:cs="Gautami"/>
                <w:b w:val="0"/>
                <w:i/>
                <w:sz w:val="16"/>
                <w:szCs w:val="16"/>
              </w:rPr>
              <w:lastRenderedPageBreak/>
              <w:t>Estimated Information</w:t>
            </w:r>
          </w:p>
        </w:tc>
        <w:tc>
          <w:tcPr>
            <w:tcW w:w="3780" w:type="pct"/>
            <w:tcBorders>
              <w:left w:val="none" w:sz="0" w:space="0" w:color="auto"/>
            </w:tcBorders>
          </w:tcPr>
          <w:p w:rsidR="00AE5FBA" w:rsidRPr="005A79F8" w:rsidRDefault="00AE5FBA" w:rsidP="007E49D0">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Information presented in response to the Notice whose presentation is not </w:t>
            </w:r>
            <w:r w:rsidRPr="00704282">
              <w:rPr>
                <w:rFonts w:ascii="Gautami" w:eastAsia="Calibri" w:hAnsi="Gautami" w:cs="Gautami"/>
                <w:i/>
                <w:sz w:val="16"/>
                <w:szCs w:val="16"/>
              </w:rPr>
              <w:t>Materially</w:t>
            </w:r>
            <w:r w:rsidRPr="005A79F8">
              <w:rPr>
                <w:rFonts w:ascii="Gautami" w:eastAsia="Calibri" w:hAnsi="Gautami" w:cs="Gautami"/>
                <w:sz w:val="16"/>
                <w:szCs w:val="16"/>
              </w:rPr>
              <w:t xml:space="preserve"> dependent on information recorded </w:t>
            </w:r>
            <w:r>
              <w:rPr>
                <w:rFonts w:ascii="Gautami" w:eastAsia="Calibri" w:hAnsi="Gautami" w:cs="Gautami"/>
                <w:sz w:val="16"/>
                <w:szCs w:val="16"/>
              </w:rPr>
              <w:t xml:space="preserve">in </w:t>
            </w:r>
            <w:r w:rsidRPr="00E34849">
              <w:rPr>
                <w:rFonts w:ascii="Gautami" w:eastAsia="Calibri" w:hAnsi="Gautami" w:cs="Gautami"/>
                <w:noProof/>
                <w:sz w:val="16"/>
                <w:szCs w:val="16"/>
              </w:rPr>
              <w:t>TNSP</w:t>
            </w:r>
            <w:r>
              <w:rPr>
                <w:rFonts w:ascii="Gautami" w:eastAsia="Calibri" w:hAnsi="Gautami" w:cs="Gautami"/>
                <w:sz w:val="16"/>
                <w:szCs w:val="16"/>
              </w:rPr>
              <w:t>’s</w:t>
            </w:r>
            <w:r w:rsidRPr="005A79F8">
              <w:rPr>
                <w:rFonts w:ascii="Gautami" w:eastAsia="Calibri" w:hAnsi="Gautami" w:cs="Gautami"/>
                <w:sz w:val="16"/>
                <w:szCs w:val="16"/>
              </w:rPr>
              <w:t xml:space="preserve"> historical accounting records or other records used in the normal course of business, and whose presentation for the purposes of the Notice is contingent on judgments and assumptions for which there are valid alternatives, which could lead to a </w:t>
            </w:r>
            <w:r w:rsidRPr="00704282">
              <w:rPr>
                <w:rFonts w:ascii="Gautami" w:eastAsia="Calibri" w:hAnsi="Gautami" w:cs="Gautami"/>
                <w:i/>
                <w:sz w:val="16"/>
                <w:szCs w:val="16"/>
              </w:rPr>
              <w:t>Materially</w:t>
            </w:r>
            <w:r w:rsidRPr="005A79F8">
              <w:rPr>
                <w:rFonts w:ascii="Gautami" w:eastAsia="Calibri" w:hAnsi="Gautami" w:cs="Gautami"/>
                <w:sz w:val="16"/>
                <w:szCs w:val="16"/>
              </w:rPr>
              <w:t xml:space="preserve"> different presentation in the response to the Notice.</w:t>
            </w:r>
          </w:p>
        </w:tc>
      </w:tr>
      <w:tr w:rsidR="00AE5FBA" w:rsidRPr="005A79F8" w:rsidTr="005C6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704282" w:rsidRDefault="00AE5FBA" w:rsidP="005C6FE1">
            <w:pPr>
              <w:rPr>
                <w:b w:val="0"/>
              </w:rPr>
            </w:pPr>
            <w:r w:rsidRPr="00704282">
              <w:rPr>
                <w:rFonts w:ascii="Gautami" w:eastAsia="Calibri" w:hAnsi="Gautami" w:cs="Gautami"/>
                <w:b w:val="0"/>
                <w:i/>
                <w:sz w:val="16"/>
                <w:szCs w:val="16"/>
              </w:rPr>
              <w:t xml:space="preserve">Financial Information </w:t>
            </w:r>
          </w:p>
        </w:tc>
        <w:tc>
          <w:tcPr>
            <w:tcW w:w="3780" w:type="pct"/>
            <w:tcBorders>
              <w:left w:val="none" w:sz="0" w:space="0" w:color="auto"/>
            </w:tcBorders>
          </w:tcPr>
          <w:p w:rsidR="00AE5FBA" w:rsidRPr="004B7705" w:rsidRDefault="00AE5FBA" w:rsidP="005C6FE1">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4B7705">
              <w:rPr>
                <w:rFonts w:ascii="Gautami" w:eastAsia="Calibri" w:hAnsi="Gautami" w:cs="Gautami"/>
                <w:sz w:val="16"/>
                <w:szCs w:val="16"/>
              </w:rPr>
              <w:t>Information that is measured in monetary terms</w:t>
            </w:r>
            <w:r>
              <w:rPr>
                <w:rFonts w:ascii="Gautami" w:eastAsia="Calibri" w:hAnsi="Gautami" w:cs="Gautami"/>
                <w:sz w:val="16"/>
                <w:szCs w:val="16"/>
              </w:rPr>
              <w:t>.</w:t>
            </w:r>
          </w:p>
        </w:tc>
      </w:tr>
      <w:tr w:rsidR="00AE5FBA" w:rsidRPr="005A79F8" w:rsidTr="005C6F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704282" w:rsidRDefault="00AE5FBA" w:rsidP="005C6FE1">
            <w:pPr>
              <w:rPr>
                <w:rFonts w:ascii="Gautami" w:eastAsia="Calibri" w:hAnsi="Gautami" w:cs="Gautami"/>
                <w:b w:val="0"/>
                <w:i/>
                <w:sz w:val="16"/>
                <w:szCs w:val="16"/>
              </w:rPr>
            </w:pPr>
            <w:r w:rsidRPr="00704282">
              <w:rPr>
                <w:rFonts w:ascii="Gautami" w:eastAsia="Calibri" w:hAnsi="Gautami" w:cs="Gautami"/>
                <w:b w:val="0"/>
                <w:i/>
                <w:sz w:val="16"/>
                <w:szCs w:val="16"/>
              </w:rPr>
              <w:t>Initial Regulatory Years</w:t>
            </w:r>
          </w:p>
        </w:tc>
        <w:tc>
          <w:tcPr>
            <w:tcW w:w="3780" w:type="pct"/>
            <w:tcBorders>
              <w:left w:val="none" w:sz="0" w:space="0" w:color="auto"/>
            </w:tcBorders>
          </w:tcPr>
          <w:p w:rsidR="00AE5FBA" w:rsidRPr="005A79F8" w:rsidRDefault="00AE5FBA" w:rsidP="005C6FE1">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A329E7">
              <w:rPr>
                <w:rFonts w:ascii="Gautami" w:eastAsia="Calibri" w:hAnsi="Gautami" w:cs="Gautami"/>
                <w:sz w:val="16"/>
                <w:szCs w:val="16"/>
              </w:rPr>
              <w:t>The period for which back cast information is required. This is the 2009 to 2013 Regulatory Years.</w:t>
            </w:r>
            <w:r>
              <w:rPr>
                <w:rFonts w:ascii="Gautami" w:eastAsia="Calibri" w:hAnsi="Gautami" w:cs="Gautami"/>
                <w:sz w:val="16"/>
                <w:szCs w:val="16"/>
              </w:rPr>
              <w:t xml:space="preserve"> For NSPs who report on a financial year basis, this equates to the 2008–09 to 2012–13 Regulatory Years.</w:t>
            </w:r>
          </w:p>
        </w:tc>
      </w:tr>
      <w:tr w:rsidR="00AE5FBA" w:rsidRPr="005A79F8" w:rsidTr="005C6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Pr>
          <w:p w:rsidR="00AE5FBA" w:rsidRPr="00704282" w:rsidRDefault="00AE5FBA" w:rsidP="005C6FE1">
            <w:pPr>
              <w:rPr>
                <w:rFonts w:ascii="Gautami" w:eastAsia="Calibri" w:hAnsi="Gautami" w:cs="Gautami"/>
                <w:b w:val="0"/>
                <w:i/>
                <w:sz w:val="16"/>
                <w:szCs w:val="16"/>
              </w:rPr>
            </w:pPr>
            <w:r w:rsidRPr="00704282">
              <w:rPr>
                <w:rFonts w:ascii="Gautami" w:eastAsia="Calibri" w:hAnsi="Gautami" w:cs="Gautami"/>
                <w:b w:val="0"/>
                <w:i/>
                <w:sz w:val="16"/>
                <w:szCs w:val="16"/>
              </w:rPr>
              <w:t>Materially</w:t>
            </w:r>
          </w:p>
        </w:tc>
        <w:tc>
          <w:tcPr>
            <w:tcW w:w="3780" w:type="pct"/>
          </w:tcPr>
          <w:p w:rsidR="00AE5FBA" w:rsidRPr="006C487C" w:rsidRDefault="00AE5FBA" w:rsidP="007E49D0">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6C487C">
              <w:rPr>
                <w:rFonts w:ascii="Gautami" w:eastAsia="Calibri" w:hAnsi="Gautami" w:cs="Gautami"/>
                <w:sz w:val="16"/>
                <w:szCs w:val="16"/>
              </w:rPr>
              <w:t xml:space="preserve">Information is </w:t>
            </w:r>
            <w:r>
              <w:rPr>
                <w:rFonts w:ascii="Gautami" w:eastAsia="Calibri" w:hAnsi="Gautami" w:cs="Gautami"/>
                <w:sz w:val="16"/>
                <w:szCs w:val="16"/>
              </w:rPr>
              <w:t>m</w:t>
            </w:r>
            <w:r w:rsidRPr="006C487C">
              <w:rPr>
                <w:rFonts w:ascii="Gautami" w:eastAsia="Calibri" w:hAnsi="Gautami" w:cs="Gautami"/>
                <w:sz w:val="16"/>
                <w:szCs w:val="16"/>
              </w:rPr>
              <w:t>aterial if its omission, misstatement or non-disclosure has the potential, individually or collectively to influence the economic decisions of users (including the AER) taken on the basis of the information provided in accordance with the Notice.</w:t>
            </w:r>
          </w:p>
          <w:p w:rsidR="00AE5FBA" w:rsidRDefault="00AE5FBA" w:rsidP="005C6FE1">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6C487C">
              <w:rPr>
                <w:rFonts w:ascii="Gautami" w:eastAsia="Calibri" w:hAnsi="Gautami" w:cs="Gautami"/>
                <w:sz w:val="16"/>
                <w:szCs w:val="16"/>
              </w:rPr>
              <w:t>This definition is based on the definition of materiality in the accounting standard AASB 1031. This accounting standard provides context for the interpretation of this definition of materiality.</w:t>
            </w:r>
          </w:p>
        </w:tc>
      </w:tr>
      <w:tr w:rsidR="00AE5FBA" w:rsidRPr="005A79F8" w:rsidTr="005C6F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704282" w:rsidRDefault="00AE5FBA" w:rsidP="005C6FE1">
            <w:pPr>
              <w:rPr>
                <w:rFonts w:ascii="Gautami" w:eastAsia="Calibri" w:hAnsi="Gautami" w:cs="Gautami"/>
                <w:b w:val="0"/>
                <w:i/>
                <w:sz w:val="16"/>
                <w:szCs w:val="16"/>
              </w:rPr>
            </w:pPr>
            <w:r w:rsidRPr="00704282">
              <w:rPr>
                <w:rFonts w:ascii="Gautami" w:eastAsia="Calibri" w:hAnsi="Gautami" w:cs="Gautami"/>
                <w:b w:val="0"/>
                <w:i/>
                <w:sz w:val="16"/>
                <w:szCs w:val="16"/>
              </w:rPr>
              <w:t>Non-financial Information</w:t>
            </w:r>
          </w:p>
        </w:tc>
        <w:tc>
          <w:tcPr>
            <w:tcW w:w="3780" w:type="pct"/>
            <w:tcBorders>
              <w:left w:val="none" w:sz="0" w:space="0" w:color="auto"/>
            </w:tcBorders>
          </w:tcPr>
          <w:p w:rsidR="00AE5FBA" w:rsidRPr="005A79F8" w:rsidRDefault="00AE5FBA" w:rsidP="005C6FE1">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Numerical i</w:t>
            </w:r>
            <w:r w:rsidRPr="005A79F8">
              <w:rPr>
                <w:rFonts w:ascii="Gautami" w:eastAsia="Calibri" w:hAnsi="Gautami" w:cs="Gautami"/>
                <w:sz w:val="16"/>
                <w:szCs w:val="16"/>
              </w:rPr>
              <w:t>nformation that is not measured in monetary terms</w:t>
            </w:r>
            <w:r>
              <w:rPr>
                <w:rFonts w:ascii="Gautami" w:eastAsia="Calibri" w:hAnsi="Gautami" w:cs="Gautami"/>
                <w:sz w:val="16"/>
                <w:szCs w:val="16"/>
              </w:rPr>
              <w:t>.</w:t>
            </w:r>
          </w:p>
        </w:tc>
      </w:tr>
      <w:tr w:rsidR="00AE5FBA" w:rsidRPr="005A79F8" w:rsidTr="005C6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704282" w:rsidRDefault="00AE5FBA" w:rsidP="005C6FE1">
            <w:pPr>
              <w:rPr>
                <w:rFonts w:ascii="Gautami" w:eastAsia="Calibri" w:hAnsi="Gautami" w:cs="Gautami"/>
                <w:b w:val="0"/>
                <w:i/>
                <w:sz w:val="16"/>
                <w:szCs w:val="16"/>
              </w:rPr>
            </w:pPr>
            <w:r w:rsidRPr="00704282">
              <w:rPr>
                <w:rFonts w:ascii="Gautami" w:eastAsia="Calibri" w:hAnsi="Gautami" w:cs="Gautami"/>
                <w:b w:val="0"/>
                <w:i/>
                <w:sz w:val="16"/>
                <w:szCs w:val="16"/>
              </w:rPr>
              <w:t>Regulatory Year</w:t>
            </w:r>
          </w:p>
        </w:tc>
        <w:tc>
          <w:tcPr>
            <w:tcW w:w="3780" w:type="pct"/>
            <w:tcBorders>
              <w:left w:val="none" w:sz="0" w:space="0" w:color="auto"/>
            </w:tcBorders>
          </w:tcPr>
          <w:p w:rsidR="00AE5FBA" w:rsidRPr="005A79F8" w:rsidRDefault="00AE5FBA" w:rsidP="005C6FE1">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As defined in the NER</w:t>
            </w:r>
          </w:p>
        </w:tc>
      </w:tr>
      <w:tr w:rsidR="00AE5FBA" w:rsidRPr="005A79F8" w:rsidTr="005C6FE1">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704282" w:rsidRDefault="00AE5FBA" w:rsidP="005C6FE1">
            <w:pPr>
              <w:rPr>
                <w:rFonts w:ascii="Gautami" w:eastAsia="Calibri" w:hAnsi="Gautami" w:cs="Gautami"/>
                <w:b w:val="0"/>
                <w:i/>
                <w:sz w:val="16"/>
                <w:szCs w:val="16"/>
              </w:rPr>
            </w:pPr>
            <w:r w:rsidRPr="00704282">
              <w:rPr>
                <w:rFonts w:ascii="Gautami" w:eastAsia="Calibri" w:hAnsi="Gautami" w:cs="Gautami"/>
                <w:b w:val="0"/>
                <w:i/>
                <w:sz w:val="16"/>
                <w:szCs w:val="16"/>
              </w:rPr>
              <w:t>Subsequent Regulatory Years</w:t>
            </w:r>
          </w:p>
        </w:tc>
        <w:tc>
          <w:tcPr>
            <w:tcW w:w="3780" w:type="pct"/>
            <w:tcBorders>
              <w:left w:val="none" w:sz="0" w:space="0" w:color="auto"/>
            </w:tcBorders>
          </w:tcPr>
          <w:p w:rsidR="00AE5FBA" w:rsidRPr="005A79F8" w:rsidRDefault="00AE5FBA" w:rsidP="00062AAB">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A329E7">
              <w:rPr>
                <w:rFonts w:ascii="Gautami" w:eastAsia="Calibri" w:hAnsi="Gautami" w:cs="Gautami"/>
                <w:sz w:val="16"/>
                <w:szCs w:val="16"/>
              </w:rPr>
              <w:t xml:space="preserve">Each Regulatory Year commencing from 2014 for which </w:t>
            </w:r>
            <w:r w:rsidRPr="00E34849">
              <w:rPr>
                <w:rFonts w:ascii="Gautami" w:eastAsia="Calibri" w:hAnsi="Gautami" w:cs="Gautami"/>
                <w:noProof/>
                <w:sz w:val="16"/>
                <w:szCs w:val="16"/>
              </w:rPr>
              <w:t>TNSP</w:t>
            </w:r>
            <w:r>
              <w:rPr>
                <w:rFonts w:ascii="Gautami" w:eastAsia="Calibri" w:hAnsi="Gautami" w:cs="Gautami"/>
                <w:sz w:val="16"/>
                <w:szCs w:val="16"/>
              </w:rPr>
              <w:t xml:space="preserve"> </w:t>
            </w:r>
            <w:r w:rsidRPr="00A329E7">
              <w:rPr>
                <w:rFonts w:ascii="Gautami" w:eastAsia="Calibri" w:hAnsi="Gautami" w:cs="Gautami"/>
                <w:sz w:val="16"/>
                <w:szCs w:val="16"/>
              </w:rPr>
              <w:t xml:space="preserve">must update the Regulatory Templates for </w:t>
            </w:r>
            <w:r>
              <w:rPr>
                <w:rFonts w:ascii="Gautami" w:eastAsia="Calibri" w:hAnsi="Gautami" w:cs="Gautami"/>
                <w:sz w:val="16"/>
                <w:szCs w:val="16"/>
              </w:rPr>
              <w:t>information relevant to that year.</w:t>
            </w:r>
          </w:p>
        </w:tc>
      </w:tr>
    </w:tbl>
    <w:p w:rsidR="00AE5FBA" w:rsidRPr="00AE6A43" w:rsidRDefault="00AE5FBA" w:rsidP="0052182B">
      <w:pPr>
        <w:rPr>
          <w:rFonts w:cs="Arial"/>
          <w:b/>
        </w:rPr>
      </w:pPr>
      <w:r>
        <w:rPr>
          <w:rFonts w:cs="Arial"/>
        </w:rPr>
        <w:br/>
      </w:r>
      <w:r w:rsidRPr="00F66C8A">
        <w:rPr>
          <w:rFonts w:cs="Arial"/>
        </w:rPr>
        <w:t xml:space="preserve">DATED: </w:t>
      </w:r>
      <w:r w:rsidRPr="00AE6A43">
        <w:rPr>
          <w:rFonts w:cs="Arial"/>
          <w:b/>
        </w:rPr>
        <w:fldChar w:fldCharType="begin"/>
      </w:r>
      <w:r w:rsidRPr="00AE6A43">
        <w:rPr>
          <w:rFonts w:cs="Arial"/>
          <w:b/>
        </w:rPr>
        <w:instrText xml:space="preserve"> DATE \@ "d MMMM yyyy" </w:instrText>
      </w:r>
      <w:r w:rsidRPr="00AE6A43">
        <w:rPr>
          <w:rFonts w:cs="Arial"/>
          <w:b/>
        </w:rPr>
        <w:fldChar w:fldCharType="separate"/>
      </w:r>
      <w:r w:rsidR="007535BB">
        <w:rPr>
          <w:rFonts w:cs="Arial"/>
          <w:b/>
          <w:noProof/>
        </w:rPr>
        <w:t>26 March 2014</w:t>
      </w:r>
      <w:r w:rsidRPr="00AE6A43">
        <w:rPr>
          <w:rFonts w:cs="Arial"/>
          <w:b/>
        </w:rPr>
        <w:fldChar w:fldCharType="end"/>
      </w:r>
    </w:p>
    <w:p w:rsidR="00AE5FBA" w:rsidRDefault="00AE5FBA" w:rsidP="0052182B">
      <w:pPr>
        <w:jc w:val="left"/>
        <w:rPr>
          <w:rFonts w:cs="Arial"/>
        </w:rPr>
      </w:pPr>
      <w:r>
        <w:rPr>
          <w:rFonts w:cs="Arial"/>
        </w:rPr>
        <w:br/>
      </w:r>
    </w:p>
    <w:p w:rsidR="00AE5FBA" w:rsidRDefault="00AE5FBA" w:rsidP="0052182B">
      <w:pPr>
        <w:jc w:val="left"/>
        <w:rPr>
          <w:rFonts w:cs="Arial"/>
        </w:rPr>
      </w:pPr>
      <w:r w:rsidRPr="00BD1554">
        <w:rPr>
          <w:rFonts w:cs="Arial"/>
        </w:rPr>
        <w:t>……………………………………………………………….</w:t>
      </w:r>
      <w:r w:rsidRPr="00BD1554">
        <w:rPr>
          <w:rFonts w:cs="Arial"/>
        </w:rPr>
        <w:br/>
        <w:t>Andrew Reeves</w:t>
      </w:r>
      <w:r w:rsidRPr="00BD1554">
        <w:rPr>
          <w:rFonts w:cs="Arial"/>
        </w:rPr>
        <w:br/>
        <w:t>Chair</w:t>
      </w:r>
    </w:p>
    <w:p w:rsidR="00AE5FBA" w:rsidRDefault="00AE5FBA" w:rsidP="0052182B">
      <w:pPr>
        <w:spacing w:after="200" w:line="276" w:lineRule="auto"/>
        <w:jc w:val="left"/>
        <w:rPr>
          <w:rFonts w:cs="Arial"/>
        </w:rPr>
      </w:pPr>
      <w:r>
        <w:rPr>
          <w:rFonts w:cs="Arial"/>
        </w:rPr>
        <w:br w:type="page"/>
      </w:r>
    </w:p>
    <w:p w:rsidR="00AE5FBA" w:rsidRPr="00694201" w:rsidRDefault="00AE5FBA" w:rsidP="0052182B">
      <w:pPr>
        <w:jc w:val="center"/>
        <w:rPr>
          <w:rFonts w:cs="Arial"/>
          <w:b/>
        </w:rPr>
      </w:pPr>
      <w:r w:rsidRPr="00694201">
        <w:rPr>
          <w:rFonts w:cs="Arial"/>
          <w:b/>
        </w:rPr>
        <w:lastRenderedPageBreak/>
        <w:t>INDEX</w:t>
      </w:r>
    </w:p>
    <w:p w:rsidR="00AE5FBA" w:rsidRDefault="00AE5FBA">
      <w:pPr>
        <w:pStyle w:val="TOC1"/>
        <w:tabs>
          <w:tab w:val="right" w:leader="dot" w:pos="9016"/>
        </w:tabs>
        <w:rPr>
          <w:rFonts w:asciiTheme="minorHAnsi" w:eastAsiaTheme="minorEastAsia" w:hAnsiTheme="minorHAnsi"/>
          <w:b w:val="0"/>
          <w:noProof/>
          <w:lang w:eastAsia="en-AU"/>
        </w:rPr>
      </w:pPr>
      <w:r>
        <w:rPr>
          <w:rFonts w:eastAsiaTheme="majorEastAsia" w:cstheme="majorBidi"/>
          <w:b w:val="0"/>
          <w:bCs/>
          <w:szCs w:val="28"/>
        </w:rPr>
        <w:fldChar w:fldCharType="begin"/>
      </w:r>
      <w:r>
        <w:rPr>
          <w:rFonts w:eastAsiaTheme="majorEastAsia" w:cstheme="majorBidi"/>
          <w:b w:val="0"/>
          <w:bCs/>
          <w:szCs w:val="28"/>
        </w:rPr>
        <w:instrText xml:space="preserve"> TOC \o "1-1" \h \z \t "Heading 2,2,Heading 3,3" </w:instrText>
      </w:r>
      <w:r>
        <w:rPr>
          <w:rFonts w:eastAsiaTheme="majorEastAsia" w:cstheme="majorBidi"/>
          <w:b w:val="0"/>
          <w:bCs/>
          <w:szCs w:val="28"/>
        </w:rPr>
        <w:fldChar w:fldCharType="separate"/>
      </w:r>
      <w:hyperlink w:anchor="_Toc383506891" w:history="1">
        <w:r w:rsidRPr="00A302B9">
          <w:rPr>
            <w:rStyle w:val="Hyperlink"/>
            <w:noProof/>
          </w:rPr>
          <w:t>SCHEDULE 1</w:t>
        </w:r>
        <w:r>
          <w:rPr>
            <w:noProof/>
            <w:webHidden/>
          </w:rPr>
          <w:tab/>
        </w:r>
        <w:r>
          <w:rPr>
            <w:noProof/>
            <w:webHidden/>
          </w:rPr>
          <w:fldChar w:fldCharType="begin"/>
        </w:r>
        <w:r>
          <w:rPr>
            <w:noProof/>
            <w:webHidden/>
          </w:rPr>
          <w:instrText xml:space="preserve"> PAGEREF _Toc383506891 \h </w:instrText>
        </w:r>
        <w:r>
          <w:rPr>
            <w:noProof/>
            <w:webHidden/>
          </w:rPr>
        </w:r>
        <w:r>
          <w:rPr>
            <w:noProof/>
            <w:webHidden/>
          </w:rPr>
          <w:fldChar w:fldCharType="separate"/>
        </w:r>
        <w:r w:rsidR="00520E44">
          <w:rPr>
            <w:noProof/>
            <w:webHidden/>
          </w:rPr>
          <w:t>5</w:t>
        </w:r>
        <w:r>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892" w:history="1">
        <w:r w:rsidR="00AE5FBA" w:rsidRPr="00A302B9">
          <w:rPr>
            <w:rStyle w:val="Hyperlink"/>
            <w:noProof/>
          </w:rPr>
          <w:t>1.</w:t>
        </w:r>
        <w:r w:rsidR="00AE5FBA">
          <w:rPr>
            <w:rFonts w:asciiTheme="minorHAnsi" w:eastAsiaTheme="minorEastAsia" w:hAnsiTheme="minorHAnsi"/>
            <w:b w:val="0"/>
            <w:noProof/>
            <w:lang w:eastAsia="en-AU"/>
          </w:rPr>
          <w:tab/>
        </w:r>
        <w:r w:rsidR="00AE5FBA" w:rsidRPr="00A302B9">
          <w:rPr>
            <w:rStyle w:val="Hyperlink"/>
            <w:noProof/>
          </w:rPr>
          <w:t>PROVIDE INFORMATION</w:t>
        </w:r>
        <w:r w:rsidR="00AE5FBA">
          <w:rPr>
            <w:noProof/>
            <w:webHidden/>
          </w:rPr>
          <w:tab/>
        </w:r>
        <w:r w:rsidR="00AE5FBA">
          <w:rPr>
            <w:noProof/>
            <w:webHidden/>
          </w:rPr>
          <w:fldChar w:fldCharType="begin"/>
        </w:r>
        <w:r w:rsidR="00AE5FBA">
          <w:rPr>
            <w:noProof/>
            <w:webHidden/>
          </w:rPr>
          <w:instrText xml:space="preserve"> PAGEREF _Toc383506892 \h </w:instrText>
        </w:r>
        <w:r w:rsidR="00AE5FBA">
          <w:rPr>
            <w:noProof/>
            <w:webHidden/>
          </w:rPr>
        </w:r>
        <w:r w:rsidR="00AE5FBA">
          <w:rPr>
            <w:noProof/>
            <w:webHidden/>
          </w:rPr>
          <w:fldChar w:fldCharType="separate"/>
        </w:r>
        <w:r w:rsidR="00520E44">
          <w:rPr>
            <w:noProof/>
            <w:webHidden/>
          </w:rPr>
          <w:t>5</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893" w:history="1">
        <w:r w:rsidR="00AE5FBA" w:rsidRPr="00A302B9">
          <w:rPr>
            <w:rStyle w:val="Hyperlink"/>
            <w:noProof/>
          </w:rPr>
          <w:t>2.</w:t>
        </w:r>
        <w:r w:rsidR="00AE5FBA">
          <w:rPr>
            <w:rFonts w:asciiTheme="minorHAnsi" w:eastAsiaTheme="minorEastAsia" w:hAnsiTheme="minorHAnsi"/>
            <w:b w:val="0"/>
            <w:noProof/>
            <w:lang w:eastAsia="en-AU"/>
          </w:rPr>
          <w:tab/>
        </w:r>
        <w:r w:rsidR="00AE5FBA" w:rsidRPr="00A302B9">
          <w:rPr>
            <w:rStyle w:val="Hyperlink"/>
            <w:noProof/>
          </w:rPr>
          <w:t>AUDIT REPORTS</w:t>
        </w:r>
        <w:r w:rsidR="00AE5FBA">
          <w:rPr>
            <w:noProof/>
            <w:webHidden/>
          </w:rPr>
          <w:tab/>
        </w:r>
        <w:r w:rsidR="00AE5FBA">
          <w:rPr>
            <w:noProof/>
            <w:webHidden/>
          </w:rPr>
          <w:fldChar w:fldCharType="begin"/>
        </w:r>
        <w:r w:rsidR="00AE5FBA">
          <w:rPr>
            <w:noProof/>
            <w:webHidden/>
          </w:rPr>
          <w:instrText xml:space="preserve"> PAGEREF _Toc383506893 \h </w:instrText>
        </w:r>
        <w:r w:rsidR="00AE5FBA">
          <w:rPr>
            <w:noProof/>
            <w:webHidden/>
          </w:rPr>
        </w:r>
        <w:r w:rsidR="00AE5FBA">
          <w:rPr>
            <w:noProof/>
            <w:webHidden/>
          </w:rPr>
          <w:fldChar w:fldCharType="separate"/>
        </w:r>
        <w:r w:rsidR="00520E44">
          <w:rPr>
            <w:noProof/>
            <w:webHidden/>
          </w:rPr>
          <w:t>5</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894" w:history="1">
        <w:r w:rsidR="00AE5FBA" w:rsidRPr="00A302B9">
          <w:rPr>
            <w:rStyle w:val="Hyperlink"/>
            <w:noProof/>
          </w:rPr>
          <w:t>3.</w:t>
        </w:r>
        <w:r w:rsidR="00AE5FBA">
          <w:rPr>
            <w:rFonts w:asciiTheme="minorHAnsi" w:eastAsiaTheme="minorEastAsia" w:hAnsiTheme="minorHAnsi"/>
            <w:b w:val="0"/>
            <w:noProof/>
            <w:lang w:eastAsia="en-AU"/>
          </w:rPr>
          <w:tab/>
        </w:r>
        <w:r w:rsidR="00AE5FBA" w:rsidRPr="00A302B9">
          <w:rPr>
            <w:rStyle w:val="Hyperlink"/>
            <w:noProof/>
          </w:rPr>
          <w:t>CONFIDENTIAL INFORMATION</w:t>
        </w:r>
        <w:r w:rsidR="00AE5FBA">
          <w:rPr>
            <w:noProof/>
            <w:webHidden/>
          </w:rPr>
          <w:tab/>
        </w:r>
        <w:r w:rsidR="00AE5FBA">
          <w:rPr>
            <w:noProof/>
            <w:webHidden/>
          </w:rPr>
          <w:fldChar w:fldCharType="begin"/>
        </w:r>
        <w:r w:rsidR="00AE5FBA">
          <w:rPr>
            <w:noProof/>
            <w:webHidden/>
          </w:rPr>
          <w:instrText xml:space="preserve"> PAGEREF _Toc383506894 \h </w:instrText>
        </w:r>
        <w:r w:rsidR="00AE5FBA">
          <w:rPr>
            <w:noProof/>
            <w:webHidden/>
          </w:rPr>
        </w:r>
        <w:r w:rsidR="00AE5FBA">
          <w:rPr>
            <w:noProof/>
            <w:webHidden/>
          </w:rPr>
          <w:fldChar w:fldCharType="separate"/>
        </w:r>
        <w:r w:rsidR="00520E44">
          <w:rPr>
            <w:noProof/>
            <w:webHidden/>
          </w:rPr>
          <w:t>5</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895" w:history="1">
        <w:r w:rsidR="00AE5FBA" w:rsidRPr="00A302B9">
          <w:rPr>
            <w:rStyle w:val="Hyperlink"/>
            <w:noProof/>
          </w:rPr>
          <w:t>4.</w:t>
        </w:r>
        <w:r w:rsidR="00AE5FBA">
          <w:rPr>
            <w:rFonts w:asciiTheme="minorHAnsi" w:eastAsiaTheme="minorEastAsia" w:hAnsiTheme="minorHAnsi"/>
            <w:b w:val="0"/>
            <w:noProof/>
            <w:lang w:eastAsia="en-AU"/>
          </w:rPr>
          <w:tab/>
        </w:r>
        <w:r w:rsidR="00AE5FBA" w:rsidRPr="00A302B9">
          <w:rPr>
            <w:rStyle w:val="Hyperlink"/>
            <w:noProof/>
          </w:rPr>
          <w:t>ONGOING OBLIGATION</w:t>
        </w:r>
        <w:r w:rsidR="00AE5FBA">
          <w:rPr>
            <w:noProof/>
            <w:webHidden/>
          </w:rPr>
          <w:tab/>
        </w:r>
        <w:r w:rsidR="00AE5FBA">
          <w:rPr>
            <w:noProof/>
            <w:webHidden/>
          </w:rPr>
          <w:fldChar w:fldCharType="begin"/>
        </w:r>
        <w:r w:rsidR="00AE5FBA">
          <w:rPr>
            <w:noProof/>
            <w:webHidden/>
          </w:rPr>
          <w:instrText xml:space="preserve"> PAGEREF _Toc383506895 \h </w:instrText>
        </w:r>
        <w:r w:rsidR="00AE5FBA">
          <w:rPr>
            <w:noProof/>
            <w:webHidden/>
          </w:rPr>
        </w:r>
        <w:r w:rsidR="00AE5FBA">
          <w:rPr>
            <w:noProof/>
            <w:webHidden/>
          </w:rPr>
          <w:fldChar w:fldCharType="separate"/>
        </w:r>
        <w:r w:rsidR="00520E44">
          <w:rPr>
            <w:noProof/>
            <w:webHidden/>
          </w:rPr>
          <w:t>6</w:t>
        </w:r>
        <w:r w:rsidR="00AE5FBA">
          <w:rPr>
            <w:noProof/>
            <w:webHidden/>
          </w:rPr>
          <w:fldChar w:fldCharType="end"/>
        </w:r>
      </w:hyperlink>
    </w:p>
    <w:p w:rsidR="00AE5FBA" w:rsidRDefault="007535BB">
      <w:pPr>
        <w:pStyle w:val="TOC1"/>
        <w:tabs>
          <w:tab w:val="right" w:leader="dot" w:pos="9016"/>
        </w:tabs>
        <w:rPr>
          <w:rFonts w:asciiTheme="minorHAnsi" w:eastAsiaTheme="minorEastAsia" w:hAnsiTheme="minorHAnsi"/>
          <w:b w:val="0"/>
          <w:noProof/>
          <w:lang w:eastAsia="en-AU"/>
        </w:rPr>
      </w:pPr>
      <w:hyperlink w:anchor="_Toc383506896" w:history="1">
        <w:r w:rsidR="00AE5FBA" w:rsidRPr="00A302B9">
          <w:rPr>
            <w:rStyle w:val="Hyperlink"/>
            <w:noProof/>
          </w:rPr>
          <w:t>SCHEDULE 2</w:t>
        </w:r>
        <w:r w:rsidR="00AE5FBA">
          <w:rPr>
            <w:noProof/>
            <w:webHidden/>
          </w:rPr>
          <w:tab/>
        </w:r>
        <w:r w:rsidR="00AE5FBA">
          <w:rPr>
            <w:noProof/>
            <w:webHidden/>
          </w:rPr>
          <w:fldChar w:fldCharType="begin"/>
        </w:r>
        <w:r w:rsidR="00AE5FBA">
          <w:rPr>
            <w:noProof/>
            <w:webHidden/>
          </w:rPr>
          <w:instrText xml:space="preserve"> PAGEREF _Toc383506896 \h </w:instrText>
        </w:r>
        <w:r w:rsidR="00AE5FBA">
          <w:rPr>
            <w:noProof/>
            <w:webHidden/>
          </w:rPr>
        </w:r>
        <w:r w:rsidR="00AE5FBA">
          <w:rPr>
            <w:noProof/>
            <w:webHidden/>
          </w:rPr>
          <w:fldChar w:fldCharType="separate"/>
        </w:r>
        <w:r w:rsidR="00520E44">
          <w:rPr>
            <w:noProof/>
            <w:webHidden/>
          </w:rPr>
          <w:t>7</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897" w:history="1">
        <w:r w:rsidR="00AE5FBA" w:rsidRPr="00A302B9">
          <w:rPr>
            <w:rStyle w:val="Hyperlink"/>
            <w:noProof/>
          </w:rPr>
          <w:t>1.</w:t>
        </w:r>
        <w:r w:rsidR="00AE5FBA">
          <w:rPr>
            <w:rFonts w:asciiTheme="minorHAnsi" w:eastAsiaTheme="minorEastAsia" w:hAnsiTheme="minorHAnsi"/>
            <w:b w:val="0"/>
            <w:noProof/>
            <w:lang w:eastAsia="en-AU"/>
          </w:rPr>
          <w:tab/>
        </w:r>
        <w:r w:rsidR="00AE5FBA" w:rsidRPr="00A302B9">
          <w:rPr>
            <w:rStyle w:val="Hyperlink"/>
            <w:noProof/>
          </w:rPr>
          <w:t>PREPARE INFORMATION</w:t>
        </w:r>
        <w:r w:rsidR="00AE5FBA">
          <w:rPr>
            <w:noProof/>
            <w:webHidden/>
          </w:rPr>
          <w:tab/>
        </w:r>
        <w:r w:rsidR="00AE5FBA">
          <w:rPr>
            <w:noProof/>
            <w:webHidden/>
          </w:rPr>
          <w:fldChar w:fldCharType="begin"/>
        </w:r>
        <w:r w:rsidR="00AE5FBA">
          <w:rPr>
            <w:noProof/>
            <w:webHidden/>
          </w:rPr>
          <w:instrText xml:space="preserve"> PAGEREF _Toc383506897 \h </w:instrText>
        </w:r>
        <w:r w:rsidR="00AE5FBA">
          <w:rPr>
            <w:noProof/>
            <w:webHidden/>
          </w:rPr>
        </w:r>
        <w:r w:rsidR="00AE5FBA">
          <w:rPr>
            <w:noProof/>
            <w:webHidden/>
          </w:rPr>
          <w:fldChar w:fldCharType="separate"/>
        </w:r>
        <w:r w:rsidR="00520E44">
          <w:rPr>
            <w:noProof/>
            <w:webHidden/>
          </w:rPr>
          <w:t>7</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898" w:history="1">
        <w:r w:rsidR="00AE5FBA" w:rsidRPr="00A302B9">
          <w:rPr>
            <w:rStyle w:val="Hyperlink"/>
            <w:noProof/>
          </w:rPr>
          <w:t>2.</w:t>
        </w:r>
        <w:r w:rsidR="00AE5FBA">
          <w:rPr>
            <w:rFonts w:asciiTheme="minorHAnsi" w:eastAsiaTheme="minorEastAsia" w:hAnsiTheme="minorHAnsi"/>
            <w:b w:val="0"/>
            <w:noProof/>
            <w:lang w:eastAsia="en-AU"/>
          </w:rPr>
          <w:tab/>
        </w:r>
        <w:r w:rsidR="00AE5FBA" w:rsidRPr="00A302B9">
          <w:rPr>
            <w:rStyle w:val="Hyperlink"/>
            <w:noProof/>
          </w:rPr>
          <w:t>MAINTAIN INFORMATION</w:t>
        </w:r>
        <w:r w:rsidR="00AE5FBA">
          <w:rPr>
            <w:noProof/>
            <w:webHidden/>
          </w:rPr>
          <w:tab/>
        </w:r>
        <w:r w:rsidR="00AE5FBA">
          <w:rPr>
            <w:noProof/>
            <w:webHidden/>
          </w:rPr>
          <w:fldChar w:fldCharType="begin"/>
        </w:r>
        <w:r w:rsidR="00AE5FBA">
          <w:rPr>
            <w:noProof/>
            <w:webHidden/>
          </w:rPr>
          <w:instrText xml:space="preserve"> PAGEREF _Toc383506898 \h </w:instrText>
        </w:r>
        <w:r w:rsidR="00AE5FBA">
          <w:rPr>
            <w:noProof/>
            <w:webHidden/>
          </w:rPr>
        </w:r>
        <w:r w:rsidR="00AE5FBA">
          <w:rPr>
            <w:noProof/>
            <w:webHidden/>
          </w:rPr>
          <w:fldChar w:fldCharType="separate"/>
        </w:r>
        <w:r w:rsidR="00520E44">
          <w:rPr>
            <w:noProof/>
            <w:webHidden/>
          </w:rPr>
          <w:t>8</w:t>
        </w:r>
        <w:r w:rsidR="00AE5FBA">
          <w:rPr>
            <w:noProof/>
            <w:webHidden/>
          </w:rPr>
          <w:fldChar w:fldCharType="end"/>
        </w:r>
      </w:hyperlink>
    </w:p>
    <w:p w:rsidR="00AE5FBA" w:rsidRDefault="007535BB">
      <w:pPr>
        <w:pStyle w:val="TOC1"/>
        <w:tabs>
          <w:tab w:val="right" w:leader="dot" w:pos="9016"/>
        </w:tabs>
        <w:rPr>
          <w:rFonts w:asciiTheme="minorHAnsi" w:eastAsiaTheme="minorEastAsia" w:hAnsiTheme="minorHAnsi"/>
          <w:b w:val="0"/>
          <w:noProof/>
          <w:lang w:eastAsia="en-AU"/>
        </w:rPr>
      </w:pPr>
      <w:hyperlink w:anchor="_Toc383506899" w:history="1">
        <w:r w:rsidR="00AE5FBA" w:rsidRPr="00A302B9">
          <w:rPr>
            <w:rStyle w:val="Hyperlink"/>
            <w:noProof/>
          </w:rPr>
          <w:t>APPENDIX A: REGULATORY TEMPLATES</w:t>
        </w:r>
        <w:r w:rsidR="00AE5FBA">
          <w:rPr>
            <w:noProof/>
            <w:webHidden/>
          </w:rPr>
          <w:tab/>
        </w:r>
        <w:r w:rsidR="00AE5FBA">
          <w:rPr>
            <w:noProof/>
            <w:webHidden/>
          </w:rPr>
          <w:fldChar w:fldCharType="begin"/>
        </w:r>
        <w:r w:rsidR="00AE5FBA">
          <w:rPr>
            <w:noProof/>
            <w:webHidden/>
          </w:rPr>
          <w:instrText xml:space="preserve"> PAGEREF _Toc383506899 \h </w:instrText>
        </w:r>
        <w:r w:rsidR="00AE5FBA">
          <w:rPr>
            <w:noProof/>
            <w:webHidden/>
          </w:rPr>
        </w:r>
        <w:r w:rsidR="00AE5FBA">
          <w:rPr>
            <w:noProof/>
            <w:webHidden/>
          </w:rPr>
          <w:fldChar w:fldCharType="separate"/>
        </w:r>
        <w:r w:rsidR="00520E44">
          <w:rPr>
            <w:noProof/>
            <w:webHidden/>
          </w:rPr>
          <w:t>9</w:t>
        </w:r>
        <w:r w:rsidR="00AE5FBA">
          <w:rPr>
            <w:noProof/>
            <w:webHidden/>
          </w:rPr>
          <w:fldChar w:fldCharType="end"/>
        </w:r>
      </w:hyperlink>
    </w:p>
    <w:p w:rsidR="00AE5FBA" w:rsidRDefault="007535BB">
      <w:pPr>
        <w:pStyle w:val="TOC1"/>
        <w:tabs>
          <w:tab w:val="right" w:leader="dot" w:pos="9016"/>
        </w:tabs>
        <w:rPr>
          <w:rFonts w:asciiTheme="minorHAnsi" w:eastAsiaTheme="minorEastAsia" w:hAnsiTheme="minorHAnsi"/>
          <w:b w:val="0"/>
          <w:noProof/>
          <w:lang w:eastAsia="en-AU"/>
        </w:rPr>
      </w:pPr>
      <w:hyperlink w:anchor="_Toc383506900" w:history="1">
        <w:r w:rsidR="00AE5FBA" w:rsidRPr="00A302B9">
          <w:rPr>
            <w:rStyle w:val="Hyperlink"/>
            <w:noProof/>
          </w:rPr>
          <w:t>APPENDIX B: STATUTORY DECLARATION</w:t>
        </w:r>
        <w:r w:rsidR="00AE5FBA">
          <w:rPr>
            <w:noProof/>
            <w:webHidden/>
          </w:rPr>
          <w:tab/>
        </w:r>
        <w:r w:rsidR="00AE5FBA">
          <w:rPr>
            <w:noProof/>
            <w:webHidden/>
          </w:rPr>
          <w:fldChar w:fldCharType="begin"/>
        </w:r>
        <w:r w:rsidR="00AE5FBA">
          <w:rPr>
            <w:noProof/>
            <w:webHidden/>
          </w:rPr>
          <w:instrText xml:space="preserve"> PAGEREF _Toc383506900 \h </w:instrText>
        </w:r>
        <w:r w:rsidR="00AE5FBA">
          <w:rPr>
            <w:noProof/>
            <w:webHidden/>
          </w:rPr>
        </w:r>
        <w:r w:rsidR="00AE5FBA">
          <w:rPr>
            <w:noProof/>
            <w:webHidden/>
          </w:rPr>
          <w:fldChar w:fldCharType="separate"/>
        </w:r>
        <w:r w:rsidR="00520E44">
          <w:rPr>
            <w:noProof/>
            <w:webHidden/>
          </w:rPr>
          <w:t>10</w:t>
        </w:r>
        <w:r w:rsidR="00AE5FBA">
          <w:rPr>
            <w:noProof/>
            <w:webHidden/>
          </w:rPr>
          <w:fldChar w:fldCharType="end"/>
        </w:r>
      </w:hyperlink>
    </w:p>
    <w:p w:rsidR="00AE5FBA" w:rsidRDefault="007535BB">
      <w:pPr>
        <w:pStyle w:val="TOC1"/>
        <w:tabs>
          <w:tab w:val="right" w:leader="dot" w:pos="9016"/>
        </w:tabs>
        <w:rPr>
          <w:rFonts w:asciiTheme="minorHAnsi" w:eastAsiaTheme="minorEastAsia" w:hAnsiTheme="minorHAnsi"/>
          <w:b w:val="0"/>
          <w:noProof/>
          <w:lang w:eastAsia="en-AU"/>
        </w:rPr>
      </w:pPr>
      <w:hyperlink w:anchor="_Toc383506901" w:history="1">
        <w:r w:rsidR="00AE5FBA" w:rsidRPr="00A302B9">
          <w:rPr>
            <w:rStyle w:val="Hyperlink"/>
            <w:noProof/>
          </w:rPr>
          <w:t>APPENDIX C: AUDIT AND REVIEW</w:t>
        </w:r>
        <w:r w:rsidR="00AE5FBA">
          <w:rPr>
            <w:noProof/>
            <w:webHidden/>
          </w:rPr>
          <w:tab/>
        </w:r>
        <w:r w:rsidR="00AE5FBA">
          <w:rPr>
            <w:noProof/>
            <w:webHidden/>
          </w:rPr>
          <w:fldChar w:fldCharType="begin"/>
        </w:r>
        <w:r w:rsidR="00AE5FBA">
          <w:rPr>
            <w:noProof/>
            <w:webHidden/>
          </w:rPr>
          <w:instrText xml:space="preserve"> PAGEREF _Toc383506901 \h </w:instrText>
        </w:r>
        <w:r w:rsidR="00AE5FBA">
          <w:rPr>
            <w:noProof/>
            <w:webHidden/>
          </w:rPr>
        </w:r>
        <w:r w:rsidR="00AE5FBA">
          <w:rPr>
            <w:noProof/>
            <w:webHidden/>
          </w:rPr>
          <w:fldChar w:fldCharType="separate"/>
        </w:r>
        <w:r w:rsidR="00520E44">
          <w:rPr>
            <w:noProof/>
            <w:webHidden/>
          </w:rPr>
          <w:t>13</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02" w:history="1">
        <w:r w:rsidR="00AE5FBA" w:rsidRPr="00A302B9">
          <w:rPr>
            <w:rStyle w:val="Hyperlink"/>
            <w:noProof/>
          </w:rPr>
          <w:t>1.</w:t>
        </w:r>
        <w:r w:rsidR="00AE5FBA">
          <w:rPr>
            <w:rFonts w:asciiTheme="minorHAnsi" w:eastAsiaTheme="minorEastAsia" w:hAnsiTheme="minorHAnsi"/>
            <w:b w:val="0"/>
            <w:noProof/>
            <w:lang w:eastAsia="en-AU"/>
          </w:rPr>
          <w:tab/>
        </w:r>
        <w:r w:rsidR="00AE5FBA" w:rsidRPr="00A302B9">
          <w:rPr>
            <w:rStyle w:val="Hyperlink"/>
            <w:noProof/>
          </w:rPr>
          <w:t>INFORMATION SUBJECT TO INDEPENDENT AUDIT OR REVIEW</w:t>
        </w:r>
        <w:r w:rsidR="00AE5FBA">
          <w:rPr>
            <w:noProof/>
            <w:webHidden/>
          </w:rPr>
          <w:tab/>
        </w:r>
        <w:r w:rsidR="00AE5FBA">
          <w:rPr>
            <w:noProof/>
            <w:webHidden/>
          </w:rPr>
          <w:fldChar w:fldCharType="begin"/>
        </w:r>
        <w:r w:rsidR="00AE5FBA">
          <w:rPr>
            <w:noProof/>
            <w:webHidden/>
          </w:rPr>
          <w:instrText xml:space="preserve"> PAGEREF _Toc383506902 \h </w:instrText>
        </w:r>
        <w:r w:rsidR="00AE5FBA">
          <w:rPr>
            <w:noProof/>
            <w:webHidden/>
          </w:rPr>
        </w:r>
        <w:r w:rsidR="00AE5FBA">
          <w:rPr>
            <w:noProof/>
            <w:webHidden/>
          </w:rPr>
          <w:fldChar w:fldCharType="separate"/>
        </w:r>
        <w:r w:rsidR="00520E44">
          <w:rPr>
            <w:noProof/>
            <w:webHidden/>
          </w:rPr>
          <w:t>13</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03" w:history="1">
        <w:r w:rsidR="00AE5FBA" w:rsidRPr="00A302B9">
          <w:rPr>
            <w:rStyle w:val="Hyperlink"/>
            <w:noProof/>
            <w:lang w:eastAsia="en-AU"/>
          </w:rPr>
          <w:t>2.</w:t>
        </w:r>
        <w:r w:rsidR="00AE5FBA">
          <w:rPr>
            <w:rFonts w:asciiTheme="minorHAnsi" w:eastAsiaTheme="minorEastAsia" w:hAnsiTheme="minorHAnsi"/>
            <w:b w:val="0"/>
            <w:noProof/>
            <w:lang w:eastAsia="en-AU"/>
          </w:rPr>
          <w:tab/>
        </w:r>
        <w:r w:rsidR="00AE5FBA" w:rsidRPr="00A302B9">
          <w:rPr>
            <w:rStyle w:val="Hyperlink"/>
            <w:noProof/>
            <w:lang w:eastAsia="en-AU"/>
          </w:rPr>
          <w:t>CLASS OF PERSON TO CONDUCT AUDITS</w:t>
        </w:r>
        <w:r w:rsidR="00AE5FBA">
          <w:rPr>
            <w:noProof/>
            <w:webHidden/>
          </w:rPr>
          <w:tab/>
        </w:r>
        <w:r w:rsidR="00AE5FBA">
          <w:rPr>
            <w:noProof/>
            <w:webHidden/>
          </w:rPr>
          <w:fldChar w:fldCharType="begin"/>
        </w:r>
        <w:r w:rsidR="00AE5FBA">
          <w:rPr>
            <w:noProof/>
            <w:webHidden/>
          </w:rPr>
          <w:instrText xml:space="preserve"> PAGEREF _Toc383506903 \h </w:instrText>
        </w:r>
        <w:r w:rsidR="00AE5FBA">
          <w:rPr>
            <w:noProof/>
            <w:webHidden/>
          </w:rPr>
        </w:r>
        <w:r w:rsidR="00AE5FBA">
          <w:rPr>
            <w:noProof/>
            <w:webHidden/>
          </w:rPr>
          <w:fldChar w:fldCharType="separate"/>
        </w:r>
        <w:r w:rsidR="00520E44">
          <w:rPr>
            <w:noProof/>
            <w:webHidden/>
          </w:rPr>
          <w:t>13</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04" w:history="1">
        <w:r w:rsidR="00AE5FBA" w:rsidRPr="00A302B9">
          <w:rPr>
            <w:rStyle w:val="Hyperlink"/>
            <w:noProof/>
            <w:lang w:eastAsia="en-AU"/>
          </w:rPr>
          <w:t>3.</w:t>
        </w:r>
        <w:r w:rsidR="00AE5FBA">
          <w:rPr>
            <w:rFonts w:asciiTheme="minorHAnsi" w:eastAsiaTheme="minorEastAsia" w:hAnsiTheme="minorHAnsi"/>
            <w:b w:val="0"/>
            <w:noProof/>
            <w:lang w:eastAsia="en-AU"/>
          </w:rPr>
          <w:tab/>
        </w:r>
        <w:r w:rsidR="00AE5FBA" w:rsidRPr="00A302B9">
          <w:rPr>
            <w:rStyle w:val="Hyperlink"/>
            <w:noProof/>
            <w:lang w:eastAsia="en-AU"/>
          </w:rPr>
          <w:t>AUDIT AND REVIEW REQUIREMENTS</w:t>
        </w:r>
        <w:r w:rsidR="00AE5FBA">
          <w:rPr>
            <w:noProof/>
            <w:webHidden/>
          </w:rPr>
          <w:tab/>
        </w:r>
        <w:r w:rsidR="00AE5FBA">
          <w:rPr>
            <w:noProof/>
            <w:webHidden/>
          </w:rPr>
          <w:fldChar w:fldCharType="begin"/>
        </w:r>
        <w:r w:rsidR="00AE5FBA">
          <w:rPr>
            <w:noProof/>
            <w:webHidden/>
          </w:rPr>
          <w:instrText xml:space="preserve"> PAGEREF _Toc383506904 \h </w:instrText>
        </w:r>
        <w:r w:rsidR="00AE5FBA">
          <w:rPr>
            <w:noProof/>
            <w:webHidden/>
          </w:rPr>
        </w:r>
        <w:r w:rsidR="00AE5FBA">
          <w:rPr>
            <w:noProof/>
            <w:webHidden/>
          </w:rPr>
          <w:fldChar w:fldCharType="separate"/>
        </w:r>
        <w:r w:rsidR="00520E44">
          <w:rPr>
            <w:noProof/>
            <w:webHidden/>
          </w:rPr>
          <w:t>14</w:t>
        </w:r>
        <w:r w:rsidR="00AE5FBA">
          <w:rPr>
            <w:noProof/>
            <w:webHidden/>
          </w:rPr>
          <w:fldChar w:fldCharType="end"/>
        </w:r>
      </w:hyperlink>
    </w:p>
    <w:p w:rsidR="00AE5FBA" w:rsidRDefault="007535BB">
      <w:pPr>
        <w:pStyle w:val="TOC1"/>
        <w:tabs>
          <w:tab w:val="right" w:leader="dot" w:pos="9016"/>
        </w:tabs>
        <w:rPr>
          <w:rFonts w:asciiTheme="minorHAnsi" w:eastAsiaTheme="minorEastAsia" w:hAnsiTheme="minorHAnsi"/>
          <w:b w:val="0"/>
          <w:noProof/>
          <w:lang w:eastAsia="en-AU"/>
        </w:rPr>
      </w:pPr>
      <w:hyperlink w:anchor="_Toc383506905" w:history="1">
        <w:r w:rsidR="00AE5FBA" w:rsidRPr="00A302B9">
          <w:rPr>
            <w:rStyle w:val="Hyperlink"/>
            <w:noProof/>
          </w:rPr>
          <w:t>APPENDIX D: STATEMENT OF REASONS</w:t>
        </w:r>
        <w:r w:rsidR="00AE5FBA">
          <w:rPr>
            <w:noProof/>
            <w:webHidden/>
          </w:rPr>
          <w:tab/>
        </w:r>
        <w:r w:rsidR="00AE5FBA">
          <w:rPr>
            <w:noProof/>
            <w:webHidden/>
          </w:rPr>
          <w:fldChar w:fldCharType="begin"/>
        </w:r>
        <w:r w:rsidR="00AE5FBA">
          <w:rPr>
            <w:noProof/>
            <w:webHidden/>
          </w:rPr>
          <w:instrText xml:space="preserve"> PAGEREF _Toc383506905 \h </w:instrText>
        </w:r>
        <w:r w:rsidR="00AE5FBA">
          <w:rPr>
            <w:noProof/>
            <w:webHidden/>
          </w:rPr>
        </w:r>
        <w:r w:rsidR="00AE5FBA">
          <w:rPr>
            <w:noProof/>
            <w:webHidden/>
          </w:rPr>
          <w:fldChar w:fldCharType="separate"/>
        </w:r>
        <w:r w:rsidR="00520E44">
          <w:rPr>
            <w:noProof/>
            <w:webHidden/>
          </w:rPr>
          <w:t>16</w:t>
        </w:r>
        <w:r w:rsidR="00AE5FBA">
          <w:rPr>
            <w:noProof/>
            <w:webHidden/>
          </w:rPr>
          <w:fldChar w:fldCharType="end"/>
        </w:r>
      </w:hyperlink>
    </w:p>
    <w:p w:rsidR="00AE5FBA" w:rsidRDefault="007535BB">
      <w:pPr>
        <w:pStyle w:val="TOC1"/>
        <w:tabs>
          <w:tab w:val="right" w:leader="dot" w:pos="9016"/>
        </w:tabs>
        <w:rPr>
          <w:rFonts w:asciiTheme="minorHAnsi" w:eastAsiaTheme="minorEastAsia" w:hAnsiTheme="minorHAnsi"/>
          <w:b w:val="0"/>
          <w:noProof/>
          <w:lang w:eastAsia="en-AU"/>
        </w:rPr>
      </w:pPr>
      <w:hyperlink w:anchor="_Toc383506906" w:history="1">
        <w:r w:rsidR="00AE5FBA" w:rsidRPr="00A302B9">
          <w:rPr>
            <w:rStyle w:val="Hyperlink"/>
            <w:noProof/>
          </w:rPr>
          <w:t>APPENDIX E: PRINCIPLES AND REQUIREMENTS</w:t>
        </w:r>
        <w:r w:rsidR="00AE5FBA">
          <w:rPr>
            <w:noProof/>
            <w:webHidden/>
          </w:rPr>
          <w:tab/>
        </w:r>
        <w:r w:rsidR="00AE5FBA">
          <w:rPr>
            <w:noProof/>
            <w:webHidden/>
          </w:rPr>
          <w:fldChar w:fldCharType="begin"/>
        </w:r>
        <w:r w:rsidR="00AE5FBA">
          <w:rPr>
            <w:noProof/>
            <w:webHidden/>
          </w:rPr>
          <w:instrText xml:space="preserve"> PAGEREF _Toc383506906 \h </w:instrText>
        </w:r>
        <w:r w:rsidR="00AE5FBA">
          <w:rPr>
            <w:noProof/>
            <w:webHidden/>
          </w:rPr>
        </w:r>
        <w:r w:rsidR="00AE5FBA">
          <w:rPr>
            <w:noProof/>
            <w:webHidden/>
          </w:rPr>
          <w:fldChar w:fldCharType="separate"/>
        </w:r>
        <w:r w:rsidR="00520E44">
          <w:rPr>
            <w:noProof/>
            <w:webHidden/>
          </w:rPr>
          <w:t>18</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07" w:history="1">
        <w:r w:rsidR="00AE5FBA" w:rsidRPr="00A302B9">
          <w:rPr>
            <w:rStyle w:val="Hyperlink"/>
            <w:noProof/>
            <w:lang w:eastAsia="en-AU"/>
          </w:rPr>
          <w:t>1.</w:t>
        </w:r>
        <w:r w:rsidR="00AE5FBA">
          <w:rPr>
            <w:rFonts w:asciiTheme="minorHAnsi" w:eastAsiaTheme="minorEastAsia" w:hAnsiTheme="minorHAnsi"/>
            <w:b w:val="0"/>
            <w:noProof/>
            <w:lang w:eastAsia="en-AU"/>
          </w:rPr>
          <w:tab/>
        </w:r>
        <w:r w:rsidR="00AE5FBA" w:rsidRPr="00A302B9">
          <w:rPr>
            <w:rStyle w:val="Hyperlink"/>
            <w:noProof/>
            <w:lang w:eastAsia="en-AU"/>
          </w:rPr>
          <w:t>GENERAL</w:t>
        </w:r>
        <w:r w:rsidR="00AE5FBA">
          <w:rPr>
            <w:noProof/>
            <w:webHidden/>
          </w:rPr>
          <w:tab/>
        </w:r>
        <w:r w:rsidR="00AE5FBA">
          <w:rPr>
            <w:noProof/>
            <w:webHidden/>
          </w:rPr>
          <w:fldChar w:fldCharType="begin"/>
        </w:r>
        <w:r w:rsidR="00AE5FBA">
          <w:rPr>
            <w:noProof/>
            <w:webHidden/>
          </w:rPr>
          <w:instrText xml:space="preserve"> PAGEREF _Toc383506907 \h </w:instrText>
        </w:r>
        <w:r w:rsidR="00AE5FBA">
          <w:rPr>
            <w:noProof/>
            <w:webHidden/>
          </w:rPr>
        </w:r>
        <w:r w:rsidR="00AE5FBA">
          <w:rPr>
            <w:noProof/>
            <w:webHidden/>
          </w:rPr>
          <w:fldChar w:fldCharType="separate"/>
        </w:r>
        <w:r w:rsidR="00520E44">
          <w:rPr>
            <w:noProof/>
            <w:webHidden/>
          </w:rPr>
          <w:t>18</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08" w:history="1">
        <w:r w:rsidR="00AE5FBA" w:rsidRPr="00A302B9">
          <w:rPr>
            <w:rStyle w:val="Hyperlink"/>
            <w:noProof/>
            <w:lang w:eastAsia="en-AU"/>
          </w:rPr>
          <w:t>2.</w:t>
        </w:r>
        <w:r w:rsidR="00AE5FBA">
          <w:rPr>
            <w:rFonts w:asciiTheme="minorHAnsi" w:eastAsiaTheme="minorEastAsia" w:hAnsiTheme="minorHAnsi"/>
            <w:b w:val="0"/>
            <w:noProof/>
            <w:lang w:eastAsia="en-AU"/>
          </w:rPr>
          <w:tab/>
        </w:r>
        <w:r w:rsidR="00AE5FBA" w:rsidRPr="00A302B9">
          <w:rPr>
            <w:rStyle w:val="Hyperlink"/>
            <w:noProof/>
            <w:lang w:eastAsia="en-AU"/>
          </w:rPr>
          <w:t>RECONCILIATION AND SUMMARY TABLES</w:t>
        </w:r>
        <w:r w:rsidR="00AE5FBA">
          <w:rPr>
            <w:noProof/>
            <w:webHidden/>
          </w:rPr>
          <w:tab/>
        </w:r>
        <w:r w:rsidR="00AE5FBA">
          <w:rPr>
            <w:noProof/>
            <w:webHidden/>
          </w:rPr>
          <w:fldChar w:fldCharType="begin"/>
        </w:r>
        <w:r w:rsidR="00AE5FBA">
          <w:rPr>
            <w:noProof/>
            <w:webHidden/>
          </w:rPr>
          <w:instrText xml:space="preserve"> PAGEREF _Toc383506908 \h </w:instrText>
        </w:r>
        <w:r w:rsidR="00AE5FBA">
          <w:rPr>
            <w:noProof/>
            <w:webHidden/>
          </w:rPr>
        </w:r>
        <w:r w:rsidR="00AE5FBA">
          <w:rPr>
            <w:noProof/>
            <w:webHidden/>
          </w:rPr>
          <w:fldChar w:fldCharType="separate"/>
        </w:r>
        <w:r w:rsidR="00520E44">
          <w:rPr>
            <w:noProof/>
            <w:webHidden/>
          </w:rPr>
          <w:t>19</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09" w:history="1">
        <w:r w:rsidR="00AE5FBA" w:rsidRPr="00A302B9">
          <w:rPr>
            <w:rStyle w:val="Hyperlink"/>
            <w:noProof/>
            <w:lang w:eastAsia="en-AU"/>
          </w:rPr>
          <w:t>3.</w:t>
        </w:r>
        <w:r w:rsidR="00AE5FBA">
          <w:rPr>
            <w:rFonts w:asciiTheme="minorHAnsi" w:eastAsiaTheme="minorEastAsia" w:hAnsiTheme="minorHAnsi"/>
            <w:b w:val="0"/>
            <w:noProof/>
            <w:lang w:eastAsia="en-AU"/>
          </w:rPr>
          <w:tab/>
        </w:r>
        <w:r w:rsidR="00AE5FBA" w:rsidRPr="00A302B9">
          <w:rPr>
            <w:rStyle w:val="Hyperlink"/>
            <w:noProof/>
            <w:lang w:eastAsia="en-AU"/>
          </w:rPr>
          <w:t>BASIS OF PREPARATION</w:t>
        </w:r>
        <w:r w:rsidR="00AE5FBA">
          <w:rPr>
            <w:noProof/>
            <w:webHidden/>
          </w:rPr>
          <w:tab/>
        </w:r>
        <w:r w:rsidR="00AE5FBA">
          <w:rPr>
            <w:noProof/>
            <w:webHidden/>
          </w:rPr>
          <w:fldChar w:fldCharType="begin"/>
        </w:r>
        <w:r w:rsidR="00AE5FBA">
          <w:rPr>
            <w:noProof/>
            <w:webHidden/>
          </w:rPr>
          <w:instrText xml:space="preserve"> PAGEREF _Toc383506909 \h </w:instrText>
        </w:r>
        <w:r w:rsidR="00AE5FBA">
          <w:rPr>
            <w:noProof/>
            <w:webHidden/>
          </w:rPr>
        </w:r>
        <w:r w:rsidR="00AE5FBA">
          <w:rPr>
            <w:noProof/>
            <w:webHidden/>
          </w:rPr>
          <w:fldChar w:fldCharType="separate"/>
        </w:r>
        <w:r w:rsidR="00520E44">
          <w:rPr>
            <w:noProof/>
            <w:webHidden/>
          </w:rPr>
          <w:t>20</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10" w:history="1">
        <w:r w:rsidR="00AE5FBA" w:rsidRPr="00A302B9">
          <w:rPr>
            <w:rStyle w:val="Hyperlink"/>
            <w:noProof/>
            <w:lang w:eastAsia="en-AU"/>
          </w:rPr>
          <w:t>4.</w:t>
        </w:r>
        <w:r w:rsidR="00AE5FBA">
          <w:rPr>
            <w:rFonts w:asciiTheme="minorHAnsi" w:eastAsiaTheme="minorEastAsia" w:hAnsiTheme="minorHAnsi"/>
            <w:b w:val="0"/>
            <w:noProof/>
            <w:lang w:eastAsia="en-AU"/>
          </w:rPr>
          <w:tab/>
        </w:r>
        <w:r w:rsidR="00AE5FBA" w:rsidRPr="00A302B9">
          <w:rPr>
            <w:rStyle w:val="Hyperlink"/>
            <w:noProof/>
            <w:lang w:eastAsia="en-AU"/>
          </w:rPr>
          <w:t>LABOUR COST INFORMATION</w:t>
        </w:r>
        <w:r w:rsidR="00AE5FBA">
          <w:rPr>
            <w:noProof/>
            <w:webHidden/>
          </w:rPr>
          <w:tab/>
        </w:r>
        <w:r w:rsidR="00AE5FBA">
          <w:rPr>
            <w:noProof/>
            <w:webHidden/>
          </w:rPr>
          <w:fldChar w:fldCharType="begin"/>
        </w:r>
        <w:r w:rsidR="00AE5FBA">
          <w:rPr>
            <w:noProof/>
            <w:webHidden/>
          </w:rPr>
          <w:instrText xml:space="preserve"> PAGEREF _Toc383506910 \h </w:instrText>
        </w:r>
        <w:r w:rsidR="00AE5FBA">
          <w:rPr>
            <w:noProof/>
            <w:webHidden/>
          </w:rPr>
        </w:r>
        <w:r w:rsidR="00AE5FBA">
          <w:rPr>
            <w:noProof/>
            <w:webHidden/>
          </w:rPr>
          <w:fldChar w:fldCharType="separate"/>
        </w:r>
        <w:r w:rsidR="00520E44">
          <w:rPr>
            <w:noProof/>
            <w:webHidden/>
          </w:rPr>
          <w:t>21</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11" w:history="1">
        <w:r w:rsidR="00AE5FBA" w:rsidRPr="00A302B9">
          <w:rPr>
            <w:rStyle w:val="Hyperlink"/>
            <w:noProof/>
            <w:lang w:eastAsia="en-AU"/>
          </w:rPr>
          <w:t>5.</w:t>
        </w:r>
        <w:r w:rsidR="00AE5FBA">
          <w:rPr>
            <w:rFonts w:asciiTheme="minorHAnsi" w:eastAsiaTheme="minorEastAsia" w:hAnsiTheme="minorHAnsi"/>
            <w:b w:val="0"/>
            <w:noProof/>
            <w:lang w:eastAsia="en-AU"/>
          </w:rPr>
          <w:tab/>
        </w:r>
        <w:r w:rsidR="00AE5FBA" w:rsidRPr="00A302B9">
          <w:rPr>
            <w:rStyle w:val="Hyperlink"/>
            <w:noProof/>
            <w:lang w:eastAsia="en-AU"/>
          </w:rPr>
          <w:t>REPLACEMENT CAPITAL EXPENDITURE</w:t>
        </w:r>
        <w:r w:rsidR="00AE5FBA">
          <w:rPr>
            <w:noProof/>
            <w:webHidden/>
          </w:rPr>
          <w:tab/>
        </w:r>
        <w:r w:rsidR="00AE5FBA">
          <w:rPr>
            <w:noProof/>
            <w:webHidden/>
          </w:rPr>
          <w:fldChar w:fldCharType="begin"/>
        </w:r>
        <w:r w:rsidR="00AE5FBA">
          <w:rPr>
            <w:noProof/>
            <w:webHidden/>
          </w:rPr>
          <w:instrText xml:space="preserve"> PAGEREF _Toc383506911 \h </w:instrText>
        </w:r>
        <w:r w:rsidR="00AE5FBA">
          <w:rPr>
            <w:noProof/>
            <w:webHidden/>
          </w:rPr>
        </w:r>
        <w:r w:rsidR="00AE5FBA">
          <w:rPr>
            <w:noProof/>
            <w:webHidden/>
          </w:rPr>
          <w:fldChar w:fldCharType="separate"/>
        </w:r>
        <w:r w:rsidR="00520E44">
          <w:rPr>
            <w:noProof/>
            <w:webHidden/>
          </w:rPr>
          <w:t>21</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12" w:history="1">
        <w:r w:rsidR="00AE5FBA" w:rsidRPr="00A302B9">
          <w:rPr>
            <w:rStyle w:val="Hyperlink"/>
            <w:noProof/>
            <w:lang w:eastAsia="en-AU"/>
          </w:rPr>
          <w:t>6.</w:t>
        </w:r>
        <w:r w:rsidR="00AE5FBA">
          <w:rPr>
            <w:rFonts w:asciiTheme="minorHAnsi" w:eastAsiaTheme="minorEastAsia" w:hAnsiTheme="minorHAnsi"/>
            <w:b w:val="0"/>
            <w:noProof/>
            <w:lang w:eastAsia="en-AU"/>
          </w:rPr>
          <w:tab/>
        </w:r>
        <w:r w:rsidR="00AE5FBA" w:rsidRPr="00A302B9">
          <w:rPr>
            <w:rStyle w:val="Hyperlink"/>
            <w:noProof/>
            <w:lang w:eastAsia="en-AU"/>
          </w:rPr>
          <w:t>ASSET AGE PROFILE</w:t>
        </w:r>
        <w:r w:rsidR="00AE5FBA">
          <w:rPr>
            <w:noProof/>
            <w:webHidden/>
          </w:rPr>
          <w:tab/>
        </w:r>
        <w:r w:rsidR="00AE5FBA">
          <w:rPr>
            <w:noProof/>
            <w:webHidden/>
          </w:rPr>
          <w:fldChar w:fldCharType="begin"/>
        </w:r>
        <w:r w:rsidR="00AE5FBA">
          <w:rPr>
            <w:noProof/>
            <w:webHidden/>
          </w:rPr>
          <w:instrText xml:space="preserve"> PAGEREF _Toc383506912 \h </w:instrText>
        </w:r>
        <w:r w:rsidR="00AE5FBA">
          <w:rPr>
            <w:noProof/>
            <w:webHidden/>
          </w:rPr>
        </w:r>
        <w:r w:rsidR="00AE5FBA">
          <w:rPr>
            <w:noProof/>
            <w:webHidden/>
          </w:rPr>
          <w:fldChar w:fldCharType="separate"/>
        </w:r>
        <w:r w:rsidR="00520E44">
          <w:rPr>
            <w:noProof/>
            <w:webHidden/>
          </w:rPr>
          <w:t>23</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13" w:history="1">
        <w:r w:rsidR="00AE5FBA" w:rsidRPr="00A302B9">
          <w:rPr>
            <w:rStyle w:val="Hyperlink"/>
            <w:noProof/>
            <w:lang w:eastAsia="en-AU"/>
          </w:rPr>
          <w:t>7.</w:t>
        </w:r>
        <w:r w:rsidR="00AE5FBA">
          <w:rPr>
            <w:rFonts w:asciiTheme="minorHAnsi" w:eastAsiaTheme="minorEastAsia" w:hAnsiTheme="minorHAnsi"/>
            <w:b w:val="0"/>
            <w:noProof/>
            <w:lang w:eastAsia="en-AU"/>
          </w:rPr>
          <w:tab/>
        </w:r>
        <w:r w:rsidR="00AE5FBA" w:rsidRPr="00A302B9">
          <w:rPr>
            <w:rStyle w:val="Hyperlink"/>
            <w:noProof/>
            <w:lang w:eastAsia="en-AU"/>
          </w:rPr>
          <w:t>AUGEX PROJECT DATA</w:t>
        </w:r>
        <w:r w:rsidR="00AE5FBA">
          <w:rPr>
            <w:noProof/>
            <w:webHidden/>
          </w:rPr>
          <w:tab/>
        </w:r>
        <w:r w:rsidR="00AE5FBA">
          <w:rPr>
            <w:noProof/>
            <w:webHidden/>
          </w:rPr>
          <w:fldChar w:fldCharType="begin"/>
        </w:r>
        <w:r w:rsidR="00AE5FBA">
          <w:rPr>
            <w:noProof/>
            <w:webHidden/>
          </w:rPr>
          <w:instrText xml:space="preserve"> PAGEREF _Toc383506913 \h </w:instrText>
        </w:r>
        <w:r w:rsidR="00AE5FBA">
          <w:rPr>
            <w:noProof/>
            <w:webHidden/>
          </w:rPr>
        </w:r>
        <w:r w:rsidR="00AE5FBA">
          <w:rPr>
            <w:noProof/>
            <w:webHidden/>
          </w:rPr>
          <w:fldChar w:fldCharType="separate"/>
        </w:r>
        <w:r w:rsidR="00520E44">
          <w:rPr>
            <w:noProof/>
            <w:webHidden/>
          </w:rPr>
          <w:t>23</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14" w:history="1">
        <w:r w:rsidR="00AE5FBA" w:rsidRPr="00A302B9">
          <w:rPr>
            <w:rStyle w:val="Hyperlink"/>
            <w:noProof/>
            <w:lang w:eastAsia="en-AU"/>
          </w:rPr>
          <w:t>8.</w:t>
        </w:r>
        <w:r w:rsidR="00AE5FBA">
          <w:rPr>
            <w:rFonts w:asciiTheme="minorHAnsi" w:eastAsiaTheme="minorEastAsia" w:hAnsiTheme="minorHAnsi"/>
            <w:b w:val="0"/>
            <w:noProof/>
            <w:lang w:eastAsia="en-AU"/>
          </w:rPr>
          <w:tab/>
        </w:r>
        <w:r w:rsidR="00AE5FBA" w:rsidRPr="00A302B9">
          <w:rPr>
            <w:rStyle w:val="Hyperlink"/>
            <w:noProof/>
            <w:lang w:eastAsia="en-AU"/>
          </w:rPr>
          <w:t>DEMAND</w:t>
        </w:r>
        <w:r w:rsidR="00AE5FBA">
          <w:rPr>
            <w:noProof/>
            <w:webHidden/>
          </w:rPr>
          <w:tab/>
        </w:r>
        <w:r w:rsidR="00AE5FBA">
          <w:rPr>
            <w:noProof/>
            <w:webHidden/>
          </w:rPr>
          <w:fldChar w:fldCharType="begin"/>
        </w:r>
        <w:r w:rsidR="00AE5FBA">
          <w:rPr>
            <w:noProof/>
            <w:webHidden/>
          </w:rPr>
          <w:instrText xml:space="preserve"> PAGEREF _Toc383506914 \h </w:instrText>
        </w:r>
        <w:r w:rsidR="00AE5FBA">
          <w:rPr>
            <w:noProof/>
            <w:webHidden/>
          </w:rPr>
        </w:r>
        <w:r w:rsidR="00AE5FBA">
          <w:rPr>
            <w:noProof/>
            <w:webHidden/>
          </w:rPr>
          <w:fldChar w:fldCharType="separate"/>
        </w:r>
        <w:r w:rsidR="00520E44">
          <w:rPr>
            <w:noProof/>
            <w:webHidden/>
          </w:rPr>
          <w:t>28</w:t>
        </w:r>
        <w:r w:rsidR="00AE5FBA">
          <w:rPr>
            <w:noProof/>
            <w:webHidden/>
          </w:rPr>
          <w:fldChar w:fldCharType="end"/>
        </w:r>
      </w:hyperlink>
    </w:p>
    <w:p w:rsidR="00AE5FBA" w:rsidRDefault="007535BB">
      <w:pPr>
        <w:pStyle w:val="TOC2"/>
        <w:tabs>
          <w:tab w:val="left" w:pos="660"/>
          <w:tab w:val="right" w:leader="dot" w:pos="9016"/>
        </w:tabs>
        <w:rPr>
          <w:rFonts w:asciiTheme="minorHAnsi" w:eastAsiaTheme="minorEastAsia" w:hAnsiTheme="minorHAnsi"/>
          <w:b w:val="0"/>
          <w:noProof/>
          <w:lang w:eastAsia="en-AU"/>
        </w:rPr>
      </w:pPr>
      <w:hyperlink w:anchor="_Toc383506915" w:history="1">
        <w:r w:rsidR="00AE5FBA" w:rsidRPr="00A302B9">
          <w:rPr>
            <w:rStyle w:val="Hyperlink"/>
            <w:noProof/>
          </w:rPr>
          <w:t>9.</w:t>
        </w:r>
        <w:r w:rsidR="00AE5FBA">
          <w:rPr>
            <w:rFonts w:asciiTheme="minorHAnsi" w:eastAsiaTheme="minorEastAsia" w:hAnsiTheme="minorHAnsi"/>
            <w:b w:val="0"/>
            <w:noProof/>
            <w:lang w:eastAsia="en-AU"/>
          </w:rPr>
          <w:tab/>
        </w:r>
        <w:r w:rsidR="00AE5FBA" w:rsidRPr="00A302B9">
          <w:rPr>
            <w:rStyle w:val="Hyperlink"/>
            <w:noProof/>
          </w:rPr>
          <w:t>NON-NETWORK EXPENDITURE</w:t>
        </w:r>
        <w:r w:rsidR="00AE5FBA">
          <w:rPr>
            <w:noProof/>
            <w:webHidden/>
          </w:rPr>
          <w:tab/>
        </w:r>
        <w:r w:rsidR="00AE5FBA">
          <w:rPr>
            <w:noProof/>
            <w:webHidden/>
          </w:rPr>
          <w:fldChar w:fldCharType="begin"/>
        </w:r>
        <w:r w:rsidR="00AE5FBA">
          <w:rPr>
            <w:noProof/>
            <w:webHidden/>
          </w:rPr>
          <w:instrText xml:space="preserve"> PAGEREF _Toc383506915 \h </w:instrText>
        </w:r>
        <w:r w:rsidR="00AE5FBA">
          <w:rPr>
            <w:noProof/>
            <w:webHidden/>
          </w:rPr>
        </w:r>
        <w:r w:rsidR="00AE5FBA">
          <w:rPr>
            <w:noProof/>
            <w:webHidden/>
          </w:rPr>
          <w:fldChar w:fldCharType="separate"/>
        </w:r>
        <w:r w:rsidR="00520E44">
          <w:rPr>
            <w:noProof/>
            <w:webHidden/>
          </w:rPr>
          <w:t>31</w:t>
        </w:r>
        <w:r w:rsidR="00AE5FBA">
          <w:rPr>
            <w:noProof/>
            <w:webHidden/>
          </w:rPr>
          <w:fldChar w:fldCharType="end"/>
        </w:r>
      </w:hyperlink>
    </w:p>
    <w:p w:rsidR="00AE5FBA" w:rsidRDefault="007535BB">
      <w:pPr>
        <w:pStyle w:val="TOC2"/>
        <w:tabs>
          <w:tab w:val="left" w:pos="880"/>
          <w:tab w:val="right" w:leader="dot" w:pos="9016"/>
        </w:tabs>
        <w:rPr>
          <w:rFonts w:asciiTheme="minorHAnsi" w:eastAsiaTheme="minorEastAsia" w:hAnsiTheme="minorHAnsi"/>
          <w:b w:val="0"/>
          <w:noProof/>
          <w:lang w:eastAsia="en-AU"/>
        </w:rPr>
      </w:pPr>
      <w:hyperlink w:anchor="_Toc383506916" w:history="1">
        <w:r w:rsidR="00AE5FBA" w:rsidRPr="00A302B9">
          <w:rPr>
            <w:rStyle w:val="Hyperlink"/>
            <w:noProof/>
            <w:lang w:eastAsia="en-AU"/>
          </w:rPr>
          <w:t>10.</w:t>
        </w:r>
        <w:r w:rsidR="00AE5FBA">
          <w:rPr>
            <w:rFonts w:asciiTheme="minorHAnsi" w:eastAsiaTheme="minorEastAsia" w:hAnsiTheme="minorHAnsi"/>
            <w:b w:val="0"/>
            <w:noProof/>
            <w:lang w:eastAsia="en-AU"/>
          </w:rPr>
          <w:tab/>
        </w:r>
        <w:r w:rsidR="00AE5FBA" w:rsidRPr="00A302B9">
          <w:rPr>
            <w:rStyle w:val="Hyperlink"/>
            <w:noProof/>
            <w:lang w:eastAsia="en-AU"/>
          </w:rPr>
          <w:t>MAINTENANCE EXPENDITURE</w:t>
        </w:r>
        <w:r w:rsidR="00AE5FBA">
          <w:rPr>
            <w:noProof/>
            <w:webHidden/>
          </w:rPr>
          <w:tab/>
        </w:r>
        <w:r w:rsidR="00AE5FBA">
          <w:rPr>
            <w:noProof/>
            <w:webHidden/>
          </w:rPr>
          <w:fldChar w:fldCharType="begin"/>
        </w:r>
        <w:r w:rsidR="00AE5FBA">
          <w:rPr>
            <w:noProof/>
            <w:webHidden/>
          </w:rPr>
          <w:instrText xml:space="preserve"> PAGEREF _Toc383506916 \h </w:instrText>
        </w:r>
        <w:r w:rsidR="00AE5FBA">
          <w:rPr>
            <w:noProof/>
            <w:webHidden/>
          </w:rPr>
        </w:r>
        <w:r w:rsidR="00AE5FBA">
          <w:rPr>
            <w:noProof/>
            <w:webHidden/>
          </w:rPr>
          <w:fldChar w:fldCharType="separate"/>
        </w:r>
        <w:r w:rsidR="00520E44">
          <w:rPr>
            <w:noProof/>
            <w:webHidden/>
          </w:rPr>
          <w:t>32</w:t>
        </w:r>
        <w:r w:rsidR="00AE5FBA">
          <w:rPr>
            <w:noProof/>
            <w:webHidden/>
          </w:rPr>
          <w:fldChar w:fldCharType="end"/>
        </w:r>
      </w:hyperlink>
    </w:p>
    <w:p w:rsidR="00AE5FBA" w:rsidRDefault="007535BB">
      <w:pPr>
        <w:pStyle w:val="TOC2"/>
        <w:tabs>
          <w:tab w:val="left" w:pos="880"/>
          <w:tab w:val="right" w:leader="dot" w:pos="9016"/>
        </w:tabs>
        <w:rPr>
          <w:rFonts w:asciiTheme="minorHAnsi" w:eastAsiaTheme="minorEastAsia" w:hAnsiTheme="minorHAnsi"/>
          <w:b w:val="0"/>
          <w:noProof/>
          <w:lang w:eastAsia="en-AU"/>
        </w:rPr>
      </w:pPr>
      <w:hyperlink w:anchor="_Toc383506917" w:history="1">
        <w:r w:rsidR="00AE5FBA" w:rsidRPr="00A302B9">
          <w:rPr>
            <w:rStyle w:val="Hyperlink"/>
            <w:noProof/>
            <w:lang w:eastAsia="en-AU"/>
          </w:rPr>
          <w:t>11.</w:t>
        </w:r>
        <w:r w:rsidR="00AE5FBA">
          <w:rPr>
            <w:rFonts w:asciiTheme="minorHAnsi" w:eastAsiaTheme="minorEastAsia" w:hAnsiTheme="minorHAnsi"/>
            <w:b w:val="0"/>
            <w:noProof/>
            <w:lang w:eastAsia="en-AU"/>
          </w:rPr>
          <w:tab/>
        </w:r>
        <w:r w:rsidR="00AE5FBA" w:rsidRPr="00A302B9">
          <w:rPr>
            <w:rStyle w:val="Hyperlink"/>
            <w:noProof/>
            <w:lang w:eastAsia="en-AU"/>
          </w:rPr>
          <w:t>VEGETATION MANAGEMENT EXPENDITURE</w:t>
        </w:r>
        <w:r w:rsidR="00AE5FBA">
          <w:rPr>
            <w:noProof/>
            <w:webHidden/>
          </w:rPr>
          <w:tab/>
        </w:r>
        <w:r w:rsidR="00AE5FBA">
          <w:rPr>
            <w:noProof/>
            <w:webHidden/>
          </w:rPr>
          <w:fldChar w:fldCharType="begin"/>
        </w:r>
        <w:r w:rsidR="00AE5FBA">
          <w:rPr>
            <w:noProof/>
            <w:webHidden/>
          </w:rPr>
          <w:instrText xml:space="preserve"> PAGEREF _Toc383506917 \h </w:instrText>
        </w:r>
        <w:r w:rsidR="00AE5FBA">
          <w:rPr>
            <w:noProof/>
            <w:webHidden/>
          </w:rPr>
        </w:r>
        <w:r w:rsidR="00AE5FBA">
          <w:rPr>
            <w:noProof/>
            <w:webHidden/>
          </w:rPr>
          <w:fldChar w:fldCharType="separate"/>
        </w:r>
        <w:r w:rsidR="00520E44">
          <w:rPr>
            <w:noProof/>
            <w:webHidden/>
          </w:rPr>
          <w:t>32</w:t>
        </w:r>
        <w:r w:rsidR="00AE5FBA">
          <w:rPr>
            <w:noProof/>
            <w:webHidden/>
          </w:rPr>
          <w:fldChar w:fldCharType="end"/>
        </w:r>
      </w:hyperlink>
    </w:p>
    <w:p w:rsidR="00AE5FBA" w:rsidRDefault="007535BB">
      <w:pPr>
        <w:pStyle w:val="TOC2"/>
        <w:tabs>
          <w:tab w:val="left" w:pos="880"/>
          <w:tab w:val="right" w:leader="dot" w:pos="9016"/>
        </w:tabs>
        <w:rPr>
          <w:rFonts w:asciiTheme="minorHAnsi" w:eastAsiaTheme="minorEastAsia" w:hAnsiTheme="minorHAnsi"/>
          <w:b w:val="0"/>
          <w:noProof/>
          <w:lang w:eastAsia="en-AU"/>
        </w:rPr>
      </w:pPr>
      <w:hyperlink w:anchor="_Toc383506918" w:history="1">
        <w:r w:rsidR="00AE5FBA" w:rsidRPr="00A302B9">
          <w:rPr>
            <w:rStyle w:val="Hyperlink"/>
            <w:noProof/>
            <w:lang w:eastAsia="en-AU"/>
          </w:rPr>
          <w:t>12.</w:t>
        </w:r>
        <w:r w:rsidR="00AE5FBA">
          <w:rPr>
            <w:rFonts w:asciiTheme="minorHAnsi" w:eastAsiaTheme="minorEastAsia" w:hAnsiTheme="minorHAnsi"/>
            <w:b w:val="0"/>
            <w:noProof/>
            <w:lang w:eastAsia="en-AU"/>
          </w:rPr>
          <w:tab/>
        </w:r>
        <w:r w:rsidR="00AE5FBA" w:rsidRPr="00A302B9">
          <w:rPr>
            <w:rStyle w:val="Hyperlink"/>
            <w:noProof/>
            <w:lang w:eastAsia="en-AU"/>
          </w:rPr>
          <w:t>OVERHEADS EXPENDITURE</w:t>
        </w:r>
        <w:r w:rsidR="00AE5FBA">
          <w:rPr>
            <w:noProof/>
            <w:webHidden/>
          </w:rPr>
          <w:tab/>
        </w:r>
        <w:r w:rsidR="00AE5FBA">
          <w:rPr>
            <w:noProof/>
            <w:webHidden/>
          </w:rPr>
          <w:fldChar w:fldCharType="begin"/>
        </w:r>
        <w:r w:rsidR="00AE5FBA">
          <w:rPr>
            <w:noProof/>
            <w:webHidden/>
          </w:rPr>
          <w:instrText xml:space="preserve"> PAGEREF _Toc383506918 \h </w:instrText>
        </w:r>
        <w:r w:rsidR="00AE5FBA">
          <w:rPr>
            <w:noProof/>
            <w:webHidden/>
          </w:rPr>
        </w:r>
        <w:r w:rsidR="00AE5FBA">
          <w:rPr>
            <w:noProof/>
            <w:webHidden/>
          </w:rPr>
          <w:fldChar w:fldCharType="separate"/>
        </w:r>
        <w:r w:rsidR="00520E44">
          <w:rPr>
            <w:noProof/>
            <w:webHidden/>
          </w:rPr>
          <w:t>35</w:t>
        </w:r>
        <w:r w:rsidR="00AE5FBA">
          <w:rPr>
            <w:noProof/>
            <w:webHidden/>
          </w:rPr>
          <w:fldChar w:fldCharType="end"/>
        </w:r>
      </w:hyperlink>
    </w:p>
    <w:p w:rsidR="00AE5FBA" w:rsidRDefault="007535BB">
      <w:pPr>
        <w:pStyle w:val="TOC1"/>
        <w:tabs>
          <w:tab w:val="right" w:leader="dot" w:pos="9016"/>
        </w:tabs>
        <w:rPr>
          <w:rFonts w:asciiTheme="minorHAnsi" w:eastAsiaTheme="minorEastAsia" w:hAnsiTheme="minorHAnsi"/>
          <w:b w:val="0"/>
          <w:noProof/>
          <w:lang w:eastAsia="en-AU"/>
        </w:rPr>
      </w:pPr>
      <w:hyperlink w:anchor="_Toc383506919" w:history="1">
        <w:r w:rsidR="00AE5FBA" w:rsidRPr="00A302B9">
          <w:rPr>
            <w:rStyle w:val="Hyperlink"/>
            <w:noProof/>
          </w:rPr>
          <w:t>APPENDIX F: DEFINITIONS</w:t>
        </w:r>
        <w:r w:rsidR="00AE5FBA">
          <w:rPr>
            <w:noProof/>
            <w:webHidden/>
          </w:rPr>
          <w:tab/>
        </w:r>
        <w:r w:rsidR="00AE5FBA">
          <w:rPr>
            <w:noProof/>
            <w:webHidden/>
          </w:rPr>
          <w:fldChar w:fldCharType="begin"/>
        </w:r>
        <w:r w:rsidR="00AE5FBA">
          <w:rPr>
            <w:noProof/>
            <w:webHidden/>
          </w:rPr>
          <w:instrText xml:space="preserve"> PAGEREF _Toc383506919 \h </w:instrText>
        </w:r>
        <w:r w:rsidR="00AE5FBA">
          <w:rPr>
            <w:noProof/>
            <w:webHidden/>
          </w:rPr>
        </w:r>
        <w:r w:rsidR="00AE5FBA">
          <w:rPr>
            <w:noProof/>
            <w:webHidden/>
          </w:rPr>
          <w:fldChar w:fldCharType="separate"/>
        </w:r>
        <w:r w:rsidR="00520E44">
          <w:rPr>
            <w:noProof/>
            <w:webHidden/>
          </w:rPr>
          <w:t>37</w:t>
        </w:r>
        <w:r w:rsidR="00AE5FBA">
          <w:rPr>
            <w:noProof/>
            <w:webHidden/>
          </w:rPr>
          <w:fldChar w:fldCharType="end"/>
        </w:r>
      </w:hyperlink>
    </w:p>
    <w:p w:rsidR="00AE5FBA" w:rsidRDefault="00AE5FBA" w:rsidP="00AE5FBA">
      <w:pPr>
        <w:tabs>
          <w:tab w:val="left" w:pos="6003"/>
        </w:tabs>
        <w:spacing w:after="200" w:line="276" w:lineRule="auto"/>
        <w:jc w:val="left"/>
        <w:rPr>
          <w:rFonts w:eastAsiaTheme="majorEastAsia" w:cstheme="majorBidi"/>
          <w:b/>
          <w:bCs/>
          <w:szCs w:val="28"/>
        </w:rPr>
      </w:pPr>
      <w:r>
        <w:rPr>
          <w:rFonts w:eastAsiaTheme="majorEastAsia" w:cstheme="majorBidi"/>
          <w:b/>
          <w:bCs/>
          <w:szCs w:val="28"/>
        </w:rPr>
        <w:fldChar w:fldCharType="end"/>
      </w:r>
      <w:r>
        <w:rPr>
          <w:rFonts w:eastAsiaTheme="majorEastAsia" w:cstheme="majorBidi"/>
          <w:b/>
          <w:bCs/>
          <w:szCs w:val="28"/>
        </w:rPr>
        <w:tab/>
      </w:r>
    </w:p>
    <w:p w:rsidR="00AE5FBA" w:rsidRDefault="00AE5FBA" w:rsidP="0052182B">
      <w:pPr>
        <w:spacing w:after="200" w:line="276" w:lineRule="auto"/>
        <w:jc w:val="left"/>
        <w:rPr>
          <w:rFonts w:eastAsiaTheme="majorEastAsia" w:cstheme="majorBidi"/>
          <w:b/>
          <w:bCs/>
          <w:szCs w:val="28"/>
        </w:rPr>
      </w:pPr>
      <w:r>
        <w:br w:type="page"/>
      </w:r>
    </w:p>
    <w:p w:rsidR="00AE5FBA" w:rsidRPr="00FE3ED6" w:rsidRDefault="00AE5FBA" w:rsidP="0052182B">
      <w:pPr>
        <w:pStyle w:val="Heading1"/>
      </w:pPr>
      <w:bookmarkStart w:id="1" w:name="_Toc383506891"/>
      <w:r w:rsidRPr="00FE3ED6">
        <w:lastRenderedPageBreak/>
        <w:t>SCHEDULE 1</w:t>
      </w:r>
      <w:bookmarkEnd w:id="1"/>
    </w:p>
    <w:p w:rsidR="00AE5FBA" w:rsidRPr="003861D6" w:rsidRDefault="00AE5FBA" w:rsidP="0052182B">
      <w:pPr>
        <w:jc w:val="center"/>
        <w:rPr>
          <w:b/>
        </w:rPr>
      </w:pPr>
      <w:r w:rsidRPr="003861D6">
        <w:rPr>
          <w:b/>
        </w:rPr>
        <w:t>REGULATORY INFORMATION NOTICE UNDER DIVISION 4 OF PART 3 OF THE NATIONAL ELECTRICITY (</w:t>
      </w:r>
      <w:r w:rsidRPr="00E34849">
        <w:rPr>
          <w:b/>
          <w:noProof/>
        </w:rPr>
        <w:t>STATE</w:t>
      </w:r>
      <w:r w:rsidRPr="003861D6">
        <w:rPr>
          <w:b/>
        </w:rPr>
        <w:t>) LAW ISSUED TO</w:t>
      </w:r>
    </w:p>
    <w:p w:rsidR="00AE5FBA" w:rsidRDefault="00AE5FBA" w:rsidP="0052182B">
      <w:pPr>
        <w:jc w:val="center"/>
        <w:rPr>
          <w:b/>
        </w:rPr>
      </w:pPr>
      <w:r w:rsidRPr="00E34849">
        <w:rPr>
          <w:b/>
          <w:noProof/>
        </w:rPr>
        <w:t>NSP NAME</w:t>
      </w:r>
      <w:r>
        <w:rPr>
          <w:b/>
        </w:rPr>
        <w:t xml:space="preserve"> </w:t>
      </w:r>
      <w:r w:rsidRPr="00E34849">
        <w:rPr>
          <w:b/>
          <w:noProof/>
        </w:rPr>
        <w:t>(ACN XXX XXX XXX)</w:t>
      </w:r>
    </w:p>
    <w:p w:rsidR="00AE5FBA" w:rsidRDefault="00AE5FBA" w:rsidP="0052182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AE5FBA" w:rsidTr="00BC2EA4">
        <w:tc>
          <w:tcPr>
            <w:tcW w:w="817" w:type="dxa"/>
          </w:tcPr>
          <w:p w:rsidR="00AE5FBA" w:rsidRPr="00694201" w:rsidRDefault="00AE5FBA" w:rsidP="00BC2EA4">
            <w:pPr>
              <w:rPr>
                <w:b/>
              </w:rPr>
            </w:pPr>
            <w:r w:rsidRPr="00694201">
              <w:rPr>
                <w:b/>
              </w:rPr>
              <w:t>Note:</w:t>
            </w:r>
          </w:p>
        </w:tc>
        <w:tc>
          <w:tcPr>
            <w:tcW w:w="8425" w:type="dxa"/>
          </w:tcPr>
          <w:p w:rsidR="00AE5FBA" w:rsidRDefault="00AE5FBA" w:rsidP="00BC2EA4">
            <w:pPr>
              <w:tabs>
                <w:tab w:val="left" w:pos="459"/>
              </w:tabs>
              <w:ind w:left="459" w:hanging="459"/>
              <w:rPr>
                <w:b/>
              </w:rPr>
            </w:pPr>
            <w:r w:rsidRPr="00694201">
              <w:rPr>
                <w:b/>
              </w:rPr>
              <w:t>(</w:t>
            </w:r>
            <w:r>
              <w:rPr>
                <w:b/>
              </w:rPr>
              <w:t>a</w:t>
            </w:r>
            <w:r w:rsidRPr="00694201">
              <w:rPr>
                <w:b/>
              </w:rPr>
              <w:t>)</w:t>
            </w:r>
            <w:r w:rsidRPr="00694201">
              <w:rPr>
                <w:b/>
              </w:rPr>
              <w:tab/>
              <w:t>All information and responses must be provided in accordance with this Schedule.</w:t>
            </w:r>
          </w:p>
          <w:p w:rsidR="00AE5FBA" w:rsidRPr="00066F78" w:rsidRDefault="00AE5FBA" w:rsidP="00BC2EA4">
            <w:pPr>
              <w:tabs>
                <w:tab w:val="left" w:pos="459"/>
              </w:tabs>
              <w:ind w:left="459" w:hanging="459"/>
              <w:rPr>
                <w:b/>
              </w:rPr>
            </w:pPr>
            <w:r w:rsidRPr="00066F78">
              <w:rPr>
                <w:rFonts w:cs="Arial"/>
                <w:b/>
              </w:rPr>
              <w:t>(</w:t>
            </w:r>
            <w:r>
              <w:rPr>
                <w:rFonts w:cs="Arial"/>
                <w:b/>
              </w:rPr>
              <w:t>b</w:t>
            </w:r>
            <w:r w:rsidRPr="00066F78">
              <w:rPr>
                <w:rFonts w:cs="Arial"/>
                <w:b/>
              </w:rPr>
              <w:t>)</w:t>
            </w:r>
            <w:r w:rsidRPr="00066F78">
              <w:rPr>
                <w:rFonts w:cs="Arial"/>
                <w:b/>
              </w:rPr>
              <w:tab/>
              <w:t>Audited or reviewed information must be provided annually.</w:t>
            </w:r>
          </w:p>
        </w:tc>
      </w:tr>
    </w:tbl>
    <w:p w:rsidR="00AE5FBA" w:rsidRDefault="00AE5FBA" w:rsidP="0052182B"/>
    <w:p w:rsidR="00AE5FBA" w:rsidRPr="006C57AF" w:rsidRDefault="00AE5FBA" w:rsidP="0052182B">
      <w:pPr>
        <w:pStyle w:val="Heading2"/>
      </w:pPr>
      <w:bookmarkStart w:id="2" w:name="_Toc383506892"/>
      <w:r w:rsidRPr="006C57AF">
        <w:t>PROVIDE INFORMATION</w:t>
      </w:r>
      <w:bookmarkEnd w:id="2"/>
    </w:p>
    <w:p w:rsidR="00AE5FBA" w:rsidRPr="0022661C" w:rsidRDefault="00AE5FBA" w:rsidP="0052182B">
      <w:pPr>
        <w:pStyle w:val="Numberlist1"/>
      </w:pPr>
      <w:r w:rsidRPr="0022661C">
        <w:t xml:space="preserve">Provide the information required in each </w:t>
      </w:r>
      <w:r w:rsidRPr="00DE24B0">
        <w:rPr>
          <w:i/>
        </w:rPr>
        <w:t>Regulatory Template</w:t>
      </w:r>
      <w:r w:rsidRPr="0022661C">
        <w:t xml:space="preserve"> in the Microsoft Excel </w:t>
      </w:r>
      <w:r>
        <w:t>W</w:t>
      </w:r>
      <w:r w:rsidRPr="0022661C">
        <w:t>orkbook</w:t>
      </w:r>
      <w:r>
        <w:t>s</w:t>
      </w:r>
      <w:r w:rsidRPr="0022661C">
        <w:t xml:space="preserve"> attached at Appendix A completed in accordance with:</w:t>
      </w:r>
    </w:p>
    <w:p w:rsidR="00AE5FBA" w:rsidRDefault="00AE5FBA" w:rsidP="0052182B">
      <w:pPr>
        <w:pStyle w:val="Numberlist2"/>
      </w:pPr>
      <w:r>
        <w:t>this Notice</w:t>
      </w:r>
      <w:r w:rsidRPr="00F011A4">
        <w:t xml:space="preserve">; </w:t>
      </w:r>
      <w:r>
        <w:t>and</w:t>
      </w:r>
    </w:p>
    <w:p w:rsidR="00AE5FBA" w:rsidRPr="00F011A4" w:rsidRDefault="00AE5FBA" w:rsidP="0052182B">
      <w:pPr>
        <w:pStyle w:val="Numberlist2"/>
      </w:pPr>
      <w:proofErr w:type="gramStart"/>
      <w:r>
        <w:t>the</w:t>
      </w:r>
      <w:proofErr w:type="gramEnd"/>
      <w:r>
        <w:t xml:space="preserve"> Principles and Requirements in Appendix E.</w:t>
      </w:r>
    </w:p>
    <w:p w:rsidR="00AE5FBA" w:rsidRDefault="00AE5FBA" w:rsidP="0052182B">
      <w:pPr>
        <w:pStyle w:val="Numberlist1"/>
      </w:pPr>
      <w:r>
        <w:t xml:space="preserve">Provide in accordance with this Notice and the Principles and Requirements in Appendix E, a Basis of Preparation demonstrating </w:t>
      </w:r>
      <w:r w:rsidRPr="00E34849">
        <w:rPr>
          <w:noProof/>
        </w:rPr>
        <w:t>TNSP</w:t>
      </w:r>
      <w:r>
        <w:t xml:space="preserve"> has complied with this Notice, in respect of:</w:t>
      </w:r>
    </w:p>
    <w:p w:rsidR="00AE5FBA" w:rsidRDefault="00AE5FBA" w:rsidP="0052182B">
      <w:pPr>
        <w:pStyle w:val="Numberlist2"/>
      </w:pPr>
      <w:r>
        <w:t>the information in each Regulatory Template in the Microsoft Excel Workbooks attached at Appendix A; and</w:t>
      </w:r>
    </w:p>
    <w:p w:rsidR="00AE5FBA" w:rsidRDefault="00AE5FBA" w:rsidP="0052182B">
      <w:pPr>
        <w:pStyle w:val="Numberlist2"/>
      </w:pPr>
      <w:proofErr w:type="gramStart"/>
      <w:r>
        <w:t>any</w:t>
      </w:r>
      <w:proofErr w:type="gramEnd"/>
      <w:r>
        <w:t xml:space="preserve"> other information prepared in accordance with the requirements of this Notice.</w:t>
      </w:r>
    </w:p>
    <w:p w:rsidR="00AE5FBA" w:rsidRDefault="00AE5FBA" w:rsidP="00704282">
      <w:pPr>
        <w:pStyle w:val="Numberlist1"/>
      </w:pPr>
      <w:r>
        <w:t xml:space="preserve">Provide information or supporting documentation used to comply with the requirements of this </w:t>
      </w:r>
      <w:r w:rsidRPr="00E95448">
        <w:rPr>
          <w:i/>
        </w:rPr>
        <w:t>Notice</w:t>
      </w:r>
      <w:r>
        <w:t>.</w:t>
      </w:r>
    </w:p>
    <w:p w:rsidR="00AE5FBA" w:rsidRPr="00570B6F" w:rsidRDefault="00AE5FBA" w:rsidP="0052182B">
      <w:pPr>
        <w:pStyle w:val="Heading2"/>
      </w:pPr>
      <w:bookmarkStart w:id="3" w:name="_Toc383506893"/>
      <w:r w:rsidRPr="00570B6F">
        <w:t>AUDIT REPORTS</w:t>
      </w:r>
      <w:bookmarkEnd w:id="3"/>
    </w:p>
    <w:p w:rsidR="00AE5FBA" w:rsidRPr="00D22FDB" w:rsidRDefault="00AE5FBA" w:rsidP="0052182B">
      <w:pPr>
        <w:pStyle w:val="Numberlist1"/>
        <w:rPr>
          <w:lang w:eastAsia="en-AU"/>
        </w:rPr>
      </w:pPr>
      <w:r w:rsidRPr="00570B6F">
        <w:t xml:space="preserve">Provide </w:t>
      </w:r>
      <w:r>
        <w:t xml:space="preserve">an </w:t>
      </w:r>
      <w:r w:rsidRPr="00704282">
        <w:rPr>
          <w:i/>
        </w:rPr>
        <w:t>Audit Report</w:t>
      </w:r>
      <w:r>
        <w:t xml:space="preserve"> and </w:t>
      </w:r>
      <w:r w:rsidRPr="00704282">
        <w:rPr>
          <w:i/>
        </w:rPr>
        <w:t>Review Report(s)</w:t>
      </w:r>
      <w:r>
        <w:t xml:space="preserve"> in accordance with the requirements in Appendix C</w:t>
      </w:r>
      <w:r w:rsidRPr="00D22FDB">
        <w:rPr>
          <w:lang w:eastAsia="en-AU"/>
        </w:rPr>
        <w:t>.</w:t>
      </w:r>
    </w:p>
    <w:p w:rsidR="00AE5FBA" w:rsidRPr="00570B6F" w:rsidRDefault="00AE5FBA" w:rsidP="0052182B">
      <w:pPr>
        <w:pStyle w:val="Numberlist1"/>
      </w:pPr>
      <w:r w:rsidRPr="00570B6F">
        <w:t xml:space="preserve">Provide all reports from the Auditor </w:t>
      </w:r>
      <w:r>
        <w:t xml:space="preserve">to </w:t>
      </w:r>
      <w:r w:rsidRPr="00E34849">
        <w:rPr>
          <w:noProof/>
        </w:rPr>
        <w:t>TNSP</w:t>
      </w:r>
      <w:r w:rsidRPr="00570B6F">
        <w:t>’s management regarding the audit review and/or auditors’ opinions or assessment.</w:t>
      </w:r>
    </w:p>
    <w:p w:rsidR="00AE5FBA" w:rsidRDefault="00AE5FBA" w:rsidP="0052182B">
      <w:pPr>
        <w:pStyle w:val="Heading2"/>
      </w:pPr>
      <w:bookmarkStart w:id="4" w:name="_Toc383506894"/>
      <w:r w:rsidRPr="006339FF">
        <w:t>CONFIDENTIAL INFORMATION</w:t>
      </w:r>
      <w:bookmarkEnd w:id="4"/>
    </w:p>
    <w:p w:rsidR="00AE5FBA" w:rsidRPr="000B277B" w:rsidRDefault="00AE5FBA" w:rsidP="0052182B">
      <w:pPr>
        <w:pStyle w:val="Numberlist1"/>
      </w:pPr>
      <w:r w:rsidRPr="000B277B">
        <w:t xml:space="preserve">If </w:t>
      </w:r>
      <w:r w:rsidRPr="00E34849">
        <w:rPr>
          <w:noProof/>
        </w:rPr>
        <w:t>TNSP</w:t>
      </w:r>
      <w:r>
        <w:t xml:space="preserve"> </w:t>
      </w:r>
      <w:r w:rsidRPr="000B277B">
        <w:t>wishes to make a claim for confidentiality over any</w:t>
      </w:r>
      <w:r>
        <w:t xml:space="preserve"> information provided in response to this </w:t>
      </w:r>
      <w:r w:rsidRPr="0011345A">
        <w:rPr>
          <w:i/>
        </w:rPr>
        <w:t>Notice</w:t>
      </w:r>
      <w:r w:rsidRPr="000B277B">
        <w:t xml:space="preserve">, provide the details of that claim in accordance with the requirements of </w:t>
      </w:r>
      <w:r>
        <w:t xml:space="preserve">the </w:t>
      </w:r>
      <w:r w:rsidRPr="00B07BA9">
        <w:rPr>
          <w:i/>
        </w:rPr>
        <w:t>AER</w:t>
      </w:r>
      <w:r w:rsidRPr="00787555">
        <w:rPr>
          <w:i/>
        </w:rPr>
        <w:t>’s</w:t>
      </w:r>
      <w:r w:rsidRPr="000B277B">
        <w:t xml:space="preserve"> Confidentiality Guideline, as if it extended and applied to that claim for confidentiality.</w:t>
      </w:r>
    </w:p>
    <w:p w:rsidR="00AE5FBA" w:rsidRPr="000B277B" w:rsidRDefault="00AE5FBA" w:rsidP="0052182B">
      <w:pPr>
        <w:pStyle w:val="Numberlist1"/>
      </w:pPr>
      <w:r w:rsidRPr="000B277B">
        <w:t>Provide any details of a claim for confidentiality in response to clause</w:t>
      </w:r>
      <w:r>
        <w:t xml:space="preserve"> 3.1</w:t>
      </w:r>
      <w:r w:rsidRPr="000B277B">
        <w:t xml:space="preserve"> at the same time as making the claim for confidentiality.</w:t>
      </w:r>
    </w:p>
    <w:p w:rsidR="00AE5FBA" w:rsidRPr="00E45DF4" w:rsidRDefault="00AE5FBA" w:rsidP="0052182B">
      <w:pPr>
        <w:pStyle w:val="Numberlist1"/>
      </w:pPr>
      <w:r w:rsidRPr="00E45DF4">
        <w:lastRenderedPageBreak/>
        <w:t xml:space="preserve">Confirm, in writing, that </w:t>
      </w:r>
      <w:r w:rsidRPr="00E34849">
        <w:rPr>
          <w:noProof/>
        </w:rPr>
        <w:t>TNSP</w:t>
      </w:r>
      <w:r w:rsidRPr="00E45DF4">
        <w:t xml:space="preserve"> consents to the AER disclosing all other of </w:t>
      </w:r>
      <w:r w:rsidRPr="00E34849">
        <w:rPr>
          <w:noProof/>
        </w:rPr>
        <w:t>TNSP</w:t>
      </w:r>
      <w:r w:rsidRPr="00E45DF4">
        <w:t xml:space="preserve">’s Information on the AER website. </w:t>
      </w:r>
    </w:p>
    <w:p w:rsidR="00AE5FBA" w:rsidRDefault="00AE5FBA" w:rsidP="0052182B">
      <w:pPr>
        <w:pStyle w:val="Heading2"/>
      </w:pPr>
      <w:bookmarkStart w:id="5" w:name="_Toc383506895"/>
      <w:r>
        <w:t>ONGOING OBLIGATION</w:t>
      </w:r>
      <w:bookmarkEnd w:id="5"/>
    </w:p>
    <w:p w:rsidR="00AE5FBA" w:rsidRPr="00023CF8" w:rsidRDefault="00AE5FBA" w:rsidP="0052182B">
      <w:pPr>
        <w:pStyle w:val="Numberlist1"/>
      </w:pPr>
      <w:r>
        <w:t xml:space="preserve">Provide information for the </w:t>
      </w:r>
      <w:r w:rsidRPr="00704282">
        <w:rPr>
          <w:i/>
        </w:rPr>
        <w:t>Subsequent Regulatory Years</w:t>
      </w:r>
      <w:r>
        <w:t xml:space="preserve"> annually </w:t>
      </w:r>
      <w:r w:rsidRPr="00C43353">
        <w:rPr>
          <w:rFonts w:cs="Arial"/>
          <w:szCs w:val="22"/>
        </w:rPr>
        <w:t xml:space="preserve">up to </w:t>
      </w:r>
      <w:r w:rsidRPr="00C43353">
        <w:rPr>
          <w:rFonts w:cs="Arial"/>
        </w:rPr>
        <w:t xml:space="preserve">and </w:t>
      </w:r>
      <w:r w:rsidRPr="00C43353">
        <w:rPr>
          <w:rFonts w:cs="Arial"/>
          <w:szCs w:val="22"/>
        </w:rPr>
        <w:t xml:space="preserve">including the 2024 </w:t>
      </w:r>
      <w:r w:rsidRPr="00704282">
        <w:rPr>
          <w:rFonts w:cs="Arial"/>
          <w:i/>
          <w:szCs w:val="22"/>
        </w:rPr>
        <w:t>Regulatory Year</w:t>
      </w:r>
      <w:r w:rsidRPr="00C43353">
        <w:rPr>
          <w:rFonts w:cs="Arial"/>
        </w:rPr>
        <w:t>.</w:t>
      </w:r>
    </w:p>
    <w:p w:rsidR="00AE5FBA" w:rsidRPr="00F37F7F" w:rsidRDefault="00AE5FBA" w:rsidP="0052182B"/>
    <w:p w:rsidR="00AE5FBA" w:rsidRPr="007B6924" w:rsidRDefault="00AE5FBA" w:rsidP="0052182B"/>
    <w:p w:rsidR="00AE5FBA" w:rsidRDefault="00AE5FBA" w:rsidP="0052182B">
      <w:pPr>
        <w:spacing w:after="200" w:line="276" w:lineRule="auto"/>
        <w:jc w:val="left"/>
      </w:pPr>
      <w:r>
        <w:br w:type="page"/>
      </w:r>
    </w:p>
    <w:p w:rsidR="00AE5FBA" w:rsidRPr="00FE3ED6" w:rsidRDefault="00AE5FBA" w:rsidP="0052182B">
      <w:pPr>
        <w:pStyle w:val="Heading1"/>
      </w:pPr>
      <w:bookmarkStart w:id="6" w:name="_Toc383506896"/>
      <w:r w:rsidRPr="00FE3ED6">
        <w:lastRenderedPageBreak/>
        <w:t xml:space="preserve">SCHEDULE </w:t>
      </w:r>
      <w:r>
        <w:t>2</w:t>
      </w:r>
      <w:bookmarkEnd w:id="6"/>
    </w:p>
    <w:p w:rsidR="00AE5FBA" w:rsidRPr="003861D6" w:rsidRDefault="00AE5FBA" w:rsidP="0052182B">
      <w:pPr>
        <w:jc w:val="center"/>
        <w:rPr>
          <w:b/>
        </w:rPr>
      </w:pPr>
      <w:r w:rsidRPr="003861D6">
        <w:rPr>
          <w:b/>
        </w:rPr>
        <w:t>REGULATORY INFORMATION NOTICE UNDER DIVISION 4 OF PART 3 OF THE NATIONAL ELECTRICITY (</w:t>
      </w:r>
      <w:r w:rsidRPr="00E34849">
        <w:rPr>
          <w:b/>
          <w:noProof/>
        </w:rPr>
        <w:t>STATE</w:t>
      </w:r>
      <w:r w:rsidRPr="003861D6">
        <w:rPr>
          <w:b/>
        </w:rPr>
        <w:t>) LAW ISSUED TO</w:t>
      </w:r>
    </w:p>
    <w:p w:rsidR="00AE5FBA" w:rsidRDefault="00AE5FBA" w:rsidP="0052182B">
      <w:pPr>
        <w:jc w:val="center"/>
        <w:rPr>
          <w:b/>
        </w:rPr>
      </w:pPr>
      <w:r w:rsidRPr="00E34849">
        <w:rPr>
          <w:b/>
          <w:noProof/>
        </w:rPr>
        <w:t>NSP NAME</w:t>
      </w:r>
      <w:r>
        <w:rPr>
          <w:b/>
        </w:rPr>
        <w:t xml:space="preserve"> </w:t>
      </w:r>
      <w:r w:rsidRPr="00E34849">
        <w:rPr>
          <w:b/>
          <w:noProof/>
        </w:rPr>
        <w:t>(ACN XXX XXX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AE5FBA" w:rsidTr="00BC2EA4">
        <w:tc>
          <w:tcPr>
            <w:tcW w:w="817" w:type="dxa"/>
          </w:tcPr>
          <w:p w:rsidR="00AE5FBA" w:rsidRPr="00CE50A2" w:rsidRDefault="00AE5FBA" w:rsidP="00BC2EA4">
            <w:pPr>
              <w:rPr>
                <w:b/>
              </w:rPr>
            </w:pPr>
            <w:r w:rsidRPr="00CE50A2">
              <w:rPr>
                <w:b/>
              </w:rPr>
              <w:t>Note:</w:t>
            </w:r>
          </w:p>
        </w:tc>
        <w:tc>
          <w:tcPr>
            <w:tcW w:w="8425" w:type="dxa"/>
          </w:tcPr>
          <w:p w:rsidR="00AE5FBA" w:rsidRPr="00CE50A2" w:rsidRDefault="00AE5FBA" w:rsidP="00BC2EA4">
            <w:pPr>
              <w:rPr>
                <w:b/>
              </w:rPr>
            </w:pPr>
            <w:r w:rsidRPr="00CE50A2">
              <w:rPr>
                <w:b/>
              </w:rPr>
              <w:t>The information specified in the Microsoft Excel workbook</w:t>
            </w:r>
            <w:r>
              <w:rPr>
                <w:b/>
              </w:rPr>
              <w:t>s</w:t>
            </w:r>
            <w:r w:rsidRPr="00CE50A2">
              <w:rPr>
                <w:b/>
              </w:rPr>
              <w:t xml:space="preserve"> attached at Appendix A and accompanying Basis of Preparation must be verified in accordance with the requirements of this Notice using the statutory declaration in Appendix B and audited or reviewed (as appropriate) in accordance with Appendix C.</w:t>
            </w:r>
          </w:p>
        </w:tc>
      </w:tr>
    </w:tbl>
    <w:p w:rsidR="00AE5FBA" w:rsidRDefault="00AE5FBA" w:rsidP="0052182B"/>
    <w:p w:rsidR="00AE5FBA" w:rsidRPr="00894DA9" w:rsidRDefault="00AE5FBA" w:rsidP="0052182B">
      <w:pPr>
        <w:pStyle w:val="Heading2"/>
        <w:numPr>
          <w:ilvl w:val="1"/>
          <w:numId w:val="28"/>
        </w:numPr>
      </w:pPr>
      <w:bookmarkStart w:id="7" w:name="_Toc383506897"/>
      <w:r w:rsidRPr="00894DA9">
        <w:t>PREPARE INFORMATION</w:t>
      </w:r>
      <w:bookmarkEnd w:id="7"/>
    </w:p>
    <w:p w:rsidR="00AE5FBA" w:rsidRPr="0022403F" w:rsidRDefault="00AE5FBA" w:rsidP="0052182B">
      <w:pPr>
        <w:pStyle w:val="Numberlist1"/>
        <w:rPr>
          <w:lang w:eastAsia="en-AU"/>
        </w:rPr>
      </w:pPr>
      <w:r w:rsidRPr="00894DA9">
        <w:t>Prepare the Microsoft Excel workbook</w:t>
      </w:r>
      <w:r>
        <w:t>s</w:t>
      </w:r>
      <w:r w:rsidRPr="00894DA9">
        <w:t xml:space="preserve"> attached at Appendix A in the manner and form</w:t>
      </w:r>
      <w:r w:rsidRPr="0022403F">
        <w:rPr>
          <w:lang w:eastAsia="en-AU"/>
        </w:rPr>
        <w:t xml:space="preserve"> </w:t>
      </w:r>
      <w:r w:rsidRPr="00C612FF">
        <w:rPr>
          <w:lang w:eastAsia="en-AU"/>
        </w:rPr>
        <w:t xml:space="preserve">specified in the worksheets therein </w:t>
      </w:r>
      <w:r w:rsidRPr="00CE50A2">
        <w:rPr>
          <w:lang w:eastAsia="en-AU"/>
        </w:rPr>
        <w:t xml:space="preserve">and in accordance with </w:t>
      </w:r>
      <w:r>
        <w:rPr>
          <w:lang w:eastAsia="en-AU"/>
        </w:rPr>
        <w:t xml:space="preserve">this </w:t>
      </w:r>
      <w:r w:rsidRPr="00704282">
        <w:rPr>
          <w:i/>
          <w:lang w:eastAsia="en-AU"/>
        </w:rPr>
        <w:t>Notice</w:t>
      </w:r>
      <w:r w:rsidRPr="00CE50A2">
        <w:rPr>
          <w:lang w:eastAsia="en-AU"/>
        </w:rPr>
        <w:t>.</w:t>
      </w:r>
    </w:p>
    <w:p w:rsidR="00AE5FBA" w:rsidRPr="0022403F" w:rsidRDefault="00AE5FBA" w:rsidP="0052182B">
      <w:pPr>
        <w:pStyle w:val="Numberlist1"/>
        <w:rPr>
          <w:lang w:eastAsia="en-AU"/>
        </w:rPr>
      </w:pPr>
      <w:r>
        <w:rPr>
          <w:lang w:eastAsia="en-AU"/>
        </w:rPr>
        <w:t>P</w:t>
      </w:r>
      <w:r w:rsidRPr="0022403F">
        <w:rPr>
          <w:lang w:eastAsia="en-AU"/>
        </w:rPr>
        <w:t>repare a Basis of Preparation in accordance with the requirements specified in Schedule 1. The Basis of Preparation must:</w:t>
      </w:r>
    </w:p>
    <w:p w:rsidR="00AE5FBA" w:rsidRPr="0022403F" w:rsidRDefault="00AE5FBA" w:rsidP="0052182B">
      <w:pPr>
        <w:pStyle w:val="Numberlist2"/>
      </w:pPr>
      <w:r w:rsidRPr="0022403F">
        <w:t>demonstrate how the information provided is consistent with the requirements of this Notice;</w:t>
      </w:r>
    </w:p>
    <w:p w:rsidR="00AE5FBA" w:rsidRPr="0022403F" w:rsidRDefault="00AE5FBA" w:rsidP="0052182B">
      <w:pPr>
        <w:pStyle w:val="Numberlist2"/>
      </w:pPr>
      <w:r w:rsidRPr="0022403F">
        <w:t xml:space="preserve">explain the source from </w:t>
      </w:r>
      <w:r>
        <w:t xml:space="preserve">which </w:t>
      </w:r>
      <w:r w:rsidRPr="00E34849">
        <w:rPr>
          <w:noProof/>
        </w:rPr>
        <w:t>TNSP</w:t>
      </w:r>
      <w:r>
        <w:t xml:space="preserve"> </w:t>
      </w:r>
      <w:r w:rsidRPr="0022403F">
        <w:rPr>
          <w:noProof/>
        </w:rPr>
        <w:t xml:space="preserve">obtained the </w:t>
      </w:r>
      <w:r w:rsidRPr="0022403F">
        <w:t>information provided;</w:t>
      </w:r>
    </w:p>
    <w:p w:rsidR="00AE5FBA" w:rsidRPr="0022403F" w:rsidRDefault="00AE5FBA" w:rsidP="0052182B">
      <w:pPr>
        <w:pStyle w:val="Numberlist2"/>
      </w:pPr>
      <w:r w:rsidRPr="0022403F">
        <w:t xml:space="preserve">explain the </w:t>
      </w:r>
      <w:r>
        <w:t xml:space="preserve">methodology </w:t>
      </w:r>
      <w:r w:rsidRPr="00E34849">
        <w:rPr>
          <w:noProof/>
        </w:rPr>
        <w:t>TNSP</w:t>
      </w:r>
      <w:r>
        <w:t xml:space="preserve"> applied</w:t>
      </w:r>
      <w:r w:rsidRPr="0022403F">
        <w:t xml:space="preserve"> to provide the required information, including any </w:t>
      </w:r>
      <w:r>
        <w:t xml:space="preserve">assumptions </w:t>
      </w:r>
      <w:r w:rsidRPr="00E34849">
        <w:rPr>
          <w:noProof/>
        </w:rPr>
        <w:t>TNSP</w:t>
      </w:r>
      <w:r>
        <w:t xml:space="preserve"> made</w:t>
      </w:r>
      <w:r w:rsidRPr="0022403F">
        <w:t>;</w:t>
      </w:r>
    </w:p>
    <w:p w:rsidR="00AE5FBA" w:rsidRPr="0022403F" w:rsidRDefault="00AE5FBA" w:rsidP="0052182B">
      <w:pPr>
        <w:pStyle w:val="Numberlist2"/>
      </w:pPr>
      <w:r w:rsidRPr="0022403F">
        <w:t xml:space="preserve">explain, in circumstances </w:t>
      </w:r>
      <w:r>
        <w:t xml:space="preserve">where </w:t>
      </w:r>
      <w:r w:rsidRPr="00E34849">
        <w:rPr>
          <w:noProof/>
        </w:rPr>
        <w:t>TNSP</w:t>
      </w:r>
      <w:r>
        <w:t xml:space="preserve"> cannot</w:t>
      </w:r>
      <w:r w:rsidRPr="0022403F">
        <w:t xml:space="preserve"> provide input for a Variable using Actual Information and therefore must provide input using Estimated Information:</w:t>
      </w:r>
    </w:p>
    <w:p w:rsidR="00AE5FBA" w:rsidRPr="0022403F" w:rsidRDefault="00AE5FBA" w:rsidP="0052182B">
      <w:pPr>
        <w:pStyle w:val="Numberlist3"/>
      </w:pPr>
      <w:r w:rsidRPr="0022403F">
        <w:t xml:space="preserve">why an estimate was required, including why it was not possible for </w:t>
      </w:r>
      <w:r w:rsidRPr="00E34849">
        <w:rPr>
          <w:noProof/>
        </w:rPr>
        <w:t>TNSP</w:t>
      </w:r>
      <w:r w:rsidRPr="0022403F">
        <w:t xml:space="preserve"> to use Actual Information;</w:t>
      </w:r>
    </w:p>
    <w:p w:rsidR="00AE5FBA" w:rsidRPr="0022403F" w:rsidRDefault="00AE5FBA" w:rsidP="0052182B">
      <w:pPr>
        <w:pStyle w:val="Numberlist3"/>
      </w:pPr>
      <w:proofErr w:type="gramStart"/>
      <w:r w:rsidRPr="0022403F">
        <w:t>the</w:t>
      </w:r>
      <w:proofErr w:type="gramEnd"/>
      <w:r w:rsidRPr="0022403F">
        <w:t xml:space="preserve"> basis for the estimate, including the approach used, assumptions made and reasons why the estimate </w:t>
      </w:r>
      <w:r>
        <w:t xml:space="preserve">is </w:t>
      </w:r>
      <w:r w:rsidRPr="00E34849">
        <w:rPr>
          <w:noProof/>
        </w:rPr>
        <w:t>TNSP</w:t>
      </w:r>
      <w:r>
        <w:t>’s</w:t>
      </w:r>
      <w:r w:rsidRPr="0022403F">
        <w:t xml:space="preserve"> best estimate, given the information sought in this Notice.</w:t>
      </w:r>
    </w:p>
    <w:p w:rsidR="00AE5FBA" w:rsidRPr="00CE50A2" w:rsidRDefault="00AE5FBA" w:rsidP="0052182B">
      <w:pPr>
        <w:pStyle w:val="Numberlist1"/>
      </w:pPr>
      <w:r w:rsidRPr="00CE50A2">
        <w:t xml:space="preserve">Prepare all information required under this </w:t>
      </w:r>
      <w:r w:rsidRPr="00704282">
        <w:rPr>
          <w:i/>
        </w:rPr>
        <w:t>Notice</w:t>
      </w:r>
      <w:r w:rsidRPr="00CE50A2">
        <w:t xml:space="preserve"> in a manner and form:</w:t>
      </w:r>
    </w:p>
    <w:p w:rsidR="00AE5FBA" w:rsidRPr="00CE50A2" w:rsidRDefault="00AE5FBA" w:rsidP="0052182B">
      <w:pPr>
        <w:pStyle w:val="Numberlist2"/>
      </w:pPr>
      <w:r w:rsidRPr="00CE50A2">
        <w:t>that is in accordance with the requirements specified at Schedule 1;</w:t>
      </w:r>
    </w:p>
    <w:p w:rsidR="00AE5FBA" w:rsidRPr="00CE50A2" w:rsidRDefault="00AE5FBA" w:rsidP="0052182B">
      <w:pPr>
        <w:pStyle w:val="Numberlist2"/>
      </w:pPr>
      <w:r w:rsidRPr="00CE50A2">
        <w:t>which:</w:t>
      </w:r>
    </w:p>
    <w:p w:rsidR="00AE5FBA" w:rsidRPr="00CE50A2" w:rsidRDefault="00AE5FBA" w:rsidP="0052182B">
      <w:pPr>
        <w:pStyle w:val="Numberlist3"/>
      </w:pPr>
      <w:r w:rsidRPr="00CE50A2">
        <w:t>is in an electronic format;</w:t>
      </w:r>
    </w:p>
    <w:p w:rsidR="00AE5FBA" w:rsidRPr="00CE50A2" w:rsidRDefault="00AE5FBA" w:rsidP="0052182B">
      <w:pPr>
        <w:pStyle w:val="Numberlist3"/>
      </w:pPr>
      <w:r w:rsidRPr="00CE50A2">
        <w:t>includes (where applicable) any underlying calculations and formulae;</w:t>
      </w:r>
    </w:p>
    <w:p w:rsidR="00AE5FBA" w:rsidRPr="00CE50A2" w:rsidRDefault="00AE5FBA" w:rsidP="0052182B">
      <w:pPr>
        <w:pStyle w:val="Numberlist3"/>
      </w:pPr>
      <w:r w:rsidRPr="00CE50A2">
        <w:t>is not password protected; and</w:t>
      </w:r>
    </w:p>
    <w:p w:rsidR="00AE5FBA" w:rsidRPr="00CE50A2" w:rsidRDefault="00AE5FBA" w:rsidP="0052182B">
      <w:pPr>
        <w:pStyle w:val="Numberlist3"/>
      </w:pPr>
      <w:proofErr w:type="gramStart"/>
      <w:r w:rsidRPr="00CE50A2">
        <w:t>is</w:t>
      </w:r>
      <w:proofErr w:type="gramEnd"/>
      <w:r w:rsidRPr="00CE50A2">
        <w:t xml:space="preserve"> capable of text selection and a ‘copy and paste’ function being applied to it.</w:t>
      </w:r>
    </w:p>
    <w:p w:rsidR="00AE5FBA" w:rsidRPr="0022403F" w:rsidRDefault="00AE5FBA" w:rsidP="0052182B">
      <w:pPr>
        <w:pStyle w:val="Numberlist2"/>
        <w:rPr>
          <w:lang w:eastAsia="en-AU"/>
        </w:rPr>
      </w:pPr>
      <w:proofErr w:type="gramStart"/>
      <w:r w:rsidRPr="0022403F">
        <w:rPr>
          <w:lang w:eastAsia="en-AU"/>
        </w:rPr>
        <w:lastRenderedPageBreak/>
        <w:t>that</w:t>
      </w:r>
      <w:proofErr w:type="gramEnd"/>
      <w:r w:rsidRPr="0022403F">
        <w:rPr>
          <w:lang w:eastAsia="en-AU"/>
        </w:rPr>
        <w:t xml:space="preserve"> is readily available for inspection by, or submission to, the AER</w:t>
      </w:r>
      <w:r>
        <w:rPr>
          <w:lang w:eastAsia="en-AU"/>
        </w:rPr>
        <w:t>.</w:t>
      </w:r>
      <w:r w:rsidRPr="0022403F">
        <w:rPr>
          <w:lang w:eastAsia="en-AU"/>
        </w:rPr>
        <w:t xml:space="preserve"> </w:t>
      </w:r>
    </w:p>
    <w:p w:rsidR="00AE5FBA" w:rsidRPr="00293B4E" w:rsidRDefault="00AE5FBA" w:rsidP="0052182B">
      <w:pPr>
        <w:pStyle w:val="Numberlist1"/>
      </w:pPr>
      <w:r w:rsidRPr="00293B4E">
        <w:t xml:space="preserve">Prepare, using a person(s) who satisfies the requirements of paragraph 2 of Appendix C, an Audit Report and Review Report(s) (as applicable) in accordance with the requirements of this Notice. </w:t>
      </w:r>
    </w:p>
    <w:p w:rsidR="00AE5FBA" w:rsidRPr="006E1A9F" w:rsidRDefault="00AE5FBA" w:rsidP="0052182B">
      <w:pPr>
        <w:pStyle w:val="Heading2"/>
      </w:pPr>
      <w:bookmarkStart w:id="8" w:name="_Toc383506898"/>
      <w:r w:rsidRPr="006E1A9F">
        <w:t>MAINTAIN INFORMATION</w:t>
      </w:r>
      <w:bookmarkEnd w:id="8"/>
    </w:p>
    <w:p w:rsidR="00AE5FBA" w:rsidRPr="0022403F" w:rsidRDefault="00AE5FBA" w:rsidP="0052182B">
      <w:pPr>
        <w:pStyle w:val="Numberlist1"/>
      </w:pPr>
      <w:r w:rsidRPr="0022403F">
        <w:t>Maintain, from the date of this Notice</w:t>
      </w:r>
      <w:r w:rsidRPr="00704282">
        <w:t xml:space="preserve"> </w:t>
      </w:r>
      <w:r>
        <w:t>to 30 June 2024</w:t>
      </w:r>
      <w:r w:rsidRPr="0022403F">
        <w:t>, all information prepared under this Schedule 2.</w:t>
      </w:r>
    </w:p>
    <w:p w:rsidR="00AE5FBA" w:rsidRDefault="00AE5FBA" w:rsidP="0052182B"/>
    <w:p w:rsidR="00AE5FBA" w:rsidRDefault="00AE5FBA" w:rsidP="0052182B"/>
    <w:p w:rsidR="00AE5FBA" w:rsidRDefault="00AE5FBA" w:rsidP="0052182B"/>
    <w:p w:rsidR="00AE5FBA" w:rsidRDefault="00AE5FBA" w:rsidP="0052182B">
      <w:pPr>
        <w:spacing w:after="200" w:line="276" w:lineRule="auto"/>
        <w:jc w:val="left"/>
      </w:pPr>
      <w:r>
        <w:br w:type="page"/>
      </w:r>
    </w:p>
    <w:p w:rsidR="00AE5FBA" w:rsidRPr="00354080" w:rsidRDefault="00AE5FBA" w:rsidP="0052182B">
      <w:pPr>
        <w:pStyle w:val="Heading1"/>
      </w:pPr>
      <w:bookmarkStart w:id="9" w:name="_Toc383506899"/>
      <w:r w:rsidRPr="00354080">
        <w:lastRenderedPageBreak/>
        <w:t>APPENDIX A: REGULATORY TEMPLATES</w:t>
      </w:r>
      <w:bookmarkEnd w:id="9"/>
    </w:p>
    <w:p w:rsidR="00AE5FBA" w:rsidRDefault="00AE5FBA" w:rsidP="0052182B">
      <w:r>
        <w:t xml:space="preserve">See attached Microsoft Excel Workbooks titled: </w:t>
      </w:r>
    </w:p>
    <w:p w:rsidR="00AE5FBA" w:rsidRDefault="00AE5FBA" w:rsidP="004C2C68">
      <w:pPr>
        <w:pStyle w:val="ListParagraph"/>
        <w:numPr>
          <w:ilvl w:val="0"/>
          <w:numId w:val="52"/>
        </w:numPr>
        <w:spacing w:before="240"/>
        <w:ind w:left="777" w:hanging="357"/>
        <w:contextualSpacing w:val="0"/>
        <w:rPr>
          <w:b/>
          <w:i/>
        </w:rPr>
      </w:pPr>
      <w:r>
        <w:t>‘</w:t>
      </w:r>
      <w:r>
        <w:rPr>
          <w:b/>
          <w:i/>
        </w:rPr>
        <w:t>A</w:t>
      </w:r>
      <w:hyperlink r:id="rId11" w:history="1">
        <w:r w:rsidRPr="005C6FE1">
          <w:rPr>
            <w:b/>
            <w:i/>
          </w:rPr>
          <w:t>ER Category Analysis data templates for transmission network service providers</w:t>
        </w:r>
      </w:hyperlink>
      <w:r>
        <w:rPr>
          <w:b/>
          <w:i/>
        </w:rPr>
        <w:t xml:space="preserve"> – Consolidated information.xlsx’</w:t>
      </w:r>
    </w:p>
    <w:p w:rsidR="00AE5FBA" w:rsidRDefault="00AE5FBA" w:rsidP="00AE5FBA">
      <w:pPr>
        <w:pStyle w:val="ListParagraph"/>
        <w:numPr>
          <w:ilvl w:val="0"/>
          <w:numId w:val="52"/>
        </w:numPr>
        <w:spacing w:before="240"/>
        <w:contextualSpacing w:val="0"/>
        <w:rPr>
          <w:b/>
          <w:i/>
        </w:rPr>
      </w:pPr>
      <w:r>
        <w:t>‘</w:t>
      </w:r>
      <w:r>
        <w:rPr>
          <w:b/>
          <w:i/>
        </w:rPr>
        <w:t>A</w:t>
      </w:r>
      <w:hyperlink r:id="rId12" w:history="1">
        <w:r w:rsidRPr="005C6FE1">
          <w:rPr>
            <w:b/>
            <w:i/>
          </w:rPr>
          <w:t>ER Category Analysis data templates for transmission network service providers</w:t>
        </w:r>
      </w:hyperlink>
      <w:r>
        <w:rPr>
          <w:b/>
          <w:i/>
        </w:rPr>
        <w:t xml:space="preserve"> – Actual information.xlsx’</w:t>
      </w:r>
    </w:p>
    <w:p w:rsidR="00AE5FBA" w:rsidRDefault="00AE5FBA" w:rsidP="004C2C68">
      <w:pPr>
        <w:pStyle w:val="ListParagraph"/>
        <w:numPr>
          <w:ilvl w:val="0"/>
          <w:numId w:val="52"/>
        </w:numPr>
        <w:spacing w:before="240"/>
        <w:ind w:left="777" w:hanging="357"/>
        <w:contextualSpacing w:val="0"/>
        <w:rPr>
          <w:b/>
          <w:i/>
        </w:rPr>
      </w:pPr>
      <w:r>
        <w:t>‘</w:t>
      </w:r>
      <w:r>
        <w:rPr>
          <w:b/>
          <w:i/>
        </w:rPr>
        <w:t>A</w:t>
      </w:r>
      <w:hyperlink r:id="rId13" w:history="1">
        <w:r w:rsidRPr="005C6FE1">
          <w:rPr>
            <w:b/>
            <w:i/>
          </w:rPr>
          <w:t>ER Category Analysis data templates for transmission network service providers</w:t>
        </w:r>
      </w:hyperlink>
      <w:r>
        <w:rPr>
          <w:b/>
          <w:i/>
        </w:rPr>
        <w:t xml:space="preserve"> – Estimated information.xlsx’</w:t>
      </w:r>
    </w:p>
    <w:p w:rsidR="00AE5FBA" w:rsidRDefault="00AE5FBA" w:rsidP="0052182B">
      <w:pPr>
        <w:pStyle w:val="Heading1"/>
      </w:pPr>
      <w:r>
        <w:br w:type="page"/>
      </w:r>
      <w:bookmarkStart w:id="10" w:name="_Toc383506900"/>
      <w:r>
        <w:lastRenderedPageBreak/>
        <w:t>APPENDIX B: STATUTORY DECLARATION</w:t>
      </w:r>
      <w:bookmarkEnd w:id="10"/>
      <w:r>
        <w:t xml:space="preserve"> </w:t>
      </w:r>
    </w:p>
    <w:p w:rsidR="00AE5FBA" w:rsidRPr="009B7D12" w:rsidRDefault="00AE5FBA" w:rsidP="0052182B">
      <w:pPr>
        <w:jc w:val="center"/>
        <w:rPr>
          <w:b/>
        </w:rPr>
      </w:pPr>
      <w:r w:rsidRPr="009B7D12">
        <w:rPr>
          <w:b/>
        </w:rPr>
        <w:t xml:space="preserve">NATIONAL ELECTRICITY </w:t>
      </w:r>
      <w:r w:rsidRPr="00E34849">
        <w:rPr>
          <w:b/>
          <w:noProof/>
        </w:rPr>
        <w:t>STATE</w:t>
      </w:r>
      <w:r w:rsidRPr="009B7D12">
        <w:rPr>
          <w:b/>
        </w:rPr>
        <w:t>) LAW</w:t>
      </w:r>
    </w:p>
    <w:p w:rsidR="00AE5FBA" w:rsidRPr="009B7D12" w:rsidRDefault="00AE5FBA" w:rsidP="0052182B">
      <w:pPr>
        <w:jc w:val="center"/>
        <w:rPr>
          <w:b/>
        </w:rPr>
      </w:pPr>
      <w:r w:rsidRPr="009B7D12">
        <w:rPr>
          <w:b/>
        </w:rPr>
        <w:t xml:space="preserve">SECTION </w:t>
      </w:r>
      <w:proofErr w:type="gramStart"/>
      <w:r w:rsidRPr="009B7D12">
        <w:rPr>
          <w:b/>
        </w:rPr>
        <w:t>28M(</w:t>
      </w:r>
      <w:proofErr w:type="gramEnd"/>
      <w:r w:rsidRPr="009B7D12">
        <w:rPr>
          <w:b/>
        </w:rPr>
        <w:t>d)</w:t>
      </w:r>
    </w:p>
    <w:p w:rsidR="00AE5FBA" w:rsidRDefault="00AE5FBA" w:rsidP="0052182B">
      <w:pPr>
        <w:jc w:val="center"/>
        <w:rPr>
          <w:b/>
        </w:rPr>
      </w:pPr>
      <w:r w:rsidRPr="009B7D12">
        <w:rPr>
          <w:b/>
        </w:rPr>
        <w:t>STATUTORY DECLARATION</w:t>
      </w:r>
    </w:p>
    <w:p w:rsidR="00AE5FBA" w:rsidRDefault="00AE5FBA" w:rsidP="0052182B">
      <w:pPr>
        <w:spacing w:after="200" w:line="276" w:lineRule="auto"/>
        <w:jc w:val="left"/>
        <w:rPr>
          <w:b/>
        </w:rPr>
      </w:pPr>
      <w:r>
        <w:rPr>
          <w:b/>
        </w:rPr>
        <w:br w:type="page"/>
      </w:r>
    </w:p>
    <w:p w:rsidR="00AE5FBA" w:rsidRPr="00E66521" w:rsidRDefault="00AE5FBA" w:rsidP="0052182B">
      <w:pPr>
        <w:spacing w:before="120"/>
        <w:jc w:val="center"/>
        <w:rPr>
          <w:rFonts w:eastAsia="Times New Roman" w:cs="Arial"/>
          <w:sz w:val="24"/>
          <w:szCs w:val="24"/>
        </w:rPr>
      </w:pPr>
      <w:r w:rsidRPr="00E66521">
        <w:rPr>
          <w:rFonts w:eastAsia="Times New Roman" w:cs="Arial"/>
          <w:sz w:val="24"/>
          <w:szCs w:val="24"/>
        </w:rPr>
        <w:lastRenderedPageBreak/>
        <w:t>Commonwealth of Australia</w:t>
      </w:r>
    </w:p>
    <w:p w:rsidR="00AE5FBA" w:rsidRPr="00E66521" w:rsidRDefault="00AE5FBA" w:rsidP="0052182B">
      <w:pPr>
        <w:spacing w:before="120" w:after="0" w:line="240" w:lineRule="auto"/>
        <w:jc w:val="center"/>
        <w:rPr>
          <w:rFonts w:eastAsia="Times New Roman" w:cs="Arial"/>
          <w:sz w:val="24"/>
          <w:szCs w:val="24"/>
        </w:rPr>
      </w:pPr>
      <w:r w:rsidRPr="00E66521">
        <w:rPr>
          <w:rFonts w:eastAsia="Times New Roman" w:cs="Arial"/>
          <w:sz w:val="24"/>
          <w:szCs w:val="24"/>
        </w:rPr>
        <w:t>STATUTORY DECLARATION</w:t>
      </w:r>
    </w:p>
    <w:p w:rsidR="00AE5FBA" w:rsidRPr="00E66521" w:rsidRDefault="00AE5FBA" w:rsidP="0052182B">
      <w:pPr>
        <w:spacing w:before="120" w:after="0" w:line="240" w:lineRule="auto"/>
        <w:jc w:val="center"/>
        <w:rPr>
          <w:rFonts w:eastAsia="Times New Roman" w:cs="Arial"/>
          <w:sz w:val="28"/>
          <w:szCs w:val="28"/>
        </w:rPr>
      </w:pPr>
      <w:r w:rsidRPr="00E66521">
        <w:rPr>
          <w:rFonts w:eastAsia="Times New Roman" w:cs="Arial"/>
          <w:i/>
          <w:sz w:val="24"/>
          <w:szCs w:val="24"/>
        </w:rPr>
        <w:t>Statutory Declarations Act 1959</w:t>
      </w:r>
    </w:p>
    <w:tbl>
      <w:tblPr>
        <w:tblW w:w="5000" w:type="pct"/>
        <w:tblLook w:val="0000" w:firstRow="0" w:lastRow="0" w:firstColumn="0" w:lastColumn="0" w:noHBand="0" w:noVBand="0"/>
      </w:tblPr>
      <w:tblGrid>
        <w:gridCol w:w="1301"/>
        <w:gridCol w:w="7941"/>
      </w:tblGrid>
      <w:tr w:rsidR="00AE5FBA" w:rsidRPr="00E66521" w:rsidTr="00BC2EA4">
        <w:tc>
          <w:tcPr>
            <w:tcW w:w="704" w:type="pct"/>
          </w:tcPr>
          <w:p w:rsidR="00AE5FBA" w:rsidRPr="00153304" w:rsidRDefault="00AE5FBA" w:rsidP="00BC2EA4">
            <w:pPr>
              <w:spacing w:after="0" w:line="240" w:lineRule="auto"/>
              <w:ind w:left="180" w:hanging="180"/>
              <w:rPr>
                <w:rFonts w:eastAsia="Times New Roman" w:cs="Arial"/>
                <w:sz w:val="13"/>
                <w:szCs w:val="13"/>
              </w:rPr>
            </w:pPr>
          </w:p>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1</w:t>
            </w:r>
            <w:r w:rsidRPr="00153304">
              <w:rPr>
                <w:rFonts w:eastAsia="Times New Roman" w:cs="Arial"/>
                <w:i/>
                <w:sz w:val="13"/>
                <w:szCs w:val="13"/>
              </w:rPr>
              <w:tab/>
              <w:t>Insert the name, address and occupation of person making the declaration</w:t>
            </w:r>
          </w:p>
        </w:tc>
        <w:tc>
          <w:tcPr>
            <w:tcW w:w="4296" w:type="pct"/>
          </w:tcPr>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rPr>
            </w:pPr>
            <w:r w:rsidRPr="00E66521">
              <w:rPr>
                <w:rFonts w:eastAsia="Times New Roman" w:cs="Arial"/>
              </w:rPr>
              <w:t>I,</w:t>
            </w:r>
            <w:r w:rsidRPr="00E66521">
              <w:rPr>
                <w:rFonts w:eastAsia="Times New Roman" w:cs="Arial"/>
                <w:vertAlign w:val="superscript"/>
              </w:rPr>
              <w:t>1</w:t>
            </w: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b/>
              </w:rPr>
            </w:pPr>
            <w:r w:rsidRPr="00E66521">
              <w:rPr>
                <w:rFonts w:eastAsia="Times New Roman" w:cs="Arial"/>
              </w:rPr>
              <w:t xml:space="preserve">make the following declaration under the </w:t>
            </w:r>
            <w:r w:rsidRPr="00E66521">
              <w:rPr>
                <w:rFonts w:eastAsia="Times New Roman" w:cs="Arial"/>
                <w:i/>
              </w:rPr>
              <w:t>Statutory Declarations Act 1959:</w:t>
            </w:r>
          </w:p>
        </w:tc>
      </w:tr>
      <w:tr w:rsidR="00AE5FBA" w:rsidRPr="00E66521" w:rsidTr="00BC2EA4">
        <w:tc>
          <w:tcPr>
            <w:tcW w:w="704" w:type="pct"/>
          </w:tcPr>
          <w:p w:rsidR="00AE5FBA" w:rsidRPr="00153304" w:rsidRDefault="00AE5FBA" w:rsidP="00BC2EA4">
            <w:pPr>
              <w:spacing w:after="0" w:line="240" w:lineRule="auto"/>
              <w:ind w:left="180" w:hanging="180"/>
              <w:rPr>
                <w:rFonts w:eastAsia="Times New Roman" w:cs="Arial"/>
                <w:sz w:val="13"/>
                <w:szCs w:val="13"/>
              </w:rPr>
            </w:pPr>
          </w:p>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2</w:t>
            </w:r>
            <w:r w:rsidRPr="00153304">
              <w:rPr>
                <w:rFonts w:eastAsia="Times New Roman" w:cs="Arial"/>
                <w:i/>
                <w:sz w:val="13"/>
                <w:szCs w:val="13"/>
              </w:rPr>
              <w:tab/>
              <w:t>Set out matter declared to in numbered paragraphs</w:t>
            </w:r>
          </w:p>
        </w:tc>
        <w:tc>
          <w:tcPr>
            <w:tcW w:w="4296" w:type="pct"/>
          </w:tcPr>
          <w:p w:rsidR="00AE5FBA" w:rsidRDefault="00AE5FBA" w:rsidP="00BC2EA4">
            <w:pPr>
              <w:tabs>
                <w:tab w:val="left" w:pos="2580"/>
              </w:tabs>
              <w:spacing w:after="0" w:line="240" w:lineRule="auto"/>
              <w:ind w:left="117"/>
              <w:rPr>
                <w:rFonts w:eastAsia="Times New Roman" w:cs="Arial"/>
                <w:vertAlign w:val="superscript"/>
              </w:rPr>
            </w:pPr>
          </w:p>
          <w:p w:rsidR="00AE5FBA" w:rsidRPr="00E66521" w:rsidRDefault="00AE5FBA" w:rsidP="00BC2EA4">
            <w:pPr>
              <w:tabs>
                <w:tab w:val="left" w:pos="2580"/>
              </w:tabs>
              <w:spacing w:after="0" w:line="240" w:lineRule="auto"/>
              <w:ind w:left="117"/>
              <w:rPr>
                <w:rFonts w:eastAsia="Times New Roman" w:cs="Arial"/>
              </w:rPr>
            </w:pPr>
            <w:r w:rsidRPr="00E66521">
              <w:rPr>
                <w:rFonts w:eastAsia="Times New Roman" w:cs="Arial"/>
                <w:vertAlign w:val="superscript"/>
              </w:rPr>
              <w:t>2</w:t>
            </w:r>
          </w:p>
          <w:p w:rsidR="00AE5FBA" w:rsidRPr="0025170A" w:rsidRDefault="00AE5FBA" w:rsidP="0052182B">
            <w:pPr>
              <w:pStyle w:val="ListParagraph"/>
              <w:numPr>
                <w:ilvl w:val="0"/>
                <w:numId w:val="3"/>
              </w:numPr>
              <w:spacing w:after="200" w:line="276" w:lineRule="auto"/>
              <w:ind w:left="542" w:hanging="425"/>
              <w:rPr>
                <w:rFonts w:cs="Arial"/>
                <w:sz w:val="18"/>
              </w:rPr>
            </w:pPr>
            <w:r w:rsidRPr="0025170A">
              <w:rPr>
                <w:rFonts w:cs="Arial"/>
                <w:sz w:val="18"/>
              </w:rPr>
              <w:t xml:space="preserve">I am an officer, for the purposes of the </w:t>
            </w:r>
            <w:r w:rsidRPr="0025170A">
              <w:rPr>
                <w:rFonts w:cs="Arial"/>
                <w:i/>
                <w:sz w:val="18"/>
              </w:rPr>
              <w:t>National Electricity (</w:t>
            </w:r>
            <w:r w:rsidRPr="00E34849">
              <w:rPr>
                <w:rFonts w:cs="Arial"/>
                <w:i/>
                <w:noProof/>
                <w:sz w:val="18"/>
              </w:rPr>
              <w:t>STATE</w:t>
            </w:r>
            <w:r w:rsidRPr="0025170A">
              <w:rPr>
                <w:rFonts w:cs="Arial"/>
                <w:i/>
                <w:sz w:val="18"/>
              </w:rPr>
              <w:t xml:space="preserve">) Law </w:t>
            </w:r>
            <w:r w:rsidRPr="0025170A">
              <w:rPr>
                <w:rFonts w:cs="Arial"/>
                <w:sz w:val="18"/>
              </w:rPr>
              <w:t>(</w:t>
            </w:r>
            <w:r w:rsidRPr="0025170A">
              <w:rPr>
                <w:rFonts w:cs="Arial"/>
                <w:b/>
                <w:sz w:val="18"/>
              </w:rPr>
              <w:t>NEL</w:t>
            </w:r>
            <w:r w:rsidRPr="0025170A">
              <w:rPr>
                <w:rFonts w:cs="Arial"/>
                <w:sz w:val="18"/>
              </w:rPr>
              <w:t xml:space="preserve">), of </w:t>
            </w:r>
            <w:r w:rsidRPr="00E34849">
              <w:rPr>
                <w:rFonts w:cs="Arial"/>
                <w:noProof/>
                <w:sz w:val="18"/>
              </w:rPr>
              <w:t>NSP Name</w:t>
            </w:r>
            <w:r w:rsidRPr="0025170A">
              <w:rPr>
                <w:rFonts w:cs="Arial"/>
                <w:sz w:val="18"/>
              </w:rPr>
              <w:t xml:space="preserve"> </w:t>
            </w:r>
            <w:r w:rsidRPr="00E34849">
              <w:rPr>
                <w:rFonts w:cs="Arial"/>
                <w:noProof/>
                <w:sz w:val="18"/>
              </w:rPr>
              <w:t>(ACN XXX XXX XXX)</w:t>
            </w:r>
            <w:r w:rsidRPr="0025170A">
              <w:rPr>
                <w:rFonts w:cs="Arial"/>
                <w:sz w:val="18"/>
              </w:rPr>
              <w:t xml:space="preserve">, a regulated network service provider for the purposes of section 28D of the NEL. I am authorised by </w:t>
            </w:r>
            <w:r w:rsidRPr="00E34849">
              <w:rPr>
                <w:rFonts w:cs="Arial"/>
                <w:noProof/>
                <w:sz w:val="18"/>
              </w:rPr>
              <w:t>NSP Name</w:t>
            </w:r>
            <w:r w:rsidRPr="0025170A">
              <w:rPr>
                <w:rFonts w:cs="Arial"/>
                <w:sz w:val="18"/>
              </w:rPr>
              <w:t xml:space="preserve"> to make this statutory declaration as part of the response of </w:t>
            </w:r>
            <w:r w:rsidRPr="00E34849">
              <w:rPr>
                <w:rFonts w:cs="Arial"/>
                <w:noProof/>
                <w:sz w:val="18"/>
              </w:rPr>
              <w:t>NSP Name</w:t>
            </w:r>
            <w:r w:rsidRPr="0025170A">
              <w:rPr>
                <w:rFonts w:cs="Arial"/>
                <w:sz w:val="18"/>
              </w:rPr>
              <w:t xml:space="preserve"> (</w:t>
            </w:r>
            <w:r w:rsidRPr="00E34849">
              <w:rPr>
                <w:rFonts w:cs="Arial"/>
                <w:b/>
                <w:noProof/>
                <w:sz w:val="18"/>
              </w:rPr>
              <w:t>TNSP</w:t>
            </w:r>
            <w:r w:rsidRPr="0025170A">
              <w:rPr>
                <w:rFonts w:cs="Arial"/>
                <w:sz w:val="18"/>
              </w:rPr>
              <w:t xml:space="preserve">) to the Regulatory Information Notice dated </w:t>
            </w:r>
            <w:r>
              <w:rPr>
                <w:rFonts w:cs="Arial"/>
                <w:sz w:val="18"/>
              </w:rPr>
              <w:fldChar w:fldCharType="begin"/>
            </w:r>
            <w:r>
              <w:rPr>
                <w:rFonts w:cs="Arial"/>
                <w:sz w:val="18"/>
              </w:rPr>
              <w:instrText xml:space="preserve"> DATE \@ "d MMMM yyyy" </w:instrText>
            </w:r>
            <w:r>
              <w:rPr>
                <w:rFonts w:cs="Arial"/>
                <w:sz w:val="18"/>
              </w:rPr>
              <w:fldChar w:fldCharType="separate"/>
            </w:r>
            <w:r w:rsidR="007535BB">
              <w:rPr>
                <w:rFonts w:cs="Arial"/>
                <w:noProof/>
                <w:sz w:val="18"/>
              </w:rPr>
              <w:t>26 March 2014</w:t>
            </w:r>
            <w:r>
              <w:rPr>
                <w:rFonts w:cs="Arial"/>
                <w:sz w:val="18"/>
              </w:rPr>
              <w:fldChar w:fldCharType="end"/>
            </w:r>
            <w:r>
              <w:rPr>
                <w:rFonts w:cs="Arial"/>
                <w:sz w:val="18"/>
              </w:rPr>
              <w:t xml:space="preserve"> </w:t>
            </w:r>
            <w:r w:rsidRPr="0025170A">
              <w:rPr>
                <w:rFonts w:cs="Arial"/>
                <w:sz w:val="18"/>
              </w:rPr>
              <w:t>(</w:t>
            </w:r>
            <w:r w:rsidRPr="0025170A" w:rsidDel="00704282">
              <w:rPr>
                <w:rFonts w:cs="Arial"/>
                <w:sz w:val="18"/>
              </w:rPr>
              <w:t xml:space="preserve"> </w:t>
            </w:r>
            <w:r w:rsidRPr="0025170A">
              <w:rPr>
                <w:rFonts w:cs="Arial"/>
                <w:sz w:val="18"/>
              </w:rPr>
              <w:t>(</w:t>
            </w:r>
            <w:r w:rsidRPr="0025170A">
              <w:rPr>
                <w:rFonts w:cs="Arial"/>
                <w:b/>
                <w:sz w:val="18"/>
              </w:rPr>
              <w:t>Notice</w:t>
            </w:r>
            <w:r w:rsidRPr="0025170A">
              <w:rPr>
                <w:rFonts w:cs="Arial"/>
                <w:sz w:val="18"/>
              </w:rPr>
              <w:t xml:space="preserve">) served on </w:t>
            </w:r>
            <w:r w:rsidRPr="00E34849">
              <w:rPr>
                <w:rFonts w:cs="Arial"/>
                <w:noProof/>
                <w:sz w:val="18"/>
              </w:rPr>
              <w:t>TNSP</w:t>
            </w:r>
            <w:r w:rsidRPr="0025170A">
              <w:rPr>
                <w:rFonts w:cs="Arial"/>
                <w:sz w:val="18"/>
              </w:rPr>
              <w:t xml:space="preserve"> by the Australian Energy Regulator (</w:t>
            </w:r>
            <w:r w:rsidRPr="0025170A">
              <w:rPr>
                <w:rFonts w:cs="Arial"/>
                <w:b/>
                <w:sz w:val="18"/>
              </w:rPr>
              <w:t>AER</w:t>
            </w:r>
            <w:r w:rsidRPr="0025170A">
              <w:rPr>
                <w:rFonts w:cs="Arial"/>
                <w:sz w:val="18"/>
              </w:rPr>
              <w:t>).</w:t>
            </w:r>
          </w:p>
          <w:p w:rsidR="00AE5FBA" w:rsidRPr="0025170A" w:rsidRDefault="00AE5FBA" w:rsidP="00BC2EA4">
            <w:pPr>
              <w:pStyle w:val="ListParagraph"/>
              <w:spacing w:after="200" w:line="276" w:lineRule="auto"/>
              <w:ind w:left="542" w:hanging="425"/>
              <w:rPr>
                <w:rFonts w:cs="Arial"/>
                <w:sz w:val="18"/>
              </w:rPr>
            </w:pPr>
          </w:p>
          <w:p w:rsidR="00AE5FBA" w:rsidRPr="0025170A" w:rsidRDefault="00AE5FBA" w:rsidP="0052182B">
            <w:pPr>
              <w:pStyle w:val="ListParagraph"/>
              <w:numPr>
                <w:ilvl w:val="0"/>
                <w:numId w:val="3"/>
              </w:numPr>
              <w:spacing w:after="200" w:line="276" w:lineRule="auto"/>
              <w:ind w:left="542" w:hanging="425"/>
              <w:rPr>
                <w:rFonts w:cs="Arial"/>
                <w:sz w:val="18"/>
              </w:rPr>
            </w:pPr>
            <w:r w:rsidRPr="0025170A">
              <w:rPr>
                <w:rFonts w:cs="Arial"/>
                <w:sz w:val="18"/>
              </w:rPr>
              <w:t xml:space="preserve">I say that the actual information provided in </w:t>
            </w:r>
            <w:r w:rsidRPr="00E34849">
              <w:rPr>
                <w:rFonts w:cs="Arial"/>
                <w:noProof/>
                <w:sz w:val="18"/>
                <w:szCs w:val="18"/>
              </w:rPr>
              <w:t>TNSP</w:t>
            </w:r>
            <w:r w:rsidRPr="0025170A">
              <w:rPr>
                <w:rFonts w:cs="Arial"/>
                <w:sz w:val="18"/>
              </w:rPr>
              <w:t>’s response to the Notice is, to the best of my information, knowledge and belief:</w:t>
            </w:r>
          </w:p>
          <w:p w:rsidR="00AE5FBA" w:rsidRPr="0025170A" w:rsidRDefault="00AE5FBA" w:rsidP="00BC2EA4">
            <w:pPr>
              <w:pStyle w:val="ListParagraph"/>
              <w:ind w:left="542" w:hanging="425"/>
              <w:rPr>
                <w:rFonts w:cs="Arial"/>
                <w:sz w:val="18"/>
              </w:rPr>
            </w:pPr>
          </w:p>
          <w:p w:rsidR="00AE5FBA" w:rsidRPr="0025170A" w:rsidRDefault="00AE5FBA" w:rsidP="0052182B">
            <w:pPr>
              <w:pStyle w:val="ListParagraph"/>
              <w:numPr>
                <w:ilvl w:val="0"/>
                <w:numId w:val="4"/>
              </w:numPr>
              <w:spacing w:before="200" w:after="200" w:line="276" w:lineRule="auto"/>
              <w:ind w:left="967" w:hanging="425"/>
              <w:rPr>
                <w:rFonts w:cs="Arial"/>
                <w:sz w:val="18"/>
              </w:rPr>
            </w:pPr>
            <w:r w:rsidRPr="0025170A">
              <w:rPr>
                <w:rFonts w:cs="Arial"/>
                <w:sz w:val="18"/>
              </w:rPr>
              <w:t>in accordance with the requirements of the Notice; and</w:t>
            </w:r>
          </w:p>
          <w:p w:rsidR="00AE5FBA" w:rsidRPr="0025170A" w:rsidRDefault="00AE5FBA" w:rsidP="00BC2EA4">
            <w:pPr>
              <w:pStyle w:val="ListParagraph"/>
              <w:spacing w:before="200"/>
              <w:ind w:left="967" w:hanging="425"/>
              <w:rPr>
                <w:rFonts w:cs="Arial"/>
                <w:sz w:val="18"/>
              </w:rPr>
            </w:pPr>
          </w:p>
          <w:p w:rsidR="00AE5FBA" w:rsidRPr="0025170A" w:rsidRDefault="00AE5FBA" w:rsidP="0052182B">
            <w:pPr>
              <w:pStyle w:val="ListParagraph"/>
              <w:numPr>
                <w:ilvl w:val="0"/>
                <w:numId w:val="4"/>
              </w:numPr>
              <w:spacing w:before="200" w:after="200" w:line="276" w:lineRule="auto"/>
              <w:ind w:left="967" w:hanging="425"/>
              <w:rPr>
                <w:rFonts w:cs="Arial"/>
                <w:sz w:val="18"/>
              </w:rPr>
            </w:pPr>
            <w:proofErr w:type="gramStart"/>
            <w:r w:rsidRPr="0025170A">
              <w:rPr>
                <w:rFonts w:cs="Arial"/>
                <w:sz w:val="18"/>
              </w:rPr>
              <w:t>true</w:t>
            </w:r>
            <w:proofErr w:type="gramEnd"/>
            <w:r w:rsidRPr="0025170A">
              <w:rPr>
                <w:rFonts w:cs="Arial"/>
                <w:sz w:val="18"/>
              </w:rPr>
              <w:t xml:space="preserve"> and accurate.</w:t>
            </w:r>
          </w:p>
          <w:p w:rsidR="00AE5FBA" w:rsidRPr="0025170A" w:rsidRDefault="00AE5FBA" w:rsidP="00BC2EA4">
            <w:pPr>
              <w:pStyle w:val="ListParagraph"/>
              <w:spacing w:before="200"/>
              <w:ind w:left="542" w:hanging="425"/>
              <w:rPr>
                <w:rFonts w:cs="Arial"/>
                <w:sz w:val="18"/>
              </w:rPr>
            </w:pPr>
          </w:p>
          <w:p w:rsidR="00AE5FBA" w:rsidRPr="0025170A" w:rsidRDefault="00AE5FBA" w:rsidP="0052182B">
            <w:pPr>
              <w:pStyle w:val="ListParagraph"/>
              <w:numPr>
                <w:ilvl w:val="0"/>
                <w:numId w:val="3"/>
              </w:numPr>
              <w:spacing w:after="200" w:line="276" w:lineRule="auto"/>
              <w:ind w:left="542" w:hanging="425"/>
              <w:rPr>
                <w:rFonts w:cs="Arial"/>
                <w:sz w:val="18"/>
              </w:rPr>
            </w:pPr>
            <w:r w:rsidRPr="0025170A">
              <w:rPr>
                <w:rFonts w:cs="Arial"/>
                <w:sz w:val="18"/>
              </w:rPr>
              <w:t xml:space="preserve">Where it is not possible to provide actual information to comply with the Notice, </w:t>
            </w:r>
            <w:r w:rsidRPr="00E34849">
              <w:rPr>
                <w:rFonts w:cs="Arial"/>
                <w:noProof/>
                <w:sz w:val="18"/>
                <w:szCs w:val="18"/>
              </w:rPr>
              <w:t>TNSP</w:t>
            </w:r>
            <w:r w:rsidRPr="0025170A">
              <w:rPr>
                <w:rFonts w:cs="Arial"/>
                <w:sz w:val="18"/>
                <w:szCs w:val="18"/>
              </w:rPr>
              <w:t xml:space="preserve"> </w:t>
            </w:r>
            <w:r w:rsidRPr="0025170A">
              <w:rPr>
                <w:rFonts w:cs="Arial"/>
                <w:sz w:val="18"/>
              </w:rPr>
              <w:t xml:space="preserve">has, to the best of my information, knowledge and belief: </w:t>
            </w:r>
          </w:p>
          <w:p w:rsidR="00AE5FBA" w:rsidRPr="0025170A" w:rsidRDefault="00AE5FBA" w:rsidP="00BC2EA4">
            <w:pPr>
              <w:pStyle w:val="ListParagraph"/>
              <w:spacing w:before="200"/>
              <w:ind w:left="542" w:hanging="425"/>
              <w:rPr>
                <w:rFonts w:cs="Arial"/>
                <w:sz w:val="18"/>
              </w:rPr>
            </w:pPr>
          </w:p>
          <w:p w:rsidR="00AE5FBA" w:rsidRPr="0025170A" w:rsidRDefault="00AE5FBA" w:rsidP="0052182B">
            <w:pPr>
              <w:pStyle w:val="ListParagraph"/>
              <w:numPr>
                <w:ilvl w:val="0"/>
                <w:numId w:val="5"/>
              </w:numPr>
              <w:spacing w:before="200" w:after="200" w:line="276" w:lineRule="auto"/>
              <w:ind w:left="967" w:hanging="425"/>
              <w:rPr>
                <w:rFonts w:cs="Arial"/>
                <w:sz w:val="18"/>
              </w:rPr>
            </w:pPr>
            <w:r w:rsidRPr="0025170A">
              <w:rPr>
                <w:rFonts w:cs="Arial"/>
                <w:sz w:val="18"/>
              </w:rPr>
              <w:t xml:space="preserve">provided </w:t>
            </w:r>
            <w:r w:rsidRPr="00E34849">
              <w:rPr>
                <w:rFonts w:cs="Arial"/>
                <w:noProof/>
                <w:sz w:val="18"/>
                <w:szCs w:val="18"/>
              </w:rPr>
              <w:t>TNSP</w:t>
            </w:r>
            <w:r w:rsidRPr="0025170A">
              <w:rPr>
                <w:rFonts w:cs="Arial"/>
                <w:sz w:val="18"/>
              </w:rPr>
              <w:t>’s best estimate of the information in accordance with the requirements of the Notice; and</w:t>
            </w:r>
          </w:p>
          <w:p w:rsidR="00AE5FBA" w:rsidRPr="0025170A" w:rsidRDefault="00AE5FBA" w:rsidP="00BC2EA4">
            <w:pPr>
              <w:pStyle w:val="ListParagraph"/>
              <w:spacing w:before="200"/>
              <w:ind w:left="967" w:hanging="425"/>
              <w:rPr>
                <w:rFonts w:cs="Arial"/>
                <w:sz w:val="18"/>
              </w:rPr>
            </w:pPr>
          </w:p>
          <w:p w:rsidR="00AE5FBA" w:rsidRPr="00E218BE" w:rsidRDefault="00AE5FBA" w:rsidP="0052182B">
            <w:pPr>
              <w:pStyle w:val="ListParagraph"/>
              <w:numPr>
                <w:ilvl w:val="0"/>
                <w:numId w:val="5"/>
              </w:numPr>
              <w:spacing w:before="200" w:after="200" w:line="276" w:lineRule="auto"/>
              <w:ind w:left="967" w:hanging="425"/>
              <w:rPr>
                <w:rFonts w:cs="Arial"/>
              </w:rPr>
            </w:pPr>
            <w:proofErr w:type="gramStart"/>
            <w:r w:rsidRPr="0025170A">
              <w:rPr>
                <w:rFonts w:cs="Arial"/>
                <w:sz w:val="18"/>
              </w:rPr>
              <w:t>provided</w:t>
            </w:r>
            <w:proofErr w:type="gramEnd"/>
            <w:r w:rsidRPr="0025170A">
              <w:rPr>
                <w:rFonts w:cs="Arial"/>
                <w:sz w:val="18"/>
              </w:rPr>
              <w:t xml:space="preserve"> the basis for each estimate, including assumptions made and reasons why the estimate is the best estimate, given the information sought in the Notice. </w:t>
            </w:r>
          </w:p>
        </w:tc>
      </w:tr>
      <w:tr w:rsidR="00AE5FBA" w:rsidRPr="00E66521" w:rsidTr="00BC2EA4">
        <w:tc>
          <w:tcPr>
            <w:tcW w:w="704" w:type="pct"/>
          </w:tcPr>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3</w:t>
            </w:r>
            <w:r w:rsidRPr="00153304">
              <w:rPr>
                <w:rFonts w:eastAsia="Times New Roman" w:cs="Arial"/>
                <w:i/>
                <w:sz w:val="13"/>
                <w:szCs w:val="13"/>
              </w:rPr>
              <w:tab/>
              <w:t>Signature of person making the declaration</w:t>
            </w:r>
          </w:p>
        </w:tc>
        <w:tc>
          <w:tcPr>
            <w:tcW w:w="4296" w:type="pct"/>
          </w:tcPr>
          <w:p w:rsidR="00AE5FBA" w:rsidRPr="00E66521" w:rsidRDefault="00AE5FBA" w:rsidP="00BC2EA4">
            <w:pPr>
              <w:spacing w:after="0" w:line="240" w:lineRule="auto"/>
              <w:ind w:left="117"/>
              <w:rPr>
                <w:rFonts w:eastAsia="Times New Roman" w:cs="Arial"/>
              </w:rPr>
            </w:pPr>
            <w:r w:rsidRPr="00E66521">
              <w:rPr>
                <w:rFonts w:eastAsia="Times New Roman" w:cs="Arial"/>
                <w:vertAlign w:val="superscript"/>
              </w:rPr>
              <w:t>3</w:t>
            </w: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vertAlign w:val="superscript"/>
              </w:rPr>
            </w:pPr>
          </w:p>
        </w:tc>
      </w:tr>
      <w:tr w:rsidR="00AE5FBA" w:rsidRPr="00E66521" w:rsidTr="00BC2EA4">
        <w:tc>
          <w:tcPr>
            <w:tcW w:w="704" w:type="pct"/>
          </w:tcPr>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4</w:t>
            </w:r>
            <w:r w:rsidRPr="00153304">
              <w:rPr>
                <w:rFonts w:eastAsia="Times New Roman" w:cs="Arial"/>
                <w:i/>
                <w:sz w:val="13"/>
                <w:szCs w:val="13"/>
              </w:rPr>
              <w:tab/>
              <w:t>Place</w:t>
            </w:r>
          </w:p>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5</w:t>
            </w:r>
            <w:r w:rsidRPr="00153304">
              <w:rPr>
                <w:rFonts w:eastAsia="Times New Roman" w:cs="Arial"/>
                <w:i/>
                <w:sz w:val="13"/>
                <w:szCs w:val="13"/>
              </w:rPr>
              <w:tab/>
              <w:t>Day</w:t>
            </w:r>
          </w:p>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6</w:t>
            </w:r>
            <w:r w:rsidRPr="00153304">
              <w:rPr>
                <w:rFonts w:eastAsia="Times New Roman" w:cs="Arial"/>
                <w:i/>
                <w:sz w:val="13"/>
                <w:szCs w:val="13"/>
              </w:rPr>
              <w:tab/>
              <w:t>Month</w:t>
            </w:r>
            <w:r w:rsidRPr="00153304">
              <w:rPr>
                <w:rFonts w:eastAsia="Times New Roman" w:cs="Arial"/>
                <w:sz w:val="13"/>
                <w:szCs w:val="13"/>
              </w:rPr>
              <w:t xml:space="preserve"> </w:t>
            </w:r>
            <w:r w:rsidRPr="00153304">
              <w:rPr>
                <w:rFonts w:eastAsia="Times New Roman" w:cs="Arial"/>
                <w:i/>
                <w:sz w:val="13"/>
                <w:szCs w:val="13"/>
              </w:rPr>
              <w:t>and year</w:t>
            </w:r>
          </w:p>
        </w:tc>
        <w:tc>
          <w:tcPr>
            <w:tcW w:w="4296" w:type="pct"/>
          </w:tcPr>
          <w:p w:rsidR="00AE5FBA" w:rsidRPr="00E66521" w:rsidRDefault="00AE5FBA" w:rsidP="00BC2EA4">
            <w:pPr>
              <w:spacing w:after="0" w:line="240" w:lineRule="auto"/>
              <w:ind w:left="117"/>
              <w:rPr>
                <w:rFonts w:eastAsia="Times New Roman" w:cs="Arial"/>
              </w:rPr>
            </w:pPr>
            <w:r w:rsidRPr="00E66521">
              <w:rPr>
                <w:rFonts w:eastAsia="Times New Roman" w:cs="Arial"/>
              </w:rPr>
              <w:t xml:space="preserve">Declared at </w:t>
            </w:r>
            <w:r w:rsidRPr="00E66521">
              <w:rPr>
                <w:rFonts w:eastAsia="Times New Roman" w:cs="Arial"/>
                <w:vertAlign w:val="superscript"/>
              </w:rPr>
              <w:t>4</w:t>
            </w:r>
            <w:r w:rsidRPr="00E66521">
              <w:rPr>
                <w:rFonts w:eastAsia="Times New Roman" w:cs="Arial"/>
              </w:rPr>
              <w:t xml:space="preserve">                                            on </w:t>
            </w:r>
            <w:r w:rsidRPr="00E66521">
              <w:rPr>
                <w:rFonts w:eastAsia="Times New Roman" w:cs="Arial"/>
                <w:vertAlign w:val="superscript"/>
              </w:rPr>
              <w:t>5</w:t>
            </w:r>
            <w:r w:rsidRPr="00E66521">
              <w:rPr>
                <w:rFonts w:eastAsia="Times New Roman" w:cs="Arial"/>
              </w:rPr>
              <w:t xml:space="preserve">                             of </w:t>
            </w:r>
            <w:r w:rsidRPr="00E66521">
              <w:rPr>
                <w:rFonts w:eastAsia="Times New Roman" w:cs="Arial"/>
                <w:vertAlign w:val="superscript"/>
              </w:rPr>
              <w:t>6</w:t>
            </w:r>
            <w:r w:rsidRPr="00E66521">
              <w:rPr>
                <w:rFonts w:eastAsia="Times New Roman" w:cs="Arial"/>
              </w:rPr>
              <w:t xml:space="preserve">  </w:t>
            </w: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rPr>
            </w:pPr>
            <w:r w:rsidRPr="00E66521">
              <w:rPr>
                <w:rFonts w:eastAsia="Times New Roman" w:cs="Arial"/>
              </w:rPr>
              <w:t>Before me,</w:t>
            </w:r>
          </w:p>
          <w:p w:rsidR="00AE5FBA" w:rsidRPr="00E66521" w:rsidRDefault="00AE5FBA" w:rsidP="00BC2EA4">
            <w:pPr>
              <w:spacing w:after="0" w:line="240" w:lineRule="auto"/>
              <w:ind w:left="117"/>
              <w:rPr>
                <w:rFonts w:eastAsia="Times New Roman" w:cs="Arial"/>
                <w:vertAlign w:val="superscript"/>
              </w:rPr>
            </w:pPr>
          </w:p>
        </w:tc>
      </w:tr>
      <w:tr w:rsidR="00AE5FBA" w:rsidRPr="00E66521" w:rsidTr="00BC2EA4">
        <w:tc>
          <w:tcPr>
            <w:tcW w:w="704" w:type="pct"/>
          </w:tcPr>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7</w:t>
            </w:r>
            <w:r w:rsidRPr="00153304">
              <w:rPr>
                <w:rFonts w:eastAsia="Times New Roman" w:cs="Arial"/>
                <w:i/>
                <w:sz w:val="13"/>
                <w:szCs w:val="13"/>
              </w:rPr>
              <w:tab/>
              <w:t>Signature of person before whom the declaration is made (see over)</w:t>
            </w:r>
          </w:p>
          <w:p w:rsidR="00AE5FBA" w:rsidRPr="00153304" w:rsidRDefault="00AE5FBA" w:rsidP="00BC2EA4">
            <w:pPr>
              <w:spacing w:after="0" w:line="240" w:lineRule="auto"/>
              <w:ind w:left="180" w:hanging="180"/>
              <w:rPr>
                <w:rFonts w:eastAsia="Times New Roman" w:cs="Arial"/>
                <w:i/>
                <w:sz w:val="13"/>
                <w:szCs w:val="13"/>
              </w:rPr>
            </w:pPr>
          </w:p>
        </w:tc>
        <w:tc>
          <w:tcPr>
            <w:tcW w:w="4296" w:type="pct"/>
          </w:tcPr>
          <w:p w:rsidR="00AE5FBA" w:rsidRPr="00E66521" w:rsidRDefault="00AE5FBA" w:rsidP="00BC2EA4">
            <w:pPr>
              <w:spacing w:after="0" w:line="240" w:lineRule="auto"/>
              <w:ind w:left="117"/>
              <w:rPr>
                <w:rFonts w:eastAsia="Times New Roman" w:cs="Arial"/>
              </w:rPr>
            </w:pPr>
            <w:r w:rsidRPr="00E66521">
              <w:rPr>
                <w:rFonts w:eastAsia="Times New Roman" w:cs="Arial"/>
                <w:vertAlign w:val="superscript"/>
              </w:rPr>
              <w:t>7</w:t>
            </w: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vertAlign w:val="superscript"/>
              </w:rPr>
            </w:pPr>
          </w:p>
        </w:tc>
      </w:tr>
      <w:tr w:rsidR="00AE5FBA" w:rsidRPr="00E66521" w:rsidTr="00BC2EA4">
        <w:tc>
          <w:tcPr>
            <w:tcW w:w="704" w:type="pct"/>
          </w:tcPr>
          <w:p w:rsidR="00AE5FBA" w:rsidRPr="00153304" w:rsidRDefault="00AE5FBA" w:rsidP="00BC2EA4">
            <w:pPr>
              <w:spacing w:after="0" w:line="240" w:lineRule="auto"/>
              <w:ind w:left="180" w:hanging="180"/>
              <w:rPr>
                <w:rFonts w:eastAsia="Times New Roman" w:cs="Arial"/>
                <w:i/>
                <w:sz w:val="13"/>
                <w:szCs w:val="13"/>
              </w:rPr>
            </w:pPr>
            <w:r w:rsidRPr="00153304">
              <w:rPr>
                <w:rFonts w:eastAsia="Times New Roman" w:cs="Arial"/>
                <w:i/>
                <w:sz w:val="13"/>
                <w:szCs w:val="13"/>
              </w:rPr>
              <w:t>8</w:t>
            </w:r>
            <w:r w:rsidRPr="00153304">
              <w:rPr>
                <w:rFonts w:eastAsia="Times New Roman" w:cs="Arial"/>
                <w:i/>
                <w:sz w:val="13"/>
                <w:szCs w:val="13"/>
              </w:rPr>
              <w:tab/>
              <w:t>Full name, qualification and address of person before whom the declaration is made (in printed letters)</w:t>
            </w:r>
          </w:p>
        </w:tc>
        <w:tc>
          <w:tcPr>
            <w:tcW w:w="4296" w:type="pct"/>
          </w:tcPr>
          <w:p w:rsidR="00AE5FBA" w:rsidRPr="00E66521" w:rsidRDefault="00AE5FBA" w:rsidP="00BC2EA4">
            <w:pPr>
              <w:spacing w:after="0" w:line="240" w:lineRule="auto"/>
              <w:ind w:left="117"/>
              <w:rPr>
                <w:rFonts w:eastAsia="Times New Roman" w:cs="Arial"/>
              </w:rPr>
            </w:pPr>
            <w:r w:rsidRPr="00E66521">
              <w:rPr>
                <w:rFonts w:eastAsia="Times New Roman" w:cs="Arial"/>
                <w:vertAlign w:val="superscript"/>
              </w:rPr>
              <w:t>8</w:t>
            </w: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rPr>
            </w:pPr>
          </w:p>
          <w:p w:rsidR="00AE5FBA" w:rsidRPr="00E66521" w:rsidRDefault="00AE5FBA" w:rsidP="00BC2EA4">
            <w:pPr>
              <w:spacing w:after="0" w:line="240" w:lineRule="auto"/>
              <w:ind w:left="117"/>
              <w:rPr>
                <w:rFonts w:eastAsia="Times New Roman" w:cs="Arial"/>
                <w:vertAlign w:val="superscript"/>
              </w:rPr>
            </w:pPr>
          </w:p>
        </w:tc>
      </w:tr>
    </w:tbl>
    <w:p w:rsidR="00AE5FBA" w:rsidRPr="00E66521" w:rsidRDefault="00AE5FBA" w:rsidP="0052182B">
      <w:pPr>
        <w:spacing w:before="60" w:after="0" w:line="220" w:lineRule="exact"/>
        <w:ind w:left="1418"/>
        <w:rPr>
          <w:rFonts w:eastAsia="Times New Roman" w:cs="Arial"/>
          <w:sz w:val="16"/>
          <w:szCs w:val="16"/>
        </w:rPr>
      </w:pPr>
      <w:r w:rsidRPr="00E66521">
        <w:rPr>
          <w:rFonts w:eastAsia="Times New Roman" w:cs="Arial"/>
          <w:i/>
          <w:sz w:val="16"/>
          <w:szCs w:val="16"/>
        </w:rPr>
        <w:t>Note 1</w:t>
      </w:r>
      <w:r w:rsidRPr="00E66521">
        <w:rPr>
          <w:rFonts w:eastAsia="Times New Roman" w:cs="Arial"/>
          <w:sz w:val="16"/>
          <w:szCs w:val="16"/>
        </w:rPr>
        <w:t xml:space="preserve">   A person who intentionally makes a false statement in a statutory declaration is guilty of an offence, the punishment for which is imprisonment for a term of 4 years — see section 11 of the </w:t>
      </w:r>
      <w:r w:rsidRPr="00E66521">
        <w:rPr>
          <w:rFonts w:eastAsia="Times New Roman" w:cs="Arial"/>
          <w:i/>
          <w:sz w:val="16"/>
          <w:szCs w:val="16"/>
        </w:rPr>
        <w:t>Statutory Declarations Act 1959</w:t>
      </w:r>
      <w:r w:rsidRPr="00E66521">
        <w:rPr>
          <w:rFonts w:eastAsia="Times New Roman" w:cs="Arial"/>
          <w:sz w:val="16"/>
          <w:szCs w:val="16"/>
        </w:rPr>
        <w:t>.</w:t>
      </w:r>
    </w:p>
    <w:p w:rsidR="00AE5FBA" w:rsidRDefault="00AE5FBA" w:rsidP="0052182B">
      <w:pPr>
        <w:spacing w:before="60" w:after="0" w:line="220" w:lineRule="exact"/>
        <w:ind w:left="1418"/>
        <w:rPr>
          <w:rFonts w:eastAsia="Times New Roman" w:cs="Arial"/>
          <w:sz w:val="16"/>
          <w:szCs w:val="16"/>
        </w:rPr>
      </w:pPr>
      <w:r w:rsidRPr="00E66521">
        <w:rPr>
          <w:rFonts w:eastAsia="Times New Roman" w:cs="Arial"/>
          <w:i/>
          <w:sz w:val="16"/>
          <w:szCs w:val="16"/>
        </w:rPr>
        <w:t>Note 2</w:t>
      </w:r>
      <w:r w:rsidRPr="00E66521">
        <w:rPr>
          <w:rFonts w:eastAsia="Times New Roman" w:cs="Arial"/>
          <w:sz w:val="16"/>
          <w:szCs w:val="16"/>
        </w:rPr>
        <w:t xml:space="preserve">   Chapter 2 of the </w:t>
      </w:r>
      <w:r w:rsidRPr="00E66521">
        <w:rPr>
          <w:rFonts w:eastAsia="Times New Roman" w:cs="Arial"/>
          <w:i/>
          <w:sz w:val="16"/>
          <w:szCs w:val="16"/>
        </w:rPr>
        <w:t>Criminal Code</w:t>
      </w:r>
      <w:r w:rsidRPr="00E66521">
        <w:rPr>
          <w:rFonts w:eastAsia="Times New Roman" w:cs="Arial"/>
          <w:sz w:val="16"/>
          <w:szCs w:val="16"/>
        </w:rPr>
        <w:t xml:space="preserve"> applies to all offences against the </w:t>
      </w:r>
      <w:r w:rsidRPr="00E66521">
        <w:rPr>
          <w:rFonts w:eastAsia="Times New Roman" w:cs="Arial"/>
          <w:i/>
          <w:sz w:val="16"/>
          <w:szCs w:val="16"/>
        </w:rPr>
        <w:t>Statutory Declarations Act 1959</w:t>
      </w:r>
      <w:r w:rsidRPr="00E66521">
        <w:rPr>
          <w:rFonts w:eastAsia="Times New Roman" w:cs="Arial"/>
          <w:sz w:val="16"/>
          <w:szCs w:val="16"/>
        </w:rPr>
        <w:t xml:space="preserve"> — see section 5A of the </w:t>
      </w:r>
      <w:r w:rsidRPr="00E66521">
        <w:rPr>
          <w:rFonts w:eastAsia="Times New Roman" w:cs="Arial"/>
          <w:i/>
          <w:sz w:val="16"/>
          <w:szCs w:val="16"/>
        </w:rPr>
        <w:t>Statutory Declarations Act 1959</w:t>
      </w:r>
      <w:r w:rsidRPr="00E66521">
        <w:rPr>
          <w:rFonts w:eastAsia="Times New Roman" w:cs="Arial"/>
          <w:sz w:val="16"/>
          <w:szCs w:val="16"/>
        </w:rPr>
        <w:t>.</w:t>
      </w:r>
    </w:p>
    <w:p w:rsidR="00AE5FBA" w:rsidRDefault="00AE5FBA" w:rsidP="0052182B">
      <w:pPr>
        <w:spacing w:before="60" w:after="0" w:line="220" w:lineRule="exact"/>
        <w:ind w:left="1687"/>
        <w:rPr>
          <w:rFonts w:eastAsia="Times New Roman" w:cs="Arial"/>
          <w:sz w:val="16"/>
          <w:szCs w:val="16"/>
        </w:rPr>
      </w:pPr>
    </w:p>
    <w:p w:rsidR="00AE5FBA" w:rsidRDefault="00AE5FBA" w:rsidP="0052182B">
      <w:pPr>
        <w:autoSpaceDE w:val="0"/>
        <w:autoSpaceDN w:val="0"/>
        <w:adjustRightInd w:val="0"/>
        <w:spacing w:after="0" w:line="276" w:lineRule="auto"/>
        <w:jc w:val="left"/>
        <w:rPr>
          <w:rFonts w:ascii="Arial,Bold" w:hAnsi="Arial,Bold" w:cs="Arial,Bold"/>
          <w:b/>
          <w:bCs/>
          <w:sz w:val="13"/>
          <w:szCs w:val="13"/>
        </w:rPr>
      </w:pPr>
      <w:r>
        <w:rPr>
          <w:rFonts w:ascii="Arial,Bold" w:hAnsi="Arial,Bold" w:cs="Arial,Bold"/>
          <w:b/>
          <w:bCs/>
          <w:sz w:val="13"/>
          <w:szCs w:val="13"/>
        </w:rPr>
        <w:lastRenderedPageBreak/>
        <w:t xml:space="preserve">A statutory declaration under the </w:t>
      </w:r>
      <w:r>
        <w:rPr>
          <w:rFonts w:ascii="Arial,BoldItalic" w:hAnsi="Arial,BoldItalic" w:cs="Arial,BoldItalic"/>
          <w:b/>
          <w:bCs/>
          <w:i/>
          <w:iCs/>
          <w:sz w:val="13"/>
          <w:szCs w:val="13"/>
        </w:rPr>
        <w:t xml:space="preserve">Statutory Declarations Act 1959 </w:t>
      </w:r>
      <w:r>
        <w:rPr>
          <w:rFonts w:ascii="Arial,Bold" w:hAnsi="Arial,Bold" w:cs="Arial,Bold"/>
          <w:b/>
          <w:bCs/>
          <w:sz w:val="13"/>
          <w:szCs w:val="13"/>
        </w:rPr>
        <w:t>may be made before–</w:t>
      </w:r>
    </w:p>
    <w:p w:rsidR="00AE5FBA" w:rsidRPr="00153304" w:rsidRDefault="00AE5FBA" w:rsidP="0052182B">
      <w:pPr>
        <w:pStyle w:val="ListParagraph"/>
        <w:numPr>
          <w:ilvl w:val="4"/>
          <w:numId w:val="3"/>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currently licensed or registered under a law to practise in one of the following occupations: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2126"/>
      </w:tblGrid>
      <w:tr w:rsidR="00AE5FBA" w:rsidTr="00BC2EA4">
        <w:trPr>
          <w:trHeight w:val="227"/>
        </w:trPr>
        <w:tc>
          <w:tcPr>
            <w:tcW w:w="2405"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 xml:space="preserve">Chiropractor </w:t>
            </w:r>
          </w:p>
        </w:tc>
        <w:tc>
          <w:tcPr>
            <w:tcW w:w="1990"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Dentist</w:t>
            </w:r>
          </w:p>
        </w:tc>
        <w:tc>
          <w:tcPr>
            <w:tcW w:w="2126"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Legal practitioner</w:t>
            </w:r>
          </w:p>
        </w:tc>
      </w:tr>
      <w:tr w:rsidR="00AE5FBA" w:rsidTr="00BC2EA4">
        <w:trPr>
          <w:trHeight w:val="227"/>
        </w:trPr>
        <w:tc>
          <w:tcPr>
            <w:tcW w:w="2405"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Medical practitioner</w:t>
            </w:r>
          </w:p>
        </w:tc>
        <w:tc>
          <w:tcPr>
            <w:tcW w:w="1990"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Nurse</w:t>
            </w:r>
          </w:p>
        </w:tc>
        <w:tc>
          <w:tcPr>
            <w:tcW w:w="2126" w:type="dxa"/>
          </w:tcPr>
          <w:p w:rsidR="00AE5FBA" w:rsidRDefault="00AE5FBA" w:rsidP="00BC2EA4">
            <w:pPr>
              <w:autoSpaceDE w:val="0"/>
              <w:autoSpaceDN w:val="0"/>
              <w:adjustRightInd w:val="0"/>
              <w:spacing w:after="0" w:line="240" w:lineRule="auto"/>
              <w:jc w:val="left"/>
              <w:rPr>
                <w:rFonts w:cs="Arial"/>
                <w:sz w:val="13"/>
                <w:szCs w:val="13"/>
              </w:rPr>
            </w:pPr>
            <w:r>
              <w:rPr>
                <w:rFonts w:cs="Arial"/>
                <w:sz w:val="13"/>
                <w:szCs w:val="13"/>
              </w:rPr>
              <w:t>Optometrist</w:t>
            </w:r>
          </w:p>
        </w:tc>
      </w:tr>
      <w:tr w:rsidR="00AE5FBA" w:rsidTr="00BC2EA4">
        <w:trPr>
          <w:trHeight w:val="227"/>
        </w:trPr>
        <w:tc>
          <w:tcPr>
            <w:tcW w:w="2405"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Patent attorney</w:t>
            </w:r>
          </w:p>
        </w:tc>
        <w:tc>
          <w:tcPr>
            <w:tcW w:w="1990"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Pharmacist</w:t>
            </w:r>
          </w:p>
        </w:tc>
        <w:tc>
          <w:tcPr>
            <w:tcW w:w="2126"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Physiotherapist</w:t>
            </w:r>
          </w:p>
        </w:tc>
      </w:tr>
      <w:tr w:rsidR="00AE5FBA" w:rsidTr="00BC2EA4">
        <w:trPr>
          <w:trHeight w:val="227"/>
        </w:trPr>
        <w:tc>
          <w:tcPr>
            <w:tcW w:w="2405"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Psychologist</w:t>
            </w:r>
          </w:p>
        </w:tc>
        <w:tc>
          <w:tcPr>
            <w:tcW w:w="1990"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Trade marks attorney</w:t>
            </w:r>
          </w:p>
        </w:tc>
        <w:tc>
          <w:tcPr>
            <w:tcW w:w="2126" w:type="dxa"/>
          </w:tcPr>
          <w:p w:rsidR="00AE5FBA" w:rsidRDefault="00AE5FBA" w:rsidP="00BC2EA4">
            <w:pPr>
              <w:autoSpaceDE w:val="0"/>
              <w:autoSpaceDN w:val="0"/>
              <w:adjustRightInd w:val="0"/>
              <w:spacing w:after="0" w:line="240" w:lineRule="auto"/>
              <w:jc w:val="left"/>
              <w:rPr>
                <w:rFonts w:cs="Arial"/>
                <w:sz w:val="13"/>
                <w:szCs w:val="13"/>
              </w:rPr>
            </w:pPr>
            <w:r w:rsidRPr="00153304">
              <w:rPr>
                <w:rFonts w:cs="Arial"/>
                <w:sz w:val="13"/>
                <w:szCs w:val="13"/>
              </w:rPr>
              <w:t>Veterinary surgeon</w:t>
            </w:r>
          </w:p>
        </w:tc>
      </w:tr>
    </w:tbl>
    <w:p w:rsidR="00AE5FBA" w:rsidRPr="00153304" w:rsidRDefault="00AE5FBA" w:rsidP="0052182B">
      <w:pPr>
        <w:pStyle w:val="ListParagraph"/>
        <w:numPr>
          <w:ilvl w:val="4"/>
          <w:numId w:val="3"/>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 xml:space="preserve">a person who is enrolled on the </w:t>
      </w:r>
      <w:proofErr w:type="spellStart"/>
      <w:r w:rsidRPr="00153304">
        <w:rPr>
          <w:rFonts w:cs="Arial"/>
          <w:sz w:val="13"/>
          <w:szCs w:val="13"/>
        </w:rPr>
        <w:t>roll</w:t>
      </w:r>
      <w:proofErr w:type="spellEnd"/>
      <w:r w:rsidRPr="00153304">
        <w:rPr>
          <w:rFonts w:cs="Arial"/>
          <w:sz w:val="13"/>
          <w:szCs w:val="13"/>
        </w:rPr>
        <w:t xml:space="preserve"> of the Supreme Court of a State or Territory, or the High Court of Australia, as a legal practitioner (however described); or</w:t>
      </w:r>
    </w:p>
    <w:p w:rsidR="00AE5FBA" w:rsidRPr="00153304" w:rsidRDefault="00AE5FBA" w:rsidP="0052182B">
      <w:pPr>
        <w:pStyle w:val="ListParagraph"/>
        <w:numPr>
          <w:ilvl w:val="4"/>
          <w:numId w:val="3"/>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in the following list: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Agent of the Australian Postal Corporation who is in charge of an office supplying postal services to the public</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 xml:space="preserve">Australian Consular Officer or Australian Diplomatic Officer (within the meaning of the </w:t>
      </w:r>
      <w:r>
        <w:rPr>
          <w:rFonts w:ascii="Arial,Italic" w:hAnsi="Arial,Italic" w:cs="Arial,Italic"/>
          <w:i/>
          <w:iCs/>
          <w:sz w:val="13"/>
          <w:szCs w:val="13"/>
        </w:rPr>
        <w:t>Consular Fees Act 1955</w:t>
      </w:r>
      <w:r>
        <w:rPr>
          <w:rFonts w:cs="Arial"/>
          <w:sz w:val="13"/>
          <w:szCs w:val="13"/>
        </w:rPr>
        <w: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Bailiff</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Bank officer with 5 or more continuous years of service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Building society officer with 5 or more years of continuous service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Chief executive officer of a Commonwealth court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Clerk of a court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Commissioner for Affidavits</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Commissioner for Declarations</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Credit union officer with 5 or more years of continuous service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Employee of the Australian Trade Commission who is:</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(d) of the </w:t>
      </w:r>
      <w:r>
        <w:rPr>
          <w:rFonts w:ascii="Arial,Italic" w:hAnsi="Arial,Italic" w:cs="Arial,Italic"/>
          <w:i/>
          <w:iCs/>
          <w:sz w:val="13"/>
          <w:szCs w:val="13"/>
        </w:rPr>
        <w:t>Consular Fees Act 1955</w:t>
      </w:r>
      <w:r>
        <w:rPr>
          <w:rFonts w:cs="Arial"/>
          <w:sz w:val="13"/>
          <w:szCs w:val="13"/>
        </w:rPr>
        <w:t>; and</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Employee of the Commonwealth who is:</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(c) of the </w:t>
      </w:r>
      <w:r>
        <w:rPr>
          <w:rFonts w:ascii="Arial,Italic" w:hAnsi="Arial,Italic" w:cs="Arial,Italic"/>
          <w:i/>
          <w:iCs/>
          <w:sz w:val="13"/>
          <w:szCs w:val="13"/>
        </w:rPr>
        <w:t>Consular Fees Act 1955</w:t>
      </w:r>
      <w:r>
        <w:rPr>
          <w:rFonts w:cs="Arial"/>
          <w:sz w:val="13"/>
          <w:szCs w:val="13"/>
        </w:rPr>
        <w:t>; and</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Fellow of the National Tax Accountants’ Association</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Finance company officer with 5 or more years of continuous service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Holder of a statutory office not specified in another item in this list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Judge of a court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Justice of the Peace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Magistrate</w:t>
      </w:r>
    </w:p>
    <w:p w:rsidR="00AE5FBA" w:rsidRDefault="00AE5FBA" w:rsidP="0052182B">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Marriage celebrant registered under Subdivision C of Division 1 of Part IV of the </w:t>
      </w:r>
      <w:r>
        <w:rPr>
          <w:rFonts w:ascii="Arial,Italic" w:hAnsi="Arial,Italic" w:cs="Arial,Italic"/>
          <w:i/>
          <w:iCs/>
          <w:sz w:val="13"/>
          <w:szCs w:val="13"/>
        </w:rPr>
        <w:t>Marriage Act 1961</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Master of a court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Member of Chartered Secretaries Australia</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Member of Engineers Australia, other than at the grade of student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Member of the Association of Taxation and Management Accountants</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Member of the Australasian Institute of Mining and Metallurgy</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Member of the Australian Defence Force who is:</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an</w:t>
      </w:r>
      <w:proofErr w:type="gramEnd"/>
      <w:r>
        <w:rPr>
          <w:rFonts w:cs="Arial"/>
          <w:sz w:val="13"/>
          <w:szCs w:val="13"/>
        </w:rPr>
        <w:t xml:space="preserve"> officer;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non-commissioned officer within the meaning of the </w:t>
      </w:r>
      <w:r>
        <w:rPr>
          <w:rFonts w:ascii="Arial,Italic" w:hAnsi="Arial,Italic" w:cs="Arial,Italic"/>
          <w:i/>
          <w:iCs/>
          <w:sz w:val="13"/>
          <w:szCs w:val="13"/>
        </w:rPr>
        <w:t xml:space="preserve">Defence Force Discipline Act 1982 </w:t>
      </w:r>
      <w:r>
        <w:rPr>
          <w:rFonts w:cs="Arial"/>
          <w:sz w:val="13"/>
          <w:szCs w:val="13"/>
        </w:rPr>
        <w:t>with 5 or more years of continuous service;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warrant officer within the meaning of that Act</w:t>
      </w:r>
    </w:p>
    <w:p w:rsidR="00AE5FBA" w:rsidRDefault="00AE5FBA" w:rsidP="0052182B">
      <w:pPr>
        <w:autoSpaceDE w:val="0"/>
        <w:autoSpaceDN w:val="0"/>
        <w:adjustRightInd w:val="0"/>
        <w:spacing w:after="0" w:line="276" w:lineRule="auto"/>
        <w:ind w:left="993" w:hanging="284"/>
        <w:jc w:val="left"/>
        <w:rPr>
          <w:rFonts w:cs="Arial"/>
          <w:sz w:val="13"/>
          <w:szCs w:val="13"/>
        </w:rPr>
      </w:pPr>
      <w:r>
        <w:rPr>
          <w:rFonts w:cs="Arial"/>
          <w:sz w:val="13"/>
          <w:szCs w:val="13"/>
        </w:rPr>
        <w:t>Member of the Institute of Chartered Accountants in Australia, the Australian Society of Certified Practising Accountants or the National Institute of Accountants</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Member of:</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Parliament of the Commonwealth;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the</w:t>
      </w:r>
      <w:proofErr w:type="gramEnd"/>
      <w:r>
        <w:rPr>
          <w:rFonts w:cs="Arial"/>
          <w:sz w:val="13"/>
          <w:szCs w:val="13"/>
        </w:rPr>
        <w:t xml:space="preserve"> Parliament of a State;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Territory legislature;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(d) </w:t>
      </w:r>
      <w:proofErr w:type="gramStart"/>
      <w:r>
        <w:rPr>
          <w:rFonts w:cs="Arial"/>
          <w:sz w:val="13"/>
          <w:szCs w:val="13"/>
        </w:rPr>
        <w:t>a</w:t>
      </w:r>
      <w:proofErr w:type="gramEnd"/>
      <w:r>
        <w:rPr>
          <w:rFonts w:cs="Arial"/>
          <w:sz w:val="13"/>
          <w:szCs w:val="13"/>
        </w:rPr>
        <w:t xml:space="preserve"> local government authority of a State or Territory</w:t>
      </w:r>
    </w:p>
    <w:p w:rsidR="00AE5FBA" w:rsidRDefault="00AE5FBA" w:rsidP="0052182B">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Minister of religion registered under Subdivision </w:t>
      </w:r>
      <w:proofErr w:type="gramStart"/>
      <w:r>
        <w:rPr>
          <w:rFonts w:cs="Arial"/>
          <w:sz w:val="13"/>
          <w:szCs w:val="13"/>
        </w:rPr>
        <w:t>A</w:t>
      </w:r>
      <w:proofErr w:type="gramEnd"/>
      <w:r>
        <w:rPr>
          <w:rFonts w:cs="Arial"/>
          <w:sz w:val="13"/>
          <w:szCs w:val="13"/>
        </w:rPr>
        <w:t xml:space="preserve"> of Division 1 of Part IV of the </w:t>
      </w:r>
      <w:r>
        <w:rPr>
          <w:rFonts w:ascii="Arial,Italic" w:hAnsi="Arial,Italic" w:cs="Arial,Italic"/>
          <w:i/>
          <w:iCs/>
          <w:sz w:val="13"/>
          <w:szCs w:val="13"/>
        </w:rPr>
        <w:t>Marriage Act 1961</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Notary public</w:t>
      </w:r>
    </w:p>
    <w:p w:rsidR="00AE5FBA" w:rsidRDefault="00AE5FBA" w:rsidP="0052182B">
      <w:pPr>
        <w:autoSpaceDE w:val="0"/>
        <w:autoSpaceDN w:val="0"/>
        <w:adjustRightInd w:val="0"/>
        <w:spacing w:after="0" w:line="276" w:lineRule="auto"/>
        <w:ind w:left="993" w:hanging="284"/>
        <w:jc w:val="left"/>
        <w:rPr>
          <w:rFonts w:cs="Arial"/>
          <w:sz w:val="13"/>
          <w:szCs w:val="13"/>
        </w:rPr>
      </w:pPr>
      <w:r>
        <w:rPr>
          <w:rFonts w:cs="Arial"/>
          <w:sz w:val="13"/>
          <w:szCs w:val="13"/>
        </w:rPr>
        <w:t>Permanent employee of the Australian Postal Corporation with 5 or more years of continuous service who is employed in an office supplying postal services to the public</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Permanent employee of:</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local government authority;</w:t>
      </w:r>
    </w:p>
    <w:p w:rsidR="00AE5FBA" w:rsidRDefault="00AE5FBA" w:rsidP="0052182B">
      <w:pPr>
        <w:autoSpaceDE w:val="0"/>
        <w:autoSpaceDN w:val="0"/>
        <w:adjustRightInd w:val="0"/>
        <w:spacing w:after="0" w:line="276" w:lineRule="auto"/>
        <w:ind w:left="982" w:firstLine="11"/>
        <w:jc w:val="left"/>
        <w:rPr>
          <w:rFonts w:cs="Arial"/>
          <w:sz w:val="13"/>
          <w:szCs w:val="13"/>
        </w:rPr>
      </w:pPr>
      <w:proofErr w:type="gramStart"/>
      <w:r>
        <w:rPr>
          <w:rFonts w:cs="Arial"/>
          <w:sz w:val="13"/>
          <w:szCs w:val="13"/>
        </w:rPr>
        <w:t>with</w:t>
      </w:r>
      <w:proofErr w:type="gramEnd"/>
      <w:r>
        <w:rPr>
          <w:rFonts w:cs="Arial"/>
          <w:sz w:val="13"/>
          <w:szCs w:val="13"/>
        </w:rPr>
        <w:t xml:space="preserve"> 5 or more years of continuous service who is not specified in another item in this list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Person before whom a statutory declaration may be made under the law of the State or Territory in which the declaration is made</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Police officer</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Registrar, or Deputy Registrar, of a court</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Senior Executive Service employee of:</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AE5FBA" w:rsidRDefault="00AE5FBA" w:rsidP="0052182B">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Sheriff</w:t>
      </w:r>
    </w:p>
    <w:p w:rsidR="00AE5FBA" w:rsidRDefault="00AE5FBA" w:rsidP="0052182B">
      <w:pPr>
        <w:autoSpaceDE w:val="0"/>
        <w:autoSpaceDN w:val="0"/>
        <w:adjustRightInd w:val="0"/>
        <w:spacing w:after="0" w:line="276" w:lineRule="auto"/>
        <w:ind w:left="709"/>
        <w:jc w:val="left"/>
        <w:rPr>
          <w:rFonts w:cs="Arial"/>
          <w:sz w:val="13"/>
          <w:szCs w:val="13"/>
        </w:rPr>
      </w:pPr>
      <w:r>
        <w:rPr>
          <w:rFonts w:cs="Arial"/>
          <w:sz w:val="13"/>
          <w:szCs w:val="13"/>
        </w:rPr>
        <w:t>Sheriff’s officer</w:t>
      </w:r>
    </w:p>
    <w:p w:rsidR="00AE5FBA" w:rsidRDefault="00AE5FBA" w:rsidP="0052182B">
      <w:pPr>
        <w:autoSpaceDE w:val="0"/>
        <w:autoSpaceDN w:val="0"/>
        <w:adjustRightInd w:val="0"/>
        <w:spacing w:after="0" w:line="276" w:lineRule="auto"/>
        <w:ind w:left="709"/>
        <w:jc w:val="left"/>
        <w:rPr>
          <w:rFonts w:cs="Arial"/>
          <w:b/>
        </w:rPr>
      </w:pPr>
      <w:r>
        <w:rPr>
          <w:rFonts w:cs="Arial"/>
          <w:sz w:val="13"/>
          <w:szCs w:val="13"/>
        </w:rPr>
        <w:t>Teacher employed on a full-time basis at a school or tertiary education institution</w:t>
      </w:r>
      <w:r>
        <w:rPr>
          <w:rFonts w:cs="Arial"/>
          <w:b/>
        </w:rPr>
        <w:br w:type="page"/>
      </w:r>
    </w:p>
    <w:p w:rsidR="00AE5FBA" w:rsidRPr="008C49F5" w:rsidRDefault="00AE5FBA" w:rsidP="0052182B">
      <w:pPr>
        <w:pStyle w:val="Heading1"/>
        <w:rPr>
          <w:rFonts w:ascii="Times New Roman" w:hAnsi="Times New Roman" w:cstheme="minorBidi"/>
          <w:sz w:val="18"/>
          <w:szCs w:val="22"/>
        </w:rPr>
      </w:pPr>
      <w:bookmarkStart w:id="11" w:name="_Toc383506901"/>
      <w:r w:rsidRPr="00F66C8A">
        <w:lastRenderedPageBreak/>
        <w:t xml:space="preserve">APPENDIX </w:t>
      </w:r>
      <w:r>
        <w:t>C: AUDIT AND REVIEW</w:t>
      </w:r>
      <w:bookmarkEnd w:id="11"/>
    </w:p>
    <w:p w:rsidR="00AE5FBA" w:rsidRPr="008C49F5" w:rsidRDefault="00AE5FBA" w:rsidP="0052182B">
      <w:pPr>
        <w:jc w:val="center"/>
        <w:rPr>
          <w:b/>
        </w:rPr>
      </w:pPr>
      <w:r w:rsidRPr="008C49F5">
        <w:rPr>
          <w:b/>
        </w:rPr>
        <w:t>NATIONAL ELECTRICITY (</w:t>
      </w:r>
      <w:r w:rsidRPr="00E34849">
        <w:rPr>
          <w:b/>
          <w:noProof/>
        </w:rPr>
        <w:t>STATE</w:t>
      </w:r>
      <w:r w:rsidRPr="008C49F5">
        <w:rPr>
          <w:b/>
        </w:rPr>
        <w:t>) LAW</w:t>
      </w:r>
    </w:p>
    <w:p w:rsidR="00AE5FBA" w:rsidRPr="008C49F5" w:rsidRDefault="00AE5FBA" w:rsidP="0052182B">
      <w:pPr>
        <w:jc w:val="center"/>
        <w:rPr>
          <w:b/>
        </w:rPr>
      </w:pPr>
      <w:r w:rsidRPr="008C49F5">
        <w:rPr>
          <w:b/>
        </w:rPr>
        <w:t xml:space="preserve">SECTION </w:t>
      </w:r>
      <w:proofErr w:type="gramStart"/>
      <w:r w:rsidRPr="008C49F5">
        <w:rPr>
          <w:b/>
        </w:rPr>
        <w:t>28M(</w:t>
      </w:r>
      <w:proofErr w:type="gramEnd"/>
      <w:r w:rsidRPr="008C49F5">
        <w:rPr>
          <w:b/>
        </w:rPr>
        <w:t>e)</w:t>
      </w:r>
    </w:p>
    <w:p w:rsidR="00AE5FBA" w:rsidRPr="008C49F5" w:rsidRDefault="00AE5FBA" w:rsidP="0052182B">
      <w:pPr>
        <w:jc w:val="center"/>
        <w:rPr>
          <w:b/>
        </w:rPr>
      </w:pPr>
      <w:r w:rsidRPr="008C49F5">
        <w:rPr>
          <w:b/>
        </w:rPr>
        <w:t>AUDIT AND REVIEW REQUIREMENTS</w:t>
      </w:r>
    </w:p>
    <w:p w:rsidR="00AE5FBA" w:rsidRPr="00F66C8A" w:rsidRDefault="00AE5FBA" w:rsidP="0052182B">
      <w:pPr>
        <w:spacing w:after="200" w:line="276" w:lineRule="auto"/>
        <w:jc w:val="left"/>
        <w:rPr>
          <w:rFonts w:cs="Arial"/>
          <w:b/>
        </w:rPr>
      </w:pPr>
    </w:p>
    <w:p w:rsidR="00AE5FBA" w:rsidRPr="003500A6" w:rsidRDefault="00AE5FBA" w:rsidP="0052182B">
      <w:pPr>
        <w:pStyle w:val="Heading2"/>
        <w:numPr>
          <w:ilvl w:val="1"/>
          <w:numId w:val="1"/>
        </w:numPr>
      </w:pPr>
      <w:bookmarkStart w:id="12" w:name="_Toc383506902"/>
      <w:r w:rsidRPr="003500A6">
        <w:t>INFORMATION SUBJECT TO INDEPENDENT AUDIT OR REVIEW</w:t>
      </w:r>
      <w:bookmarkEnd w:id="12"/>
    </w:p>
    <w:p w:rsidR="00AE5FBA" w:rsidRPr="00F66C8A" w:rsidRDefault="00AE5FBA" w:rsidP="0052182B">
      <w:pPr>
        <w:pStyle w:val="Numberlist1"/>
        <w:rPr>
          <w:lang w:eastAsia="en-AU"/>
        </w:rPr>
      </w:pPr>
      <w:r w:rsidRPr="00F66C8A">
        <w:rPr>
          <w:lang w:eastAsia="en-AU"/>
        </w:rPr>
        <w:t xml:space="preserve">The information subject to independent audit </w:t>
      </w:r>
      <w:r>
        <w:rPr>
          <w:lang w:eastAsia="en-AU"/>
        </w:rPr>
        <w:t xml:space="preserve">or review </w:t>
      </w:r>
      <w:r w:rsidRPr="00F66C8A">
        <w:rPr>
          <w:lang w:eastAsia="en-AU"/>
        </w:rPr>
        <w:t>is the:</w:t>
      </w:r>
    </w:p>
    <w:p w:rsidR="00AE5FBA" w:rsidRPr="00F66C8A" w:rsidRDefault="00AE5FBA" w:rsidP="0052182B">
      <w:pPr>
        <w:pStyle w:val="Numberlist2"/>
      </w:pPr>
      <w:r w:rsidRPr="00AF2CCF">
        <w:rPr>
          <w:i/>
        </w:rPr>
        <w:t>Actual Financial Information</w:t>
      </w:r>
      <w:r w:rsidRPr="00F66C8A">
        <w:t xml:space="preserve"> </w:t>
      </w:r>
      <w:r w:rsidRPr="00F66C8A">
        <w:rPr>
          <w:rFonts w:cs="Arial"/>
          <w:szCs w:val="24"/>
        </w:rPr>
        <w:t xml:space="preserve">in </w:t>
      </w:r>
      <w:r w:rsidRPr="00F66C8A">
        <w:t>the Microsoft Excel Workbook</w:t>
      </w:r>
      <w:r>
        <w:t>s</w:t>
      </w:r>
      <w:r w:rsidRPr="00F66C8A">
        <w:t xml:space="preserve"> attached </w:t>
      </w:r>
      <w:r>
        <w:t>at</w:t>
      </w:r>
      <w:r w:rsidRPr="00F66C8A">
        <w:t xml:space="preserve"> Appendix A;</w:t>
      </w:r>
    </w:p>
    <w:p w:rsidR="00AE5FBA" w:rsidRPr="00F66C8A" w:rsidRDefault="00AE5FBA" w:rsidP="0052182B">
      <w:pPr>
        <w:pStyle w:val="Numberlist2"/>
      </w:pPr>
      <w:r w:rsidRPr="00AF2CCF">
        <w:rPr>
          <w:i/>
        </w:rPr>
        <w:t>Estimated Financial Information</w:t>
      </w:r>
      <w:r w:rsidRPr="00F66C8A">
        <w:t xml:space="preserve"> </w:t>
      </w:r>
      <w:r w:rsidRPr="00F66C8A">
        <w:rPr>
          <w:rFonts w:cs="Arial"/>
          <w:szCs w:val="24"/>
        </w:rPr>
        <w:t xml:space="preserve">in </w:t>
      </w:r>
      <w:r w:rsidRPr="00F66C8A">
        <w:t>the Microsoft Excel Workbook</w:t>
      </w:r>
      <w:r>
        <w:t>s</w:t>
      </w:r>
      <w:r w:rsidRPr="00F66C8A">
        <w:t xml:space="preserve"> attached </w:t>
      </w:r>
      <w:r>
        <w:t>at</w:t>
      </w:r>
      <w:r w:rsidRPr="00F66C8A">
        <w:t xml:space="preserve"> Appendix A where </w:t>
      </w:r>
      <w:r w:rsidRPr="00E34849">
        <w:rPr>
          <w:noProof/>
        </w:rPr>
        <w:t>TNSP</w:t>
      </w:r>
      <w:r w:rsidRPr="00F66C8A">
        <w:t xml:space="preserve"> certifies that it is not possible to provide actual historical information; </w:t>
      </w:r>
    </w:p>
    <w:p w:rsidR="00AE5FBA" w:rsidRDefault="00AE5FBA" w:rsidP="0052182B">
      <w:pPr>
        <w:pStyle w:val="Numberlist2"/>
        <w:rPr>
          <w:rFonts w:eastAsia="Times New Roman"/>
          <w:lang w:eastAsia="en-AU"/>
        </w:rPr>
      </w:pPr>
      <w:r w:rsidRPr="00AF2CCF">
        <w:rPr>
          <w:i/>
        </w:rPr>
        <w:t>Actual</w:t>
      </w:r>
      <w:r>
        <w:t xml:space="preserve"> and </w:t>
      </w:r>
      <w:r w:rsidRPr="00AF2CCF">
        <w:rPr>
          <w:i/>
        </w:rPr>
        <w:t>Estimated Non-financial Information</w:t>
      </w:r>
      <w:r w:rsidRPr="00F66C8A">
        <w:t xml:space="preserve"> </w:t>
      </w:r>
      <w:r w:rsidRPr="00F66C8A">
        <w:rPr>
          <w:rFonts w:cs="Arial"/>
          <w:szCs w:val="24"/>
        </w:rPr>
        <w:t xml:space="preserve">in </w:t>
      </w:r>
      <w:r w:rsidRPr="00F66C8A">
        <w:t>the Microsoft Excel Workbook</w:t>
      </w:r>
      <w:r>
        <w:t>s</w:t>
      </w:r>
      <w:r w:rsidRPr="00F66C8A">
        <w:t xml:space="preserve"> </w:t>
      </w:r>
      <w:r>
        <w:t>attached at</w:t>
      </w:r>
      <w:r w:rsidRPr="00F66C8A">
        <w:t xml:space="preserve"> Appendix A</w:t>
      </w:r>
      <w:r>
        <w:rPr>
          <w:rFonts w:eastAsia="Times New Roman"/>
          <w:lang w:eastAsia="en-AU"/>
        </w:rPr>
        <w:t>; and</w:t>
      </w:r>
    </w:p>
    <w:p w:rsidR="00AE5FBA" w:rsidRPr="003500A6" w:rsidRDefault="00AE5FBA" w:rsidP="0052182B">
      <w:pPr>
        <w:pStyle w:val="Numberlist2"/>
      </w:pPr>
      <w:r>
        <w:rPr>
          <w:rFonts w:eastAsia="Times New Roman"/>
          <w:lang w:eastAsia="en-AU"/>
        </w:rPr>
        <w:t>The Basis</w:t>
      </w:r>
      <w:r w:rsidRPr="001253BE">
        <w:rPr>
          <w:rFonts w:eastAsia="Times New Roman"/>
          <w:lang w:eastAsia="en-AU"/>
        </w:rPr>
        <w:t xml:space="preserve"> of Preparation prepared by </w:t>
      </w:r>
      <w:r w:rsidRPr="00E34849">
        <w:rPr>
          <w:noProof/>
        </w:rPr>
        <w:t>TNSP</w:t>
      </w:r>
      <w:r w:rsidRPr="001253BE">
        <w:t xml:space="preserve"> in accordance with the requirements of this </w:t>
      </w:r>
      <w:r w:rsidRPr="00AF2CCF">
        <w:rPr>
          <w:i/>
        </w:rPr>
        <w:t>Notice</w:t>
      </w:r>
      <w:r>
        <w:t xml:space="preserve"> and the Principles and Requirements in Appendix E</w:t>
      </w:r>
      <w:r>
        <w:rPr>
          <w:rFonts w:eastAsia="Times New Roman"/>
          <w:szCs w:val="22"/>
          <w:lang w:eastAsia="en-AU"/>
        </w:rPr>
        <w:t>.</w:t>
      </w:r>
    </w:p>
    <w:p w:rsidR="00AE5FBA" w:rsidRPr="00293B4E" w:rsidRDefault="00AE5FBA" w:rsidP="0052182B">
      <w:pPr>
        <w:pStyle w:val="Numberlist1"/>
      </w:pPr>
      <w:r>
        <w:t xml:space="preserve">For the Initial Regulatory Years, the information subject to audit or review in paragraph 1.1 is limited to the Regulatory Years from 2009 to 2013, inclusive. </w:t>
      </w:r>
      <w:r w:rsidRPr="00293B4E">
        <w:t xml:space="preserve">For each </w:t>
      </w:r>
      <w:r w:rsidRPr="00AF2CCF">
        <w:rPr>
          <w:i/>
        </w:rPr>
        <w:t>Subsequent Regulatory Year</w:t>
      </w:r>
      <w:r w:rsidRPr="00293B4E">
        <w:t xml:space="preserve">, the information subject to audit or review in paragraph 1.1 is that </w:t>
      </w:r>
      <w:r w:rsidRPr="00AF2CCF">
        <w:rPr>
          <w:i/>
        </w:rPr>
        <w:t>Regulatory Year</w:t>
      </w:r>
      <w:r w:rsidRPr="00293B4E">
        <w:t xml:space="preserve"> only.</w:t>
      </w:r>
    </w:p>
    <w:p w:rsidR="00AE5FBA" w:rsidRPr="00F66C8A" w:rsidRDefault="00AE5FBA" w:rsidP="0052182B">
      <w:pPr>
        <w:pStyle w:val="Heading2"/>
        <w:rPr>
          <w:lang w:eastAsia="en-AU"/>
        </w:rPr>
      </w:pPr>
      <w:bookmarkStart w:id="13" w:name="_Toc383506903"/>
      <w:r w:rsidRPr="00F66C8A">
        <w:rPr>
          <w:lang w:eastAsia="en-AU"/>
        </w:rPr>
        <w:t>CLASS OF PERSON TO CONDUCT AUDITS</w:t>
      </w:r>
      <w:bookmarkEnd w:id="13"/>
    </w:p>
    <w:p w:rsidR="00AE5FBA" w:rsidRPr="00F66C8A" w:rsidRDefault="00AE5FBA" w:rsidP="0052182B">
      <w:pPr>
        <w:pStyle w:val="Numberlist1"/>
        <w:rPr>
          <w:lang w:eastAsia="en-AU"/>
        </w:rPr>
      </w:pPr>
      <w:r w:rsidRPr="00F66C8A">
        <w:rPr>
          <w:lang w:eastAsia="en-AU"/>
        </w:rPr>
        <w:t xml:space="preserve">The audit </w:t>
      </w:r>
      <w:r>
        <w:rPr>
          <w:lang w:eastAsia="en-AU"/>
        </w:rPr>
        <w:t xml:space="preserve">or review of </w:t>
      </w:r>
      <w:r w:rsidRPr="00F66C8A">
        <w:rPr>
          <w:lang w:eastAsia="en-AU"/>
        </w:rPr>
        <w:t xml:space="preserve">information </w:t>
      </w:r>
      <w:r>
        <w:rPr>
          <w:lang w:eastAsia="en-AU"/>
        </w:rPr>
        <w:t xml:space="preserve">(as applicable) </w:t>
      </w:r>
      <w:r w:rsidRPr="00F66C8A">
        <w:rPr>
          <w:lang w:eastAsia="en-AU"/>
        </w:rPr>
        <w:t>referred to in paragraph 1.1</w:t>
      </w:r>
      <w:r>
        <w:rPr>
          <w:lang w:eastAsia="en-AU"/>
        </w:rPr>
        <w:t xml:space="preserve">(a) and 1.1(b) and those parts of paragraph 1.1(d) that relate to </w:t>
      </w:r>
      <w:r w:rsidRPr="00AF2CCF">
        <w:rPr>
          <w:i/>
          <w:lang w:eastAsia="en-AU"/>
        </w:rPr>
        <w:t>Financial Information</w:t>
      </w:r>
      <w:r w:rsidRPr="00F66C8A">
        <w:rPr>
          <w:lang w:eastAsia="en-AU"/>
        </w:rPr>
        <w:t xml:space="preserve"> must be </w:t>
      </w:r>
      <w:r>
        <w:rPr>
          <w:lang w:eastAsia="en-AU"/>
        </w:rPr>
        <w:t>conducted</w:t>
      </w:r>
      <w:r w:rsidRPr="00F66C8A">
        <w:rPr>
          <w:lang w:eastAsia="en-AU"/>
        </w:rPr>
        <w:t xml:space="preserve"> by a person</w:t>
      </w:r>
      <w:r>
        <w:rPr>
          <w:lang w:eastAsia="en-AU"/>
        </w:rPr>
        <w:t xml:space="preserve"> </w:t>
      </w:r>
      <w:r w:rsidRPr="00F66C8A">
        <w:rPr>
          <w:lang w:eastAsia="en-AU"/>
        </w:rPr>
        <w:t>who:</w:t>
      </w:r>
    </w:p>
    <w:p w:rsidR="00AE5FBA" w:rsidRDefault="00AE5FBA" w:rsidP="002175B6">
      <w:pPr>
        <w:pStyle w:val="Numberlist2"/>
      </w:pPr>
      <w:r w:rsidRPr="00F66C8A">
        <w:t>is</w:t>
      </w:r>
      <w:r>
        <w:t>:</w:t>
      </w:r>
    </w:p>
    <w:p w:rsidR="00AE5FBA" w:rsidRDefault="00AE5FBA" w:rsidP="002175B6">
      <w:pPr>
        <w:pStyle w:val="Numberlist3"/>
      </w:pPr>
      <w:r w:rsidRPr="00F66C8A">
        <w:t xml:space="preserve">a </w:t>
      </w:r>
      <w:r>
        <w:t xml:space="preserve">registered company auditor who is a </w:t>
      </w:r>
      <w:r w:rsidRPr="00F66C8A">
        <w:t>member of the Institute of Chartered Accountants Australia (CA or FCA) or of CPA Australia (CPA or FCPA) that holds a Certificate of Public Practice;</w:t>
      </w:r>
      <w:r>
        <w:t xml:space="preserve"> or</w:t>
      </w:r>
    </w:p>
    <w:p w:rsidR="00AE5FBA" w:rsidRPr="00F66C8A" w:rsidRDefault="00AE5FBA" w:rsidP="002175B6">
      <w:pPr>
        <w:pStyle w:val="Numberlist3"/>
      </w:pPr>
      <w:r>
        <w:t xml:space="preserve">the Auditor-General of </w:t>
      </w:r>
      <w:r w:rsidRPr="00E34849">
        <w:rPr>
          <w:noProof/>
        </w:rPr>
        <w:t>State</w:t>
      </w:r>
      <w:r>
        <w:rPr>
          <w:noProof/>
        </w:rPr>
        <w:t>;</w:t>
      </w:r>
    </w:p>
    <w:p w:rsidR="00AE5FBA" w:rsidRPr="00F66C8A" w:rsidRDefault="00AE5FBA" w:rsidP="0052182B">
      <w:pPr>
        <w:pStyle w:val="Numberlist2"/>
        <w:rPr>
          <w:lang w:eastAsia="en-AU"/>
        </w:rPr>
      </w:pPr>
      <w:r w:rsidRPr="00F66C8A">
        <w:rPr>
          <w:lang w:eastAsia="en-AU"/>
        </w:rPr>
        <w:t xml:space="preserve">is independent from </w:t>
      </w:r>
      <w:r w:rsidRPr="00E34849">
        <w:rPr>
          <w:noProof/>
          <w:szCs w:val="24"/>
        </w:rPr>
        <w:t>TNSP</w:t>
      </w:r>
      <w:r w:rsidRPr="00F66C8A">
        <w:rPr>
          <w:szCs w:val="24"/>
        </w:rPr>
        <w:t xml:space="preserve"> </w:t>
      </w:r>
      <w:r w:rsidRPr="00F66C8A">
        <w:rPr>
          <w:lang w:eastAsia="en-AU"/>
        </w:rPr>
        <w:t>and all of</w:t>
      </w:r>
      <w:r>
        <w:rPr>
          <w:lang w:eastAsia="en-AU"/>
        </w:rPr>
        <w:t xml:space="preserve"> its Related B</w:t>
      </w:r>
      <w:r w:rsidRPr="00F66C8A">
        <w:rPr>
          <w:lang w:eastAsia="en-AU"/>
        </w:rPr>
        <w:t xml:space="preserve">odies </w:t>
      </w:r>
      <w:r>
        <w:rPr>
          <w:lang w:eastAsia="en-AU"/>
        </w:rPr>
        <w:t>C</w:t>
      </w:r>
      <w:r w:rsidRPr="00F66C8A">
        <w:rPr>
          <w:lang w:eastAsia="en-AU"/>
        </w:rPr>
        <w:t>orporate</w:t>
      </w:r>
      <w:r>
        <w:rPr>
          <w:lang w:eastAsia="en-AU"/>
        </w:rPr>
        <w:t xml:space="preserve"> </w:t>
      </w:r>
      <w:r w:rsidRPr="00F66C8A">
        <w:rPr>
          <w:lang w:eastAsia="en-AU"/>
        </w:rPr>
        <w:softHyphen/>
        <w:t>–</w:t>
      </w:r>
      <w:r>
        <w:rPr>
          <w:lang w:eastAsia="en-AU"/>
        </w:rPr>
        <w:t xml:space="preserve"> that is, </w:t>
      </w:r>
      <w:r w:rsidRPr="00F66C8A">
        <w:rPr>
          <w:lang w:eastAsia="en-AU"/>
        </w:rPr>
        <w:t xml:space="preserve">not a principal, member, shareholder, officer, or employee of </w:t>
      </w:r>
      <w:r w:rsidRPr="00E34849">
        <w:rPr>
          <w:noProof/>
          <w:szCs w:val="24"/>
        </w:rPr>
        <w:t>TNSP</w:t>
      </w:r>
      <w:r w:rsidRPr="00F66C8A">
        <w:rPr>
          <w:szCs w:val="24"/>
        </w:rPr>
        <w:t xml:space="preserve"> </w:t>
      </w:r>
      <w:r w:rsidRPr="00F66C8A">
        <w:rPr>
          <w:lang w:eastAsia="en-AU"/>
        </w:rPr>
        <w:t>or its related entities;</w:t>
      </w:r>
    </w:p>
    <w:p w:rsidR="00AE5FBA" w:rsidRPr="00F66C8A" w:rsidRDefault="00AE5FBA" w:rsidP="0052182B">
      <w:pPr>
        <w:pStyle w:val="Numberlist2"/>
        <w:rPr>
          <w:lang w:eastAsia="en-AU"/>
        </w:rPr>
      </w:pPr>
      <w:r w:rsidRPr="00F66C8A">
        <w:rPr>
          <w:lang w:eastAsia="en-AU"/>
        </w:rPr>
        <w:t>is appointed for the purposes of expressing an opinion or conclusion on the audit requirements outlined in detail in paragraph 3;</w:t>
      </w:r>
    </w:p>
    <w:p w:rsidR="00AE5FBA" w:rsidRPr="00F66C8A" w:rsidRDefault="00AE5FBA" w:rsidP="0052182B">
      <w:pPr>
        <w:pStyle w:val="Numberlist2"/>
        <w:rPr>
          <w:lang w:eastAsia="en-AU"/>
        </w:rPr>
      </w:pPr>
      <w:r w:rsidRPr="00F66C8A">
        <w:rPr>
          <w:lang w:eastAsia="en-AU"/>
        </w:rPr>
        <w:lastRenderedPageBreak/>
        <w:t>has experience in conducting financial, performance, operation or quality assurance audits and conducting data sampling in the electricity industry;</w:t>
      </w:r>
    </w:p>
    <w:p w:rsidR="00AE5FBA" w:rsidRPr="00F66C8A" w:rsidRDefault="00AE5FBA" w:rsidP="0052182B">
      <w:pPr>
        <w:pStyle w:val="Numberlist2"/>
        <w:rPr>
          <w:lang w:eastAsia="en-AU"/>
        </w:rPr>
      </w:pPr>
      <w:r w:rsidRPr="00F66C8A">
        <w:rPr>
          <w:lang w:eastAsia="en-AU"/>
        </w:rPr>
        <w:t xml:space="preserve">possesses relevant knowledge and experience in the electricity industry, engineering, IT systems, asset management </w:t>
      </w:r>
      <w:r>
        <w:rPr>
          <w:lang w:eastAsia="en-AU"/>
        </w:rPr>
        <w:t>or</w:t>
      </w:r>
      <w:r w:rsidRPr="00F66C8A">
        <w:rPr>
          <w:lang w:eastAsia="en-AU"/>
        </w:rPr>
        <w:t xml:space="preserve"> customer service</w:t>
      </w:r>
      <w:r>
        <w:rPr>
          <w:lang w:eastAsia="en-AU"/>
        </w:rPr>
        <w:t xml:space="preserve"> as relevant to the audit or review</w:t>
      </w:r>
      <w:r w:rsidRPr="00F66C8A">
        <w:rPr>
          <w:lang w:eastAsia="en-AU"/>
        </w:rPr>
        <w:t>;</w:t>
      </w:r>
    </w:p>
    <w:p w:rsidR="00AE5FBA" w:rsidRPr="00F66C8A" w:rsidRDefault="00AE5FBA" w:rsidP="0052182B">
      <w:pPr>
        <w:pStyle w:val="Numberlist2"/>
        <w:rPr>
          <w:lang w:eastAsia="en-AU"/>
        </w:rPr>
      </w:pPr>
      <w:r w:rsidRPr="00F66C8A">
        <w:rPr>
          <w:lang w:eastAsia="en-AU"/>
        </w:rPr>
        <w:t>understands the procedures and methodologies underlying the data and the AER’s relevant definitions for all information; and</w:t>
      </w:r>
    </w:p>
    <w:p w:rsidR="00AE5FBA" w:rsidRDefault="00AE5FBA" w:rsidP="0052182B">
      <w:pPr>
        <w:pStyle w:val="Numberlist2"/>
        <w:rPr>
          <w:lang w:eastAsia="en-AU"/>
        </w:rPr>
      </w:pPr>
      <w:proofErr w:type="gramStart"/>
      <w:r w:rsidRPr="00F66C8A">
        <w:rPr>
          <w:lang w:eastAsia="en-AU"/>
        </w:rPr>
        <w:t>if</w:t>
      </w:r>
      <w:proofErr w:type="gramEnd"/>
      <w:r w:rsidRPr="00F66C8A">
        <w:rPr>
          <w:lang w:eastAsia="en-AU"/>
        </w:rPr>
        <w:t xml:space="preserve"> necessary, is available to discuss issues relating to the audits with </w:t>
      </w:r>
      <w:r w:rsidRPr="00E34849">
        <w:rPr>
          <w:noProof/>
          <w:szCs w:val="24"/>
        </w:rPr>
        <w:t>TNSP</w:t>
      </w:r>
      <w:r w:rsidRPr="00F66C8A">
        <w:rPr>
          <w:szCs w:val="24"/>
        </w:rPr>
        <w:t xml:space="preserve"> </w:t>
      </w:r>
      <w:r w:rsidRPr="00F66C8A">
        <w:rPr>
          <w:lang w:eastAsia="en-AU"/>
        </w:rPr>
        <w:t>and the AER, including where an Audit Report or Review Report is critical of, or highlights deficiencies in, the audited Financial Information and/or Non-financial Information.</w:t>
      </w:r>
    </w:p>
    <w:p w:rsidR="00AE5FBA" w:rsidRDefault="00AE5FBA" w:rsidP="0052182B">
      <w:pPr>
        <w:pStyle w:val="Numberlist1"/>
        <w:rPr>
          <w:lang w:eastAsia="en-AU"/>
        </w:rPr>
      </w:pPr>
      <w:r>
        <w:rPr>
          <w:lang w:eastAsia="en-AU"/>
        </w:rPr>
        <w:t>The review of information referred to in paragraph 1.1(c) and those parts of 1.1(d) that relate to Non-financial Information may be conducted by a person who:</w:t>
      </w:r>
    </w:p>
    <w:p w:rsidR="00AE5FBA" w:rsidRDefault="00AE5FBA" w:rsidP="002175B6">
      <w:pPr>
        <w:pStyle w:val="Numberlist2"/>
      </w:pPr>
      <w:r>
        <w:t>does not satisfy all of the requirements in paragraph 2.1(a);</w:t>
      </w:r>
    </w:p>
    <w:p w:rsidR="00AE5FBA" w:rsidRDefault="00AE5FBA" w:rsidP="0052182B">
      <w:pPr>
        <w:pStyle w:val="Numberlist2"/>
        <w:rPr>
          <w:lang w:eastAsia="en-AU"/>
        </w:rPr>
      </w:pPr>
      <w:r>
        <w:rPr>
          <w:lang w:eastAsia="en-AU"/>
        </w:rPr>
        <w:t>is an assurance practitioner as defined in ASAE 3000</w:t>
      </w:r>
      <w:r w:rsidRPr="00B2709E">
        <w:rPr>
          <w:lang w:eastAsia="en-AU"/>
        </w:rPr>
        <w:t xml:space="preserve"> </w:t>
      </w:r>
      <w:r w:rsidRPr="00F66C8A">
        <w:rPr>
          <w:lang w:eastAsia="en-AU"/>
        </w:rPr>
        <w:t>Assurance engagements other than audits or reviews of historical financial information</w:t>
      </w:r>
      <w:r>
        <w:rPr>
          <w:lang w:eastAsia="en-AU"/>
        </w:rPr>
        <w:t>; and</w:t>
      </w:r>
    </w:p>
    <w:p w:rsidR="00AE5FBA" w:rsidRDefault="00AE5FBA" w:rsidP="0052182B">
      <w:pPr>
        <w:pStyle w:val="Numberlist2"/>
        <w:rPr>
          <w:lang w:eastAsia="en-AU"/>
        </w:rPr>
      </w:pPr>
      <w:proofErr w:type="gramStart"/>
      <w:r w:rsidRPr="00CE36DF">
        <w:rPr>
          <w:lang w:eastAsia="en-AU"/>
        </w:rPr>
        <w:t>satisfies</w:t>
      </w:r>
      <w:proofErr w:type="gramEnd"/>
      <w:r w:rsidRPr="00CE36DF">
        <w:rPr>
          <w:lang w:eastAsia="en-AU"/>
        </w:rPr>
        <w:t xml:space="preserve"> the requirements of paragraph</w:t>
      </w:r>
      <w:r>
        <w:rPr>
          <w:lang w:eastAsia="en-AU"/>
        </w:rPr>
        <w:t>s</w:t>
      </w:r>
      <w:r w:rsidRPr="00CE36DF">
        <w:rPr>
          <w:lang w:eastAsia="en-AU"/>
        </w:rPr>
        <w:t xml:space="preserve"> 2.1</w:t>
      </w:r>
      <w:r>
        <w:rPr>
          <w:lang w:eastAsia="en-AU"/>
        </w:rPr>
        <w:t>(b) to (g)</w:t>
      </w:r>
      <w:r w:rsidRPr="00CE36DF">
        <w:rPr>
          <w:lang w:eastAsia="en-AU"/>
        </w:rPr>
        <w:t>.</w:t>
      </w:r>
    </w:p>
    <w:p w:rsidR="00AE5FBA" w:rsidRPr="00F66C8A" w:rsidRDefault="00AE5FBA" w:rsidP="0052182B">
      <w:pPr>
        <w:pStyle w:val="Heading2"/>
        <w:rPr>
          <w:lang w:eastAsia="en-AU"/>
        </w:rPr>
      </w:pPr>
      <w:bookmarkStart w:id="14" w:name="_Toc383506904"/>
      <w:r w:rsidRPr="00F66C8A">
        <w:rPr>
          <w:lang w:eastAsia="en-AU"/>
        </w:rPr>
        <w:t xml:space="preserve">AUDIT </w:t>
      </w:r>
      <w:r>
        <w:rPr>
          <w:lang w:eastAsia="en-AU"/>
        </w:rPr>
        <w:t xml:space="preserve">AND REVIEW </w:t>
      </w:r>
      <w:r w:rsidRPr="00F66C8A">
        <w:rPr>
          <w:lang w:eastAsia="en-AU"/>
        </w:rPr>
        <w:t>REQUIREMENTS</w:t>
      </w:r>
      <w:bookmarkEnd w:id="14"/>
      <w:r w:rsidRPr="00F66C8A">
        <w:rPr>
          <w:lang w:eastAsia="en-AU"/>
        </w:rPr>
        <w:t xml:space="preserve"> </w:t>
      </w:r>
    </w:p>
    <w:p w:rsidR="00AE5FBA" w:rsidRPr="00F66C8A" w:rsidRDefault="00AE5FBA" w:rsidP="0052182B">
      <w:pPr>
        <w:pStyle w:val="Numberlist1"/>
        <w:rPr>
          <w:lang w:eastAsia="en-AU"/>
        </w:rPr>
      </w:pPr>
      <w:r>
        <w:rPr>
          <w:lang w:eastAsia="en-AU"/>
        </w:rPr>
        <w:t>Audits and reviews</w:t>
      </w:r>
      <w:r w:rsidRPr="00F66C8A">
        <w:rPr>
          <w:lang w:eastAsia="en-AU"/>
        </w:rPr>
        <w:t xml:space="preserve"> must be conducted in compliance with Australian Auditing </w:t>
      </w:r>
      <w:r>
        <w:rPr>
          <w:lang w:eastAsia="en-AU"/>
        </w:rPr>
        <w:t xml:space="preserve">and Assurance </w:t>
      </w:r>
      <w:r w:rsidRPr="00F66C8A">
        <w:rPr>
          <w:lang w:eastAsia="en-AU"/>
        </w:rPr>
        <w:t>Standards</w:t>
      </w:r>
      <w:r>
        <w:rPr>
          <w:lang w:eastAsia="en-AU"/>
        </w:rPr>
        <w:t>, as developed by the Auditing and Assurance Standards Board</w:t>
      </w:r>
      <w:r w:rsidRPr="00F66C8A">
        <w:rPr>
          <w:lang w:eastAsia="en-AU"/>
        </w:rPr>
        <w:t>.</w:t>
      </w:r>
    </w:p>
    <w:p w:rsidR="00AE5FBA" w:rsidRPr="00F66C8A" w:rsidRDefault="00AE5FBA" w:rsidP="0052182B">
      <w:pPr>
        <w:pStyle w:val="Numberlist1"/>
        <w:rPr>
          <w:lang w:eastAsia="en-AU"/>
        </w:rPr>
      </w:pPr>
      <w:r w:rsidRPr="00F66C8A">
        <w:rPr>
          <w:lang w:eastAsia="en-AU"/>
        </w:rPr>
        <w:t xml:space="preserve">The audit of </w:t>
      </w:r>
      <w:r w:rsidRPr="00F779DB">
        <w:rPr>
          <w:lang w:eastAsia="en-AU"/>
        </w:rPr>
        <w:t>Actual</w:t>
      </w:r>
      <w:r w:rsidRPr="00F66C8A">
        <w:rPr>
          <w:lang w:eastAsia="en-AU"/>
        </w:rPr>
        <w:t xml:space="preserve"> historical Financial Information referred to in paragraph 1.1(a) </w:t>
      </w:r>
      <w:r>
        <w:rPr>
          <w:lang w:eastAsia="en-AU"/>
        </w:rPr>
        <w:t>and those parts of paragraph 1.1(d) that relate to Actual Financial Information</w:t>
      </w:r>
      <w:r w:rsidRPr="00F66C8A">
        <w:rPr>
          <w:lang w:eastAsia="en-AU"/>
        </w:rPr>
        <w:t xml:space="preserve"> must:</w:t>
      </w:r>
    </w:p>
    <w:p w:rsidR="00AE5FBA" w:rsidRPr="00F66C8A" w:rsidRDefault="00AE5FBA" w:rsidP="0052182B">
      <w:pPr>
        <w:pStyle w:val="Numberlist2"/>
        <w:rPr>
          <w:lang w:eastAsia="en-AU"/>
        </w:rPr>
      </w:pPr>
      <w:r w:rsidRPr="00F66C8A">
        <w:rPr>
          <w:lang w:eastAsia="en-AU"/>
        </w:rPr>
        <w:t xml:space="preserve">comply with the Auditing Standard </w:t>
      </w:r>
      <w:r w:rsidRPr="00854FE0">
        <w:rPr>
          <w:lang w:eastAsia="en-AU"/>
        </w:rPr>
        <w:t>ASA 805 Special Considerations — Audits of Single Financial Statements and Specific Elements, Accounts or Items of a Financial Statement</w:t>
      </w:r>
      <w:r w:rsidRPr="00F66C8A">
        <w:rPr>
          <w:lang w:eastAsia="en-AU"/>
        </w:rPr>
        <w:t>;</w:t>
      </w:r>
      <w:r>
        <w:rPr>
          <w:lang w:eastAsia="en-AU"/>
        </w:rPr>
        <w:t xml:space="preserve"> and</w:t>
      </w:r>
    </w:p>
    <w:p w:rsidR="00AE5FBA" w:rsidRPr="00F66C8A" w:rsidRDefault="00AE5FBA" w:rsidP="0052182B">
      <w:pPr>
        <w:pStyle w:val="Numberlist2"/>
        <w:rPr>
          <w:lang w:eastAsia="en-AU"/>
        </w:rPr>
      </w:pPr>
      <w:proofErr w:type="gramStart"/>
      <w:r w:rsidRPr="00967B24">
        <w:rPr>
          <w:lang w:eastAsia="en-AU"/>
        </w:rPr>
        <w:t>the</w:t>
      </w:r>
      <w:proofErr w:type="gramEnd"/>
      <w:r w:rsidRPr="00967B24">
        <w:rPr>
          <w:lang w:eastAsia="en-AU"/>
        </w:rPr>
        <w:t xml:space="preserve"> Audit Report must include an opinion as to whether or not </w:t>
      </w:r>
      <w:r w:rsidRPr="00F66C8A">
        <w:rPr>
          <w:lang w:eastAsia="en-AU"/>
        </w:rPr>
        <w:t>the Financial Information provided is presented fairly in accordance with the requirements of th</w:t>
      </w:r>
      <w:r>
        <w:rPr>
          <w:lang w:eastAsia="en-AU"/>
        </w:rPr>
        <w:t>is</w:t>
      </w:r>
      <w:r w:rsidRPr="00F66C8A">
        <w:rPr>
          <w:lang w:eastAsia="en-AU"/>
        </w:rPr>
        <w:t xml:space="preserve"> Notice</w:t>
      </w:r>
      <w:r>
        <w:rPr>
          <w:lang w:eastAsia="en-AU"/>
        </w:rPr>
        <w:t xml:space="preserve"> and </w:t>
      </w:r>
      <w:r w:rsidRPr="00E34849">
        <w:rPr>
          <w:noProof/>
          <w:szCs w:val="24"/>
          <w:lang w:eastAsia="en-AU"/>
        </w:rPr>
        <w:t>TNSP</w:t>
      </w:r>
      <w:r>
        <w:rPr>
          <w:szCs w:val="24"/>
          <w:lang w:eastAsia="en-AU"/>
        </w:rPr>
        <w:t>’s</w:t>
      </w:r>
      <w:r w:rsidDel="00D810ED">
        <w:rPr>
          <w:lang w:eastAsia="en-AU"/>
        </w:rPr>
        <w:t xml:space="preserve"> </w:t>
      </w:r>
      <w:r>
        <w:rPr>
          <w:lang w:eastAsia="en-AU"/>
        </w:rPr>
        <w:t>Basis of Preparation.</w:t>
      </w:r>
    </w:p>
    <w:p w:rsidR="00AE5FBA" w:rsidRPr="00F66C8A" w:rsidRDefault="00AE5FBA" w:rsidP="0052182B">
      <w:pPr>
        <w:pStyle w:val="Numberlist1"/>
        <w:rPr>
          <w:lang w:eastAsia="en-AU"/>
        </w:rPr>
      </w:pPr>
      <w:r w:rsidRPr="00F66C8A">
        <w:rPr>
          <w:lang w:eastAsia="en-AU"/>
        </w:rPr>
        <w:t xml:space="preserve">The review of the </w:t>
      </w:r>
      <w:r w:rsidRPr="00AF2CCF">
        <w:rPr>
          <w:i/>
          <w:lang w:eastAsia="en-AU"/>
        </w:rPr>
        <w:t>Estimated</w:t>
      </w:r>
      <w:r w:rsidRPr="00F66C8A">
        <w:rPr>
          <w:b/>
          <w:lang w:eastAsia="en-AU"/>
        </w:rPr>
        <w:t xml:space="preserve"> </w:t>
      </w:r>
      <w:r w:rsidRPr="00AF2CCF">
        <w:rPr>
          <w:i/>
          <w:lang w:eastAsia="en-AU"/>
        </w:rPr>
        <w:t>Financial Information</w:t>
      </w:r>
      <w:r w:rsidRPr="00F66C8A">
        <w:rPr>
          <w:lang w:eastAsia="en-AU"/>
        </w:rPr>
        <w:t xml:space="preserve"> referred to in paragraph 1.1(b) </w:t>
      </w:r>
      <w:r>
        <w:rPr>
          <w:lang w:eastAsia="en-AU"/>
        </w:rPr>
        <w:t xml:space="preserve">those parts of paragraph 1.1(d) that relate to </w:t>
      </w:r>
      <w:r w:rsidRPr="00AF2CCF">
        <w:rPr>
          <w:i/>
          <w:lang w:eastAsia="en-AU"/>
        </w:rPr>
        <w:t>Estimated Financial Information</w:t>
      </w:r>
      <w:r w:rsidRPr="00F66C8A">
        <w:rPr>
          <w:lang w:eastAsia="en-AU"/>
        </w:rPr>
        <w:t xml:space="preserve"> must:</w:t>
      </w:r>
    </w:p>
    <w:p w:rsidR="00AE5FBA" w:rsidRPr="006102AA" w:rsidRDefault="00AE5FBA" w:rsidP="0052182B">
      <w:pPr>
        <w:pStyle w:val="Numberlist2"/>
        <w:rPr>
          <w:lang w:eastAsia="en-AU"/>
        </w:rPr>
      </w:pPr>
      <w:r w:rsidRPr="006102AA">
        <w:rPr>
          <w:lang w:eastAsia="en-AU"/>
        </w:rPr>
        <w:t xml:space="preserve">comply with the </w:t>
      </w:r>
      <w:r w:rsidRPr="00854FE0">
        <w:rPr>
          <w:lang w:eastAsia="en-AU"/>
        </w:rPr>
        <w:t xml:space="preserve">ASRE 2405 </w:t>
      </w:r>
      <w:r w:rsidRPr="00AF2CCF">
        <w:rPr>
          <w:i/>
          <w:lang w:eastAsia="en-AU"/>
        </w:rPr>
        <w:t>Review of Historical Financial Information Other than a Financial Report</w:t>
      </w:r>
      <w:r w:rsidRPr="006102AA">
        <w:rPr>
          <w:lang w:eastAsia="en-AU"/>
        </w:rPr>
        <w:t>;</w:t>
      </w:r>
      <w:r>
        <w:rPr>
          <w:lang w:eastAsia="en-AU"/>
        </w:rPr>
        <w:t xml:space="preserve"> and</w:t>
      </w:r>
    </w:p>
    <w:p w:rsidR="00AE5FBA" w:rsidRPr="00967B24" w:rsidRDefault="00AE5FBA" w:rsidP="0052182B">
      <w:pPr>
        <w:pStyle w:val="Numberlist2"/>
        <w:rPr>
          <w:lang w:eastAsia="en-AU"/>
        </w:rPr>
      </w:pPr>
      <w:proofErr w:type="gramStart"/>
      <w:r w:rsidRPr="00967B24">
        <w:rPr>
          <w:lang w:eastAsia="en-AU"/>
        </w:rPr>
        <w:t>the</w:t>
      </w:r>
      <w:proofErr w:type="gramEnd"/>
      <w:r w:rsidRPr="00967B24">
        <w:rPr>
          <w:lang w:eastAsia="en-AU"/>
        </w:rPr>
        <w:t xml:space="preserve"> </w:t>
      </w:r>
      <w:r w:rsidRPr="00AF2CCF">
        <w:rPr>
          <w:i/>
          <w:lang w:eastAsia="en-AU"/>
        </w:rPr>
        <w:t>Review Report</w:t>
      </w:r>
      <w:r w:rsidRPr="00967B24">
        <w:rPr>
          <w:lang w:eastAsia="en-AU"/>
        </w:rPr>
        <w:t xml:space="preserve"> must include a conclusion as to whether</w:t>
      </w:r>
      <w:r>
        <w:rPr>
          <w:lang w:eastAsia="en-AU"/>
        </w:rPr>
        <w:t xml:space="preserve"> or not anything</w:t>
      </w:r>
      <w:r w:rsidRPr="00967B24">
        <w:rPr>
          <w:lang w:eastAsia="en-AU"/>
        </w:rPr>
        <w:t xml:space="preserve"> has come to the </w:t>
      </w:r>
      <w:r w:rsidRPr="00AF2CCF">
        <w:rPr>
          <w:i/>
          <w:lang w:eastAsia="en-AU"/>
        </w:rPr>
        <w:t>Auditor’s</w:t>
      </w:r>
      <w:r w:rsidRPr="00967B24">
        <w:rPr>
          <w:lang w:eastAsia="en-AU"/>
        </w:rPr>
        <w:t xml:space="preserve"> attention that causes it to believe that the estimated historical Financial Information is not, in all material respects, presented fairly in accordance with the requirements of this Notice and </w:t>
      </w:r>
      <w:r w:rsidRPr="00E34849">
        <w:rPr>
          <w:noProof/>
          <w:lang w:eastAsia="en-AU"/>
        </w:rPr>
        <w:t>TNSP</w:t>
      </w:r>
      <w:r>
        <w:rPr>
          <w:lang w:eastAsia="en-AU"/>
        </w:rPr>
        <w:t>’s</w:t>
      </w:r>
      <w:r w:rsidRPr="00967B24" w:rsidDel="00D810ED">
        <w:rPr>
          <w:lang w:eastAsia="en-AU"/>
        </w:rPr>
        <w:t xml:space="preserve"> </w:t>
      </w:r>
      <w:r w:rsidRPr="00967B24">
        <w:rPr>
          <w:lang w:eastAsia="en-AU"/>
        </w:rPr>
        <w:t>Bas</w:t>
      </w:r>
      <w:r>
        <w:rPr>
          <w:lang w:eastAsia="en-AU"/>
        </w:rPr>
        <w:t>i</w:t>
      </w:r>
      <w:r w:rsidRPr="00967B24">
        <w:rPr>
          <w:lang w:eastAsia="en-AU"/>
        </w:rPr>
        <w:t>s of Preparation.</w:t>
      </w:r>
    </w:p>
    <w:p w:rsidR="00AE5FBA" w:rsidRPr="00F66C8A" w:rsidRDefault="00AE5FBA" w:rsidP="0052182B">
      <w:pPr>
        <w:pStyle w:val="Numberlist1"/>
        <w:rPr>
          <w:lang w:eastAsia="en-AU"/>
        </w:rPr>
      </w:pPr>
      <w:r w:rsidRPr="00F66C8A">
        <w:rPr>
          <w:lang w:eastAsia="en-AU"/>
        </w:rPr>
        <w:lastRenderedPageBreak/>
        <w:t xml:space="preserve">The review of the </w:t>
      </w:r>
      <w:r w:rsidRPr="00AF2CCF">
        <w:rPr>
          <w:i/>
          <w:lang w:eastAsia="en-AU"/>
        </w:rPr>
        <w:t>Non-Financial Information</w:t>
      </w:r>
      <w:r w:rsidRPr="00F66C8A">
        <w:rPr>
          <w:lang w:eastAsia="en-AU"/>
        </w:rPr>
        <w:t xml:space="preserve"> referred to in paragraph 1.1(c)</w:t>
      </w:r>
      <w:r>
        <w:rPr>
          <w:lang w:eastAsia="en-AU"/>
        </w:rPr>
        <w:t xml:space="preserve"> and</w:t>
      </w:r>
      <w:r w:rsidRPr="00F66C8A">
        <w:rPr>
          <w:lang w:eastAsia="en-AU"/>
        </w:rPr>
        <w:t xml:space="preserve"> </w:t>
      </w:r>
      <w:r>
        <w:rPr>
          <w:lang w:eastAsia="en-AU"/>
        </w:rPr>
        <w:t xml:space="preserve">those parts of paragraph 1.1(d) that relate to </w:t>
      </w:r>
      <w:r w:rsidRPr="00AF2CCF">
        <w:rPr>
          <w:i/>
          <w:lang w:eastAsia="en-AU"/>
        </w:rPr>
        <w:t>Non-Financial Information</w:t>
      </w:r>
      <w:r w:rsidRPr="00F66C8A">
        <w:rPr>
          <w:lang w:eastAsia="en-AU"/>
        </w:rPr>
        <w:t xml:space="preserve"> must:</w:t>
      </w:r>
    </w:p>
    <w:p w:rsidR="00AE5FBA" w:rsidRPr="00F66C8A" w:rsidRDefault="00AE5FBA" w:rsidP="0052182B">
      <w:pPr>
        <w:pStyle w:val="Numberlist2"/>
        <w:rPr>
          <w:lang w:eastAsia="en-AU"/>
        </w:rPr>
      </w:pPr>
      <w:r w:rsidRPr="00F66C8A">
        <w:rPr>
          <w:lang w:eastAsia="en-AU"/>
        </w:rPr>
        <w:t xml:space="preserve">comply with the </w:t>
      </w:r>
      <w:r w:rsidRPr="00854FE0">
        <w:rPr>
          <w:lang w:eastAsia="en-AU"/>
        </w:rPr>
        <w:t>ASAE 3000 Assurance engagements other than audits or reviews of historical financial information</w:t>
      </w:r>
      <w:r w:rsidRPr="00F66C8A">
        <w:rPr>
          <w:lang w:eastAsia="en-AU"/>
        </w:rPr>
        <w:t>;</w:t>
      </w:r>
      <w:r>
        <w:rPr>
          <w:lang w:eastAsia="en-AU"/>
        </w:rPr>
        <w:t xml:space="preserve"> and</w:t>
      </w:r>
    </w:p>
    <w:p w:rsidR="00AE5FBA" w:rsidRPr="00967B24" w:rsidRDefault="00AE5FBA" w:rsidP="0052182B">
      <w:pPr>
        <w:pStyle w:val="Numberlist2"/>
        <w:rPr>
          <w:lang w:eastAsia="en-AU"/>
        </w:rPr>
      </w:pPr>
      <w:proofErr w:type="gramStart"/>
      <w:r w:rsidRPr="00967B24">
        <w:rPr>
          <w:lang w:eastAsia="en-AU"/>
        </w:rPr>
        <w:t>the</w:t>
      </w:r>
      <w:proofErr w:type="gramEnd"/>
      <w:r w:rsidRPr="00967B24">
        <w:rPr>
          <w:lang w:eastAsia="en-AU"/>
        </w:rPr>
        <w:t xml:space="preserve"> </w:t>
      </w:r>
      <w:r w:rsidRPr="00AF2CCF">
        <w:rPr>
          <w:i/>
          <w:lang w:eastAsia="en-AU"/>
        </w:rPr>
        <w:t>Review Report</w:t>
      </w:r>
      <w:r w:rsidRPr="00967B24">
        <w:rPr>
          <w:lang w:eastAsia="en-AU"/>
        </w:rPr>
        <w:t xml:space="preserve"> must include a conclusion as to whether </w:t>
      </w:r>
      <w:r>
        <w:rPr>
          <w:lang w:eastAsia="en-AU"/>
        </w:rPr>
        <w:t>or not anything</w:t>
      </w:r>
      <w:r w:rsidRPr="00967B24">
        <w:rPr>
          <w:lang w:eastAsia="en-AU"/>
        </w:rPr>
        <w:t xml:space="preserve"> has come to the </w:t>
      </w:r>
      <w:r w:rsidRPr="00AF2CCF">
        <w:rPr>
          <w:i/>
          <w:lang w:eastAsia="en-AU"/>
        </w:rPr>
        <w:t>Auditor’s</w:t>
      </w:r>
      <w:r w:rsidRPr="00967B24">
        <w:rPr>
          <w:lang w:eastAsia="en-AU"/>
        </w:rPr>
        <w:t xml:space="preserve"> attention that causes it to believe that the </w:t>
      </w:r>
      <w:r w:rsidRPr="00AF2CCF">
        <w:rPr>
          <w:i/>
          <w:lang w:eastAsia="en-AU"/>
        </w:rPr>
        <w:t>Non-Financial Information</w:t>
      </w:r>
      <w:r w:rsidRPr="00967B24">
        <w:rPr>
          <w:lang w:eastAsia="en-AU"/>
        </w:rPr>
        <w:t xml:space="preserve"> is not, in all material respects, presented fa</w:t>
      </w:r>
      <w:r>
        <w:rPr>
          <w:lang w:eastAsia="en-AU"/>
        </w:rPr>
        <w:t>i</w:t>
      </w:r>
      <w:r w:rsidRPr="00967B24">
        <w:rPr>
          <w:lang w:eastAsia="en-AU"/>
        </w:rPr>
        <w:t xml:space="preserve">rly in accordance with the requirements of this Notice and </w:t>
      </w:r>
      <w:r w:rsidRPr="00E34849">
        <w:rPr>
          <w:noProof/>
          <w:lang w:eastAsia="en-AU"/>
        </w:rPr>
        <w:t>TNSP</w:t>
      </w:r>
      <w:r>
        <w:rPr>
          <w:lang w:eastAsia="en-AU"/>
        </w:rPr>
        <w:t xml:space="preserve">’s </w:t>
      </w:r>
      <w:r w:rsidRPr="00967B24">
        <w:rPr>
          <w:lang w:eastAsia="en-AU"/>
        </w:rPr>
        <w:t>Bas</w:t>
      </w:r>
      <w:r>
        <w:rPr>
          <w:lang w:eastAsia="en-AU"/>
        </w:rPr>
        <w:t>i</w:t>
      </w:r>
      <w:r w:rsidRPr="00967B24">
        <w:rPr>
          <w:lang w:eastAsia="en-AU"/>
        </w:rPr>
        <w:t>s of Preparation.</w:t>
      </w:r>
    </w:p>
    <w:p w:rsidR="00AE5FBA" w:rsidRDefault="00AE5FBA" w:rsidP="0052182B">
      <w:pPr>
        <w:spacing w:after="200" w:line="276" w:lineRule="auto"/>
        <w:jc w:val="left"/>
        <w:rPr>
          <w:rFonts w:eastAsia="Times New Roman" w:cs="Arial"/>
          <w:szCs w:val="24"/>
          <w:lang w:eastAsia="en-AU"/>
        </w:rPr>
      </w:pPr>
      <w:r>
        <w:rPr>
          <w:rFonts w:eastAsia="Times New Roman" w:cs="Arial"/>
          <w:szCs w:val="24"/>
          <w:lang w:eastAsia="en-AU"/>
        </w:rPr>
        <w:br w:type="page"/>
      </w:r>
    </w:p>
    <w:p w:rsidR="00AE5FBA" w:rsidRPr="00354080" w:rsidRDefault="00AE5FBA" w:rsidP="0052182B">
      <w:pPr>
        <w:pStyle w:val="Heading1"/>
      </w:pPr>
      <w:bookmarkStart w:id="15" w:name="_Toc383506905"/>
      <w:r>
        <w:lastRenderedPageBreak/>
        <w:t>APPENDIX D: STATEMENT OF REASONS</w:t>
      </w:r>
      <w:bookmarkEnd w:id="15"/>
    </w:p>
    <w:p w:rsidR="00AE5FBA" w:rsidRPr="00F66C8A" w:rsidRDefault="00AE5FBA" w:rsidP="0052182B">
      <w:pPr>
        <w:jc w:val="center"/>
        <w:rPr>
          <w:rFonts w:cs="Arial"/>
          <w:b/>
        </w:rPr>
      </w:pPr>
      <w:r w:rsidRPr="00F66C8A">
        <w:rPr>
          <w:rFonts w:cs="Arial"/>
          <w:b/>
        </w:rPr>
        <w:t xml:space="preserve">NATIONAL ELECTRICITY </w:t>
      </w:r>
      <w:r>
        <w:rPr>
          <w:rFonts w:cs="Arial"/>
          <w:b/>
        </w:rPr>
        <w:t>(</w:t>
      </w:r>
      <w:r w:rsidRPr="00E34849">
        <w:rPr>
          <w:rFonts w:cs="Arial"/>
          <w:b/>
          <w:noProof/>
        </w:rPr>
        <w:t>STATE</w:t>
      </w:r>
      <w:r>
        <w:rPr>
          <w:rFonts w:cs="Arial"/>
          <w:b/>
        </w:rPr>
        <w:t xml:space="preserve">) </w:t>
      </w:r>
      <w:r w:rsidRPr="00F66C8A">
        <w:rPr>
          <w:rFonts w:cs="Arial"/>
          <w:b/>
        </w:rPr>
        <w:t>LAW</w:t>
      </w:r>
    </w:p>
    <w:p w:rsidR="00AE5FBA" w:rsidRPr="00F66C8A" w:rsidRDefault="00AE5FBA" w:rsidP="0052182B">
      <w:pPr>
        <w:jc w:val="center"/>
        <w:rPr>
          <w:rFonts w:cs="Arial"/>
          <w:b/>
          <w:u w:val="single"/>
        </w:rPr>
      </w:pPr>
      <w:r w:rsidRPr="00F66C8A">
        <w:rPr>
          <w:rFonts w:cs="Arial"/>
          <w:b/>
        </w:rPr>
        <w:t xml:space="preserve">SECTION </w:t>
      </w:r>
      <w:proofErr w:type="gramStart"/>
      <w:r w:rsidRPr="00F66C8A">
        <w:rPr>
          <w:rFonts w:cs="Arial"/>
          <w:b/>
        </w:rPr>
        <w:t>28K(</w:t>
      </w:r>
      <w:proofErr w:type="gramEnd"/>
      <w:r w:rsidRPr="00F66C8A">
        <w:rPr>
          <w:rFonts w:cs="Arial"/>
          <w:b/>
        </w:rPr>
        <w:t>1)(c)</w:t>
      </w:r>
    </w:p>
    <w:p w:rsidR="00AE5FBA" w:rsidRDefault="00AE5FBA" w:rsidP="00E80A2B">
      <w:pPr>
        <w:jc w:val="center"/>
        <w:rPr>
          <w:rFonts w:cs="Arial"/>
          <w:b/>
        </w:rPr>
      </w:pPr>
      <w:r>
        <w:rPr>
          <w:rFonts w:cs="Arial"/>
          <w:b/>
        </w:rPr>
        <w:t>STATEMENT OF REASONS</w:t>
      </w:r>
    </w:p>
    <w:p w:rsidR="00AE5FBA" w:rsidRDefault="00AE5FBA" w:rsidP="0052182B"/>
    <w:p w:rsidR="00AE5FBA" w:rsidRPr="005D0A34" w:rsidRDefault="00AE5FBA" w:rsidP="0052182B">
      <w:pPr>
        <w:rPr>
          <w:lang w:eastAsia="en-AU"/>
        </w:rPr>
      </w:pPr>
      <w:r w:rsidRPr="00A2191B">
        <w:rPr>
          <w:lang w:eastAsia="en-AU"/>
        </w:rPr>
        <w:t xml:space="preserve">This statement of reasons explains why the AER considers it reasonably necessary for the information described in this Notice to be provided, prepared and </w:t>
      </w:r>
      <w:r w:rsidRPr="005D0A34">
        <w:rPr>
          <w:lang w:eastAsia="en-AU"/>
        </w:rPr>
        <w:t xml:space="preserve">maintained in the manner and form specified. </w:t>
      </w:r>
    </w:p>
    <w:p w:rsidR="00AE5FBA" w:rsidRDefault="00AE5FBA" w:rsidP="0052182B">
      <w:pPr>
        <w:rPr>
          <w:rFonts w:cs="Arial"/>
        </w:rPr>
      </w:pPr>
      <w:r w:rsidRPr="00F66C8A">
        <w:rPr>
          <w:rFonts w:cs="Arial"/>
        </w:rPr>
        <w:t>Under clause</w:t>
      </w:r>
      <w:r>
        <w:rPr>
          <w:rFonts w:cs="Arial"/>
        </w:rPr>
        <w:t xml:space="preserve"> </w:t>
      </w:r>
      <w:r w:rsidRPr="00E34849">
        <w:rPr>
          <w:rFonts w:cs="Arial"/>
          <w:noProof/>
        </w:rPr>
        <w:t>6A.31</w:t>
      </w:r>
      <w:r>
        <w:rPr>
          <w:rFonts w:cs="Arial"/>
        </w:rPr>
        <w:t xml:space="preserve"> </w:t>
      </w:r>
      <w:r w:rsidRPr="00F66C8A">
        <w:rPr>
          <w:rFonts w:cs="Arial"/>
        </w:rPr>
        <w:t>of the NER, the AER must prepare and publish an annual benchmarking report to describe the relative efficiency of each</w:t>
      </w:r>
      <w:r>
        <w:rPr>
          <w:rFonts w:cs="Arial"/>
        </w:rPr>
        <w:t xml:space="preserve"> transmission network service provider </w:t>
      </w:r>
      <w:r w:rsidRPr="00F66C8A">
        <w:rPr>
          <w:rFonts w:cs="Arial"/>
        </w:rPr>
        <w:t xml:space="preserve">over a 12 month period. </w:t>
      </w:r>
      <w:r>
        <w:rPr>
          <w:rFonts w:cs="Arial"/>
        </w:rPr>
        <w:t>Further, u</w:t>
      </w:r>
      <w:r w:rsidRPr="00F66C8A">
        <w:rPr>
          <w:rFonts w:cs="Arial"/>
        </w:rPr>
        <w:t>nder</w:t>
      </w:r>
      <w:r>
        <w:rPr>
          <w:rFonts w:cs="Arial"/>
        </w:rPr>
        <w:t xml:space="preserve"> clauses</w:t>
      </w:r>
      <w:r w:rsidRPr="00F66C8A">
        <w:rPr>
          <w:rFonts w:cs="Arial"/>
        </w:rPr>
        <w:t xml:space="preserve"> </w:t>
      </w:r>
      <w:r w:rsidRPr="00E34849">
        <w:rPr>
          <w:rFonts w:cs="Arial"/>
          <w:noProof/>
        </w:rPr>
        <w:t>6A.6.6 and 6A.6.7</w:t>
      </w:r>
      <w:r>
        <w:rPr>
          <w:rFonts w:cs="Arial"/>
        </w:rPr>
        <w:t xml:space="preserve"> </w:t>
      </w:r>
      <w:r w:rsidRPr="00F66C8A">
        <w:rPr>
          <w:rFonts w:cs="Arial"/>
        </w:rPr>
        <w:t xml:space="preserve">of the NER, the AER must have regard to benchmark operating expenditure and benchmark capital expenditure when assessing these types of </w:t>
      </w:r>
      <w:r w:rsidRPr="000C6958">
        <w:rPr>
          <w:rFonts w:cs="Arial"/>
        </w:rPr>
        <w:t>expenditure.</w:t>
      </w:r>
    </w:p>
    <w:p w:rsidR="00AE5FBA" w:rsidRPr="000C6958" w:rsidRDefault="00AE5FBA" w:rsidP="0052182B">
      <w:pPr>
        <w:rPr>
          <w:rFonts w:cs="Arial"/>
        </w:rPr>
      </w:pPr>
      <w:r w:rsidRPr="000C6958">
        <w:rPr>
          <w:rFonts w:cs="Arial"/>
        </w:rPr>
        <w:t xml:space="preserve">Accordingly, the AER requires detailed information relating to </w:t>
      </w:r>
      <w:r w:rsidRPr="00E34849">
        <w:rPr>
          <w:rFonts w:cs="Arial"/>
          <w:noProof/>
        </w:rPr>
        <w:t>TNSP</w:t>
      </w:r>
      <w:r w:rsidRPr="000C6958">
        <w:rPr>
          <w:rFonts w:cs="Arial"/>
        </w:rPr>
        <w:t xml:space="preserve"> and its regulated electricity network services to conduct benchmarking. Information detailing how the AER proposes to conduct and apply benchmarking and the reasons </w:t>
      </w:r>
      <w:r>
        <w:rPr>
          <w:rFonts w:cs="Arial"/>
        </w:rPr>
        <w:t>the AER requires</w:t>
      </w:r>
      <w:r w:rsidRPr="000C6958">
        <w:rPr>
          <w:rFonts w:cs="Arial"/>
        </w:rPr>
        <w:t xml:space="preserve"> the information </w:t>
      </w:r>
      <w:r>
        <w:rPr>
          <w:rFonts w:cs="Arial"/>
        </w:rPr>
        <w:t>in</w:t>
      </w:r>
      <w:r w:rsidRPr="000C6958">
        <w:rPr>
          <w:rFonts w:cs="Arial"/>
        </w:rPr>
        <w:t xml:space="preserve"> this Notice are contained in:</w:t>
      </w:r>
    </w:p>
    <w:p w:rsidR="00AE5FBA" w:rsidRPr="000C6958" w:rsidRDefault="00AE5FBA" w:rsidP="0052182B">
      <w:pPr>
        <w:pStyle w:val="Bullets"/>
      </w:pPr>
      <w:r w:rsidRPr="000C6958">
        <w:t xml:space="preserve">the AER’s </w:t>
      </w:r>
      <w:r>
        <w:t>Expenditure Forecast Assessment Guidelines i</w:t>
      </w:r>
      <w:r w:rsidRPr="000C6958">
        <w:t xml:space="preserve">ssues </w:t>
      </w:r>
      <w:r>
        <w:t>p</w:t>
      </w:r>
      <w:r w:rsidRPr="000C6958">
        <w:t>aper</w:t>
      </w:r>
      <w:r>
        <w:t xml:space="preserve"> (December 2012);</w:t>
      </w:r>
    </w:p>
    <w:p w:rsidR="00AE5FBA" w:rsidRPr="000C6958" w:rsidRDefault="00AE5FBA" w:rsidP="0052182B">
      <w:pPr>
        <w:pStyle w:val="Bullets"/>
      </w:pPr>
      <w:r w:rsidRPr="000C6958">
        <w:t>the AER’s explanatory statements for the draft and final Expenditure Forecast Assessment Guidelines for electricity transmission and distribution</w:t>
      </w:r>
      <w:r>
        <w:t xml:space="preserve"> (August 2013 and November 2013); and</w:t>
      </w:r>
    </w:p>
    <w:p w:rsidR="00AE5FBA" w:rsidRPr="000C6958" w:rsidRDefault="00AE5FBA" w:rsidP="0052182B">
      <w:pPr>
        <w:pStyle w:val="Bullets"/>
      </w:pPr>
      <w:proofErr w:type="gramStart"/>
      <w:r w:rsidRPr="000C6958">
        <w:t>the</w:t>
      </w:r>
      <w:proofErr w:type="gramEnd"/>
      <w:r w:rsidRPr="000C6958">
        <w:t xml:space="preserve"> AER’s explanatory statement for the draft </w:t>
      </w:r>
      <w:r>
        <w:t xml:space="preserve">and final </w:t>
      </w:r>
      <w:r w:rsidRPr="000C6958">
        <w:t>regulatory information notices</w:t>
      </w:r>
      <w:r>
        <w:t xml:space="preserve"> for category analysis (December 2013 and March 2014).</w:t>
      </w:r>
    </w:p>
    <w:p w:rsidR="00AE5FBA" w:rsidRPr="00975D7D" w:rsidRDefault="00AE5FBA" w:rsidP="0052182B">
      <w:r w:rsidRPr="001E706E">
        <w:t>These documents are available on the AER’s website</w:t>
      </w:r>
      <w:r w:rsidRPr="002F4CB0">
        <w:t xml:space="preserve"> at </w:t>
      </w:r>
      <w:hyperlink r:id="rId14" w:history="1">
        <w:r w:rsidRPr="002F4CB0">
          <w:t>http://www.aer.gov.au/node/18864</w:t>
        </w:r>
      </w:hyperlink>
      <w:r w:rsidRPr="002F4CB0">
        <w:t xml:space="preserve"> or http://www.aer.gov.au/node/21843</w:t>
      </w:r>
      <w:r w:rsidRPr="00031B55">
        <w:t>.</w:t>
      </w:r>
    </w:p>
    <w:p w:rsidR="00AE5FBA" w:rsidRDefault="00AE5FBA" w:rsidP="0052182B">
      <w:pPr>
        <w:rPr>
          <w:rFonts w:cs="Arial"/>
        </w:rPr>
      </w:pPr>
      <w:r>
        <w:rPr>
          <w:rFonts w:cs="Arial"/>
        </w:rPr>
        <w:t xml:space="preserve">We have considered the costs to </w:t>
      </w:r>
      <w:proofErr w:type="gramStart"/>
      <w:r w:rsidRPr="00E34849">
        <w:rPr>
          <w:noProof/>
          <w:szCs w:val="24"/>
        </w:rPr>
        <w:t>TNSP</w:t>
      </w:r>
      <w:r w:rsidRPr="00F66C8A">
        <w:rPr>
          <w:szCs w:val="24"/>
        </w:rPr>
        <w:t xml:space="preserve"> </w:t>
      </w:r>
      <w:r>
        <w:rPr>
          <w:rFonts w:cs="Arial"/>
        </w:rPr>
        <w:t xml:space="preserve"> of</w:t>
      </w:r>
      <w:proofErr w:type="gramEnd"/>
      <w:r>
        <w:rPr>
          <w:rFonts w:cs="Arial"/>
        </w:rPr>
        <w:t xml:space="preserve"> providing the information and consider they are outweighed by the social benefits. The explanatory statement for the final </w:t>
      </w:r>
      <w:r w:rsidRPr="000C6958">
        <w:rPr>
          <w:rFonts w:cs="Arial"/>
        </w:rPr>
        <w:t>Expenditure Forecast Assessment Guideline</w:t>
      </w:r>
      <w:r>
        <w:rPr>
          <w:rFonts w:cs="Arial"/>
        </w:rPr>
        <w:t xml:space="preserve"> (referred to above) contains detailed consideration of the costs and benefits.</w:t>
      </w:r>
      <w:r w:rsidRPr="00AE6A43">
        <w:rPr>
          <w:rFonts w:cs="Arial"/>
        </w:rPr>
        <w:t xml:space="preserve"> </w:t>
      </w:r>
    </w:p>
    <w:p w:rsidR="00AE5FBA" w:rsidRDefault="00AE5FBA" w:rsidP="00062AAB">
      <w:pPr>
        <w:rPr>
          <w:rFonts w:cs="Arial"/>
        </w:rPr>
      </w:pPr>
      <w:r>
        <w:t xml:space="preserve">Furthermore, we </w:t>
      </w:r>
      <w:r w:rsidRPr="007635C5">
        <w:t xml:space="preserve">had regard to the regulatory purposes in preparing and providing the draft of the Notice. Subsequently, the AER has considered written </w:t>
      </w:r>
      <w:r>
        <w:t xml:space="preserve">and oral </w:t>
      </w:r>
      <w:r w:rsidRPr="007635C5">
        <w:t>representations</w:t>
      </w:r>
      <w:r>
        <w:t xml:space="preserve"> made by network service providers </w:t>
      </w:r>
      <w:r w:rsidRPr="007635C5">
        <w:t xml:space="preserve">in response to the draft </w:t>
      </w:r>
      <w:r w:rsidRPr="00AF2CCF">
        <w:rPr>
          <w:i/>
        </w:rPr>
        <w:t>Notice</w:t>
      </w:r>
      <w:r>
        <w:t xml:space="preserve">, including </w:t>
      </w:r>
      <w:r w:rsidRPr="007635C5">
        <w:t xml:space="preserve">issues they raised regarding the contents of the </w:t>
      </w:r>
      <w:r w:rsidRPr="00AF2CCF">
        <w:rPr>
          <w:i/>
        </w:rPr>
        <w:t>Notice</w:t>
      </w:r>
      <w:r w:rsidRPr="007635C5">
        <w:t xml:space="preserve"> and the nature of the obligations to comply with it. In response to those representations, we have made significant amendments to the draft of the </w:t>
      </w:r>
      <w:r w:rsidRPr="00AF2CCF">
        <w:rPr>
          <w:i/>
        </w:rPr>
        <w:lastRenderedPageBreak/>
        <w:t>Notice</w:t>
      </w:r>
      <w:r w:rsidRPr="007635C5">
        <w:t xml:space="preserve">. In particular, we have reduced the scope of the information that we require and we have modified some procedural requirements set out in the Notice. In making these changes we again had regard to the matters to be addressed by the service of the Notice and to the likely costs that may be incurred by an efficient network service provider in complying with the </w:t>
      </w:r>
      <w:r>
        <w:t>N</w:t>
      </w:r>
      <w:r w:rsidRPr="007635C5">
        <w:t>otice.</w:t>
      </w:r>
    </w:p>
    <w:p w:rsidR="00AE5FBA" w:rsidRPr="00AE6A43" w:rsidRDefault="00AE5FBA" w:rsidP="0052182B">
      <w:pPr>
        <w:rPr>
          <w:rFonts w:cs="Arial"/>
        </w:rPr>
      </w:pPr>
      <w:r w:rsidRPr="000C6958">
        <w:rPr>
          <w:rFonts w:cs="Arial"/>
        </w:rPr>
        <w:t>The</w:t>
      </w:r>
      <w:r>
        <w:rPr>
          <w:rFonts w:cs="Arial"/>
        </w:rPr>
        <w:t>refore, the</w:t>
      </w:r>
      <w:r w:rsidRPr="000C6958">
        <w:rPr>
          <w:rFonts w:cs="Arial"/>
        </w:rPr>
        <w:t xml:space="preserve"> AER considers that the information required by this </w:t>
      </w:r>
      <w:r w:rsidRPr="00AF2CCF">
        <w:rPr>
          <w:rFonts w:cs="Arial"/>
          <w:i/>
        </w:rPr>
        <w:t>Notice</w:t>
      </w:r>
      <w:r w:rsidRPr="000C6958">
        <w:rPr>
          <w:rFonts w:cs="Arial"/>
        </w:rPr>
        <w:t xml:space="preserve"> is reasonably necessary for the AER to perform its functions under chapter</w:t>
      </w:r>
      <w:r>
        <w:rPr>
          <w:rFonts w:cs="Arial"/>
        </w:rPr>
        <w:t xml:space="preserve"> 6A</w:t>
      </w:r>
      <w:r w:rsidRPr="000C6958">
        <w:rPr>
          <w:rFonts w:cs="Arial"/>
        </w:rPr>
        <w:t xml:space="preserve"> of the NER.</w:t>
      </w:r>
    </w:p>
    <w:p w:rsidR="00AE5FBA" w:rsidRDefault="00AE5FBA" w:rsidP="0052182B"/>
    <w:p w:rsidR="00AE5FBA" w:rsidRDefault="00AE5FBA" w:rsidP="0052182B">
      <w:pPr>
        <w:spacing w:after="200" w:line="276" w:lineRule="auto"/>
        <w:jc w:val="left"/>
        <w:rPr>
          <w:b/>
        </w:rPr>
      </w:pPr>
      <w:r>
        <w:rPr>
          <w:b/>
        </w:rPr>
        <w:br w:type="page"/>
      </w:r>
    </w:p>
    <w:p w:rsidR="00AE5FBA" w:rsidRDefault="00AE5FBA" w:rsidP="0052182B">
      <w:pPr>
        <w:pStyle w:val="Heading1"/>
      </w:pPr>
      <w:bookmarkStart w:id="16" w:name="_Toc383506906"/>
      <w:r>
        <w:lastRenderedPageBreak/>
        <w:t>APPENDIX E: PRINCIPLES AND REQUIREMENTS</w:t>
      </w:r>
      <w:bookmarkEnd w:id="16"/>
    </w:p>
    <w:p w:rsidR="00AE5FBA" w:rsidRPr="0089258E" w:rsidRDefault="00AE5FBA" w:rsidP="0052182B">
      <w:pPr>
        <w:pStyle w:val="Heading2"/>
        <w:rPr>
          <w:lang w:eastAsia="en-AU"/>
        </w:rPr>
      </w:pPr>
      <w:bookmarkStart w:id="17" w:name="_Toc383506907"/>
      <w:r w:rsidRPr="0089258E">
        <w:rPr>
          <w:lang w:eastAsia="en-AU"/>
        </w:rPr>
        <w:t>GENERAL</w:t>
      </w:r>
      <w:bookmarkEnd w:id="17"/>
    </w:p>
    <w:p w:rsidR="00AE5FBA" w:rsidRDefault="00AE5FBA" w:rsidP="00AF2CCF">
      <w:pPr>
        <w:pStyle w:val="Numberlist1"/>
      </w:pPr>
      <w:r>
        <w:t xml:space="preserve">In responding to this Notice </w:t>
      </w:r>
      <w:r w:rsidRPr="00E34849">
        <w:rPr>
          <w:noProof/>
        </w:rPr>
        <w:t>TNSP</w:t>
      </w:r>
      <w:r>
        <w:t xml:space="preserve"> must allocate costs, for all regulatory years, in accordance with the AER approved cost allocation methodology in effect for that Regulatory Year.</w:t>
      </w:r>
    </w:p>
    <w:p w:rsidR="00AE5FBA" w:rsidRDefault="00AE5FBA" w:rsidP="00062AAB">
      <w:pPr>
        <w:pStyle w:val="Numberlist1"/>
      </w:pPr>
      <w:r w:rsidRPr="00E34849">
        <w:rPr>
          <w:noProof/>
        </w:rPr>
        <w:t>TNSP</w:t>
      </w:r>
      <w:r>
        <w:rPr>
          <w:noProof/>
        </w:rPr>
        <w:t xml:space="preserve"> must provide all information required in the </w:t>
      </w:r>
      <w:r w:rsidRPr="00AF2CCF">
        <w:rPr>
          <w:i/>
          <w:noProof/>
        </w:rPr>
        <w:t>Regulatory Templates</w:t>
      </w:r>
      <w:r>
        <w:rPr>
          <w:noProof/>
        </w:rPr>
        <w:t>, subject to the following exceptions:</w:t>
      </w:r>
    </w:p>
    <w:p w:rsidR="00AE5FBA" w:rsidRPr="004821FC" w:rsidRDefault="00AE5FBA" w:rsidP="00BB5964">
      <w:pPr>
        <w:pStyle w:val="Numberlist2"/>
        <w:tabs>
          <w:tab w:val="clear" w:pos="1560"/>
        </w:tabs>
      </w:pPr>
      <w:r w:rsidRPr="00DF4D5B">
        <w:t xml:space="preserve">Weather corrected maximum demand </w:t>
      </w:r>
      <w:r w:rsidRPr="004821FC">
        <w:t>(see paragraphs</w:t>
      </w:r>
      <w:r>
        <w:t xml:space="preserve"> 8.6(a) and 8.13(b)</w:t>
      </w:r>
      <w:r w:rsidRPr="004821FC">
        <w:t>)</w:t>
      </w:r>
    </w:p>
    <w:p w:rsidR="00AE5FBA" w:rsidRDefault="00AE5FBA" w:rsidP="00BB5964">
      <w:pPr>
        <w:pStyle w:val="Numberlist2"/>
        <w:tabs>
          <w:tab w:val="clear" w:pos="1560"/>
        </w:tabs>
      </w:pPr>
      <w:r w:rsidRPr="004821FC">
        <w:rPr>
          <w:i/>
        </w:rPr>
        <w:t>Connection point</w:t>
      </w:r>
      <w:r>
        <w:t xml:space="preserve"> rating (see paragraph 8.11(b))</w:t>
      </w:r>
    </w:p>
    <w:p w:rsidR="00AE5FBA" w:rsidRPr="004821FC" w:rsidRDefault="00AE5FBA" w:rsidP="00BB5964">
      <w:pPr>
        <w:pStyle w:val="Numberlist2"/>
        <w:tabs>
          <w:tab w:val="clear" w:pos="1560"/>
        </w:tabs>
      </w:pPr>
      <w:r w:rsidRPr="004821FC">
        <w:t>Adjustments to demand data for embedded generation (see paragraph</w:t>
      </w:r>
      <w:r>
        <w:t>s 8.5(b)</w:t>
      </w:r>
      <w:r w:rsidRPr="004821FC">
        <w:t xml:space="preserve"> </w:t>
      </w:r>
      <w:r>
        <w:t>and 8.12(c))</w:t>
      </w:r>
    </w:p>
    <w:p w:rsidR="00AE5FBA" w:rsidRPr="00DF4D5B" w:rsidRDefault="00AE5FBA" w:rsidP="00BB5964">
      <w:pPr>
        <w:pStyle w:val="Numberlist2"/>
        <w:rPr>
          <w:noProof/>
        </w:rPr>
      </w:pPr>
      <w:r w:rsidRPr="004821FC">
        <w:t xml:space="preserve">Vegetation </w:t>
      </w:r>
      <w:r w:rsidRPr="004821FC">
        <w:rPr>
          <w:i/>
        </w:rPr>
        <w:t>inspections</w:t>
      </w:r>
      <w:r w:rsidRPr="004821FC">
        <w:t xml:space="preserve"> expenditure (see paragraph</w:t>
      </w:r>
      <w:r>
        <w:t xml:space="preserve"> 11.11</w:t>
      </w:r>
      <w:r w:rsidRPr="004821FC">
        <w:t>)</w:t>
      </w:r>
    </w:p>
    <w:p w:rsidR="00AE5FBA" w:rsidRPr="00DF4D5B" w:rsidRDefault="00AE5FBA" w:rsidP="00BB5964">
      <w:pPr>
        <w:pStyle w:val="Numberlist2"/>
        <w:tabs>
          <w:tab w:val="clear" w:pos="1560"/>
        </w:tabs>
      </w:pPr>
      <w:r w:rsidRPr="00DF4D5B">
        <w:t xml:space="preserve">Vegetation </w:t>
      </w:r>
      <w:r w:rsidRPr="00DF4D5B">
        <w:rPr>
          <w:i/>
        </w:rPr>
        <w:t>audit</w:t>
      </w:r>
      <w:r w:rsidRPr="00DF4D5B">
        <w:t xml:space="preserve"> expenditure (see paragraph </w:t>
      </w:r>
      <w:r>
        <w:t>11.12</w:t>
      </w:r>
      <w:r w:rsidRPr="00DF4D5B">
        <w:t>)</w:t>
      </w:r>
    </w:p>
    <w:p w:rsidR="00AE5FBA" w:rsidRPr="004821FC" w:rsidRDefault="00AE5FBA" w:rsidP="00BB5964">
      <w:pPr>
        <w:pStyle w:val="Numberlist2"/>
        <w:tabs>
          <w:tab w:val="clear" w:pos="1560"/>
        </w:tabs>
      </w:pPr>
      <w:r w:rsidRPr="00DF4D5B">
        <w:t xml:space="preserve">Outages and </w:t>
      </w:r>
      <w:r w:rsidRPr="004821FC">
        <w:rPr>
          <w:i/>
        </w:rPr>
        <w:t>fire starts</w:t>
      </w:r>
      <w:r w:rsidRPr="00DF4D5B">
        <w:t xml:space="preserve"> caused by defined vegetation sub-causes (see paragraph </w:t>
      </w:r>
      <w:r>
        <w:t>11.15</w:t>
      </w:r>
      <w:r w:rsidRPr="00DF4D5B">
        <w:t>).</w:t>
      </w:r>
    </w:p>
    <w:p w:rsidR="00AE5FBA" w:rsidRDefault="00AE5FBA" w:rsidP="00BB5964">
      <w:pPr>
        <w:pStyle w:val="Numberlist1"/>
      </w:pPr>
      <w:r>
        <w:t xml:space="preserve">The exceptions referred to in paragraph 1.2 are identified in the </w:t>
      </w:r>
      <w:r w:rsidRPr="00AF2CCF">
        <w:rPr>
          <w:i/>
        </w:rPr>
        <w:t>Regulatory Templates</w:t>
      </w:r>
      <w:r>
        <w:t xml:space="preserve"> with orange coloured cells.</w:t>
      </w:r>
      <w:r w:rsidRPr="00E64359">
        <w:t xml:space="preserve"> </w:t>
      </w:r>
      <w:r w:rsidRPr="00E34849">
        <w:rPr>
          <w:noProof/>
        </w:rPr>
        <w:t>TNSP</w:t>
      </w:r>
      <w:r>
        <w:rPr>
          <w:noProof/>
        </w:rPr>
        <w:t xml:space="preserve"> may only be exempted from inserting data into these cells and must instead colour them black if </w:t>
      </w:r>
      <w:r w:rsidRPr="00E34849">
        <w:rPr>
          <w:noProof/>
        </w:rPr>
        <w:t>TNSP</w:t>
      </w:r>
      <w:r>
        <w:rPr>
          <w:noProof/>
        </w:rPr>
        <w:t>:</w:t>
      </w:r>
    </w:p>
    <w:p w:rsidR="00AE5FBA" w:rsidRDefault="00AE5FBA" w:rsidP="00BB5964">
      <w:pPr>
        <w:pStyle w:val="Numberlist2"/>
        <w:tabs>
          <w:tab w:val="clear" w:pos="1560"/>
        </w:tabs>
      </w:pPr>
      <w:r>
        <w:rPr>
          <w:noProof/>
        </w:rPr>
        <w:t>does not currently collect or report this information; and</w:t>
      </w:r>
    </w:p>
    <w:p w:rsidR="00AE5FBA" w:rsidRDefault="00AE5FBA" w:rsidP="00AF2CCF">
      <w:pPr>
        <w:pStyle w:val="Numberlist2"/>
      </w:pPr>
      <w:r>
        <w:rPr>
          <w:noProof/>
        </w:rPr>
        <w:t>identifies this in its basis of preparation.</w:t>
      </w:r>
    </w:p>
    <w:p w:rsidR="00AE5FBA" w:rsidRPr="00023CF8" w:rsidRDefault="00AE5FBA" w:rsidP="00062AAB">
      <w:pPr>
        <w:pStyle w:val="Numberlist1"/>
      </w:pPr>
      <w:r>
        <w:t xml:space="preserve">The exceptions referred to in paragraph 1.2 apply for </w:t>
      </w:r>
      <w:r w:rsidRPr="00AF2CCF">
        <w:rPr>
          <w:i/>
        </w:rPr>
        <w:t>Initial Regulatory Years</w:t>
      </w:r>
      <w:r>
        <w:t xml:space="preserve"> and </w:t>
      </w:r>
      <w:r w:rsidRPr="00AF2CCF">
        <w:rPr>
          <w:i/>
        </w:rPr>
        <w:t>Regulatory Year</w:t>
      </w:r>
      <w:r>
        <w:t xml:space="preserve"> 2014 only. For </w:t>
      </w:r>
      <w:r w:rsidRPr="00AF2CCF">
        <w:rPr>
          <w:i/>
        </w:rPr>
        <w:t>Regulatory Years</w:t>
      </w:r>
      <w:r>
        <w:t xml:space="preserve"> 2015 and thereafter, </w:t>
      </w:r>
      <w:r w:rsidRPr="00E34849">
        <w:rPr>
          <w:noProof/>
        </w:rPr>
        <w:t>TNSP</w:t>
      </w:r>
      <w:r>
        <w:rPr>
          <w:noProof/>
        </w:rPr>
        <w:t xml:space="preserve"> must provide this information.</w:t>
      </w:r>
    </w:p>
    <w:p w:rsidR="00AE5FBA" w:rsidRDefault="00AE5FBA" w:rsidP="002F7B1D">
      <w:pPr>
        <w:pStyle w:val="Numberlist1"/>
        <w:tabs>
          <w:tab w:val="num" w:pos="993"/>
        </w:tabs>
      </w:pPr>
      <w:r w:rsidRPr="00E34849">
        <w:rPr>
          <w:noProof/>
        </w:rPr>
        <w:t>TNSP</w:t>
      </w:r>
      <w:r>
        <w:rPr>
          <w:noProof/>
        </w:rPr>
        <w:t xml:space="preserve"> is exempted from its obligation to provide only </w:t>
      </w:r>
      <w:r w:rsidRPr="006C487C">
        <w:rPr>
          <w:i/>
          <w:noProof/>
        </w:rPr>
        <w:t>actual information</w:t>
      </w:r>
      <w:r w:rsidRPr="006C487C">
        <w:rPr>
          <w:noProof/>
        </w:rPr>
        <w:t xml:space="preserve"> </w:t>
      </w:r>
      <w:r>
        <w:rPr>
          <w:noProof/>
        </w:rPr>
        <w:t xml:space="preserve">for </w:t>
      </w:r>
      <w:r w:rsidRPr="006C487C">
        <w:rPr>
          <w:i/>
          <w:noProof/>
        </w:rPr>
        <w:t>Subsequent Regulatory Years</w:t>
      </w:r>
      <w:r>
        <w:rPr>
          <w:noProof/>
        </w:rPr>
        <w:t xml:space="preserve"> for the following items (that is, may provide </w:t>
      </w:r>
      <w:r w:rsidRPr="006C487C">
        <w:rPr>
          <w:i/>
          <w:noProof/>
        </w:rPr>
        <w:t>estimated information</w:t>
      </w:r>
      <w:r>
        <w:rPr>
          <w:noProof/>
        </w:rPr>
        <w:t xml:space="preserve"> on an ongoing basis):</w:t>
      </w:r>
    </w:p>
    <w:p w:rsidR="00AE5FBA" w:rsidRPr="00BB5964" w:rsidRDefault="00AE5FBA" w:rsidP="00C203AC">
      <w:pPr>
        <w:pStyle w:val="Numberlist2"/>
        <w:tabs>
          <w:tab w:val="clear" w:pos="1560"/>
          <w:tab w:val="num" w:pos="993"/>
        </w:tabs>
      </w:pPr>
      <w:r w:rsidRPr="00AF2CCF">
        <w:rPr>
          <w:i/>
        </w:rPr>
        <w:t>average number of trees per maintenance span</w:t>
      </w:r>
      <w:r w:rsidRPr="00AF2CCF">
        <w:t xml:space="preserve"> as requested in regulatory template 2.</w:t>
      </w:r>
      <w:r w:rsidRPr="00BB5964">
        <w:t>6; and</w:t>
      </w:r>
    </w:p>
    <w:p w:rsidR="00AE5FBA" w:rsidRPr="00BB5964" w:rsidRDefault="00AE5FBA" w:rsidP="00C203AC">
      <w:pPr>
        <w:pStyle w:val="Numberlist2"/>
        <w:tabs>
          <w:tab w:val="clear" w:pos="1560"/>
          <w:tab w:val="num" w:pos="993"/>
        </w:tabs>
      </w:pPr>
      <w:proofErr w:type="gramStart"/>
      <w:r w:rsidRPr="00BB5964">
        <w:t>the</w:t>
      </w:r>
      <w:proofErr w:type="gramEnd"/>
      <w:r w:rsidRPr="00BB5964">
        <w:t xml:space="preserve"> mean and standard deviation for </w:t>
      </w:r>
      <w:r w:rsidRPr="00BB5964">
        <w:rPr>
          <w:i/>
        </w:rPr>
        <w:t>economic life</w:t>
      </w:r>
      <w:r w:rsidRPr="00BB5964">
        <w:t xml:space="preserve"> requested in </w:t>
      </w:r>
      <w:r w:rsidRPr="00BB5964">
        <w:rPr>
          <w:i/>
        </w:rPr>
        <w:t>regulatory template</w:t>
      </w:r>
      <w:r w:rsidRPr="00BB5964">
        <w:t xml:space="preserve"> 4.1.</w:t>
      </w:r>
    </w:p>
    <w:p w:rsidR="00AE5FBA" w:rsidRDefault="00AE5FBA" w:rsidP="00062AAB">
      <w:pPr>
        <w:pStyle w:val="Numberlist1"/>
      </w:pPr>
      <w:r>
        <w:t xml:space="preserve">Data for cells in </w:t>
      </w:r>
      <w:r w:rsidRPr="00AF2CCF">
        <w:rPr>
          <w:i/>
        </w:rPr>
        <w:t>Regulatory Templates</w:t>
      </w:r>
      <w:r>
        <w:t xml:space="preserve"> coloured grey or containing formulae do not require input and must not be amended by </w:t>
      </w:r>
      <w:r w:rsidRPr="00E34849">
        <w:rPr>
          <w:noProof/>
        </w:rPr>
        <w:t>TNSP</w:t>
      </w:r>
      <w:r>
        <w:rPr>
          <w:noProof/>
        </w:rPr>
        <w:t>.</w:t>
      </w:r>
    </w:p>
    <w:p w:rsidR="00AE5FBA" w:rsidRDefault="00AE5FBA" w:rsidP="00BB5964">
      <w:pPr>
        <w:pStyle w:val="Numberlist1"/>
      </w:pPr>
      <w:r w:rsidRPr="00C612FF">
        <w:t xml:space="preserve">When </w:t>
      </w:r>
      <w:r w:rsidRPr="00E34849">
        <w:rPr>
          <w:noProof/>
        </w:rPr>
        <w:t>TNSP</w:t>
      </w:r>
      <w:r>
        <w:t xml:space="preserve"> must </w:t>
      </w:r>
      <w:r w:rsidRPr="00C612FF">
        <w:t xml:space="preserve">make an estimate because it cannot populate the input cell with actual information, </w:t>
      </w:r>
      <w:r w:rsidRPr="00E34849">
        <w:rPr>
          <w:noProof/>
        </w:rPr>
        <w:t>TNSP</w:t>
      </w:r>
      <w:r>
        <w:t xml:space="preserve"> must demonstrate that it has </w:t>
      </w:r>
      <w:r w:rsidRPr="00C612FF">
        <w:t>provide</w:t>
      </w:r>
      <w:r>
        <w:t>d</w:t>
      </w:r>
      <w:r w:rsidRPr="00C612FF">
        <w:t xml:space="preserve"> the best estimate it can. In its basis of preparation, </w:t>
      </w:r>
      <w:r w:rsidRPr="00E34849">
        <w:rPr>
          <w:noProof/>
        </w:rPr>
        <w:t>TNSP</w:t>
      </w:r>
      <w:r>
        <w:t xml:space="preserve"> must </w:t>
      </w:r>
      <w:r w:rsidRPr="00C612FF">
        <w:t>explain</w:t>
      </w:r>
      <w:r>
        <w:t>:</w:t>
      </w:r>
    </w:p>
    <w:p w:rsidR="00AE5FBA" w:rsidRDefault="00AE5FBA" w:rsidP="00BB5964">
      <w:pPr>
        <w:pStyle w:val="Numberlist2"/>
        <w:tabs>
          <w:tab w:val="clear" w:pos="1560"/>
        </w:tabs>
      </w:pPr>
      <w:r w:rsidRPr="00C612FF">
        <w:t xml:space="preserve">why it could not use </w:t>
      </w:r>
      <w:r w:rsidRPr="00DE3D65">
        <w:t>actual information</w:t>
      </w:r>
      <w:r>
        <w:t>;</w:t>
      </w:r>
    </w:p>
    <w:p w:rsidR="00AE5FBA" w:rsidRDefault="00AE5FBA" w:rsidP="00BB5964">
      <w:pPr>
        <w:pStyle w:val="Numberlist2"/>
        <w:tabs>
          <w:tab w:val="clear" w:pos="1560"/>
        </w:tabs>
      </w:pPr>
      <w:r>
        <w:t xml:space="preserve">how </w:t>
      </w:r>
      <w:r w:rsidRPr="00E34849">
        <w:rPr>
          <w:noProof/>
        </w:rPr>
        <w:t>TNSP</w:t>
      </w:r>
      <w:r w:rsidRPr="00C612FF">
        <w:t xml:space="preserve"> derived the estimate</w:t>
      </w:r>
      <w:r>
        <w:t>;</w:t>
      </w:r>
      <w:r w:rsidRPr="00C612FF">
        <w:t xml:space="preserve"> and</w:t>
      </w:r>
    </w:p>
    <w:p w:rsidR="00AE5FBA" w:rsidRDefault="00AE5FBA" w:rsidP="00BB5964">
      <w:pPr>
        <w:pStyle w:val="Numberlist2"/>
        <w:tabs>
          <w:tab w:val="clear" w:pos="1560"/>
        </w:tabs>
      </w:pPr>
      <w:proofErr w:type="gramStart"/>
      <w:r w:rsidRPr="00C612FF">
        <w:lastRenderedPageBreak/>
        <w:t>why</w:t>
      </w:r>
      <w:proofErr w:type="gramEnd"/>
      <w:r w:rsidRPr="00C612FF">
        <w:t xml:space="preserve"> it </w:t>
      </w:r>
      <w:r>
        <w:t xml:space="preserve">is </w:t>
      </w:r>
      <w:r w:rsidRPr="00E34849">
        <w:rPr>
          <w:noProof/>
        </w:rPr>
        <w:t>TNSP</w:t>
      </w:r>
      <w:r>
        <w:t>’s</w:t>
      </w:r>
      <w:r w:rsidRPr="00C612FF">
        <w:t xml:space="preserve"> best</w:t>
      </w:r>
      <w:r w:rsidRPr="00F41929">
        <w:t xml:space="preserve"> estimate. </w:t>
      </w:r>
      <w:r>
        <w:t xml:space="preserve"> </w:t>
      </w:r>
    </w:p>
    <w:p w:rsidR="00AE5FBA" w:rsidRPr="00874F29" w:rsidRDefault="00AE5FBA" w:rsidP="00062AAB">
      <w:pPr>
        <w:pStyle w:val="Numberlist1"/>
      </w:pPr>
      <w:r w:rsidRPr="00874F29">
        <w:t>All</w:t>
      </w:r>
      <w:r>
        <w:t xml:space="preserve"> capex and opex </w:t>
      </w:r>
      <w:r w:rsidRPr="00874F29">
        <w:t xml:space="preserve">provided to the AER in response to this </w:t>
      </w:r>
      <w:r w:rsidRPr="00B07BA9">
        <w:rPr>
          <w:i/>
        </w:rPr>
        <w:t>Notice</w:t>
      </w:r>
      <w:r w:rsidRPr="00874F29">
        <w:t xml:space="preserve"> must be in nominal dollars</w:t>
      </w:r>
      <w:r>
        <w:t>, unless specified otherwise</w:t>
      </w:r>
      <w:r w:rsidRPr="00874F29">
        <w:t>.</w:t>
      </w:r>
    </w:p>
    <w:p w:rsidR="00AE5FBA" w:rsidRPr="00874F29" w:rsidRDefault="00AE5FBA" w:rsidP="00062AAB">
      <w:pPr>
        <w:pStyle w:val="Numberlist1"/>
      </w:pPr>
      <w:r w:rsidRPr="00E34849">
        <w:rPr>
          <w:noProof/>
        </w:rPr>
        <w:t>TNSP</w:t>
      </w:r>
      <w:r>
        <w:t xml:space="preserve"> must </w:t>
      </w:r>
      <w:r w:rsidRPr="00874F29">
        <w:t>provide any calculations used to convert real to nominal dollars for the purposes of providing the inform</w:t>
      </w:r>
      <w:r>
        <w:t xml:space="preserve">ation required under clause 1.8 </w:t>
      </w:r>
      <w:r w:rsidRPr="00874F29">
        <w:t xml:space="preserve">above. </w:t>
      </w:r>
    </w:p>
    <w:p w:rsidR="00AE5FBA" w:rsidRDefault="00AE5FBA" w:rsidP="00062AAB">
      <w:pPr>
        <w:pStyle w:val="Numberlist1"/>
      </w:pPr>
      <w:r>
        <w:t xml:space="preserve">Capex and associated data (such as asset volumes) reported in </w:t>
      </w:r>
      <w:r w:rsidRPr="00AF2CCF">
        <w:rPr>
          <w:i/>
        </w:rPr>
        <w:t>Regulatory Templates</w:t>
      </w:r>
      <w:r>
        <w:t xml:space="preserve"> </w:t>
      </w:r>
      <w:r w:rsidRPr="00AF2CCF">
        <w:t>2.2 to 2.12, and 4.1,</w:t>
      </w:r>
      <w:r w:rsidRPr="00BB5964">
        <w:t xml:space="preserve"> must</w:t>
      </w:r>
      <w:r>
        <w:t xml:space="preserve"> be reported against the </w:t>
      </w:r>
      <w:r w:rsidRPr="00AF2CCF">
        <w:rPr>
          <w:i/>
        </w:rPr>
        <w:t>Regulatory Year</w:t>
      </w:r>
      <w:r>
        <w:t xml:space="preserve"> on a </w:t>
      </w:r>
      <w:r w:rsidRPr="00AF2CCF">
        <w:rPr>
          <w:i/>
        </w:rPr>
        <w:t>project close</w:t>
      </w:r>
      <w:r>
        <w:t xml:space="preserve"> basis, unless otherwise indicated.</w:t>
      </w:r>
    </w:p>
    <w:p w:rsidR="00AE5FBA" w:rsidRDefault="00AE5FBA" w:rsidP="0082023A">
      <w:pPr>
        <w:pStyle w:val="Numberlist1"/>
      </w:pPr>
      <w:r>
        <w:t>Subject to exceptions in the case of n</w:t>
      </w:r>
      <w:r w:rsidRPr="009D27CA">
        <w:t>on-</w:t>
      </w:r>
      <w:r>
        <w:t>n</w:t>
      </w:r>
      <w:r w:rsidRPr="009D27CA">
        <w:t xml:space="preserve">etwork </w:t>
      </w:r>
      <w:r>
        <w:t>e</w:t>
      </w:r>
      <w:r w:rsidRPr="009D27CA">
        <w:t>xpenditures</w:t>
      </w:r>
      <w:r>
        <w:t xml:space="preserve"> (see paragraph 9.1), expenditures reported in </w:t>
      </w:r>
      <w:r w:rsidRPr="00B204FD">
        <w:rPr>
          <w:i/>
        </w:rPr>
        <w:t>Regulatory Templates</w:t>
      </w:r>
      <w:r>
        <w:t xml:space="preserve"> 2.2 to 2.7 must be </w:t>
      </w:r>
      <w:r w:rsidRPr="00B204FD">
        <w:rPr>
          <w:i/>
        </w:rPr>
        <w:t>Direct Costs</w:t>
      </w:r>
      <w:r>
        <w:t xml:space="preserve"> only, and exclude expenditures on </w:t>
      </w:r>
      <w:r w:rsidRPr="00B204FD">
        <w:rPr>
          <w:i/>
        </w:rPr>
        <w:t>Overheads</w:t>
      </w:r>
      <w:r>
        <w:t>.</w:t>
      </w:r>
    </w:p>
    <w:p w:rsidR="00AE5FBA" w:rsidRDefault="00AE5FBA">
      <w:pPr>
        <w:pStyle w:val="Numberlist1"/>
      </w:pPr>
      <w:r w:rsidRPr="00E34849">
        <w:rPr>
          <w:noProof/>
        </w:rPr>
        <w:t>TNSP</w:t>
      </w:r>
      <w:r w:rsidRPr="004F490E">
        <w:t xml:space="preserve"> must complete the </w:t>
      </w:r>
      <w:r w:rsidRPr="00B204FD">
        <w:rPr>
          <w:i/>
        </w:rPr>
        <w:t>Regulatory Templates</w:t>
      </w:r>
      <w:r w:rsidRPr="004F490E">
        <w:t xml:space="preserve"> (“</w:t>
      </w:r>
      <w:proofErr w:type="gramStart"/>
      <w:r w:rsidRPr="00AF2CCF">
        <w:t>A</w:t>
      </w:r>
      <w:proofErr w:type="gramEnd"/>
      <w:r>
        <w:fldChar w:fldCharType="begin"/>
      </w:r>
      <w:r>
        <w:instrText xml:space="preserve"> HYPERLINK "javascript:void(0);" </w:instrText>
      </w:r>
      <w:r>
        <w:fldChar w:fldCharType="separate"/>
      </w:r>
      <w:r w:rsidRPr="00AF2CCF">
        <w:t>ER Category Analysis data templates for transmission network service providers</w:t>
      </w:r>
      <w:r>
        <w:fldChar w:fldCharType="end"/>
      </w:r>
      <w:r>
        <w:rPr>
          <w:b/>
          <w:i/>
        </w:rPr>
        <w:t xml:space="preserve"> </w:t>
      </w:r>
      <w:r w:rsidRPr="00B204FD">
        <w:t xml:space="preserve">– Consolidated Information.xlsx”) and ensure it contains all information required by the </w:t>
      </w:r>
      <w:r w:rsidRPr="00B204FD">
        <w:rPr>
          <w:i/>
        </w:rPr>
        <w:t>Notice</w:t>
      </w:r>
      <w:r w:rsidRPr="004F490E">
        <w:t xml:space="preserve">. </w:t>
      </w:r>
      <w:r w:rsidRPr="00E34849">
        <w:rPr>
          <w:noProof/>
        </w:rPr>
        <w:t>TNSP</w:t>
      </w:r>
      <w:r w:rsidRPr="004F490E">
        <w:t xml:space="preserve"> must then copy all </w:t>
      </w:r>
      <w:r w:rsidRPr="00B204FD">
        <w:rPr>
          <w:i/>
        </w:rPr>
        <w:t>Actual Information</w:t>
      </w:r>
      <w:r w:rsidRPr="004F490E">
        <w:t xml:space="preserve"> to the Microsoft Excel Workbook titled “</w:t>
      </w:r>
      <w:proofErr w:type="gramStart"/>
      <w:r w:rsidRPr="00AF2CCF">
        <w:t>A</w:t>
      </w:r>
      <w:proofErr w:type="gramEnd"/>
      <w:r>
        <w:fldChar w:fldCharType="begin"/>
      </w:r>
      <w:r>
        <w:instrText xml:space="preserve"> HYPERLINK "javascript:void(0);" </w:instrText>
      </w:r>
      <w:r>
        <w:fldChar w:fldCharType="separate"/>
      </w:r>
      <w:r w:rsidRPr="00AF2CCF">
        <w:t>ER Category Analysis data templates for transmission network service providers</w:t>
      </w:r>
      <w:r>
        <w:fldChar w:fldCharType="end"/>
      </w:r>
      <w:r w:rsidRPr="00B204FD">
        <w:t xml:space="preserve"> – Actual Information.xlsx” and all </w:t>
      </w:r>
      <w:r w:rsidRPr="00B204FD">
        <w:rPr>
          <w:i/>
        </w:rPr>
        <w:t>Estimated Information</w:t>
      </w:r>
      <w:r w:rsidRPr="004F490E">
        <w:t xml:space="preserve"> to the Microsoft Excel Workbook titled “</w:t>
      </w:r>
      <w:r w:rsidRPr="00AF2CCF">
        <w:t>A</w:t>
      </w:r>
      <w:hyperlink r:id="rId15" w:history="1">
        <w:r w:rsidRPr="00AF2CCF">
          <w:t>ER Category Analysis data templates for transmission network service providers</w:t>
        </w:r>
      </w:hyperlink>
      <w:r w:rsidRPr="00B204FD">
        <w:t xml:space="preserve"> – Estimated Information.xlsx”. </w:t>
      </w:r>
    </w:p>
    <w:p w:rsidR="00AE5FBA" w:rsidRPr="00F41929" w:rsidRDefault="00AE5FBA" w:rsidP="00062AAB">
      <w:pPr>
        <w:pStyle w:val="Heading2"/>
        <w:rPr>
          <w:lang w:eastAsia="en-AU"/>
        </w:rPr>
      </w:pPr>
      <w:bookmarkStart w:id="18" w:name="_Toc383506908"/>
      <w:r>
        <w:rPr>
          <w:lang w:eastAsia="en-AU"/>
        </w:rPr>
        <w:t>RECONCILIATION AND SUMMARY TABLES</w:t>
      </w:r>
      <w:bookmarkEnd w:id="18"/>
    </w:p>
    <w:p w:rsidR="00AE5FBA" w:rsidRDefault="00AE5FBA" w:rsidP="00062AAB">
      <w:pPr>
        <w:pStyle w:val="Numberlist1"/>
      </w:pPr>
      <w:r w:rsidRPr="00E34849">
        <w:rPr>
          <w:noProof/>
        </w:rPr>
        <w:t>TNSP</w:t>
      </w:r>
      <w:r>
        <w:rPr>
          <w:noProof/>
        </w:rPr>
        <w:t xml:space="preserve"> must calculate the expenditure on capex and opex reported in </w:t>
      </w:r>
      <w:r w:rsidRPr="00AF2CCF">
        <w:rPr>
          <w:i/>
          <w:noProof/>
        </w:rPr>
        <w:t>Regulatory Templates</w:t>
      </w:r>
      <w:r w:rsidRPr="00BB5964">
        <w:rPr>
          <w:noProof/>
        </w:rPr>
        <w:t xml:space="preserve"> 2.2 to 2.8 and report these amounts in the corresponding rows in tables </w:t>
      </w:r>
      <w:r w:rsidRPr="00AF2CCF">
        <w:rPr>
          <w:noProof/>
        </w:rPr>
        <w:t>2.1.1 and 2.1.2.</w:t>
      </w:r>
    </w:p>
    <w:p w:rsidR="00AE5FBA" w:rsidRDefault="00AE5FBA" w:rsidP="0011582B">
      <w:pPr>
        <w:pStyle w:val="Numberlist1"/>
      </w:pPr>
      <w:r>
        <w:t xml:space="preserve">The total expenditure for the capex and opex for each service classification in tables 2.1.1 to 2.1.2 of </w:t>
      </w:r>
      <w:r>
        <w:rPr>
          <w:i/>
        </w:rPr>
        <w:t>Regulatory Template</w:t>
      </w:r>
      <w:r>
        <w:t xml:space="preserve"> 2.1 must be mutually exclusive and collectively exhaustive. Total capex in </w:t>
      </w:r>
      <w:r w:rsidRPr="0011582B">
        <w:t>table</w:t>
      </w:r>
      <w:r>
        <w:t>s</w:t>
      </w:r>
      <w:r w:rsidRPr="0011582B">
        <w:t xml:space="preserve"> 2.1</w:t>
      </w:r>
      <w:r>
        <w:t>.1 to 2.1.2</w:t>
      </w:r>
      <w:r w:rsidRPr="0011582B">
        <w:t xml:space="preserve"> of </w:t>
      </w:r>
      <w:r w:rsidRPr="00AF2CCF">
        <w:rPr>
          <w:i/>
        </w:rPr>
        <w:t>Regulatory Template</w:t>
      </w:r>
      <w:r w:rsidRPr="0011582B">
        <w:t xml:space="preserve"> 2.1 </w:t>
      </w:r>
      <w:r>
        <w:t>must be reported on an “as-incurred” basis.</w:t>
      </w:r>
    </w:p>
    <w:p w:rsidR="00AE5FBA" w:rsidRDefault="00AE5FBA" w:rsidP="0011582B">
      <w:pPr>
        <w:pStyle w:val="Numberlist1"/>
      </w:pPr>
      <w:r w:rsidRPr="00E34849">
        <w:rPr>
          <w:noProof/>
        </w:rPr>
        <w:t>TNSP</w:t>
      </w:r>
      <w:r>
        <w:t xml:space="preserve"> must report an amount that reconciles total capex and opex with the sum of the capex and opex line items in the “balancing item” row in each table in </w:t>
      </w:r>
      <w:r>
        <w:rPr>
          <w:i/>
        </w:rPr>
        <w:t>Regulatory Template 2.1</w:t>
      </w:r>
      <w:r>
        <w:t xml:space="preserve">. For the avoidance of doubt this means that the sum of each of the capex and opex line items in each of the tables in </w:t>
      </w:r>
      <w:r>
        <w:rPr>
          <w:i/>
        </w:rPr>
        <w:t xml:space="preserve">Regulatory Template 2.1 </w:t>
      </w:r>
      <w:r>
        <w:t>minus the balancing item must equal the total capex or opex line item in these tables</w:t>
      </w:r>
      <w:r>
        <w:rPr>
          <w:i/>
        </w:rPr>
        <w:t>.</w:t>
      </w:r>
      <w:r w:rsidRPr="002607A3">
        <w:t xml:space="preserve"> </w:t>
      </w:r>
      <w:r>
        <w:t>To do this the balancing item must:</w:t>
      </w:r>
    </w:p>
    <w:p w:rsidR="00AE5FBA" w:rsidRDefault="00AE5FBA" w:rsidP="0011582B">
      <w:pPr>
        <w:pStyle w:val="Numberlist2"/>
      </w:pPr>
      <w:r>
        <w:t xml:space="preserve">Include the amount of capex and opex reported where these expenditures have been reported more than once within the </w:t>
      </w:r>
      <w:r w:rsidRPr="005454F9">
        <w:rPr>
          <w:i/>
        </w:rPr>
        <w:t>Regulatory Template</w:t>
      </w:r>
      <w:r>
        <w:rPr>
          <w:i/>
        </w:rPr>
        <w:t>s</w:t>
      </w:r>
      <w:r w:rsidRPr="005454F9">
        <w:rPr>
          <w:i/>
        </w:rPr>
        <w:t xml:space="preserve"> 2.</w:t>
      </w:r>
      <w:r w:rsidRPr="002607A3">
        <w:rPr>
          <w:i/>
        </w:rPr>
        <w:t>2 – 2.8</w:t>
      </w:r>
      <w:r w:rsidRPr="002607A3">
        <w:t>;</w:t>
      </w:r>
      <w:r>
        <w:t xml:space="preserve"> and</w:t>
      </w:r>
    </w:p>
    <w:p w:rsidR="00AE5FBA" w:rsidRPr="00707F27" w:rsidRDefault="00AE5FBA" w:rsidP="0011582B">
      <w:pPr>
        <w:pStyle w:val="Numberlist2"/>
      </w:pPr>
      <w:r>
        <w:t>Account for any</w:t>
      </w:r>
      <w:r w:rsidRPr="00707F27">
        <w:t xml:space="preserve"> </w:t>
      </w:r>
      <w:r>
        <w:t>differences</w:t>
      </w:r>
      <w:r w:rsidRPr="00707F27">
        <w:t xml:space="preserve"> arising due to the reporting of capex </w:t>
      </w:r>
      <w:r>
        <w:t>on a basis other than the “as-incurred” basis</w:t>
      </w:r>
      <w:r w:rsidRPr="00707F27">
        <w:t>.</w:t>
      </w:r>
    </w:p>
    <w:p w:rsidR="00AE5FBA" w:rsidRDefault="00AE5FBA" w:rsidP="00825DE6">
      <w:pPr>
        <w:pStyle w:val="Numberlist1"/>
      </w:pPr>
      <w:r w:rsidRPr="00E34849">
        <w:rPr>
          <w:noProof/>
        </w:rPr>
        <w:t>TNSP</w:t>
      </w:r>
      <w:r>
        <w:t xml:space="preserve"> must provide an excel spread sheet that contains the calculation of balancing items reported in </w:t>
      </w:r>
      <w:r w:rsidRPr="002034E6">
        <w:rPr>
          <w:i/>
        </w:rPr>
        <w:t>Regulatory Template 2.1</w:t>
      </w:r>
      <w:r>
        <w:t>. At a minimum, this spread sheet must:</w:t>
      </w:r>
    </w:p>
    <w:p w:rsidR="00AE5FBA" w:rsidRDefault="00AE5FBA" w:rsidP="00825DE6">
      <w:pPr>
        <w:pStyle w:val="Numberlist2"/>
        <w:tabs>
          <w:tab w:val="clear" w:pos="1560"/>
        </w:tabs>
      </w:pPr>
      <w:r>
        <w:lastRenderedPageBreak/>
        <w:t>for each instance where an expenditure item is reported more than once (i.e. double counted), identify:</w:t>
      </w:r>
    </w:p>
    <w:p w:rsidR="00AE5FBA" w:rsidRDefault="00AE5FBA" w:rsidP="00825DE6">
      <w:pPr>
        <w:pStyle w:val="Numberlist3"/>
        <w:tabs>
          <w:tab w:val="clear" w:pos="1560"/>
        </w:tabs>
      </w:pPr>
      <w:r>
        <w:t xml:space="preserve">where that instance is reflected in expenditure included in the </w:t>
      </w:r>
      <w:r w:rsidRPr="003C011F">
        <w:rPr>
          <w:i/>
        </w:rPr>
        <w:t>Regulatory Templates</w:t>
      </w:r>
    </w:p>
    <w:p w:rsidR="00AE5FBA" w:rsidRDefault="00AE5FBA" w:rsidP="00825DE6">
      <w:pPr>
        <w:pStyle w:val="Numberlist3"/>
        <w:tabs>
          <w:tab w:val="clear" w:pos="1560"/>
        </w:tabs>
      </w:pPr>
      <w:r>
        <w:t xml:space="preserve">the value of that expenditure in each </w:t>
      </w:r>
      <w:r w:rsidRPr="00F246F5">
        <w:rPr>
          <w:i/>
        </w:rPr>
        <w:t>Regulatory Template</w:t>
      </w:r>
    </w:p>
    <w:p w:rsidR="00AE5FBA" w:rsidRDefault="00AE5FBA" w:rsidP="00825DE6">
      <w:pPr>
        <w:pStyle w:val="Numberlist2"/>
        <w:tabs>
          <w:tab w:val="clear" w:pos="1560"/>
        </w:tabs>
      </w:pPr>
      <w:proofErr w:type="gramStart"/>
      <w:r>
        <w:t>identify</w:t>
      </w:r>
      <w:proofErr w:type="gramEnd"/>
      <w:r>
        <w:t xml:space="preserve"> each instance where the Notice requires </w:t>
      </w:r>
      <w:r w:rsidRPr="00E34849">
        <w:rPr>
          <w:noProof/>
        </w:rPr>
        <w:t>TNSP</w:t>
      </w:r>
      <w:r>
        <w:t xml:space="preserve"> to report </w:t>
      </w:r>
      <w:r w:rsidRPr="00F246F5">
        <w:rPr>
          <w:i/>
        </w:rPr>
        <w:t>capex</w:t>
      </w:r>
      <w:r>
        <w:t xml:space="preserve"> not on an “as-incurred” basis in </w:t>
      </w:r>
      <w:r w:rsidRPr="004821FC">
        <w:rPr>
          <w:i/>
        </w:rPr>
        <w:t>Regulatory Templates</w:t>
      </w:r>
      <w:r>
        <w:t xml:space="preserve"> 2.2 to 2.8 and, for the relevant expenditure item, list its corresponding value when expressed on an “as incurred” basis.</w:t>
      </w:r>
    </w:p>
    <w:p w:rsidR="00AE5FBA" w:rsidRPr="00607015" w:rsidRDefault="00AE5FBA" w:rsidP="00AF2CCF">
      <w:pPr>
        <w:pStyle w:val="Numberlist1"/>
        <w:ind w:left="0" w:firstLine="0"/>
      </w:pPr>
      <w:r w:rsidRPr="00E34849">
        <w:rPr>
          <w:noProof/>
        </w:rPr>
        <w:t>TNSP</w:t>
      </w:r>
      <w:r>
        <w:t xml:space="preserve"> must provide </w:t>
      </w:r>
      <w:proofErr w:type="gramStart"/>
      <w:r>
        <w:t>a reconciliation</w:t>
      </w:r>
      <w:proofErr w:type="gramEnd"/>
      <w:r>
        <w:t xml:space="preserve"> between total c</w:t>
      </w:r>
      <w:r w:rsidRPr="006B13E6">
        <w:t xml:space="preserve">apital and operating expenditure provided </w:t>
      </w:r>
      <w:r w:rsidRPr="0011582B">
        <w:t xml:space="preserve">in tables 2.1.1 to 2.1.2 of Regulatory Template 2.1 </w:t>
      </w:r>
      <w:r w:rsidRPr="006B13E6">
        <w:t xml:space="preserve">to </w:t>
      </w:r>
      <w:r>
        <w:t>total</w:t>
      </w:r>
      <w:r w:rsidRPr="006B13E6">
        <w:t xml:space="preserve"> capital and operating expenditure recorded </w:t>
      </w:r>
      <w:r>
        <w:t xml:space="preserve">in </w:t>
      </w:r>
      <w:r w:rsidRPr="00E34849">
        <w:rPr>
          <w:noProof/>
        </w:rPr>
        <w:t>TNSP</w:t>
      </w:r>
      <w:r>
        <w:t>’s</w:t>
      </w:r>
      <w:r w:rsidRPr="006B13E6">
        <w:t xml:space="preserve"> </w:t>
      </w:r>
      <w:r w:rsidRPr="00AF2CCF">
        <w:rPr>
          <w:i/>
        </w:rPr>
        <w:t>Regulatory Accounting Statements</w:t>
      </w:r>
      <w:r>
        <w:t xml:space="preserve"> </w:t>
      </w:r>
      <w:r w:rsidRPr="006B13E6">
        <w:t xml:space="preserve">and </w:t>
      </w:r>
      <w:r w:rsidRPr="00AF2CCF">
        <w:rPr>
          <w:i/>
        </w:rPr>
        <w:t>Audited Statutory Accounts</w:t>
      </w:r>
      <w:r>
        <w:t>.</w:t>
      </w:r>
    </w:p>
    <w:p w:rsidR="00AE5FBA" w:rsidRPr="00F41929" w:rsidRDefault="00AE5FBA" w:rsidP="0052182B">
      <w:pPr>
        <w:pStyle w:val="Heading2"/>
        <w:rPr>
          <w:lang w:eastAsia="en-AU"/>
        </w:rPr>
      </w:pPr>
      <w:bookmarkStart w:id="19" w:name="_Toc383506909"/>
      <w:r w:rsidRPr="00F41929">
        <w:rPr>
          <w:lang w:eastAsia="en-AU"/>
        </w:rPr>
        <w:t>BASIS OF PREPARATION</w:t>
      </w:r>
      <w:bookmarkEnd w:id="19"/>
    </w:p>
    <w:p w:rsidR="00AE5FBA" w:rsidRPr="00F41929" w:rsidRDefault="00AE5FBA" w:rsidP="004C2C68">
      <w:pPr>
        <w:pStyle w:val="Numberlist1"/>
      </w:pPr>
      <w:r w:rsidRPr="00E34849">
        <w:rPr>
          <w:noProof/>
          <w:color w:val="000000" w:themeColor="text1"/>
        </w:rPr>
        <w:t>TNSP</w:t>
      </w:r>
      <w:r>
        <w:rPr>
          <w:color w:val="000000" w:themeColor="text1"/>
        </w:rPr>
        <w:t xml:space="preserve"> must explain</w:t>
      </w:r>
      <w:r w:rsidRPr="00F41929">
        <w:t xml:space="preserve">, for all information in the </w:t>
      </w:r>
      <w:r w:rsidRPr="00B07BA9">
        <w:rPr>
          <w:i/>
        </w:rPr>
        <w:t>regulatory template</w:t>
      </w:r>
      <w:r w:rsidRPr="002012BA">
        <w:rPr>
          <w:i/>
        </w:rPr>
        <w:t>s</w:t>
      </w:r>
      <w:r>
        <w:t xml:space="preserve"> </w:t>
      </w:r>
      <w:r w:rsidRPr="00F41929">
        <w:t xml:space="preserve">the basis upon </w:t>
      </w:r>
      <w:r>
        <w:t xml:space="preserve">which </w:t>
      </w:r>
      <w:r w:rsidRPr="00E34849">
        <w:rPr>
          <w:noProof/>
          <w:color w:val="000000" w:themeColor="text1"/>
        </w:rPr>
        <w:t>TNSP</w:t>
      </w:r>
      <w:r>
        <w:rPr>
          <w:color w:val="000000" w:themeColor="text1"/>
        </w:rPr>
        <w:t xml:space="preserve"> </w:t>
      </w:r>
      <w:r w:rsidRPr="00F41929">
        <w:t>prepared information to populate the input cells (basis of preparation).</w:t>
      </w:r>
    </w:p>
    <w:p w:rsidR="00AE5FBA" w:rsidRPr="00F41929" w:rsidRDefault="00AE5FBA" w:rsidP="004C2C68">
      <w:pPr>
        <w:pStyle w:val="Numberlist1"/>
      </w:pPr>
      <w:r w:rsidRPr="00F41929">
        <w:t xml:space="preserve">The basis of preparation must be a separate document (or documents) </w:t>
      </w:r>
      <w:r>
        <w:t xml:space="preserve">that </w:t>
      </w:r>
      <w:r w:rsidRPr="00E34849">
        <w:rPr>
          <w:noProof/>
          <w:color w:val="000000" w:themeColor="text1"/>
        </w:rPr>
        <w:t>TNSP</w:t>
      </w:r>
      <w:r>
        <w:rPr>
          <w:color w:val="000000" w:themeColor="text1"/>
        </w:rPr>
        <w:t xml:space="preserve"> submits</w:t>
      </w:r>
      <w:r w:rsidRPr="00F41929">
        <w:t xml:space="preserve"> with its completed</w:t>
      </w:r>
      <w:r>
        <w:t xml:space="preserve"> </w:t>
      </w:r>
      <w:r w:rsidRPr="00B07BA9">
        <w:rPr>
          <w:i/>
        </w:rPr>
        <w:t>regulatory template</w:t>
      </w:r>
      <w:r w:rsidRPr="002012BA">
        <w:rPr>
          <w:i/>
        </w:rPr>
        <w:t>s</w:t>
      </w:r>
      <w:r w:rsidRPr="00F41929">
        <w:t xml:space="preserve">. </w:t>
      </w:r>
    </w:p>
    <w:p w:rsidR="00AE5FBA" w:rsidRPr="00F41929" w:rsidRDefault="00AE5FBA" w:rsidP="004C2C68">
      <w:pPr>
        <w:pStyle w:val="Numberlist1"/>
      </w:pPr>
      <w:r w:rsidRPr="00F41929">
        <w:t xml:space="preserve">The basis of preparation must follow a logical structure that enables auditors, assurance practitioners and the AER to clearly understand </w:t>
      </w:r>
      <w:r>
        <w:t xml:space="preserve">how </w:t>
      </w:r>
      <w:r w:rsidRPr="00E34849">
        <w:rPr>
          <w:noProof/>
          <w:color w:val="000000" w:themeColor="text1"/>
        </w:rPr>
        <w:t>TNSP</w:t>
      </w:r>
      <w:r w:rsidRPr="00F41929">
        <w:t xml:space="preserve"> has complied with the requirements of this </w:t>
      </w:r>
      <w:r w:rsidRPr="00B07BA9">
        <w:rPr>
          <w:i/>
        </w:rPr>
        <w:t>Notice</w:t>
      </w:r>
      <w:r w:rsidRPr="00F41929">
        <w:t xml:space="preserve">. </w:t>
      </w:r>
    </w:p>
    <w:p w:rsidR="00AE5FBA" w:rsidRPr="00F41929" w:rsidRDefault="00AE5FBA" w:rsidP="004C2C68">
      <w:pPr>
        <w:pStyle w:val="Numberlist1"/>
      </w:pPr>
      <w:r w:rsidRPr="00F41929">
        <w:t>At a minimum, the basis of preparation must:</w:t>
      </w:r>
    </w:p>
    <w:p w:rsidR="00AE5FBA" w:rsidRPr="00F41929" w:rsidRDefault="00AE5FBA" w:rsidP="004C2C68">
      <w:pPr>
        <w:pStyle w:val="Numberlist2"/>
      </w:pPr>
      <w:r w:rsidRPr="00F41929">
        <w:t xml:space="preserve">demonstrate how the information provided is consistent with the requirements of the </w:t>
      </w:r>
      <w:r w:rsidRPr="00B07BA9">
        <w:rPr>
          <w:i/>
        </w:rPr>
        <w:t>Notice</w:t>
      </w:r>
      <w:r w:rsidRPr="00F41929">
        <w:t>;</w:t>
      </w:r>
    </w:p>
    <w:p w:rsidR="00AE5FBA" w:rsidRPr="00F41929" w:rsidRDefault="00AE5FBA" w:rsidP="004C2C68">
      <w:pPr>
        <w:pStyle w:val="Numberlist2"/>
      </w:pPr>
      <w:r w:rsidRPr="00F41929">
        <w:t xml:space="preserve">explain the source from </w:t>
      </w:r>
      <w:r>
        <w:t xml:space="preserve">which </w:t>
      </w:r>
      <w:r w:rsidRPr="00E34849">
        <w:rPr>
          <w:noProof/>
          <w:color w:val="000000" w:themeColor="text1"/>
        </w:rPr>
        <w:t>TNSP</w:t>
      </w:r>
      <w:r w:rsidRPr="00F41929">
        <w:t xml:space="preserve"> obtained the information provided;</w:t>
      </w:r>
    </w:p>
    <w:p w:rsidR="00AE5FBA" w:rsidRPr="00F41929" w:rsidRDefault="00AE5FBA" w:rsidP="004C2C68">
      <w:pPr>
        <w:pStyle w:val="Numberlist2"/>
      </w:pPr>
      <w:r w:rsidRPr="00F41929">
        <w:t xml:space="preserve">explain the </w:t>
      </w:r>
      <w:r>
        <w:t xml:space="preserve">methodology </w:t>
      </w:r>
      <w:r w:rsidRPr="00E34849">
        <w:rPr>
          <w:noProof/>
          <w:color w:val="000000" w:themeColor="text1"/>
        </w:rPr>
        <w:t>TNSP</w:t>
      </w:r>
      <w:r>
        <w:rPr>
          <w:color w:val="000000" w:themeColor="text1"/>
        </w:rPr>
        <w:t xml:space="preserve"> used</w:t>
      </w:r>
      <w:r w:rsidRPr="00F41929">
        <w:t xml:space="preserve"> to provide the required information, including any </w:t>
      </w:r>
      <w:r>
        <w:t xml:space="preserve">assumptions </w:t>
      </w:r>
      <w:r w:rsidRPr="00E34849">
        <w:rPr>
          <w:noProof/>
          <w:color w:val="000000" w:themeColor="text1"/>
        </w:rPr>
        <w:t>TNSP</w:t>
      </w:r>
      <w:r>
        <w:rPr>
          <w:color w:val="000000" w:themeColor="text1"/>
        </w:rPr>
        <w:t xml:space="preserve"> made</w:t>
      </w:r>
      <w:r w:rsidRPr="00F41929">
        <w:t>; and</w:t>
      </w:r>
    </w:p>
    <w:p w:rsidR="00AE5FBA" w:rsidRPr="00F41929" w:rsidRDefault="00AE5FBA" w:rsidP="004C2C68">
      <w:pPr>
        <w:pStyle w:val="Numberlist2"/>
      </w:pPr>
      <w:r w:rsidRPr="00F41929">
        <w:t>explain</w:t>
      </w:r>
      <w:r>
        <w:t xml:space="preserve"> </w:t>
      </w:r>
      <w:r w:rsidRPr="00F41929">
        <w:t xml:space="preserve">circumstances </w:t>
      </w:r>
      <w:r>
        <w:t xml:space="preserve">where </w:t>
      </w:r>
      <w:r w:rsidRPr="00E34849">
        <w:rPr>
          <w:noProof/>
          <w:color w:val="000000" w:themeColor="text1"/>
        </w:rPr>
        <w:t>TNSP</w:t>
      </w:r>
      <w:r>
        <w:rPr>
          <w:color w:val="000000" w:themeColor="text1"/>
        </w:rPr>
        <w:t xml:space="preserve"> </w:t>
      </w:r>
      <w:r w:rsidRPr="00F41929">
        <w:t xml:space="preserve">cannot provide input for a variable using </w:t>
      </w:r>
      <w:r w:rsidRPr="00B07BA9">
        <w:rPr>
          <w:i/>
        </w:rPr>
        <w:t>actual information</w:t>
      </w:r>
      <w:r w:rsidRPr="00F41929">
        <w:t xml:space="preserve">, and therefore must </w:t>
      </w:r>
      <w:r>
        <w:t xml:space="preserve">provide </w:t>
      </w:r>
      <w:r w:rsidRPr="00AF2CCF">
        <w:rPr>
          <w:i/>
        </w:rPr>
        <w:t>estimated information</w:t>
      </w:r>
      <w:r w:rsidRPr="00F41929">
        <w:t>:</w:t>
      </w:r>
    </w:p>
    <w:p w:rsidR="00AE5FBA" w:rsidRPr="00F41929" w:rsidRDefault="00AE5FBA" w:rsidP="004C2C68">
      <w:pPr>
        <w:pStyle w:val="Numberlist3"/>
      </w:pPr>
      <w:r w:rsidRPr="00F41929">
        <w:t>why an estimate was required, including why it was not possible</w:t>
      </w:r>
      <w:r>
        <w:t xml:space="preserve"> for </w:t>
      </w:r>
      <w:r w:rsidRPr="00E34849">
        <w:rPr>
          <w:noProof/>
          <w:color w:val="000000" w:themeColor="text1"/>
        </w:rPr>
        <w:t>TNSP</w:t>
      </w:r>
      <w:r>
        <w:rPr>
          <w:color w:val="000000" w:themeColor="text1"/>
        </w:rPr>
        <w:t xml:space="preserve"> to </w:t>
      </w:r>
      <w:r w:rsidRPr="00F41929">
        <w:t xml:space="preserve">use </w:t>
      </w:r>
      <w:r w:rsidRPr="00B07BA9">
        <w:rPr>
          <w:i/>
        </w:rPr>
        <w:t>actual information</w:t>
      </w:r>
      <w:r w:rsidRPr="00F41929">
        <w:t>;</w:t>
      </w:r>
    </w:p>
    <w:p w:rsidR="00AE5FBA" w:rsidRPr="00F41929" w:rsidRDefault="00AE5FBA" w:rsidP="004C2C68">
      <w:pPr>
        <w:pStyle w:val="Numberlist3"/>
      </w:pPr>
      <w:proofErr w:type="gramStart"/>
      <w:r w:rsidRPr="00F41929">
        <w:t>the</w:t>
      </w:r>
      <w:proofErr w:type="gramEnd"/>
      <w:r w:rsidRPr="00F41929">
        <w:t xml:space="preserve"> basis for the estimate, including the approach used, assumptions made and reasons why the estimate </w:t>
      </w:r>
      <w:r>
        <w:t xml:space="preserve">is </w:t>
      </w:r>
      <w:r w:rsidRPr="00E34849">
        <w:rPr>
          <w:noProof/>
          <w:color w:val="000000" w:themeColor="text1"/>
        </w:rPr>
        <w:t>TNSP</w:t>
      </w:r>
      <w:r w:rsidRPr="009B56CD">
        <w:rPr>
          <w:color w:val="000000" w:themeColor="text1"/>
        </w:rPr>
        <w:t>’s</w:t>
      </w:r>
      <w:r w:rsidRPr="00F41929">
        <w:t xml:space="preserve"> best estimate, given the information sought in the </w:t>
      </w:r>
      <w:r w:rsidRPr="00B07BA9">
        <w:rPr>
          <w:i/>
        </w:rPr>
        <w:t>Notice</w:t>
      </w:r>
      <w:r w:rsidRPr="00F41929">
        <w:t>.</w:t>
      </w:r>
    </w:p>
    <w:p w:rsidR="00AE5FBA" w:rsidRPr="00F41929" w:rsidRDefault="00AE5FBA" w:rsidP="004C2C68">
      <w:pPr>
        <w:pStyle w:val="Numberlist1"/>
      </w:pPr>
      <w:r w:rsidRPr="00E34849">
        <w:rPr>
          <w:noProof/>
          <w:color w:val="000000" w:themeColor="text1"/>
        </w:rPr>
        <w:t>TNSP</w:t>
      </w:r>
      <w:r>
        <w:rPr>
          <w:color w:val="000000" w:themeColor="text1"/>
        </w:rPr>
        <w:t xml:space="preserve"> may </w:t>
      </w:r>
      <w:r w:rsidRPr="00F41929">
        <w:t xml:space="preserve">provide additional detail beyond the minimum requirements </w:t>
      </w:r>
      <w:r>
        <w:t xml:space="preserve">if </w:t>
      </w:r>
      <w:r w:rsidRPr="00E34849">
        <w:rPr>
          <w:noProof/>
          <w:color w:val="000000" w:themeColor="text1"/>
        </w:rPr>
        <w:t>TNSP</w:t>
      </w:r>
      <w:r w:rsidRPr="00F41929">
        <w:t xml:space="preserve"> considers it may assist a user to gain an understanding of the information presented in the</w:t>
      </w:r>
      <w:r>
        <w:t xml:space="preserve"> </w:t>
      </w:r>
      <w:r w:rsidRPr="00B07BA9">
        <w:rPr>
          <w:i/>
        </w:rPr>
        <w:t>regulatory template</w:t>
      </w:r>
      <w:r w:rsidRPr="002012BA">
        <w:rPr>
          <w:i/>
        </w:rPr>
        <w:t>s</w:t>
      </w:r>
      <w:r w:rsidRPr="00F41929">
        <w:t>.</w:t>
      </w:r>
    </w:p>
    <w:p w:rsidR="00AE5FBA" w:rsidRPr="00F41929" w:rsidRDefault="00AE5FBA" w:rsidP="004C2C68">
      <w:pPr>
        <w:pStyle w:val="Numberlist1"/>
      </w:pPr>
      <w:r w:rsidRPr="00F41929">
        <w:lastRenderedPageBreak/>
        <w:t>When reporting an audit opinion or making an attestation report on the</w:t>
      </w:r>
      <w:r>
        <w:t xml:space="preserve"> </w:t>
      </w:r>
      <w:r w:rsidRPr="00B07BA9">
        <w:rPr>
          <w:i/>
        </w:rPr>
        <w:t>regulatory template</w:t>
      </w:r>
      <w:r w:rsidRPr="002012BA">
        <w:rPr>
          <w:i/>
        </w:rPr>
        <w:t>s</w:t>
      </w:r>
      <w:r w:rsidRPr="00F41929">
        <w:t xml:space="preserve"> presented </w:t>
      </w:r>
      <w:r>
        <w:t xml:space="preserve">by </w:t>
      </w:r>
      <w:r w:rsidRPr="00E34849">
        <w:rPr>
          <w:noProof/>
          <w:color w:val="000000" w:themeColor="text1"/>
        </w:rPr>
        <w:t>TNSP</w:t>
      </w:r>
      <w:r>
        <w:rPr>
          <w:color w:val="000000" w:themeColor="text1"/>
        </w:rPr>
        <w:t>,</w:t>
      </w:r>
      <w:r w:rsidRPr="00F41929">
        <w:t xml:space="preserve"> an auditor or assurance practitioner shall opine or attest by reference </w:t>
      </w:r>
      <w:r>
        <w:t xml:space="preserve">to </w:t>
      </w:r>
      <w:r w:rsidRPr="00E34849">
        <w:rPr>
          <w:noProof/>
          <w:color w:val="000000" w:themeColor="text1"/>
        </w:rPr>
        <w:t>TNSP</w:t>
      </w:r>
      <w:r>
        <w:rPr>
          <w:color w:val="000000" w:themeColor="text1"/>
        </w:rPr>
        <w:t>’</w:t>
      </w:r>
      <w:r w:rsidRPr="00F41929">
        <w:t>s basis of preparation.</w:t>
      </w:r>
    </w:p>
    <w:p w:rsidR="00AE5FBA" w:rsidRPr="004326FC" w:rsidRDefault="00AE5FBA" w:rsidP="0052182B">
      <w:pPr>
        <w:pStyle w:val="Heading2"/>
        <w:rPr>
          <w:lang w:eastAsia="en-AU"/>
        </w:rPr>
      </w:pPr>
      <w:bookmarkStart w:id="20" w:name="_Toc383506910"/>
      <w:r>
        <w:rPr>
          <w:lang w:eastAsia="en-AU"/>
        </w:rPr>
        <w:t>LABOUR COST INFORMATION</w:t>
      </w:r>
      <w:bookmarkEnd w:id="20"/>
      <w:r w:rsidRPr="004326FC">
        <w:rPr>
          <w:lang w:eastAsia="en-AU"/>
        </w:rPr>
        <w:t xml:space="preserve"> </w:t>
      </w:r>
    </w:p>
    <w:p w:rsidR="00AE5FBA" w:rsidRDefault="00AE5FBA" w:rsidP="00AF2CCF">
      <w:pPr>
        <w:pStyle w:val="Numberlist1"/>
        <w:tabs>
          <w:tab w:val="clear" w:pos="567"/>
        </w:tabs>
      </w:pPr>
      <w:r>
        <w:t xml:space="preserve">Only labour costs allocated to the provision of </w:t>
      </w:r>
      <w:r w:rsidRPr="00AF2CCF">
        <w:rPr>
          <w:i/>
        </w:rPr>
        <w:t>prescribed transmission services</w:t>
      </w:r>
      <w:r>
        <w:t xml:space="preserve"> should be reported in the labour cost tables in </w:t>
      </w:r>
      <w:r w:rsidRPr="00C72D8B">
        <w:rPr>
          <w:i/>
        </w:rPr>
        <w:t>regulatory template</w:t>
      </w:r>
      <w:r>
        <w:t xml:space="preserve"> 2.9.</w:t>
      </w:r>
    </w:p>
    <w:p w:rsidR="00AE5FBA" w:rsidRPr="009B56CD" w:rsidRDefault="00AE5FBA" w:rsidP="00AF2CCF">
      <w:pPr>
        <w:pStyle w:val="Numberlist1"/>
        <w:tabs>
          <w:tab w:val="clear" w:pos="567"/>
          <w:tab w:val="num" w:pos="993"/>
        </w:tabs>
      </w:pPr>
      <w:r>
        <w:t>L</w:t>
      </w:r>
      <w:r w:rsidRPr="009B56CD">
        <w:t xml:space="preserve">abour used in the provision of contracts for both goods and services, other than contracts for the provision of labour (i.e. labour hire contracts) must not be reported in these tables.  </w:t>
      </w:r>
    </w:p>
    <w:p w:rsidR="00AE5FBA" w:rsidRDefault="00AE5FBA" w:rsidP="00AF2CCF">
      <w:pPr>
        <w:pStyle w:val="Numberlist1"/>
        <w:tabs>
          <w:tab w:val="clear" w:pos="567"/>
        </w:tabs>
      </w:pPr>
      <w:r w:rsidRPr="00E34849">
        <w:rPr>
          <w:noProof/>
        </w:rPr>
        <w:t>TNSP</w:t>
      </w:r>
      <w:r>
        <w:t xml:space="preserve"> </w:t>
      </w:r>
      <w:r w:rsidRPr="009B56CD">
        <w:t>must</w:t>
      </w:r>
      <w:r>
        <w:t xml:space="preserve"> </w:t>
      </w:r>
      <w:r w:rsidRPr="009B56CD">
        <w:t xml:space="preserve">break down </w:t>
      </w:r>
      <w:r>
        <w:t xml:space="preserve">its </w:t>
      </w:r>
      <w:r w:rsidRPr="009B56CD">
        <w:t>labour data (both employees and labour contracted through labour hire contracts) into</w:t>
      </w:r>
      <w:r>
        <w:t xml:space="preserve"> the</w:t>
      </w:r>
      <w:r w:rsidRPr="009B56CD">
        <w:t xml:space="preserve"> </w:t>
      </w:r>
      <w:r w:rsidRPr="004378C4">
        <w:rPr>
          <w:i/>
        </w:rPr>
        <w:t>Classification Levels</w:t>
      </w:r>
      <w:r w:rsidRPr="009B56CD">
        <w:t xml:space="preserve"> </w:t>
      </w:r>
      <w:r>
        <w:t>provided in the relevant table in the template</w:t>
      </w:r>
      <w:r w:rsidRPr="009B56CD">
        <w:t xml:space="preserve">. </w:t>
      </w:r>
      <w:r w:rsidRPr="00E34849">
        <w:rPr>
          <w:noProof/>
        </w:rPr>
        <w:t>TNSP</w:t>
      </w:r>
      <w:r>
        <w:t xml:space="preserve"> </w:t>
      </w:r>
      <w:r w:rsidRPr="009B56CD">
        <w:t xml:space="preserve">must explain how </w:t>
      </w:r>
      <w:r>
        <w:t xml:space="preserve">it </w:t>
      </w:r>
      <w:r w:rsidRPr="009B56CD">
        <w:t>ha</w:t>
      </w:r>
      <w:r>
        <w:t>s</w:t>
      </w:r>
      <w:r w:rsidRPr="009B56CD">
        <w:t xml:space="preserve"> grouped workers into </w:t>
      </w:r>
      <w:r>
        <w:t xml:space="preserve">these </w:t>
      </w:r>
      <w:r w:rsidRPr="004378C4">
        <w:rPr>
          <w:i/>
        </w:rPr>
        <w:t>Classification Levels</w:t>
      </w:r>
      <w:r w:rsidRPr="009B56CD">
        <w:t>.</w:t>
      </w:r>
    </w:p>
    <w:p w:rsidR="00AE5FBA" w:rsidRPr="009B56CD" w:rsidRDefault="00AE5FBA" w:rsidP="00AF2CCF">
      <w:pPr>
        <w:pStyle w:val="Numberlist1"/>
        <w:tabs>
          <w:tab w:val="clear" w:pos="567"/>
          <w:tab w:val="num" w:pos="993"/>
        </w:tabs>
      </w:pPr>
      <w:r w:rsidRPr="009B56CD">
        <w:t xml:space="preserve">Labour </w:t>
      </w:r>
      <w:r>
        <w:t xml:space="preserve">related to each </w:t>
      </w:r>
      <w:r w:rsidRPr="002E1037">
        <w:rPr>
          <w:i/>
        </w:rPr>
        <w:t>classification level</w:t>
      </w:r>
      <w:r>
        <w:t xml:space="preserve"> </w:t>
      </w:r>
      <w:r w:rsidRPr="009B56CD">
        <w:t xml:space="preserve">obtained through labour hire contracts </w:t>
      </w:r>
      <w:r>
        <w:t xml:space="preserve">may </w:t>
      </w:r>
      <w:r w:rsidRPr="009B56CD">
        <w:t xml:space="preserve">be reported separately on separate </w:t>
      </w:r>
      <w:r w:rsidRPr="00186842">
        <w:t>lines</w:t>
      </w:r>
      <w:r w:rsidRPr="009B56CD">
        <w:t xml:space="preserve"> to employee based labour.</w:t>
      </w:r>
      <w:r>
        <w:t xml:space="preserve"> If </w:t>
      </w:r>
      <w:r w:rsidRPr="00E34849">
        <w:rPr>
          <w:noProof/>
        </w:rPr>
        <w:t>TNSP</w:t>
      </w:r>
      <w:r>
        <w:t xml:space="preserve"> wishes to do this they should add extra lines in the </w:t>
      </w:r>
      <w:r w:rsidRPr="002E1037">
        <w:rPr>
          <w:i/>
        </w:rPr>
        <w:t>regulatory template</w:t>
      </w:r>
      <w:r>
        <w:t xml:space="preserve"> below each </w:t>
      </w:r>
      <w:r w:rsidRPr="002E1037">
        <w:rPr>
          <w:i/>
        </w:rPr>
        <w:t>classification level</w:t>
      </w:r>
      <w:r>
        <w:t xml:space="preserve"> for which it wishes to separately report labour hire</w:t>
      </w:r>
      <w:r w:rsidRPr="009B56CD">
        <w:t>.</w:t>
      </w:r>
    </w:p>
    <w:p w:rsidR="00AE5FBA" w:rsidRPr="009B56CD" w:rsidRDefault="00AE5FBA" w:rsidP="00AF2CCF">
      <w:pPr>
        <w:pStyle w:val="Numberlist1"/>
        <w:tabs>
          <w:tab w:val="clear" w:pos="567"/>
          <w:tab w:val="num" w:pos="993"/>
        </w:tabs>
      </w:pPr>
      <w:r w:rsidRPr="009B56CD">
        <w:t>The total cost of labour</w:t>
      </w:r>
      <w:r>
        <w:t xml:space="preserve"> reported in </w:t>
      </w:r>
      <w:r w:rsidRPr="00C72D8B">
        <w:rPr>
          <w:i/>
        </w:rPr>
        <w:t>regulatory template</w:t>
      </w:r>
      <w:r>
        <w:t xml:space="preserve"> 2.9 must equal the total </w:t>
      </w:r>
      <w:r w:rsidRPr="00C72D8B">
        <w:rPr>
          <w:i/>
        </w:rPr>
        <w:t>Labour Costs</w:t>
      </w:r>
      <w:r>
        <w:t xml:space="preserve"> reported against the capex and opex categories listed in </w:t>
      </w:r>
      <w:r>
        <w:rPr>
          <w:i/>
        </w:rPr>
        <w:t xml:space="preserve">regulatory template </w:t>
      </w:r>
      <w:r w:rsidRPr="00C72D8B">
        <w:t>2.1</w:t>
      </w:r>
      <w:r>
        <w:t>0</w:t>
      </w:r>
      <w:r w:rsidRPr="009B56CD">
        <w:t>.</w:t>
      </w:r>
    </w:p>
    <w:p w:rsidR="00AE5FBA" w:rsidRPr="009B56CD" w:rsidRDefault="00AE5FBA" w:rsidP="00AF2CCF">
      <w:pPr>
        <w:pStyle w:val="Numberlist1"/>
        <w:tabs>
          <w:tab w:val="clear" w:pos="567"/>
          <w:tab w:val="num" w:pos="993"/>
        </w:tabs>
      </w:pPr>
      <w:r w:rsidRPr="009B56CD">
        <w:t xml:space="preserve">Quantities of labour, expenditure, or </w:t>
      </w:r>
      <w:r w:rsidRPr="002E1037">
        <w:rPr>
          <w:i/>
        </w:rPr>
        <w:t>stand down periods</w:t>
      </w:r>
      <w:r w:rsidRPr="009B56CD">
        <w:t xml:space="preserve"> should not be reported multiple times across </w:t>
      </w:r>
      <w:r>
        <w:t xml:space="preserve">labour </w:t>
      </w:r>
      <w:r w:rsidRPr="009B56CD">
        <w:t xml:space="preserve">tables </w:t>
      </w:r>
      <w:r>
        <w:t xml:space="preserve">However, labour may be split between tables (for example one worker could have half of their time allocated to </w:t>
      </w:r>
      <w:r w:rsidRPr="002E1037">
        <w:rPr>
          <w:i/>
        </w:rPr>
        <w:t>corporate overheads</w:t>
      </w:r>
      <w:r>
        <w:t xml:space="preserve"> and half of their time to </w:t>
      </w:r>
      <w:r w:rsidRPr="002E1037">
        <w:rPr>
          <w:i/>
        </w:rPr>
        <w:t>network overheads</w:t>
      </w:r>
      <w:r>
        <w:t>).</w:t>
      </w:r>
    </w:p>
    <w:p w:rsidR="00AE5FBA" w:rsidRPr="009B56CD" w:rsidRDefault="00AE5FBA" w:rsidP="00AF2CCF">
      <w:pPr>
        <w:pStyle w:val="Numberlist1"/>
        <w:tabs>
          <w:tab w:val="clear" w:pos="567"/>
          <w:tab w:val="num" w:pos="993"/>
        </w:tabs>
      </w:pPr>
      <w:r w:rsidRPr="009B56CD">
        <w:t xml:space="preserve">The </w:t>
      </w:r>
      <w:r w:rsidRPr="002E1037">
        <w:rPr>
          <w:i/>
        </w:rPr>
        <w:t>ASLs</w:t>
      </w:r>
      <w:r w:rsidRPr="009B56CD">
        <w:t xml:space="preserve"> for each </w:t>
      </w:r>
      <w:r w:rsidRPr="002E1037">
        <w:rPr>
          <w:i/>
        </w:rPr>
        <w:t>Classification Level</w:t>
      </w:r>
      <w:r w:rsidRPr="009B56CD">
        <w:t xml:space="preserve"> must reflect the </w:t>
      </w:r>
      <w:r>
        <w:t xml:space="preserve">average </w:t>
      </w:r>
      <w:r w:rsidRPr="002E1037">
        <w:rPr>
          <w:i/>
        </w:rPr>
        <w:t>Paid FTEs</w:t>
      </w:r>
      <w:r w:rsidRPr="009B56CD">
        <w:t xml:space="preserve"> for each </w:t>
      </w:r>
      <w:r w:rsidRPr="002E1037">
        <w:rPr>
          <w:i/>
        </w:rPr>
        <w:t>Classification Level</w:t>
      </w:r>
      <w:r>
        <w:t xml:space="preserve"> over the course of the year.</w:t>
      </w:r>
    </w:p>
    <w:p w:rsidR="00AE5FBA" w:rsidRPr="009B56CD" w:rsidRDefault="00AE5FBA" w:rsidP="00AF2CCF">
      <w:pPr>
        <w:pStyle w:val="Numberlist1"/>
        <w:tabs>
          <w:tab w:val="clear" w:pos="567"/>
          <w:tab w:val="num" w:pos="993"/>
        </w:tabs>
      </w:pPr>
      <w:r w:rsidRPr="009B56CD">
        <w:t xml:space="preserve">‘Per ASL’ values are average values per </w:t>
      </w:r>
      <w:r w:rsidRPr="002E1037">
        <w:rPr>
          <w:i/>
        </w:rPr>
        <w:t>ASL</w:t>
      </w:r>
      <w:r w:rsidRPr="009B56CD">
        <w:t xml:space="preserve"> in each </w:t>
      </w:r>
      <w:r w:rsidRPr="002E1037">
        <w:rPr>
          <w:i/>
        </w:rPr>
        <w:t>Classification Level</w:t>
      </w:r>
      <w:r w:rsidRPr="009B56CD">
        <w:t xml:space="preserve">. For example, the </w:t>
      </w:r>
      <w:r>
        <w:t xml:space="preserve">average </w:t>
      </w:r>
      <w:r w:rsidRPr="002E1037">
        <w:rPr>
          <w:i/>
        </w:rPr>
        <w:t>productive work hours</w:t>
      </w:r>
      <w:r w:rsidRPr="009B56CD">
        <w:t xml:space="preserve"> per </w:t>
      </w:r>
      <w:r w:rsidRPr="002E1037">
        <w:rPr>
          <w:i/>
        </w:rPr>
        <w:t>ASL</w:t>
      </w:r>
      <w:r w:rsidRPr="009B56CD">
        <w:t xml:space="preserve"> would equal the total </w:t>
      </w:r>
      <w:r w:rsidRPr="002E1037">
        <w:rPr>
          <w:i/>
        </w:rPr>
        <w:t>productive work hours</w:t>
      </w:r>
      <w:r w:rsidRPr="009B56CD">
        <w:t xml:space="preserve"> </w:t>
      </w:r>
      <w:r>
        <w:t>associated with labour</w:t>
      </w:r>
      <w:r w:rsidRPr="009B56CD">
        <w:t xml:space="preserve"> in the </w:t>
      </w:r>
      <w:r w:rsidRPr="002E1037">
        <w:rPr>
          <w:i/>
        </w:rPr>
        <w:t>Classification Level</w:t>
      </w:r>
      <w:r w:rsidRPr="009B56CD">
        <w:t xml:space="preserve"> divided by the number reported in </w:t>
      </w:r>
      <w:r w:rsidRPr="002E1037">
        <w:rPr>
          <w:i/>
        </w:rPr>
        <w:t>Annual Totals – ASLs</w:t>
      </w:r>
      <w:r w:rsidRPr="009B56CD">
        <w:t xml:space="preserve"> for the </w:t>
      </w:r>
      <w:r w:rsidRPr="002E1037">
        <w:rPr>
          <w:i/>
        </w:rPr>
        <w:t>Classification Level</w:t>
      </w:r>
      <w:r w:rsidRPr="009B56CD">
        <w:t xml:space="preserve"> (i.e. the number of </w:t>
      </w:r>
      <w:r w:rsidRPr="002E1037">
        <w:rPr>
          <w:i/>
        </w:rPr>
        <w:t>ASLs</w:t>
      </w:r>
      <w:r w:rsidRPr="009B56CD">
        <w:t xml:space="preserve"> in the </w:t>
      </w:r>
      <w:r w:rsidRPr="002E1037">
        <w:rPr>
          <w:i/>
        </w:rPr>
        <w:t>Classification Level</w:t>
      </w:r>
      <w:r w:rsidRPr="009B56CD">
        <w:t xml:space="preserve">).     </w:t>
      </w:r>
    </w:p>
    <w:p w:rsidR="00AE5FBA" w:rsidRPr="009B56CD" w:rsidRDefault="00AE5FBA" w:rsidP="00AF2CCF">
      <w:pPr>
        <w:pStyle w:val="Numberlist1"/>
        <w:tabs>
          <w:tab w:val="clear" w:pos="567"/>
          <w:tab w:val="num" w:pos="993"/>
        </w:tabs>
      </w:pPr>
      <w:r w:rsidRPr="002E1037">
        <w:rPr>
          <w:i/>
        </w:rPr>
        <w:t>Stand down periods</w:t>
      </w:r>
      <w:r w:rsidRPr="009B56CD">
        <w:t xml:space="preserve"> must be </w:t>
      </w:r>
      <w:r>
        <w:t xml:space="preserve">reported against the relevant </w:t>
      </w:r>
      <w:r w:rsidRPr="002E1037">
        <w:rPr>
          <w:i/>
        </w:rPr>
        <w:t>classification level</w:t>
      </w:r>
      <w:r>
        <w:t xml:space="preserve"> in the table containing the relevant labour. For example, a stand down of an electrical line apprentice would be reported against the apprentice </w:t>
      </w:r>
      <w:r w:rsidRPr="002E1037">
        <w:rPr>
          <w:i/>
        </w:rPr>
        <w:t>classification level</w:t>
      </w:r>
      <w:r>
        <w:t xml:space="preserve"> in the Total network direct internal labour costs table.  </w:t>
      </w:r>
      <w:r w:rsidRPr="009B56CD">
        <w:t xml:space="preserve">  </w:t>
      </w:r>
    </w:p>
    <w:p w:rsidR="00AE5FBA" w:rsidRPr="006E7037" w:rsidRDefault="00AE5FBA" w:rsidP="00621776">
      <w:pPr>
        <w:pStyle w:val="Heading2"/>
        <w:rPr>
          <w:lang w:eastAsia="en-AU"/>
        </w:rPr>
      </w:pPr>
      <w:bookmarkStart w:id="21" w:name="_Toc383506911"/>
      <w:r w:rsidRPr="006E7037">
        <w:rPr>
          <w:lang w:eastAsia="en-AU"/>
        </w:rPr>
        <w:t>REPLACEMENT CAPITAL EXPENDITURE</w:t>
      </w:r>
      <w:bookmarkEnd w:id="21"/>
    </w:p>
    <w:p w:rsidR="00AE5FBA" w:rsidRDefault="00AE5FBA" w:rsidP="00621776">
      <w:pPr>
        <w:pStyle w:val="Numberlist1"/>
        <w:rPr>
          <w:lang w:eastAsia="en-AU"/>
        </w:rPr>
      </w:pPr>
      <w:r w:rsidRPr="006E7037">
        <w:rPr>
          <w:lang w:eastAsia="en-AU"/>
        </w:rPr>
        <w:t>Table 2.2.1 instructions:</w:t>
      </w:r>
      <w:r w:rsidRPr="0056233D">
        <w:rPr>
          <w:lang w:eastAsia="en-AU"/>
        </w:rPr>
        <w:t xml:space="preserve"> </w:t>
      </w:r>
    </w:p>
    <w:p w:rsidR="00AE5FBA" w:rsidRDefault="00AE5FBA" w:rsidP="00621776">
      <w:pPr>
        <w:pStyle w:val="Numberlist2"/>
        <w:rPr>
          <w:lang w:eastAsia="en-AU"/>
        </w:rPr>
      </w:pPr>
      <w:r>
        <w:rPr>
          <w:lang w:eastAsia="en-AU"/>
        </w:rPr>
        <w:t xml:space="preserve">Where </w:t>
      </w:r>
      <w:r w:rsidRPr="00E34849">
        <w:rPr>
          <w:noProof/>
          <w:lang w:eastAsia="en-AU"/>
        </w:rPr>
        <w:t>TNSP</w:t>
      </w:r>
      <w:r w:rsidRPr="006E7037">
        <w:rPr>
          <w:lang w:eastAsia="en-AU"/>
        </w:rPr>
        <w:t xml:space="preserve"> provide</w:t>
      </w:r>
      <w:r>
        <w:rPr>
          <w:lang w:eastAsia="en-AU"/>
        </w:rPr>
        <w:t>s</w:t>
      </w:r>
      <w:r w:rsidRPr="006E7037">
        <w:rPr>
          <w:lang w:eastAsia="en-AU"/>
        </w:rPr>
        <w:t xml:space="preserve"> asset sub-categories </w:t>
      </w:r>
      <w:r>
        <w:rPr>
          <w:lang w:eastAsia="en-AU"/>
        </w:rPr>
        <w:t>corresponding to</w:t>
      </w:r>
      <w:r w:rsidRPr="006E7037">
        <w:rPr>
          <w:lang w:eastAsia="en-AU"/>
        </w:rPr>
        <w:t xml:space="preserve"> </w:t>
      </w:r>
      <w:r>
        <w:rPr>
          <w:lang w:eastAsia="en-AU"/>
        </w:rPr>
        <w:t xml:space="preserve">the prescribed </w:t>
      </w:r>
      <w:r w:rsidRPr="006E7037">
        <w:rPr>
          <w:lang w:eastAsia="en-AU"/>
        </w:rPr>
        <w:t>asset categories in</w:t>
      </w:r>
      <w:r>
        <w:rPr>
          <w:lang w:eastAsia="en-AU"/>
        </w:rPr>
        <w:t xml:space="preserve"> table 2.2.1, </w:t>
      </w:r>
      <w:r w:rsidRPr="00E34849">
        <w:rPr>
          <w:noProof/>
          <w:lang w:eastAsia="en-AU"/>
        </w:rPr>
        <w:t>TNSP</w:t>
      </w:r>
      <w:r w:rsidRPr="0089258E">
        <w:rPr>
          <w:rFonts w:eastAsia="Times New Roman"/>
          <w:lang w:eastAsia="en-AU"/>
        </w:rPr>
        <w:t xml:space="preserve"> </w:t>
      </w:r>
      <w:r w:rsidRPr="006E7037">
        <w:rPr>
          <w:lang w:eastAsia="en-AU"/>
        </w:rPr>
        <w:t xml:space="preserve">must ensure that the expenditure and </w:t>
      </w:r>
      <w:r>
        <w:rPr>
          <w:lang w:eastAsia="en-AU"/>
        </w:rPr>
        <w:t xml:space="preserve">asset </w:t>
      </w:r>
      <w:r w:rsidRPr="006E7037">
        <w:rPr>
          <w:lang w:eastAsia="en-AU"/>
        </w:rPr>
        <w:t xml:space="preserve">replacement / </w:t>
      </w:r>
      <w:r>
        <w:rPr>
          <w:lang w:eastAsia="en-AU"/>
        </w:rPr>
        <w:t xml:space="preserve">asset </w:t>
      </w:r>
      <w:r w:rsidRPr="006E7037">
        <w:rPr>
          <w:lang w:eastAsia="en-AU"/>
        </w:rPr>
        <w:t>failure volumes of these sub-categories reconcile to the higher level asset category.</w:t>
      </w:r>
      <w:r>
        <w:rPr>
          <w:color w:val="00B0F0"/>
        </w:rPr>
        <w:t xml:space="preserve"> </w:t>
      </w:r>
      <w:r w:rsidRPr="00E34849">
        <w:rPr>
          <w:noProof/>
          <w:lang w:eastAsia="en-AU"/>
        </w:rPr>
        <w:t>TNSP</w:t>
      </w:r>
      <w:r>
        <w:rPr>
          <w:lang w:eastAsia="en-AU"/>
        </w:rPr>
        <w:t xml:space="preserve"> is </w:t>
      </w:r>
      <w:r w:rsidRPr="006E7037">
        <w:rPr>
          <w:lang w:eastAsia="en-AU"/>
        </w:rPr>
        <w:t xml:space="preserve">required to insert additional rows </w:t>
      </w:r>
      <w:r w:rsidRPr="006E7037">
        <w:rPr>
          <w:lang w:eastAsia="en-AU"/>
        </w:rPr>
        <w:lastRenderedPageBreak/>
        <w:t>and provide a clear indication of the asset category applicable to each sub-category.</w:t>
      </w:r>
      <w:r w:rsidRPr="00EC01EA">
        <w:rPr>
          <w:lang w:eastAsia="en-AU"/>
        </w:rPr>
        <w:t xml:space="preserve"> </w:t>
      </w:r>
      <w:r w:rsidRPr="0056233D">
        <w:rPr>
          <w:lang w:eastAsia="en-AU"/>
        </w:rPr>
        <w:t xml:space="preserve"> </w:t>
      </w:r>
      <w:r w:rsidRPr="00E34849">
        <w:rPr>
          <w:noProof/>
          <w:lang w:eastAsia="en-AU"/>
        </w:rPr>
        <w:t>TNSP</w:t>
      </w:r>
      <w:r>
        <w:rPr>
          <w:lang w:eastAsia="en-AU"/>
        </w:rPr>
        <w:t xml:space="preserve"> must provide corresponding age profile data in </w:t>
      </w:r>
      <w:r>
        <w:rPr>
          <w:i/>
          <w:lang w:eastAsia="en-AU"/>
        </w:rPr>
        <w:t>regulatory template 4.1</w:t>
      </w:r>
      <w:r>
        <w:rPr>
          <w:lang w:eastAsia="en-AU"/>
        </w:rPr>
        <w:t xml:space="preserve"> </w:t>
      </w:r>
      <w:r w:rsidRPr="006E7037">
        <w:t xml:space="preserve">as per </w:t>
      </w:r>
      <w:r>
        <w:t>its</w:t>
      </w:r>
      <w:r w:rsidRPr="006E7037">
        <w:t xml:space="preserve"> instructions</w:t>
      </w:r>
      <w:r>
        <w:t>.</w:t>
      </w:r>
    </w:p>
    <w:p w:rsidR="00AE5FBA" w:rsidRDefault="00AE5FBA" w:rsidP="00621776">
      <w:pPr>
        <w:pStyle w:val="Numberlist2"/>
        <w:rPr>
          <w:lang w:eastAsia="en-AU"/>
        </w:rPr>
      </w:pPr>
      <w:r>
        <w:rPr>
          <w:lang w:eastAsia="en-AU"/>
        </w:rPr>
        <w:t xml:space="preserve">In instances where </w:t>
      </w:r>
      <w:r w:rsidRPr="00E34849">
        <w:rPr>
          <w:noProof/>
          <w:lang w:eastAsia="en-AU"/>
        </w:rPr>
        <w:t>TNSP</w:t>
      </w:r>
      <w:r>
        <w:rPr>
          <w:lang w:eastAsia="en-AU"/>
        </w:rPr>
        <w:t xml:space="preserve"> is reporting expenditure associated with </w:t>
      </w:r>
      <w:r w:rsidRPr="00AF2CCF">
        <w:rPr>
          <w:i/>
          <w:lang w:eastAsia="en-AU"/>
        </w:rPr>
        <w:t xml:space="preserve">asset refurbishments/ life extensions capex </w:t>
      </w:r>
      <w:r>
        <w:rPr>
          <w:lang w:eastAsia="en-AU"/>
        </w:rPr>
        <w:t xml:space="preserve">it must insert additional rows at the bottom of the table for the relevant asset group to account for this. </w:t>
      </w:r>
      <w:r w:rsidRPr="00E34849">
        <w:rPr>
          <w:noProof/>
          <w:lang w:eastAsia="en-AU"/>
        </w:rPr>
        <w:t>TNSP</w:t>
      </w:r>
      <w:r>
        <w:rPr>
          <w:lang w:eastAsia="en-AU"/>
        </w:rPr>
        <w:t xml:space="preserve"> </w:t>
      </w:r>
      <w:r w:rsidRPr="006E7037">
        <w:rPr>
          <w:lang w:eastAsia="en-AU"/>
        </w:rPr>
        <w:t>must provide the required data, applying</w:t>
      </w:r>
      <w:r>
        <w:rPr>
          <w:lang w:eastAsia="en-AU"/>
        </w:rPr>
        <w:t xml:space="preserve"> the corresponding asset category name followed by the word “REFURBISHED”. </w:t>
      </w:r>
      <w:r w:rsidRPr="00E34849">
        <w:rPr>
          <w:noProof/>
          <w:lang w:eastAsia="en-AU"/>
        </w:rPr>
        <w:t>TNSP</w:t>
      </w:r>
      <w:r>
        <w:rPr>
          <w:lang w:eastAsia="en-AU"/>
        </w:rPr>
        <w:t xml:space="preserve"> must provide corresponding age profile data in </w:t>
      </w:r>
      <w:r>
        <w:rPr>
          <w:i/>
          <w:lang w:eastAsia="en-AU"/>
        </w:rPr>
        <w:t xml:space="preserve">regulatory template </w:t>
      </w:r>
      <w:r w:rsidRPr="00BD1DD0">
        <w:rPr>
          <w:i/>
          <w:lang w:eastAsia="en-AU"/>
        </w:rPr>
        <w:t xml:space="preserve">4.1 </w:t>
      </w:r>
      <w:r w:rsidRPr="006E7037">
        <w:t xml:space="preserve">as per </w:t>
      </w:r>
      <w:r>
        <w:t>its</w:t>
      </w:r>
      <w:r w:rsidRPr="006E7037">
        <w:t xml:space="preserve"> respective instructions</w:t>
      </w:r>
      <w:r>
        <w:t>.</w:t>
      </w:r>
    </w:p>
    <w:p w:rsidR="00AE5FBA" w:rsidRDefault="00AE5FBA" w:rsidP="00621776">
      <w:pPr>
        <w:pStyle w:val="Numberlist2"/>
        <w:rPr>
          <w:lang w:eastAsia="en-AU"/>
        </w:rPr>
      </w:pPr>
      <w:r w:rsidRPr="006E7037">
        <w:rPr>
          <w:lang w:eastAsia="en-AU"/>
        </w:rPr>
        <w:t xml:space="preserve">In instances </w:t>
      </w:r>
      <w:r>
        <w:rPr>
          <w:lang w:eastAsia="en-AU"/>
        </w:rPr>
        <w:t xml:space="preserve">where </w:t>
      </w:r>
      <w:r w:rsidRPr="00E34849">
        <w:rPr>
          <w:noProof/>
          <w:lang w:eastAsia="en-AU"/>
        </w:rPr>
        <w:t>TNSP</w:t>
      </w:r>
      <w:r>
        <w:t xml:space="preserve"> considers</w:t>
      </w:r>
      <w:r w:rsidRPr="006E7037">
        <w:rPr>
          <w:lang w:eastAsia="en-AU"/>
        </w:rPr>
        <w:t xml:space="preserve"> that </w:t>
      </w:r>
      <w:r>
        <w:rPr>
          <w:lang w:eastAsia="en-AU"/>
        </w:rPr>
        <w:t xml:space="preserve">both the prescribed </w:t>
      </w:r>
      <w:r w:rsidRPr="006E7037">
        <w:rPr>
          <w:lang w:eastAsia="en-AU"/>
        </w:rPr>
        <w:t xml:space="preserve">asset group categories </w:t>
      </w:r>
      <w:r>
        <w:rPr>
          <w:lang w:eastAsia="en-AU"/>
        </w:rPr>
        <w:t xml:space="preserve">and the sub-categorisation provisions set out in </w:t>
      </w:r>
      <w:r>
        <w:rPr>
          <w:bCs w:val="0"/>
          <w:lang w:eastAsia="en-AU"/>
        </w:rPr>
        <w:t>(b)</w:t>
      </w:r>
      <w:r>
        <w:rPr>
          <w:lang w:eastAsia="en-AU"/>
        </w:rPr>
        <w:t xml:space="preserve"> </w:t>
      </w:r>
      <w:r w:rsidRPr="006E7037">
        <w:rPr>
          <w:lang w:eastAsia="en-AU"/>
        </w:rPr>
        <w:t>do not account for an asset</w:t>
      </w:r>
      <w:r>
        <w:rPr>
          <w:lang w:eastAsia="en-AU"/>
        </w:rPr>
        <w:t xml:space="preserve"> on</w:t>
      </w:r>
      <w:r w:rsidRPr="006E7037">
        <w:rPr>
          <w:lang w:eastAsia="en-AU"/>
        </w:rPr>
        <w:t xml:space="preserve"> </w:t>
      </w:r>
      <w:r w:rsidRPr="00E34849">
        <w:rPr>
          <w:noProof/>
          <w:lang w:eastAsia="en-AU"/>
        </w:rPr>
        <w:t>TNSP</w:t>
      </w:r>
      <w:r w:rsidRPr="006E7037">
        <w:rPr>
          <w:lang w:eastAsia="en-AU"/>
        </w:rPr>
        <w:t xml:space="preserve">’s </w:t>
      </w:r>
      <w:r w:rsidRPr="00FA5AAA">
        <w:rPr>
          <w:i/>
          <w:lang w:eastAsia="en-AU"/>
        </w:rPr>
        <w:t>transmission</w:t>
      </w:r>
      <w:r>
        <w:rPr>
          <w:i/>
          <w:lang w:eastAsia="en-AU"/>
        </w:rPr>
        <w:t xml:space="preserve"> </w:t>
      </w:r>
      <w:r w:rsidRPr="00FA5AAA">
        <w:rPr>
          <w:i/>
          <w:lang w:eastAsia="en-AU"/>
        </w:rPr>
        <w:t>system</w:t>
      </w:r>
      <w:r>
        <w:rPr>
          <w:lang w:eastAsia="en-AU"/>
        </w:rPr>
        <w:t xml:space="preserve">, </w:t>
      </w:r>
      <w:r w:rsidRPr="00E34849">
        <w:rPr>
          <w:noProof/>
          <w:lang w:eastAsia="en-AU"/>
        </w:rPr>
        <w:t>TNSP</w:t>
      </w:r>
      <w:r>
        <w:rPr>
          <w:lang w:eastAsia="en-AU"/>
        </w:rPr>
        <w:t xml:space="preserve"> must</w:t>
      </w:r>
      <w:r w:rsidRPr="006E7037">
        <w:rPr>
          <w:lang w:eastAsia="en-AU"/>
        </w:rPr>
        <w:t xml:space="preserve"> insert additional rows below the relevant asset group to account for this</w:t>
      </w:r>
      <w:r>
        <w:rPr>
          <w:lang w:eastAsia="en-AU"/>
        </w:rPr>
        <w:t xml:space="preserve">. </w:t>
      </w:r>
      <w:r w:rsidRPr="00E34849">
        <w:rPr>
          <w:noProof/>
          <w:lang w:eastAsia="en-AU"/>
        </w:rPr>
        <w:t>TNSP</w:t>
      </w:r>
      <w:r>
        <w:rPr>
          <w:lang w:eastAsia="en-AU"/>
        </w:rPr>
        <w:t xml:space="preserve"> </w:t>
      </w:r>
      <w:r w:rsidRPr="006E7037">
        <w:rPr>
          <w:lang w:eastAsia="en-AU"/>
        </w:rPr>
        <w:t xml:space="preserve">must provide the required data, applying a high level descriptor of the asset as the category name.  The </w:t>
      </w:r>
      <w:r>
        <w:rPr>
          <w:lang w:eastAsia="en-AU"/>
        </w:rPr>
        <w:t xml:space="preserve">line item </w:t>
      </w:r>
      <w:r w:rsidRPr="006E7037">
        <w:rPr>
          <w:lang w:eastAsia="en-AU"/>
        </w:rPr>
        <w:t xml:space="preserve">titled “OTHER - PLEASE ADD A ROW </w:t>
      </w:r>
      <w:r>
        <w:rPr>
          <w:lang w:eastAsia="en-AU"/>
        </w:rPr>
        <w:t xml:space="preserve">IF NECESSARY </w:t>
      </w:r>
      <w:r w:rsidRPr="006E7037">
        <w:rPr>
          <w:lang w:eastAsia="en-AU"/>
        </w:rPr>
        <w:t xml:space="preserve">AND </w:t>
      </w:r>
      <w:r>
        <w:rPr>
          <w:lang w:eastAsia="en-AU"/>
        </w:rPr>
        <w:t>NOMINATE THE CATEGORY</w:t>
      </w:r>
      <w:r w:rsidRPr="006E7037">
        <w:rPr>
          <w:lang w:eastAsia="en-AU"/>
        </w:rPr>
        <w:t>” illustrate</w:t>
      </w:r>
      <w:r>
        <w:rPr>
          <w:lang w:eastAsia="en-AU"/>
        </w:rPr>
        <w:t>s</w:t>
      </w:r>
      <w:r w:rsidRPr="006E7037">
        <w:rPr>
          <w:lang w:eastAsia="en-AU"/>
        </w:rPr>
        <w:t xml:space="preserve"> this requirement.</w:t>
      </w:r>
      <w:r w:rsidRPr="0056233D">
        <w:rPr>
          <w:lang w:eastAsia="en-AU"/>
        </w:rPr>
        <w:t xml:space="preserve"> </w:t>
      </w:r>
      <w:r w:rsidRPr="00E34849">
        <w:rPr>
          <w:noProof/>
          <w:lang w:eastAsia="en-AU"/>
        </w:rPr>
        <w:t>TNSP</w:t>
      </w:r>
      <w:r>
        <w:rPr>
          <w:lang w:eastAsia="en-AU"/>
        </w:rPr>
        <w:t xml:space="preserve"> must provide corresponding age profile data in </w:t>
      </w:r>
      <w:r>
        <w:rPr>
          <w:i/>
          <w:lang w:eastAsia="en-AU"/>
        </w:rPr>
        <w:t>regulatory template 4.1</w:t>
      </w:r>
      <w:r>
        <w:rPr>
          <w:lang w:eastAsia="en-AU"/>
        </w:rPr>
        <w:t xml:space="preserve"> </w:t>
      </w:r>
      <w:r w:rsidRPr="006E7037">
        <w:t xml:space="preserve">as per </w:t>
      </w:r>
      <w:r>
        <w:t>its</w:t>
      </w:r>
      <w:r w:rsidRPr="006E7037">
        <w:t xml:space="preserve"> respective instructions</w:t>
      </w:r>
      <w:r>
        <w:t xml:space="preserve">. </w:t>
      </w:r>
      <w:r w:rsidRPr="00E34849">
        <w:rPr>
          <w:noProof/>
          <w:lang w:eastAsia="en-AU"/>
        </w:rPr>
        <w:t>TNSP</w:t>
      </w:r>
      <w:r>
        <w:rPr>
          <w:lang w:eastAsia="en-AU"/>
        </w:rPr>
        <w:t xml:space="preserve"> must </w:t>
      </w:r>
      <w:r w:rsidRPr="006E7037">
        <w:rPr>
          <w:lang w:eastAsia="en-AU"/>
        </w:rPr>
        <w:t>ensure that the sum of the individual asset categories, including any additional sub-category</w:t>
      </w:r>
      <w:r>
        <w:rPr>
          <w:lang w:eastAsia="en-AU"/>
        </w:rPr>
        <w:t xml:space="preserve">, </w:t>
      </w:r>
      <w:r w:rsidRPr="006E7037">
        <w:rPr>
          <w:lang w:eastAsia="en-AU"/>
        </w:rPr>
        <w:t xml:space="preserve">additional </w:t>
      </w:r>
      <w:r>
        <w:rPr>
          <w:lang w:eastAsia="en-AU"/>
        </w:rPr>
        <w:t xml:space="preserve">other asset category or asset refurbishment/ life extension asset category </w:t>
      </w:r>
      <w:r w:rsidRPr="006E7037">
        <w:rPr>
          <w:lang w:eastAsia="en-AU"/>
        </w:rPr>
        <w:t>expenditure reconciles to the total expenditure of the asset group</w:t>
      </w:r>
      <w:r>
        <w:rPr>
          <w:lang w:eastAsia="en-AU"/>
        </w:rPr>
        <w:t xml:space="preserve">. </w:t>
      </w:r>
    </w:p>
    <w:p w:rsidR="00AE5FBA" w:rsidRDefault="00AE5FBA" w:rsidP="00621776">
      <w:pPr>
        <w:pStyle w:val="Numberlist2"/>
        <w:rPr>
          <w:lang w:eastAsia="en-AU"/>
        </w:rPr>
      </w:pPr>
      <w:r w:rsidRPr="00E34849">
        <w:rPr>
          <w:noProof/>
          <w:lang w:eastAsia="en-AU"/>
        </w:rPr>
        <w:t>TNSP</w:t>
      </w:r>
      <w:r>
        <w:rPr>
          <w:lang w:eastAsia="en-AU"/>
        </w:rPr>
        <w:t xml:space="preserve"> must ensure that the replacement </w:t>
      </w:r>
      <w:proofErr w:type="gramStart"/>
      <w:r>
        <w:rPr>
          <w:lang w:eastAsia="en-AU"/>
        </w:rPr>
        <w:t>volumes by asset group level is</w:t>
      </w:r>
      <w:proofErr w:type="gramEnd"/>
      <w:r>
        <w:rPr>
          <w:lang w:eastAsia="en-AU"/>
        </w:rPr>
        <w:t xml:space="preserve"> equal to the applicable replacement volume data provided in table 2.2.2.</w:t>
      </w:r>
    </w:p>
    <w:p w:rsidR="00AE5FBA" w:rsidRDefault="00AE5FBA" w:rsidP="00621776">
      <w:pPr>
        <w:pStyle w:val="Numberlist2"/>
        <w:rPr>
          <w:lang w:eastAsia="en-AU"/>
        </w:rPr>
      </w:pPr>
      <w:r w:rsidRPr="00E34849">
        <w:rPr>
          <w:noProof/>
          <w:lang w:eastAsia="en-AU"/>
        </w:rPr>
        <w:t>TNSP</w:t>
      </w:r>
      <w:r w:rsidRPr="0056233D">
        <w:rPr>
          <w:rFonts w:eastAsia="Times New Roman"/>
          <w:lang w:eastAsia="en-AU"/>
        </w:rPr>
        <w:t xml:space="preserve"> </w:t>
      </w:r>
      <w:r w:rsidRPr="006E7037">
        <w:rPr>
          <w:lang w:eastAsia="en-AU"/>
        </w:rPr>
        <w:t xml:space="preserve">must ensure that the sum of the asset group replacement expenditures </w:t>
      </w:r>
      <w:r>
        <w:rPr>
          <w:lang w:eastAsia="en-AU"/>
        </w:rPr>
        <w:t xml:space="preserve">is equal </w:t>
      </w:r>
      <w:r w:rsidRPr="006E7037">
        <w:rPr>
          <w:lang w:eastAsia="en-AU"/>
        </w:rPr>
        <w:t xml:space="preserve">to </w:t>
      </w:r>
      <w:r>
        <w:rPr>
          <w:lang w:eastAsia="en-AU"/>
        </w:rPr>
        <w:t xml:space="preserve">the </w:t>
      </w:r>
      <w:r w:rsidRPr="006E7037">
        <w:rPr>
          <w:lang w:eastAsia="en-AU"/>
        </w:rPr>
        <w:t>total replacement expenditure</w:t>
      </w:r>
      <w:r>
        <w:rPr>
          <w:lang w:eastAsia="en-AU"/>
        </w:rPr>
        <w:t xml:space="preserve"> contained in </w:t>
      </w:r>
      <w:r w:rsidRPr="009051C2">
        <w:rPr>
          <w:i/>
          <w:lang w:eastAsia="en-AU"/>
        </w:rPr>
        <w:t>regulatory template 2.1.</w:t>
      </w:r>
      <w:r w:rsidRPr="006E7037">
        <w:rPr>
          <w:lang w:eastAsia="en-AU"/>
        </w:rPr>
        <w:t xml:space="preserve"> </w:t>
      </w:r>
    </w:p>
    <w:p w:rsidR="00AE5FBA" w:rsidRPr="002A0B63" w:rsidRDefault="00AE5FBA" w:rsidP="00621776">
      <w:pPr>
        <w:pStyle w:val="Numberlist2"/>
      </w:pPr>
      <w:r>
        <w:rPr>
          <w:lang w:eastAsia="en-AU"/>
        </w:rPr>
        <w:t xml:space="preserve">If </w:t>
      </w:r>
      <w:r w:rsidRPr="00E34849">
        <w:rPr>
          <w:noProof/>
          <w:lang w:eastAsia="en-AU"/>
        </w:rPr>
        <w:t>TNSP</w:t>
      </w:r>
      <w:r>
        <w:rPr>
          <w:lang w:eastAsia="en-AU"/>
        </w:rPr>
        <w:t xml:space="preserve"> has provided estimated expenditure data on the basis of historical data that has included works across asset groups </w:t>
      </w:r>
      <w:r w:rsidRPr="00E34849">
        <w:rPr>
          <w:noProof/>
          <w:lang w:eastAsia="en-AU"/>
        </w:rPr>
        <w:t>TNSP</w:t>
      </w:r>
      <w:r>
        <w:rPr>
          <w:lang w:eastAsia="en-AU"/>
        </w:rPr>
        <w:t xml:space="preserve"> must provide the asset age profile data in </w:t>
      </w:r>
      <w:r w:rsidRPr="00DC734A">
        <w:rPr>
          <w:i/>
          <w:lang w:eastAsia="en-AU"/>
        </w:rPr>
        <w:t xml:space="preserve">regulatory template </w:t>
      </w:r>
      <w:r>
        <w:rPr>
          <w:i/>
          <w:lang w:eastAsia="en-AU"/>
        </w:rPr>
        <w:t>4.1</w:t>
      </w:r>
      <w:r w:rsidRPr="00DC734A">
        <w:rPr>
          <w:i/>
          <w:lang w:eastAsia="en-AU"/>
        </w:rPr>
        <w:t xml:space="preserve"> </w:t>
      </w:r>
      <w:r>
        <w:rPr>
          <w:lang w:eastAsia="en-AU"/>
        </w:rPr>
        <w:t xml:space="preserve">against the most elementary asset category. </w:t>
      </w:r>
      <w:r w:rsidRPr="00DC734A">
        <w:rPr>
          <w:lang w:eastAsia="en-AU"/>
        </w:rPr>
        <w:t xml:space="preserve">For example, where </w:t>
      </w:r>
      <w:r w:rsidRPr="00E34849">
        <w:rPr>
          <w:noProof/>
          <w:lang w:eastAsia="en-AU"/>
        </w:rPr>
        <w:t>TNSP</w:t>
      </w:r>
      <w:r>
        <w:rPr>
          <w:lang w:eastAsia="en-AU"/>
        </w:rPr>
        <w:t xml:space="preserve"> </w:t>
      </w:r>
      <w:r w:rsidRPr="00DC734A">
        <w:rPr>
          <w:lang w:eastAsia="en-AU"/>
        </w:rPr>
        <w:t xml:space="preserve">replaces </w:t>
      </w:r>
      <w:r>
        <w:rPr>
          <w:lang w:eastAsia="en-AU"/>
        </w:rPr>
        <w:t xml:space="preserve">substation switchbay </w:t>
      </w:r>
      <w:r w:rsidRPr="00DC734A">
        <w:rPr>
          <w:lang w:eastAsia="en-AU"/>
        </w:rPr>
        <w:t xml:space="preserve">in conjunction with a </w:t>
      </w:r>
      <w:r>
        <w:rPr>
          <w:lang w:eastAsia="en-AU"/>
        </w:rPr>
        <w:t xml:space="preserve">substation power transformer </w:t>
      </w:r>
      <w:r w:rsidRPr="00DC734A">
        <w:rPr>
          <w:lang w:eastAsia="en-AU"/>
        </w:rPr>
        <w:t xml:space="preserve">it must report the asset age profile data against the relevant </w:t>
      </w:r>
      <w:r>
        <w:rPr>
          <w:lang w:eastAsia="en-AU"/>
        </w:rPr>
        <w:t xml:space="preserve">substation switchbay </w:t>
      </w:r>
      <w:r w:rsidRPr="00DC734A">
        <w:rPr>
          <w:lang w:eastAsia="en-AU"/>
        </w:rPr>
        <w:t xml:space="preserve">asset category. </w:t>
      </w:r>
      <w:r w:rsidRPr="00E34849">
        <w:rPr>
          <w:noProof/>
          <w:lang w:eastAsia="en-AU"/>
        </w:rPr>
        <w:t>TNSP</w:t>
      </w:r>
      <w:r>
        <w:rPr>
          <w:lang w:eastAsia="en-AU"/>
        </w:rPr>
        <w:t>must provide documentation of instances where backcast unit costs generated have involved allocations of historical records that include expenditure across asset groups.</w:t>
      </w:r>
    </w:p>
    <w:p w:rsidR="00AE5FBA" w:rsidRDefault="00AE5FBA" w:rsidP="00621776">
      <w:pPr>
        <w:pStyle w:val="Numberlist1"/>
        <w:rPr>
          <w:lang w:eastAsia="en-AU"/>
        </w:rPr>
      </w:pPr>
      <w:r w:rsidRPr="006E7037">
        <w:rPr>
          <w:lang w:eastAsia="en-AU"/>
        </w:rPr>
        <w:t>Table 2.2.2 instructions:</w:t>
      </w:r>
      <w:r w:rsidRPr="0056233D">
        <w:rPr>
          <w:lang w:eastAsia="en-AU"/>
        </w:rPr>
        <w:t xml:space="preserve"> </w:t>
      </w:r>
    </w:p>
    <w:p w:rsidR="00AE5FBA" w:rsidRDefault="00AE5FBA" w:rsidP="00621776">
      <w:pPr>
        <w:pStyle w:val="Numberlist2"/>
        <w:rPr>
          <w:lang w:eastAsia="en-AU"/>
        </w:rPr>
      </w:pPr>
      <w:r w:rsidRPr="00E34849">
        <w:rPr>
          <w:noProof/>
          <w:lang w:eastAsia="en-AU"/>
        </w:rPr>
        <w:t>TNSP</w:t>
      </w:r>
      <w:r>
        <w:rPr>
          <w:lang w:eastAsia="en-AU"/>
        </w:rPr>
        <w:t xml:space="preserve"> must provide total volume of assets currently in commission and replacement volumes of certain asset groups by specified aggregated metrics. In instances where this information is estimated </w:t>
      </w:r>
      <w:r w:rsidRPr="00E34849">
        <w:rPr>
          <w:noProof/>
          <w:lang w:eastAsia="en-AU"/>
        </w:rPr>
        <w:t>TNSP</w:t>
      </w:r>
      <w:r>
        <w:rPr>
          <w:lang w:eastAsia="en-AU"/>
        </w:rPr>
        <w:t xml:space="preserve"> must explain how it has determined these volumes, detailing the process and assumptions used to allocate asset volumes to the aggregated metrics.  </w:t>
      </w:r>
    </w:p>
    <w:p w:rsidR="00AE5FBA" w:rsidRPr="006E7037" w:rsidRDefault="00AE5FBA" w:rsidP="00621776">
      <w:pPr>
        <w:pStyle w:val="Heading2"/>
        <w:rPr>
          <w:lang w:eastAsia="en-AU"/>
        </w:rPr>
      </w:pPr>
      <w:bookmarkStart w:id="22" w:name="_Toc383506912"/>
      <w:r w:rsidRPr="006E7037">
        <w:rPr>
          <w:lang w:eastAsia="en-AU"/>
        </w:rPr>
        <w:lastRenderedPageBreak/>
        <w:t>ASSET AGE PROFILE</w:t>
      </w:r>
      <w:bookmarkEnd w:id="22"/>
    </w:p>
    <w:p w:rsidR="00AE5FBA" w:rsidRDefault="00AE5FBA" w:rsidP="00621776">
      <w:pPr>
        <w:pStyle w:val="Numberlist1"/>
        <w:rPr>
          <w:lang w:eastAsia="en-AU"/>
        </w:rPr>
      </w:pPr>
      <w:r w:rsidRPr="006E7037">
        <w:rPr>
          <w:lang w:eastAsia="en-AU"/>
        </w:rPr>
        <w:t xml:space="preserve">Table </w:t>
      </w:r>
      <w:r>
        <w:rPr>
          <w:lang w:eastAsia="en-AU"/>
        </w:rPr>
        <w:t>4.1</w:t>
      </w:r>
      <w:r w:rsidRPr="006E7037">
        <w:rPr>
          <w:lang w:eastAsia="en-AU"/>
        </w:rPr>
        <w:t>.1 instructions:</w:t>
      </w:r>
      <w:r w:rsidRPr="0056233D">
        <w:rPr>
          <w:lang w:eastAsia="en-AU"/>
        </w:rPr>
        <w:t xml:space="preserve"> </w:t>
      </w:r>
    </w:p>
    <w:p w:rsidR="00AE5FBA" w:rsidRDefault="00AE5FBA" w:rsidP="00621776">
      <w:pPr>
        <w:pStyle w:val="Numberlist2"/>
        <w:rPr>
          <w:lang w:eastAsia="en-AU"/>
        </w:rPr>
      </w:pPr>
      <w:r>
        <w:rPr>
          <w:lang w:eastAsia="en-AU"/>
        </w:rPr>
        <w:t xml:space="preserve">Where </w:t>
      </w:r>
      <w:r w:rsidRPr="00E34849">
        <w:rPr>
          <w:noProof/>
          <w:lang w:eastAsia="en-AU"/>
        </w:rPr>
        <w:t>TNSP</w:t>
      </w:r>
      <w:r w:rsidRPr="006E7037">
        <w:rPr>
          <w:lang w:eastAsia="en-AU"/>
        </w:rPr>
        <w:t xml:space="preserve"> provide</w:t>
      </w:r>
      <w:r>
        <w:rPr>
          <w:lang w:eastAsia="en-AU"/>
        </w:rPr>
        <w:t>s</w:t>
      </w:r>
      <w:r w:rsidRPr="006E7037">
        <w:rPr>
          <w:lang w:eastAsia="en-AU"/>
        </w:rPr>
        <w:t xml:space="preserve"> asset sub-categories </w:t>
      </w:r>
      <w:r>
        <w:rPr>
          <w:lang w:eastAsia="en-AU"/>
        </w:rPr>
        <w:t>corresponding to</w:t>
      </w:r>
      <w:r w:rsidRPr="006E7037">
        <w:rPr>
          <w:lang w:eastAsia="en-AU"/>
        </w:rPr>
        <w:t xml:space="preserve"> </w:t>
      </w:r>
      <w:r>
        <w:rPr>
          <w:lang w:eastAsia="en-AU"/>
        </w:rPr>
        <w:t xml:space="preserve">the prescribed </w:t>
      </w:r>
      <w:r w:rsidRPr="006E7037">
        <w:rPr>
          <w:lang w:eastAsia="en-AU"/>
        </w:rPr>
        <w:t>asset categories in</w:t>
      </w:r>
      <w:r>
        <w:rPr>
          <w:lang w:eastAsia="en-AU"/>
        </w:rPr>
        <w:t xml:space="preserve"> table 4.1.1, </w:t>
      </w:r>
      <w:r w:rsidRPr="00E34849">
        <w:rPr>
          <w:noProof/>
          <w:lang w:eastAsia="en-AU"/>
        </w:rPr>
        <w:t>TNSP</w:t>
      </w:r>
      <w:r w:rsidRPr="0089258E">
        <w:rPr>
          <w:rFonts w:eastAsia="Times New Roman"/>
          <w:lang w:eastAsia="en-AU"/>
        </w:rPr>
        <w:t xml:space="preserve"> </w:t>
      </w:r>
      <w:r w:rsidRPr="006E7037">
        <w:rPr>
          <w:lang w:eastAsia="en-AU"/>
        </w:rPr>
        <w:t xml:space="preserve">must ensure that the expenditure and </w:t>
      </w:r>
      <w:r>
        <w:rPr>
          <w:lang w:eastAsia="en-AU"/>
        </w:rPr>
        <w:t xml:space="preserve">asset </w:t>
      </w:r>
      <w:r w:rsidRPr="006E7037">
        <w:rPr>
          <w:lang w:eastAsia="en-AU"/>
        </w:rPr>
        <w:t xml:space="preserve">replacement / </w:t>
      </w:r>
      <w:r>
        <w:rPr>
          <w:lang w:eastAsia="en-AU"/>
        </w:rPr>
        <w:t xml:space="preserve">asset </w:t>
      </w:r>
      <w:r w:rsidRPr="006E7037">
        <w:rPr>
          <w:lang w:eastAsia="en-AU"/>
        </w:rPr>
        <w:t>failure volumes of these sub-categories reconcile to the higher level asset category.</w:t>
      </w:r>
      <w:r>
        <w:rPr>
          <w:color w:val="00B0F0"/>
        </w:rPr>
        <w:t xml:space="preserve"> </w:t>
      </w:r>
      <w:r w:rsidRPr="00E34849">
        <w:rPr>
          <w:noProof/>
          <w:lang w:eastAsia="en-AU"/>
        </w:rPr>
        <w:t>TNSP</w:t>
      </w:r>
      <w:r>
        <w:rPr>
          <w:lang w:eastAsia="en-AU"/>
        </w:rPr>
        <w:t xml:space="preserve"> is </w:t>
      </w:r>
      <w:r w:rsidRPr="006E7037">
        <w:rPr>
          <w:lang w:eastAsia="en-AU"/>
        </w:rPr>
        <w:t>required to insert additional rows and provide a clear indication of the asset category applicable to each sub-category.</w:t>
      </w:r>
      <w:r w:rsidRPr="00EC01EA">
        <w:rPr>
          <w:lang w:eastAsia="en-AU"/>
        </w:rPr>
        <w:t xml:space="preserve"> </w:t>
      </w:r>
      <w:r w:rsidRPr="00E34849">
        <w:rPr>
          <w:noProof/>
          <w:lang w:eastAsia="en-AU"/>
        </w:rPr>
        <w:t>TNSP</w:t>
      </w:r>
      <w:r>
        <w:rPr>
          <w:lang w:eastAsia="en-AU"/>
        </w:rPr>
        <w:t xml:space="preserve"> must provide corresponding replacement expenditure data in </w:t>
      </w:r>
      <w:r>
        <w:rPr>
          <w:i/>
          <w:lang w:eastAsia="en-AU"/>
        </w:rPr>
        <w:t>regulatory template 2.2</w:t>
      </w:r>
      <w:r>
        <w:rPr>
          <w:lang w:eastAsia="en-AU"/>
        </w:rPr>
        <w:t xml:space="preserve"> </w:t>
      </w:r>
      <w:r w:rsidRPr="006E7037">
        <w:t xml:space="preserve">as per </w:t>
      </w:r>
      <w:r>
        <w:t>its</w:t>
      </w:r>
      <w:r w:rsidRPr="006E7037">
        <w:t xml:space="preserve"> respective instructions</w:t>
      </w:r>
      <w:r>
        <w:t>.</w:t>
      </w:r>
    </w:p>
    <w:p w:rsidR="00AE5FBA" w:rsidRDefault="00AE5FBA" w:rsidP="00621776">
      <w:pPr>
        <w:pStyle w:val="Numberlist2"/>
        <w:rPr>
          <w:lang w:eastAsia="en-AU"/>
        </w:rPr>
      </w:pPr>
      <w:r>
        <w:rPr>
          <w:lang w:eastAsia="en-AU"/>
        </w:rPr>
        <w:t xml:space="preserve">In instances where </w:t>
      </w:r>
      <w:r w:rsidRPr="00E34849">
        <w:rPr>
          <w:noProof/>
          <w:lang w:eastAsia="en-AU"/>
        </w:rPr>
        <w:t>TNSP</w:t>
      </w:r>
      <w:r>
        <w:rPr>
          <w:lang w:eastAsia="en-AU"/>
        </w:rPr>
        <w:t xml:space="preserve"> is reporting expenditure associated with asset refurbishments/ life extensions capex it must insert additional rows at the bottom of the table for the relevant asset group to account for this. </w:t>
      </w:r>
      <w:r w:rsidRPr="00E34849">
        <w:rPr>
          <w:noProof/>
          <w:lang w:eastAsia="en-AU"/>
        </w:rPr>
        <w:t>TNSP</w:t>
      </w:r>
      <w:r>
        <w:rPr>
          <w:lang w:eastAsia="en-AU"/>
        </w:rPr>
        <w:t xml:space="preserve"> </w:t>
      </w:r>
      <w:r w:rsidRPr="006E7037">
        <w:rPr>
          <w:lang w:eastAsia="en-AU"/>
        </w:rPr>
        <w:t>must provide the required data, applying</w:t>
      </w:r>
      <w:r>
        <w:rPr>
          <w:lang w:eastAsia="en-AU"/>
        </w:rPr>
        <w:t xml:space="preserve"> the corresponding asset category name followed by the word “REFURBISHED”. </w:t>
      </w:r>
      <w:r w:rsidRPr="00E34849">
        <w:rPr>
          <w:noProof/>
          <w:lang w:eastAsia="en-AU"/>
        </w:rPr>
        <w:t>TNSP</w:t>
      </w:r>
      <w:r>
        <w:rPr>
          <w:lang w:eastAsia="en-AU"/>
        </w:rPr>
        <w:t xml:space="preserve"> must provide corresponding replacement expenditure data in </w:t>
      </w:r>
      <w:r>
        <w:rPr>
          <w:i/>
          <w:lang w:eastAsia="en-AU"/>
        </w:rPr>
        <w:t>regulatory template 2.2</w:t>
      </w:r>
      <w:r>
        <w:rPr>
          <w:lang w:eastAsia="en-AU"/>
        </w:rPr>
        <w:t xml:space="preserve"> </w:t>
      </w:r>
      <w:r w:rsidRPr="006E7037">
        <w:t xml:space="preserve">as per </w:t>
      </w:r>
      <w:r>
        <w:t>its</w:t>
      </w:r>
      <w:r w:rsidRPr="006E7037">
        <w:t xml:space="preserve"> respective instructions</w:t>
      </w:r>
      <w:r>
        <w:t>.</w:t>
      </w:r>
    </w:p>
    <w:p w:rsidR="00AE5FBA" w:rsidRDefault="00AE5FBA" w:rsidP="00621776">
      <w:pPr>
        <w:pStyle w:val="Numberlist2"/>
      </w:pPr>
      <w:r w:rsidRPr="006E7037">
        <w:rPr>
          <w:lang w:eastAsia="en-AU"/>
        </w:rPr>
        <w:t xml:space="preserve">In instances </w:t>
      </w:r>
      <w:r>
        <w:rPr>
          <w:lang w:eastAsia="en-AU"/>
        </w:rPr>
        <w:t xml:space="preserve">where </w:t>
      </w:r>
      <w:r w:rsidRPr="00E34849">
        <w:rPr>
          <w:noProof/>
          <w:lang w:eastAsia="en-AU"/>
        </w:rPr>
        <w:t>TNSP</w:t>
      </w:r>
      <w:r>
        <w:t xml:space="preserve"> considers</w:t>
      </w:r>
      <w:r w:rsidRPr="006E7037">
        <w:rPr>
          <w:lang w:eastAsia="en-AU"/>
        </w:rPr>
        <w:t xml:space="preserve"> that </w:t>
      </w:r>
      <w:r>
        <w:rPr>
          <w:lang w:eastAsia="en-AU"/>
        </w:rPr>
        <w:t xml:space="preserve">both the prescribed </w:t>
      </w:r>
      <w:r w:rsidRPr="006E7037">
        <w:rPr>
          <w:lang w:eastAsia="en-AU"/>
        </w:rPr>
        <w:t xml:space="preserve">asset group categories </w:t>
      </w:r>
      <w:r>
        <w:rPr>
          <w:lang w:eastAsia="en-AU"/>
        </w:rPr>
        <w:t xml:space="preserve">and the asset sub-categorisation </w:t>
      </w:r>
      <w:r w:rsidRPr="006E7037">
        <w:rPr>
          <w:lang w:eastAsia="en-AU"/>
        </w:rPr>
        <w:t xml:space="preserve">do not account for an asset </w:t>
      </w:r>
      <w:r>
        <w:rPr>
          <w:lang w:eastAsia="en-AU"/>
        </w:rPr>
        <w:t xml:space="preserve">on </w:t>
      </w:r>
      <w:r w:rsidRPr="00E34849">
        <w:rPr>
          <w:noProof/>
          <w:lang w:eastAsia="en-AU"/>
        </w:rPr>
        <w:t>TNSP</w:t>
      </w:r>
      <w:r w:rsidRPr="006E7037">
        <w:rPr>
          <w:lang w:eastAsia="en-AU"/>
        </w:rPr>
        <w:t xml:space="preserve">’s </w:t>
      </w:r>
      <w:r w:rsidRPr="00FA5AAA">
        <w:rPr>
          <w:i/>
          <w:lang w:eastAsia="en-AU"/>
        </w:rPr>
        <w:t>transmission system</w:t>
      </w:r>
      <w:r>
        <w:rPr>
          <w:lang w:eastAsia="en-AU"/>
        </w:rPr>
        <w:t xml:space="preserve">, </w:t>
      </w:r>
      <w:r w:rsidRPr="00E34849">
        <w:rPr>
          <w:noProof/>
          <w:lang w:eastAsia="en-AU"/>
        </w:rPr>
        <w:t>TNSP</w:t>
      </w:r>
      <w:r>
        <w:rPr>
          <w:lang w:eastAsia="en-AU"/>
        </w:rPr>
        <w:t xml:space="preserve"> must</w:t>
      </w:r>
      <w:r w:rsidRPr="006E7037">
        <w:rPr>
          <w:lang w:eastAsia="en-AU"/>
        </w:rPr>
        <w:t xml:space="preserve"> insert additional rows below the relevant asset group to account for this</w:t>
      </w:r>
      <w:r>
        <w:rPr>
          <w:lang w:eastAsia="en-AU"/>
        </w:rPr>
        <w:t xml:space="preserve">. </w:t>
      </w:r>
      <w:r w:rsidRPr="00E34849">
        <w:rPr>
          <w:noProof/>
          <w:lang w:eastAsia="en-AU"/>
        </w:rPr>
        <w:t>TNSP</w:t>
      </w:r>
      <w:r>
        <w:rPr>
          <w:lang w:eastAsia="en-AU"/>
        </w:rPr>
        <w:t xml:space="preserve"> </w:t>
      </w:r>
      <w:r w:rsidRPr="006E7037">
        <w:rPr>
          <w:lang w:eastAsia="en-AU"/>
        </w:rPr>
        <w:t>must provide the required data, applying a high level descriptor of t</w:t>
      </w:r>
      <w:r>
        <w:rPr>
          <w:lang w:eastAsia="en-AU"/>
        </w:rPr>
        <w:t>he asset as the category name. T</w:t>
      </w:r>
      <w:r w:rsidRPr="006E7037">
        <w:rPr>
          <w:lang w:eastAsia="en-AU"/>
        </w:rPr>
        <w:t xml:space="preserve">he </w:t>
      </w:r>
      <w:r>
        <w:rPr>
          <w:lang w:eastAsia="en-AU"/>
        </w:rPr>
        <w:t xml:space="preserve">line item titled </w:t>
      </w:r>
      <w:r w:rsidRPr="006E7037">
        <w:rPr>
          <w:lang w:eastAsia="en-AU"/>
        </w:rPr>
        <w:t xml:space="preserve">“OTHER - PLEASE ADD A ROW </w:t>
      </w:r>
      <w:r>
        <w:rPr>
          <w:lang w:eastAsia="en-AU"/>
        </w:rPr>
        <w:t xml:space="preserve">IF NECESSARY </w:t>
      </w:r>
      <w:r w:rsidRPr="006E7037">
        <w:rPr>
          <w:lang w:eastAsia="en-AU"/>
        </w:rPr>
        <w:t xml:space="preserve">AND </w:t>
      </w:r>
      <w:r>
        <w:rPr>
          <w:lang w:eastAsia="en-AU"/>
        </w:rPr>
        <w:t>NOMINATE THE CATEGORY</w:t>
      </w:r>
      <w:r w:rsidRPr="006E7037">
        <w:rPr>
          <w:lang w:eastAsia="en-AU"/>
        </w:rPr>
        <w:t>”</w:t>
      </w:r>
      <w:r>
        <w:rPr>
          <w:lang w:eastAsia="en-AU"/>
        </w:rPr>
        <w:t xml:space="preserve"> illustrates this requirement.</w:t>
      </w:r>
      <w:r w:rsidRPr="0056233D">
        <w:rPr>
          <w:lang w:eastAsia="en-AU"/>
        </w:rPr>
        <w:t xml:space="preserve"> </w:t>
      </w:r>
      <w:r w:rsidRPr="00E34849">
        <w:rPr>
          <w:noProof/>
          <w:lang w:eastAsia="en-AU"/>
        </w:rPr>
        <w:t>TNSP</w:t>
      </w:r>
      <w:r>
        <w:rPr>
          <w:lang w:eastAsia="en-AU"/>
        </w:rPr>
        <w:t xml:space="preserve"> must provide corresponding replacement expenditure data in </w:t>
      </w:r>
      <w:r>
        <w:rPr>
          <w:i/>
          <w:lang w:eastAsia="en-AU"/>
        </w:rPr>
        <w:t>regulatory template 2</w:t>
      </w:r>
      <w:r>
        <w:rPr>
          <w:lang w:eastAsia="en-AU"/>
        </w:rPr>
        <w:t xml:space="preserve">.2 </w:t>
      </w:r>
      <w:r w:rsidRPr="006E7037">
        <w:t xml:space="preserve">as per </w:t>
      </w:r>
      <w:r>
        <w:t>its</w:t>
      </w:r>
      <w:r w:rsidRPr="006E7037">
        <w:t xml:space="preserve"> respective instructions</w:t>
      </w:r>
      <w:r>
        <w:t>.</w:t>
      </w:r>
    </w:p>
    <w:p w:rsidR="00AE5FBA" w:rsidRPr="006E7037" w:rsidRDefault="00AE5FBA" w:rsidP="00621776">
      <w:pPr>
        <w:pStyle w:val="Numberlist2"/>
      </w:pPr>
      <w:r w:rsidRPr="006E7037">
        <w:t xml:space="preserve">In instances </w:t>
      </w:r>
      <w:r>
        <w:t xml:space="preserve">where </w:t>
      </w:r>
      <w:r w:rsidRPr="00E34849">
        <w:rPr>
          <w:noProof/>
          <w:lang w:eastAsia="en-AU"/>
        </w:rPr>
        <w:t>TNSP</w:t>
      </w:r>
      <w:r>
        <w:rPr>
          <w:lang w:eastAsia="en-AU"/>
        </w:rPr>
        <w:t xml:space="preserve"> wishes</w:t>
      </w:r>
      <w:r w:rsidRPr="006E7037">
        <w:t xml:space="preserve"> to provide asset sub-categories in addition to the specified asset categories in table </w:t>
      </w:r>
      <w:r>
        <w:t>4.1.1</w:t>
      </w:r>
      <w:r w:rsidRPr="006E7037">
        <w:t xml:space="preserve">, </w:t>
      </w:r>
      <w:r w:rsidRPr="00E34849">
        <w:rPr>
          <w:noProof/>
          <w:lang w:eastAsia="en-AU"/>
        </w:rPr>
        <w:t>TNSP</w:t>
      </w:r>
      <w:r>
        <w:rPr>
          <w:lang w:eastAsia="en-AU"/>
        </w:rPr>
        <w:t xml:space="preserve"> </w:t>
      </w:r>
      <w:r>
        <w:t xml:space="preserve">must </w:t>
      </w:r>
      <w:r w:rsidRPr="006E7037">
        <w:t xml:space="preserve">provide a weighted average asset </w:t>
      </w:r>
      <w:r>
        <w:t xml:space="preserve">economic </w:t>
      </w:r>
      <w:r w:rsidRPr="006E7037">
        <w:t>life, including mean and standard deviation that reconciles to the specified asset category in accordance with the following formula:</w:t>
      </w:r>
    </w:p>
    <w:p w:rsidR="00AE5FBA" w:rsidRPr="00141940" w:rsidRDefault="00AE5FBA" w:rsidP="00621776">
      <w:pPr>
        <w:rPr>
          <w:sz w:val="18"/>
        </w:rPr>
      </w:pPr>
      <m:oMathPara>
        <m:oMath>
          <m:r>
            <m:rPr>
              <m:nor/>
            </m:rPr>
            <w:rPr>
              <w:sz w:val="18"/>
            </w:rPr>
            <m:t>Economic life of asset category=</m:t>
          </m:r>
          <m:nary>
            <m:naryPr>
              <m:chr m:val="∑"/>
              <m:limLoc m:val="undOvr"/>
              <m:ctrlPr>
                <w:rPr>
                  <w:rFonts w:ascii="Cambria Math" w:hAnsi="Cambria Math"/>
                  <w:sz w:val="18"/>
                </w:rPr>
              </m:ctrlPr>
            </m:naryPr>
            <m:sub>
              <m:r>
                <m:rPr>
                  <m:nor/>
                </m:rPr>
                <w:rPr>
                  <w:sz w:val="18"/>
                </w:rPr>
                <m:t>i=1</m:t>
              </m:r>
            </m:sub>
            <m:sup>
              <m:r>
                <m:rPr>
                  <m:nor/>
                </m:rPr>
                <w:rPr>
                  <w:sz w:val="18"/>
                </w:rPr>
                <m:t>n</m:t>
              </m:r>
            </m:sup>
            <m:e>
              <m:d>
                <m:dPr>
                  <m:ctrlPr>
                    <w:rPr>
                      <w:rFonts w:ascii="Cambria Math" w:hAnsi="Cambria Math"/>
                      <w:sz w:val="18"/>
                    </w:rPr>
                  </m:ctrlPr>
                </m:dPr>
                <m:e>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nor/>
                                </m:rPr>
                                <w:rPr>
                                  <w:sz w:val="18"/>
                                </w:rPr>
                                <m:t>value of asset sub-category</m:t>
                              </m:r>
                            </m:e>
                            <m:sub>
                              <m:r>
                                <m:rPr>
                                  <m:nor/>
                                </m:rPr>
                                <w:rPr>
                                  <w:sz w:val="18"/>
                                </w:rPr>
                                <m:t>i</m:t>
                              </m:r>
                            </m:sub>
                          </m:sSub>
                        </m:num>
                        <m:den>
                          <m:r>
                            <m:rPr>
                              <m:nor/>
                            </m:rPr>
                            <w:rPr>
                              <w:sz w:val="18"/>
                            </w:rPr>
                            <m:t>total value of asset category</m:t>
                          </m:r>
                        </m:den>
                      </m:f>
                    </m:e>
                  </m:d>
                  <m:r>
                    <m:rPr>
                      <m:nor/>
                    </m:rPr>
                    <w:rPr>
                      <w:sz w:val="18"/>
                    </w:rPr>
                    <m:t>×</m:t>
                  </m:r>
                  <m:sSub>
                    <m:sSubPr>
                      <m:ctrlPr>
                        <w:rPr>
                          <w:rFonts w:ascii="Cambria Math" w:hAnsi="Cambria Math"/>
                          <w:sz w:val="18"/>
                        </w:rPr>
                      </m:ctrlPr>
                    </m:sSubPr>
                    <m:e>
                      <m:r>
                        <m:rPr>
                          <m:nor/>
                        </m:rPr>
                        <w:rPr>
                          <w:sz w:val="18"/>
                        </w:rPr>
                        <m:t>economic life of asset sub-category</m:t>
                      </m:r>
                    </m:e>
                    <m:sub>
                      <m:r>
                        <m:rPr>
                          <m:nor/>
                        </m:rPr>
                        <w:rPr>
                          <w:sz w:val="18"/>
                        </w:rPr>
                        <m:t>i</m:t>
                      </m:r>
                    </m:sub>
                  </m:sSub>
                </m:e>
              </m:d>
            </m:e>
          </m:nary>
        </m:oMath>
      </m:oMathPara>
    </w:p>
    <w:p w:rsidR="00AE5FBA" w:rsidRPr="006E7037" w:rsidRDefault="00AE5FBA" w:rsidP="00621776">
      <w:pPr>
        <w:rPr>
          <w:lang w:eastAsia="en-AU"/>
        </w:rPr>
      </w:pPr>
      <w:r w:rsidRPr="006E7037">
        <w:rPr>
          <w:lang w:eastAsia="en-AU"/>
        </w:rPr>
        <w:tab/>
      </w:r>
      <w:proofErr w:type="gramStart"/>
      <w:r w:rsidRPr="006E7037">
        <w:rPr>
          <w:lang w:eastAsia="en-AU"/>
        </w:rPr>
        <w:t>where</w:t>
      </w:r>
      <w:proofErr w:type="gramEnd"/>
      <w:r w:rsidRPr="006E7037">
        <w:rPr>
          <w:lang w:eastAsia="en-AU"/>
        </w:rPr>
        <w:t xml:space="preserve">: </w:t>
      </w:r>
    </w:p>
    <w:p w:rsidR="00AE5FBA" w:rsidRPr="00141940" w:rsidRDefault="00AE5FBA" w:rsidP="00621776">
      <w:pPr>
        <w:ind w:left="1440"/>
        <w:rPr>
          <w:i/>
        </w:rPr>
      </w:pPr>
      <w:proofErr w:type="gramStart"/>
      <w:r w:rsidRPr="00141940">
        <w:rPr>
          <w:i/>
        </w:rPr>
        <w:t>n</w:t>
      </w:r>
      <w:proofErr w:type="gramEnd"/>
      <w:r w:rsidRPr="00141940">
        <w:rPr>
          <w:i/>
        </w:rPr>
        <w:t xml:space="preserve"> is the number of sub-categories to reconcile with the asset category</w:t>
      </w:r>
    </w:p>
    <w:p w:rsidR="00AE5FBA" w:rsidRPr="003825C9" w:rsidRDefault="00AE5FBA" w:rsidP="00621776">
      <w:pPr>
        <w:ind w:left="1440"/>
        <w:rPr>
          <w:i/>
        </w:rPr>
      </w:pPr>
      <w:proofErr w:type="gramStart"/>
      <w:r w:rsidRPr="00141940">
        <w:rPr>
          <w:i/>
        </w:rPr>
        <w:t>asset</w:t>
      </w:r>
      <w:proofErr w:type="gramEnd"/>
      <w:r w:rsidRPr="00141940">
        <w:rPr>
          <w:i/>
        </w:rPr>
        <w:t xml:space="preserve"> values are determined by the asset category's contribution to the current replacement cost of the network. This being the most recent per unit cost of replacement for each asset, multiplied by the number of those assets in service and reported in the asset age </w:t>
      </w:r>
      <w:r>
        <w:rPr>
          <w:i/>
        </w:rPr>
        <w:t>profile</w:t>
      </w:r>
      <w:r w:rsidRPr="00141940">
        <w:rPr>
          <w:i/>
        </w:rPr>
        <w:t>.</w:t>
      </w:r>
    </w:p>
    <w:p w:rsidR="00AE5FBA" w:rsidRPr="00D100C9" w:rsidRDefault="00AE5FBA" w:rsidP="0052182B">
      <w:pPr>
        <w:pStyle w:val="Heading2"/>
        <w:rPr>
          <w:lang w:eastAsia="en-AU"/>
        </w:rPr>
      </w:pPr>
      <w:bookmarkStart w:id="23" w:name="_Toc383506913"/>
      <w:r w:rsidRPr="00D100C9">
        <w:rPr>
          <w:lang w:eastAsia="en-AU"/>
        </w:rPr>
        <w:t>AUGEX PROJECT DATA</w:t>
      </w:r>
      <w:bookmarkEnd w:id="23"/>
    </w:p>
    <w:p w:rsidR="00AE5FBA" w:rsidRDefault="00AE5FBA" w:rsidP="008C254A">
      <w:pPr>
        <w:pStyle w:val="Numberlist1"/>
        <w:rPr>
          <w:lang w:eastAsia="en-AU"/>
        </w:rPr>
      </w:pPr>
      <w:r>
        <w:rPr>
          <w:lang w:eastAsia="en-AU"/>
        </w:rPr>
        <w:t xml:space="preserve">General instructions for </w:t>
      </w:r>
      <w:r w:rsidRPr="00511DBA">
        <w:rPr>
          <w:i/>
          <w:lang w:eastAsia="en-AU"/>
        </w:rPr>
        <w:t>regulatory template</w:t>
      </w:r>
      <w:r>
        <w:rPr>
          <w:lang w:eastAsia="en-AU"/>
        </w:rPr>
        <w:t xml:space="preserve"> 2.3:</w:t>
      </w:r>
    </w:p>
    <w:p w:rsidR="00AE5FBA" w:rsidRDefault="00AE5FBA" w:rsidP="008C254A">
      <w:pPr>
        <w:pStyle w:val="Numberlist2"/>
      </w:pPr>
      <w:r w:rsidRPr="00E34849">
        <w:rPr>
          <w:noProof/>
        </w:rPr>
        <w:lastRenderedPageBreak/>
        <w:t>TNSP</w:t>
      </w:r>
      <w:r>
        <w:rPr>
          <w:noProof/>
        </w:rPr>
        <w:t xml:space="preserve"> must include only projects and expenditure related to </w:t>
      </w:r>
      <w:r>
        <w:rPr>
          <w:i/>
          <w:noProof/>
        </w:rPr>
        <w:t>augmentation</w:t>
      </w:r>
      <w:r>
        <w:rPr>
          <w:noProof/>
        </w:rPr>
        <w:t xml:space="preserve"> of the </w:t>
      </w:r>
      <w:r>
        <w:rPr>
          <w:i/>
          <w:noProof/>
        </w:rPr>
        <w:t>network</w:t>
      </w:r>
      <w:r>
        <w:rPr>
          <w:noProof/>
        </w:rPr>
        <w:t>.</w:t>
      </w:r>
    </w:p>
    <w:p w:rsidR="00AE5FBA" w:rsidRDefault="00AE5FBA" w:rsidP="008C254A">
      <w:pPr>
        <w:pStyle w:val="Numberlist2"/>
      </w:pPr>
      <w:r w:rsidRPr="00D46A5F">
        <w:t>Unless otherwise indicated, 'Rating'</w:t>
      </w:r>
      <w:r>
        <w:t xml:space="preserve"> or ‘</w:t>
      </w:r>
      <w:r w:rsidRPr="00AF2CCF">
        <w:rPr>
          <w:i/>
        </w:rPr>
        <w:t>MVA</w:t>
      </w:r>
      <w:r>
        <w:t xml:space="preserve"> added’</w:t>
      </w:r>
      <w:r w:rsidRPr="00D46A5F">
        <w:t xml:space="preserve"> refers to equipment's </w:t>
      </w:r>
      <w:r w:rsidRPr="009E4E26">
        <w:rPr>
          <w:i/>
        </w:rPr>
        <w:t>normal cyclic rating</w:t>
      </w:r>
      <w:r>
        <w:rPr>
          <w:i/>
        </w:rPr>
        <w:t xml:space="preserve"> (for substations) </w:t>
      </w:r>
      <w:r>
        <w:t xml:space="preserve">or </w:t>
      </w:r>
      <w:r>
        <w:rPr>
          <w:i/>
        </w:rPr>
        <w:t>thermal rating (for lines and cables)</w:t>
      </w:r>
      <w:r w:rsidRPr="00D46A5F">
        <w:t>.</w:t>
      </w:r>
      <w:r>
        <w:t xml:space="preserve"> As specified in the respective definitions of </w:t>
      </w:r>
      <w:r w:rsidRPr="009E4E26">
        <w:rPr>
          <w:i/>
        </w:rPr>
        <w:t>normal cyclic rating</w:t>
      </w:r>
      <w:r>
        <w:rPr>
          <w:i/>
        </w:rPr>
        <w:t xml:space="preserve"> (for substations)</w:t>
      </w:r>
      <w:r>
        <w:t xml:space="preserve"> and </w:t>
      </w:r>
      <w:r>
        <w:rPr>
          <w:i/>
        </w:rPr>
        <w:t>thermal rating (for lines and cables)</w:t>
      </w:r>
      <w:r>
        <w:t xml:space="preserve">, </w:t>
      </w:r>
      <w:r w:rsidRPr="00E34849">
        <w:rPr>
          <w:noProof/>
        </w:rPr>
        <w:t>TNSP</w:t>
      </w:r>
      <w:r>
        <w:rPr>
          <w:noProof/>
        </w:rPr>
        <w:t xml:space="preserve"> </w:t>
      </w:r>
      <w:r w:rsidRPr="009E4E26">
        <w:t>must provide its definition(s) of ‘normal conditions’</w:t>
      </w:r>
      <w:r>
        <w:t xml:space="preserve"> in the </w:t>
      </w:r>
      <w:r>
        <w:rPr>
          <w:i/>
        </w:rPr>
        <w:t>basis of preparation</w:t>
      </w:r>
      <w:r w:rsidRPr="009E4E26">
        <w:t>.</w:t>
      </w:r>
    </w:p>
    <w:p w:rsidR="00AE5FBA" w:rsidRDefault="00AE5FBA" w:rsidP="008C254A">
      <w:pPr>
        <w:pStyle w:val="Numberlist2"/>
      </w:pPr>
      <w:r w:rsidRPr="00E34849">
        <w:rPr>
          <w:noProof/>
        </w:rPr>
        <w:t>TNSP</w:t>
      </w:r>
      <w:r>
        <w:rPr>
          <w:noProof/>
        </w:rPr>
        <w:t xml:space="preserve"> </w:t>
      </w:r>
      <w:r w:rsidRPr="009E4E26">
        <w:t>must not include information for gifted assets.</w:t>
      </w:r>
    </w:p>
    <w:p w:rsidR="00AE5FBA" w:rsidRDefault="00AE5FBA" w:rsidP="009F011F">
      <w:pPr>
        <w:pStyle w:val="Numberlist2"/>
        <w:tabs>
          <w:tab w:val="clear" w:pos="1560"/>
        </w:tabs>
      </w:pPr>
      <w:r w:rsidRPr="00E34849">
        <w:rPr>
          <w:noProof/>
        </w:rPr>
        <w:t>TNSP</w:t>
      </w:r>
      <w:r>
        <w:t xml:space="preserve"> must enter </w:t>
      </w:r>
      <w:r w:rsidRPr="005A0DCF">
        <w:rPr>
          <w:i/>
        </w:rPr>
        <w:t>related party</w:t>
      </w:r>
      <w:r>
        <w:t xml:space="preserve"> and </w:t>
      </w:r>
      <w:proofErr w:type="spellStart"/>
      <w:r w:rsidRPr="005A0DCF">
        <w:rPr>
          <w:i/>
        </w:rPr>
        <w:t>non related</w:t>
      </w:r>
      <w:proofErr w:type="spellEnd"/>
      <w:r w:rsidRPr="005A0DCF">
        <w:rPr>
          <w:i/>
        </w:rPr>
        <w:t xml:space="preserve"> party contracts</w:t>
      </w:r>
      <w:r>
        <w:t xml:space="preserve"> expenditures in the ‘All </w:t>
      </w:r>
      <w:r w:rsidRPr="005A0DCF">
        <w:rPr>
          <w:i/>
        </w:rPr>
        <w:t>related party contracts</w:t>
      </w:r>
      <w:r>
        <w:t xml:space="preserve">’ and ‘All </w:t>
      </w:r>
      <w:proofErr w:type="spellStart"/>
      <w:proofErr w:type="gramStart"/>
      <w:r>
        <w:t>non</w:t>
      </w:r>
      <w:proofErr w:type="gramEnd"/>
      <w:r>
        <w:t xml:space="preserve"> </w:t>
      </w:r>
      <w:r w:rsidRPr="005A0DCF">
        <w:rPr>
          <w:i/>
        </w:rPr>
        <w:t>related</w:t>
      </w:r>
      <w:proofErr w:type="spellEnd"/>
      <w:r w:rsidRPr="005A0DCF">
        <w:rPr>
          <w:i/>
        </w:rPr>
        <w:t xml:space="preserve"> party contracts</w:t>
      </w:r>
      <w:r>
        <w:t xml:space="preserve">’ columns, respectively. </w:t>
      </w:r>
    </w:p>
    <w:p w:rsidR="00AE5FBA" w:rsidRDefault="00AE5FBA" w:rsidP="009F011F">
      <w:pPr>
        <w:pStyle w:val="Numberlist3"/>
        <w:tabs>
          <w:tab w:val="clear" w:pos="1560"/>
        </w:tabs>
      </w:pPr>
      <w:r>
        <w:t xml:space="preserve">Expenditure figures inputted into the  ‘All </w:t>
      </w:r>
      <w:r w:rsidRPr="005A0DCF">
        <w:rPr>
          <w:i/>
        </w:rPr>
        <w:t>related party contracts</w:t>
      </w:r>
      <w:r>
        <w:t xml:space="preserve">’ and ‘All </w:t>
      </w:r>
      <w:proofErr w:type="spellStart"/>
      <w:r>
        <w:t xml:space="preserve">non </w:t>
      </w:r>
      <w:r w:rsidRPr="005A0DCF">
        <w:rPr>
          <w:i/>
        </w:rPr>
        <w:t>related</w:t>
      </w:r>
      <w:proofErr w:type="spellEnd"/>
      <w:r w:rsidRPr="005A0DCF">
        <w:rPr>
          <w:i/>
        </w:rPr>
        <w:t xml:space="preserve"> party contracts</w:t>
      </w:r>
      <w:r>
        <w:t xml:space="preserve">’ columns do not contribute to the column that calculates the total direct expenditure on an </w:t>
      </w:r>
      <w:proofErr w:type="spellStart"/>
      <w:r>
        <w:t>augex</w:t>
      </w:r>
      <w:proofErr w:type="spellEnd"/>
      <w:r>
        <w:t xml:space="preserve"> project (‘Total direct expenditure’).</w:t>
      </w:r>
    </w:p>
    <w:p w:rsidR="00AE5FBA" w:rsidRDefault="00AE5FBA" w:rsidP="002175B6">
      <w:pPr>
        <w:pStyle w:val="Numberlist3"/>
        <w:rPr>
          <w:lang w:eastAsia="en-AU"/>
        </w:rPr>
      </w:pPr>
      <w:r w:rsidRPr="00E34849">
        <w:rPr>
          <w:noProof/>
        </w:rPr>
        <w:t>TNSP</w:t>
      </w:r>
      <w:r>
        <w:t xml:space="preserve"> must record all contract expenditure for </w:t>
      </w:r>
      <w:proofErr w:type="spellStart"/>
      <w:r>
        <w:t>augex</w:t>
      </w:r>
      <w:proofErr w:type="spellEnd"/>
      <w:r>
        <w:t xml:space="preserve"> projects under the ‘All </w:t>
      </w:r>
      <w:r w:rsidRPr="005A0DCF">
        <w:rPr>
          <w:i/>
        </w:rPr>
        <w:t>related party contracts</w:t>
      </w:r>
      <w:r>
        <w:t xml:space="preserve">’ and ‘All </w:t>
      </w:r>
      <w:proofErr w:type="spellStart"/>
      <w:proofErr w:type="gramStart"/>
      <w:r>
        <w:t>non</w:t>
      </w:r>
      <w:proofErr w:type="gramEnd"/>
      <w:r>
        <w:t xml:space="preserve"> </w:t>
      </w:r>
      <w:r w:rsidRPr="005A0DCF">
        <w:rPr>
          <w:i/>
        </w:rPr>
        <w:t>related</w:t>
      </w:r>
      <w:proofErr w:type="spellEnd"/>
      <w:r w:rsidRPr="005A0DCF">
        <w:rPr>
          <w:i/>
        </w:rPr>
        <w:t xml:space="preserve"> party contracts</w:t>
      </w:r>
      <w:r>
        <w:t xml:space="preserve">’ columns. </w:t>
      </w:r>
      <w:r w:rsidRPr="00E34849">
        <w:rPr>
          <w:noProof/>
        </w:rPr>
        <w:t>TNSP</w:t>
      </w:r>
      <w:r>
        <w:t xml:space="preserve"> must then allocate such contract expenditure to the appropriate ‘Plant and equipment expenditure and volume’ and ‘Other expenditure columns. For example, if a </w:t>
      </w:r>
      <w:proofErr w:type="spellStart"/>
      <w:r>
        <w:t xml:space="preserve">non </w:t>
      </w:r>
      <w:r w:rsidRPr="005A0DCF">
        <w:rPr>
          <w:i/>
        </w:rPr>
        <w:t>related</w:t>
      </w:r>
      <w:proofErr w:type="spellEnd"/>
      <w:r w:rsidRPr="005A0DCF">
        <w:rPr>
          <w:i/>
        </w:rPr>
        <w:t xml:space="preserve"> party contract</w:t>
      </w:r>
      <w:r>
        <w:t xml:space="preserve"> involves expenditure on </w:t>
      </w:r>
      <w:r w:rsidRPr="005A0DCF">
        <w:rPr>
          <w:i/>
        </w:rPr>
        <w:t>civil works</w:t>
      </w:r>
      <w:r>
        <w:t xml:space="preserve">, </w:t>
      </w:r>
      <w:r w:rsidRPr="00E34849">
        <w:rPr>
          <w:noProof/>
        </w:rPr>
        <w:t>TNSP</w:t>
      </w:r>
      <w:r>
        <w:t xml:space="preserve"> must record that expenditure under the ‘All </w:t>
      </w:r>
      <w:proofErr w:type="spellStart"/>
      <w:r>
        <w:t xml:space="preserve">non </w:t>
      </w:r>
      <w:r w:rsidRPr="005A0DCF">
        <w:rPr>
          <w:i/>
        </w:rPr>
        <w:t>related</w:t>
      </w:r>
      <w:proofErr w:type="spellEnd"/>
      <w:r w:rsidRPr="005A0DCF">
        <w:rPr>
          <w:i/>
        </w:rPr>
        <w:t xml:space="preserve"> party contracts</w:t>
      </w:r>
      <w:r>
        <w:t xml:space="preserve">’ and ‘Other expenditure – </w:t>
      </w:r>
      <w:r w:rsidRPr="005A0DCF">
        <w:rPr>
          <w:i/>
        </w:rPr>
        <w:t>Civil works</w:t>
      </w:r>
      <w:r>
        <w:t>’ columns.</w:t>
      </w:r>
    </w:p>
    <w:p w:rsidR="00AE5FBA" w:rsidRPr="0089258E" w:rsidRDefault="00AE5FBA" w:rsidP="008C254A">
      <w:pPr>
        <w:pStyle w:val="Numberlist2"/>
        <w:rPr>
          <w:lang w:eastAsia="en-AU"/>
        </w:rPr>
      </w:pPr>
      <w:r w:rsidRPr="00E34849">
        <w:rPr>
          <w:noProof/>
          <w:lang w:eastAsia="en-AU"/>
        </w:rPr>
        <w:t>TNSP</w:t>
      </w:r>
      <w:r>
        <w:rPr>
          <w:lang w:eastAsia="en-AU"/>
        </w:rPr>
        <w:t xml:space="preserve"> must </w:t>
      </w:r>
      <w:r w:rsidRPr="008C0E9C">
        <w:rPr>
          <w:lang w:eastAsia="en-AU"/>
        </w:rPr>
        <w:t xml:space="preserve">not include </w:t>
      </w:r>
      <w:r w:rsidRPr="00AF2CCF">
        <w:rPr>
          <w:i/>
          <w:lang w:eastAsia="en-AU"/>
        </w:rPr>
        <w:t>augmentation</w:t>
      </w:r>
      <w:r w:rsidRPr="008C0E9C">
        <w:rPr>
          <w:lang w:eastAsia="en-AU"/>
        </w:rPr>
        <w:t xml:space="preserve"> information relating to </w:t>
      </w:r>
      <w:r w:rsidRPr="00AF2CCF">
        <w:rPr>
          <w:i/>
          <w:lang w:eastAsia="en-AU"/>
        </w:rPr>
        <w:t>connections</w:t>
      </w:r>
      <w:r w:rsidRPr="008C0E9C">
        <w:rPr>
          <w:lang w:eastAsia="en-AU"/>
        </w:rPr>
        <w:t xml:space="preserve"> in this </w:t>
      </w:r>
      <w:r>
        <w:rPr>
          <w:lang w:eastAsia="en-AU"/>
        </w:rPr>
        <w:t>worksheet</w:t>
      </w:r>
      <w:r w:rsidRPr="008C0E9C">
        <w:rPr>
          <w:lang w:eastAsia="en-AU"/>
        </w:rPr>
        <w:t>.</w:t>
      </w:r>
      <w:r>
        <w:rPr>
          <w:lang w:eastAsia="en-AU"/>
        </w:rPr>
        <w:t xml:space="preserve"> </w:t>
      </w:r>
      <w:r w:rsidRPr="00AF2CCF">
        <w:rPr>
          <w:i/>
          <w:lang w:eastAsia="en-AU"/>
        </w:rPr>
        <w:t>Augmentations</w:t>
      </w:r>
      <w:r>
        <w:rPr>
          <w:lang w:eastAsia="en-AU"/>
        </w:rPr>
        <w:t xml:space="preserve"> in relation to </w:t>
      </w:r>
      <w:r w:rsidRPr="00AF2CCF">
        <w:rPr>
          <w:i/>
          <w:lang w:eastAsia="en-AU"/>
        </w:rPr>
        <w:t>connections</w:t>
      </w:r>
      <w:r>
        <w:rPr>
          <w:lang w:eastAsia="en-AU"/>
        </w:rPr>
        <w:t xml:space="preserve"> are to be inputted in the </w:t>
      </w:r>
      <w:r w:rsidRPr="00AF2CCF">
        <w:rPr>
          <w:i/>
          <w:lang w:eastAsia="en-AU"/>
        </w:rPr>
        <w:t>connections</w:t>
      </w:r>
      <w:r>
        <w:rPr>
          <w:lang w:eastAsia="en-AU"/>
        </w:rPr>
        <w:t xml:space="preserve"> </w:t>
      </w:r>
      <w:r w:rsidRPr="002012BA">
        <w:rPr>
          <w:i/>
          <w:lang w:eastAsia="en-AU"/>
        </w:rPr>
        <w:t>regulatory template</w:t>
      </w:r>
      <w:r>
        <w:rPr>
          <w:lang w:eastAsia="en-AU"/>
        </w:rPr>
        <w:t xml:space="preserve"> (worksheet 2.4).</w:t>
      </w:r>
    </w:p>
    <w:p w:rsidR="00AE5FBA" w:rsidRPr="001660A1" w:rsidRDefault="00AE5FBA" w:rsidP="008C254A">
      <w:pPr>
        <w:pStyle w:val="Numberlist1"/>
        <w:rPr>
          <w:lang w:eastAsia="en-AU"/>
        </w:rPr>
      </w:pPr>
      <w:r>
        <w:rPr>
          <w:lang w:eastAsia="en-AU"/>
        </w:rPr>
        <w:t xml:space="preserve">Table 2.3.1 (on </w:t>
      </w:r>
      <w:r w:rsidRPr="005D0A34">
        <w:rPr>
          <w:i/>
          <w:lang w:eastAsia="en-AU"/>
        </w:rPr>
        <w:t>regulatory template</w:t>
      </w:r>
      <w:r>
        <w:rPr>
          <w:lang w:eastAsia="en-AU"/>
        </w:rPr>
        <w:t xml:space="preserve"> 2.3) instructions:</w:t>
      </w:r>
    </w:p>
    <w:p w:rsidR="00AE5FBA" w:rsidRPr="008C0E9C" w:rsidRDefault="00AE5FBA" w:rsidP="008C254A">
      <w:pPr>
        <w:pStyle w:val="Numberlist2"/>
        <w:rPr>
          <w:lang w:eastAsia="en-AU"/>
        </w:rPr>
      </w:pPr>
      <w:r w:rsidRPr="008C0E9C">
        <w:rPr>
          <w:lang w:eastAsia="en-AU"/>
        </w:rPr>
        <w:t>For projects with a total cumulative expenditure over the life of the project of greater than or equal to $5 million</w:t>
      </w:r>
      <w:r>
        <w:rPr>
          <w:lang w:eastAsia="en-AU"/>
        </w:rPr>
        <w:t xml:space="preserve"> (nominal)</w:t>
      </w:r>
      <w:r w:rsidRPr="008C0E9C">
        <w:rPr>
          <w:lang w:eastAsia="en-AU"/>
        </w:rPr>
        <w:t>:</w:t>
      </w:r>
    </w:p>
    <w:p w:rsidR="00AE5FBA" w:rsidRPr="008C0E9C" w:rsidRDefault="00AE5FBA" w:rsidP="008C254A">
      <w:pPr>
        <w:pStyle w:val="Numberlist3"/>
        <w:rPr>
          <w:lang w:eastAsia="en-AU"/>
        </w:rPr>
      </w:pPr>
      <w:r w:rsidRPr="008C0E9C">
        <w:t xml:space="preserve">insert a row for each </w:t>
      </w:r>
      <w:r w:rsidRPr="005A0DCF">
        <w:rPr>
          <w:i/>
        </w:rPr>
        <w:t>augmentation</w:t>
      </w:r>
      <w:r w:rsidRPr="008C0E9C">
        <w:t xml:space="preserve"> project on a </w:t>
      </w:r>
      <w:r w:rsidRPr="005A0DCF">
        <w:rPr>
          <w:i/>
        </w:rPr>
        <w:t>substation</w:t>
      </w:r>
      <w:r w:rsidRPr="008C0E9C">
        <w:t xml:space="preserve"> owned and operated by </w:t>
      </w:r>
      <w:r w:rsidRPr="00E34849">
        <w:rPr>
          <w:noProof/>
        </w:rPr>
        <w:t>TNSP</w:t>
      </w:r>
      <w:r>
        <w:t xml:space="preserve"> where </w:t>
      </w:r>
      <w:r>
        <w:rPr>
          <w:i/>
        </w:rPr>
        <w:t>project close</w:t>
      </w:r>
      <w:r>
        <w:t xml:space="preserve"> occurred</w:t>
      </w:r>
      <w:r w:rsidRPr="008C0E9C">
        <w:t xml:space="preserve"> at any time </w:t>
      </w:r>
      <w:r>
        <w:t>in the years specified</w:t>
      </w:r>
      <w:r w:rsidRPr="008C0E9C">
        <w:rPr>
          <w:lang w:eastAsia="en-AU"/>
        </w:rPr>
        <w:t xml:space="preserve">; and </w:t>
      </w:r>
    </w:p>
    <w:p w:rsidR="00AE5FBA" w:rsidRPr="008C0E9C" w:rsidRDefault="00AE5FBA" w:rsidP="008C254A">
      <w:pPr>
        <w:pStyle w:val="Numberlist3"/>
        <w:rPr>
          <w:lang w:eastAsia="en-AU"/>
        </w:rPr>
      </w:pPr>
      <w:proofErr w:type="gramStart"/>
      <w:r w:rsidRPr="008C0E9C">
        <w:rPr>
          <w:lang w:eastAsia="en-AU"/>
        </w:rPr>
        <w:t>input</w:t>
      </w:r>
      <w:proofErr w:type="gramEnd"/>
      <w:r w:rsidRPr="008C0E9C">
        <w:rPr>
          <w:lang w:eastAsia="en-AU"/>
        </w:rPr>
        <w:t xml:space="preserve"> the required details.</w:t>
      </w:r>
    </w:p>
    <w:p w:rsidR="00AE5FBA" w:rsidRPr="008C0E9C" w:rsidRDefault="00AE5FBA" w:rsidP="008C254A">
      <w:pPr>
        <w:pStyle w:val="Numberlist2"/>
        <w:rPr>
          <w:lang w:eastAsia="en-AU"/>
        </w:rPr>
      </w:pPr>
      <w:r w:rsidRPr="008C0E9C">
        <w:rPr>
          <w:lang w:eastAsia="en-AU"/>
        </w:rPr>
        <w:t xml:space="preserve">For projects with a total cumulative expenditure over the life of the project less than $5 million </w:t>
      </w:r>
      <w:r>
        <w:rPr>
          <w:lang w:eastAsia="en-AU"/>
        </w:rPr>
        <w:t>(nominal)</w:t>
      </w:r>
      <w:r w:rsidRPr="008C0E9C">
        <w:rPr>
          <w:lang w:eastAsia="en-AU"/>
        </w:rPr>
        <w:t xml:space="preserve"> (</w:t>
      </w:r>
      <w:proofErr w:type="spellStart"/>
      <w:r w:rsidRPr="008C0E9C">
        <w:rPr>
          <w:lang w:eastAsia="en-AU"/>
        </w:rPr>
        <w:t>non material</w:t>
      </w:r>
      <w:proofErr w:type="spellEnd"/>
      <w:r w:rsidRPr="008C0E9C">
        <w:rPr>
          <w:lang w:eastAsia="en-AU"/>
        </w:rPr>
        <w:t xml:space="preserve"> projects):</w:t>
      </w:r>
    </w:p>
    <w:p w:rsidR="00AE5FBA" w:rsidRPr="008C0E9C" w:rsidRDefault="00AE5FBA" w:rsidP="008C254A">
      <w:pPr>
        <w:pStyle w:val="Numberlist3"/>
        <w:rPr>
          <w:lang w:eastAsia="en-AU"/>
        </w:rPr>
      </w:pPr>
      <w:proofErr w:type="gramStart"/>
      <w:r w:rsidRPr="008C0E9C">
        <w:rPr>
          <w:lang w:eastAsia="en-AU"/>
        </w:rPr>
        <w:t>input</w:t>
      </w:r>
      <w:proofErr w:type="gramEnd"/>
      <w:r w:rsidRPr="008C0E9C">
        <w:rPr>
          <w:lang w:eastAsia="en-AU"/>
        </w:rPr>
        <w:t xml:space="preserve"> the total expenditure for all </w:t>
      </w:r>
      <w:proofErr w:type="spellStart"/>
      <w:r w:rsidRPr="008C0E9C">
        <w:rPr>
          <w:lang w:eastAsia="en-AU"/>
        </w:rPr>
        <w:t>non material</w:t>
      </w:r>
      <w:proofErr w:type="spellEnd"/>
      <w:r w:rsidRPr="008C0E9C">
        <w:rPr>
          <w:lang w:eastAsia="en-AU"/>
        </w:rPr>
        <w:t xml:space="preserve"> </w:t>
      </w:r>
      <w:r w:rsidRPr="00AF2CCF">
        <w:rPr>
          <w:i/>
          <w:lang w:eastAsia="en-AU"/>
        </w:rPr>
        <w:t>augmentation</w:t>
      </w:r>
      <w:r w:rsidRPr="008C0E9C">
        <w:rPr>
          <w:lang w:eastAsia="en-AU"/>
        </w:rPr>
        <w:t xml:space="preserve"> projects on a </w:t>
      </w:r>
      <w:r w:rsidRPr="00AF2CCF">
        <w:rPr>
          <w:i/>
          <w:lang w:eastAsia="en-AU"/>
        </w:rPr>
        <w:t>substation</w:t>
      </w:r>
      <w:r w:rsidRPr="008C0E9C">
        <w:rPr>
          <w:lang w:eastAsia="en-AU"/>
        </w:rPr>
        <w:t xml:space="preserve"> owned and operated </w:t>
      </w:r>
      <w:r>
        <w:rPr>
          <w:lang w:eastAsia="en-AU"/>
        </w:rPr>
        <w:t xml:space="preserve">by </w:t>
      </w:r>
      <w:r w:rsidRPr="00E34849">
        <w:rPr>
          <w:noProof/>
          <w:lang w:eastAsia="en-AU"/>
        </w:rPr>
        <w:t>TNSP</w:t>
      </w:r>
      <w:r>
        <w:rPr>
          <w:lang w:eastAsia="en-AU"/>
        </w:rPr>
        <w:t xml:space="preserve"> </w:t>
      </w:r>
      <w:r>
        <w:t xml:space="preserve">where </w:t>
      </w:r>
      <w:r>
        <w:rPr>
          <w:i/>
        </w:rPr>
        <w:t>project close</w:t>
      </w:r>
      <w:r>
        <w:t xml:space="preserve"> occurred</w:t>
      </w:r>
      <w:r w:rsidRPr="008C0E9C">
        <w:rPr>
          <w:lang w:eastAsia="en-AU"/>
        </w:rPr>
        <w:t xml:space="preserve"> in the</w:t>
      </w:r>
      <w:r>
        <w:rPr>
          <w:lang w:eastAsia="en-AU"/>
        </w:rPr>
        <w:t xml:space="preserve"> years specified </w:t>
      </w:r>
      <w:r w:rsidRPr="008C0E9C">
        <w:rPr>
          <w:lang w:eastAsia="en-AU"/>
        </w:rPr>
        <w:t>in the penultimate line in the table, as indicated.</w:t>
      </w:r>
    </w:p>
    <w:p w:rsidR="00AE5FBA" w:rsidRDefault="00AE5FBA" w:rsidP="008C254A">
      <w:pPr>
        <w:pStyle w:val="Numberlist2"/>
        <w:rPr>
          <w:lang w:eastAsia="en-AU"/>
        </w:rPr>
      </w:pPr>
      <w:r>
        <w:rPr>
          <w:lang w:eastAsia="en-AU"/>
        </w:rPr>
        <w:t xml:space="preserve">Record all </w:t>
      </w:r>
      <w:r w:rsidRPr="008C0E9C">
        <w:rPr>
          <w:lang w:eastAsia="en-AU"/>
        </w:rPr>
        <w:t xml:space="preserve">expenditure data on a </w:t>
      </w:r>
      <w:r w:rsidRPr="00C5181F">
        <w:rPr>
          <w:i/>
        </w:rPr>
        <w:t>project close</w:t>
      </w:r>
      <w:r w:rsidRPr="008C0E9C">
        <w:rPr>
          <w:lang w:eastAsia="en-AU"/>
        </w:rPr>
        <w:t xml:space="preserve"> basis in real </w:t>
      </w:r>
      <w:r>
        <w:rPr>
          <w:lang w:eastAsia="en-AU"/>
        </w:rPr>
        <w:t>dollars ($2012–13)</w:t>
      </w:r>
      <w:r w:rsidRPr="008C0E9C">
        <w:rPr>
          <w:lang w:eastAsia="en-AU"/>
        </w:rPr>
        <w:t xml:space="preserve">. </w:t>
      </w:r>
      <w:r w:rsidRPr="00E34849">
        <w:rPr>
          <w:noProof/>
          <w:lang w:eastAsia="en-AU"/>
        </w:rPr>
        <w:t>TNSP</w:t>
      </w:r>
      <w:r>
        <w:rPr>
          <w:lang w:eastAsia="en-AU"/>
        </w:rPr>
        <w:t xml:space="preserve"> must not </w:t>
      </w:r>
      <w:r w:rsidRPr="008C0E9C">
        <w:rPr>
          <w:lang w:eastAsia="en-AU"/>
        </w:rPr>
        <w:t xml:space="preserve">include data for </w:t>
      </w:r>
      <w:r w:rsidRPr="00AF2CCF">
        <w:rPr>
          <w:i/>
          <w:lang w:eastAsia="en-AU"/>
        </w:rPr>
        <w:t>augmentation</w:t>
      </w:r>
      <w:r w:rsidRPr="008C0E9C">
        <w:rPr>
          <w:lang w:eastAsia="en-AU"/>
        </w:rPr>
        <w:t xml:space="preserve"> works</w:t>
      </w:r>
      <w:r>
        <w:rPr>
          <w:lang w:eastAsia="en-AU"/>
        </w:rPr>
        <w:t xml:space="preserve"> where</w:t>
      </w:r>
      <w:r w:rsidRPr="008C0E9C">
        <w:rPr>
          <w:lang w:eastAsia="en-AU"/>
        </w:rPr>
        <w:t xml:space="preserve"> </w:t>
      </w:r>
      <w:r w:rsidRPr="008A5895">
        <w:rPr>
          <w:i/>
          <w:lang w:eastAsia="en-AU"/>
        </w:rPr>
        <w:t>project close</w:t>
      </w:r>
      <w:r>
        <w:rPr>
          <w:lang w:eastAsia="en-AU"/>
        </w:rPr>
        <w:t xml:space="preserve"> occurs</w:t>
      </w:r>
      <w:r w:rsidRPr="008C0E9C">
        <w:rPr>
          <w:lang w:eastAsia="en-AU"/>
        </w:rPr>
        <w:t xml:space="preserve"> after </w:t>
      </w:r>
      <w:r>
        <w:rPr>
          <w:lang w:eastAsia="en-AU"/>
        </w:rPr>
        <w:t xml:space="preserve">the </w:t>
      </w:r>
      <w:r w:rsidRPr="0088740A">
        <w:rPr>
          <w:lang w:eastAsia="en-AU"/>
        </w:rPr>
        <w:t>years specified</w:t>
      </w:r>
      <w:r>
        <w:rPr>
          <w:lang w:eastAsia="en-AU"/>
        </w:rPr>
        <w:t xml:space="preserve"> </w:t>
      </w:r>
      <w:r w:rsidRPr="008C0E9C">
        <w:rPr>
          <w:lang w:eastAsia="en-AU"/>
        </w:rPr>
        <w:t>but incurs expenditure prior to this date.</w:t>
      </w:r>
      <w:r>
        <w:rPr>
          <w:lang w:eastAsia="en-AU"/>
        </w:rPr>
        <w:t xml:space="preserve"> </w:t>
      </w:r>
    </w:p>
    <w:p w:rsidR="00AE5FBA" w:rsidRPr="008C0E9C" w:rsidRDefault="00AE5FBA" w:rsidP="00AF2CCF">
      <w:pPr>
        <w:pStyle w:val="Numberlist3"/>
        <w:rPr>
          <w:lang w:eastAsia="en-AU"/>
        </w:rPr>
      </w:pPr>
      <w:r w:rsidRPr="00E34849">
        <w:rPr>
          <w:noProof/>
          <w:lang w:eastAsia="en-AU"/>
        </w:rPr>
        <w:lastRenderedPageBreak/>
        <w:t>TNSP</w:t>
      </w:r>
      <w:r>
        <w:rPr>
          <w:lang w:eastAsia="en-AU"/>
        </w:rPr>
        <w:t xml:space="preserve"> </w:t>
      </w:r>
      <w:r>
        <w:t xml:space="preserve">must </w:t>
      </w:r>
      <w:r w:rsidRPr="00874F29">
        <w:t>provide any calculations used to convert real to nominal dollars or nominal to real dollars for</w:t>
      </w:r>
      <w:r>
        <w:t xml:space="preserve"> this purpose.</w:t>
      </w:r>
    </w:p>
    <w:p w:rsidR="00AE5FBA" w:rsidRPr="00FE4566" w:rsidRDefault="00AE5FBA" w:rsidP="008C254A">
      <w:pPr>
        <w:pStyle w:val="Numberlist2"/>
        <w:rPr>
          <w:lang w:eastAsia="en-AU"/>
        </w:rPr>
      </w:pPr>
      <w:r w:rsidRPr="008C0E9C">
        <w:rPr>
          <w:lang w:eastAsia="en-AU"/>
        </w:rPr>
        <w:t xml:space="preserve">For the avoidance of doubt, this includes </w:t>
      </w:r>
      <w:r w:rsidRPr="00AF2CCF">
        <w:rPr>
          <w:i/>
          <w:lang w:eastAsia="en-AU"/>
        </w:rPr>
        <w:t>augmentation</w:t>
      </w:r>
      <w:r w:rsidRPr="008C0E9C">
        <w:rPr>
          <w:lang w:eastAsia="en-AU"/>
        </w:rPr>
        <w:t xml:space="preserve"> works on any </w:t>
      </w:r>
      <w:r w:rsidRPr="00AF2CCF">
        <w:rPr>
          <w:i/>
          <w:lang w:eastAsia="en-AU"/>
        </w:rPr>
        <w:t>substation</w:t>
      </w:r>
      <w:r w:rsidRPr="008C0E9C">
        <w:rPr>
          <w:lang w:eastAsia="en-AU"/>
        </w:rPr>
        <w:t xml:space="preserve"> </w:t>
      </w:r>
      <w:r>
        <w:rPr>
          <w:lang w:eastAsia="en-AU"/>
        </w:rPr>
        <w:t xml:space="preserve">in </w:t>
      </w:r>
      <w:proofErr w:type="gramStart"/>
      <w:r w:rsidRPr="00E34849">
        <w:rPr>
          <w:noProof/>
          <w:lang w:eastAsia="en-AU"/>
        </w:rPr>
        <w:t>TNSP</w:t>
      </w:r>
      <w:r w:rsidDel="00251644">
        <w:rPr>
          <w:lang w:eastAsia="en-AU"/>
        </w:rPr>
        <w:t xml:space="preserve"> </w:t>
      </w:r>
      <w:r w:rsidRPr="008C0E9C">
        <w:rPr>
          <w:lang w:eastAsia="en-AU"/>
        </w:rPr>
        <w:t>'s</w:t>
      </w:r>
      <w:proofErr w:type="gramEnd"/>
      <w:r w:rsidRPr="008C0E9C">
        <w:rPr>
          <w:lang w:eastAsia="en-AU"/>
        </w:rPr>
        <w:t xml:space="preserve"> </w:t>
      </w:r>
      <w:r w:rsidRPr="00AF2CCF">
        <w:rPr>
          <w:i/>
          <w:lang w:eastAsia="en-AU"/>
        </w:rPr>
        <w:t>network</w:t>
      </w:r>
      <w:r w:rsidRPr="008C0E9C">
        <w:rPr>
          <w:lang w:eastAsia="en-AU"/>
        </w:rPr>
        <w:t xml:space="preserve">, including those which are notionally operating at </w:t>
      </w:r>
      <w:r>
        <w:rPr>
          <w:lang w:eastAsia="en-AU"/>
        </w:rPr>
        <w:t>distribution</w:t>
      </w:r>
      <w:r w:rsidRPr="008C0E9C">
        <w:rPr>
          <w:lang w:eastAsia="en-AU"/>
        </w:rPr>
        <w:t xml:space="preserve"> </w:t>
      </w:r>
      <w:r w:rsidRPr="00AF2CCF">
        <w:rPr>
          <w:i/>
          <w:lang w:eastAsia="en-AU"/>
        </w:rPr>
        <w:t>voltages</w:t>
      </w:r>
      <w:r w:rsidRPr="008C0E9C">
        <w:rPr>
          <w:lang w:eastAsia="en-AU"/>
        </w:rPr>
        <w:t>. In such cases, choose '</w:t>
      </w:r>
      <w:proofErr w:type="gramStart"/>
      <w:r w:rsidRPr="008C0E9C">
        <w:rPr>
          <w:lang w:eastAsia="en-AU"/>
        </w:rPr>
        <w:t>Other</w:t>
      </w:r>
      <w:proofErr w:type="gramEnd"/>
      <w:r w:rsidRPr="008C0E9C">
        <w:rPr>
          <w:lang w:eastAsia="en-AU"/>
        </w:rPr>
        <w:t xml:space="preserve"> - specify' in the '</w:t>
      </w:r>
      <w:r w:rsidRPr="00AF2CCF">
        <w:rPr>
          <w:i/>
          <w:lang w:eastAsia="en-AU"/>
        </w:rPr>
        <w:t>Substation</w:t>
      </w:r>
      <w:r w:rsidRPr="008C0E9C">
        <w:rPr>
          <w:lang w:eastAsia="en-AU"/>
        </w:rPr>
        <w:t xml:space="preserve"> type' category and describe </w:t>
      </w:r>
      <w:r>
        <w:rPr>
          <w:lang w:eastAsia="en-AU"/>
        </w:rPr>
        <w:t xml:space="preserve">the type of </w:t>
      </w:r>
      <w:r w:rsidRPr="00AF2CCF">
        <w:rPr>
          <w:i/>
          <w:lang w:eastAsia="en-AU"/>
        </w:rPr>
        <w:t>substation</w:t>
      </w:r>
      <w:r>
        <w:rPr>
          <w:lang w:eastAsia="en-AU"/>
        </w:rPr>
        <w:t xml:space="preserve"> </w:t>
      </w:r>
      <w:r w:rsidRPr="008C0E9C">
        <w:rPr>
          <w:lang w:eastAsia="en-AU"/>
        </w:rPr>
        <w:t xml:space="preserve">in the </w:t>
      </w:r>
      <w:r>
        <w:rPr>
          <w:i/>
          <w:lang w:eastAsia="en-AU"/>
        </w:rPr>
        <w:t>basis of preparation</w:t>
      </w:r>
      <w:r>
        <w:rPr>
          <w:lang w:eastAsia="en-AU"/>
        </w:rPr>
        <w:t>.</w:t>
      </w:r>
    </w:p>
    <w:p w:rsidR="00AE5FBA" w:rsidRDefault="00AE5FBA" w:rsidP="008C254A">
      <w:pPr>
        <w:pStyle w:val="Numberlist2"/>
        <w:rPr>
          <w:lang w:eastAsia="en-AU"/>
        </w:rPr>
      </w:pPr>
      <w:r w:rsidRPr="008C0E9C">
        <w:rPr>
          <w:lang w:eastAsia="en-AU"/>
        </w:rPr>
        <w:t xml:space="preserve">Each row </w:t>
      </w:r>
      <w:r>
        <w:rPr>
          <w:lang w:eastAsia="en-AU"/>
        </w:rPr>
        <w:t>must</w:t>
      </w:r>
      <w:r w:rsidRPr="008C0E9C">
        <w:rPr>
          <w:lang w:eastAsia="en-AU"/>
        </w:rPr>
        <w:t xml:space="preserve"> represent data for an </w:t>
      </w:r>
      <w:r w:rsidRPr="00AF2CCF">
        <w:rPr>
          <w:i/>
          <w:lang w:eastAsia="en-AU"/>
        </w:rPr>
        <w:t>augmentation</w:t>
      </w:r>
      <w:r w:rsidRPr="008C0E9C">
        <w:rPr>
          <w:lang w:eastAsia="en-AU"/>
        </w:rPr>
        <w:t xml:space="preserve"> project for an individual </w:t>
      </w:r>
      <w:r w:rsidRPr="00AF2CCF">
        <w:rPr>
          <w:i/>
          <w:lang w:eastAsia="en-AU"/>
        </w:rPr>
        <w:t>substation</w:t>
      </w:r>
      <w:r w:rsidRPr="008C0E9C">
        <w:rPr>
          <w:lang w:eastAsia="en-AU"/>
        </w:rPr>
        <w:t>.</w:t>
      </w:r>
    </w:p>
    <w:p w:rsidR="00AE5FBA" w:rsidRDefault="00AE5FBA" w:rsidP="008C254A">
      <w:pPr>
        <w:pStyle w:val="Numberlist3"/>
      </w:pPr>
      <w:r>
        <w:t xml:space="preserve">If an </w:t>
      </w:r>
      <w:r w:rsidRPr="00AF2CCF">
        <w:rPr>
          <w:i/>
        </w:rPr>
        <w:t>augmentation</w:t>
      </w:r>
      <w:r>
        <w:t xml:space="preserve"> project applies to two </w:t>
      </w:r>
      <w:r w:rsidRPr="00AF2CCF">
        <w:rPr>
          <w:i/>
        </w:rPr>
        <w:t>substations</w:t>
      </w:r>
      <w:r>
        <w:t xml:space="preserve">, for example, </w:t>
      </w:r>
      <w:r w:rsidRPr="00E34849">
        <w:rPr>
          <w:noProof/>
        </w:rPr>
        <w:t>TNSP</w:t>
      </w:r>
      <w:r>
        <w:rPr>
          <w:noProof/>
        </w:rPr>
        <w:t xml:space="preserve"> must enter data for the two </w:t>
      </w:r>
      <w:r w:rsidRPr="00AF2CCF">
        <w:rPr>
          <w:i/>
          <w:noProof/>
        </w:rPr>
        <w:t>substations</w:t>
      </w:r>
      <w:r>
        <w:rPr>
          <w:noProof/>
        </w:rPr>
        <w:t xml:space="preserve"> in two rows.</w:t>
      </w:r>
    </w:p>
    <w:p w:rsidR="00AE5FBA" w:rsidRPr="008C0E9C" w:rsidRDefault="00AE5FBA" w:rsidP="008C254A">
      <w:pPr>
        <w:pStyle w:val="Numberlist2"/>
        <w:rPr>
          <w:lang w:eastAsia="en-AU"/>
        </w:rPr>
      </w:pPr>
      <w:r w:rsidRPr="008C0E9C">
        <w:rPr>
          <w:lang w:eastAsia="en-AU"/>
        </w:rPr>
        <w:t xml:space="preserve">Where a </w:t>
      </w:r>
      <w:r w:rsidRPr="00AF2CCF">
        <w:rPr>
          <w:i/>
          <w:lang w:eastAsia="en-AU"/>
        </w:rPr>
        <w:t>substation augmentation</w:t>
      </w:r>
      <w:r w:rsidRPr="008C0E9C">
        <w:rPr>
          <w:lang w:eastAsia="en-AU"/>
        </w:rPr>
        <w:t xml:space="preserve"> project in this table is related to other projects (including those in other tables in</w:t>
      </w:r>
      <w:r>
        <w:rPr>
          <w:lang w:eastAsia="en-AU"/>
        </w:rPr>
        <w:t xml:space="preserve"> </w:t>
      </w:r>
      <w:r>
        <w:rPr>
          <w:i/>
          <w:lang w:eastAsia="en-AU"/>
        </w:rPr>
        <w:t xml:space="preserve">regulatory template </w:t>
      </w:r>
      <w:r>
        <w:rPr>
          <w:lang w:eastAsia="en-AU"/>
        </w:rPr>
        <w:t>2.3</w:t>
      </w:r>
      <w:r w:rsidRPr="008C0E9C">
        <w:rPr>
          <w:lang w:eastAsia="en-AU"/>
        </w:rPr>
        <w:t xml:space="preserve">), describe this relationship in the </w:t>
      </w:r>
      <w:r>
        <w:rPr>
          <w:i/>
          <w:lang w:eastAsia="en-AU"/>
        </w:rPr>
        <w:t>basis of preparation</w:t>
      </w:r>
      <w:r w:rsidRPr="008C0E9C">
        <w:rPr>
          <w:lang w:eastAsia="en-AU"/>
        </w:rPr>
        <w:t>.</w:t>
      </w:r>
    </w:p>
    <w:p w:rsidR="00AE5FBA" w:rsidRPr="008C0E9C" w:rsidRDefault="00AE5FBA" w:rsidP="008C254A">
      <w:pPr>
        <w:pStyle w:val="Numberlist2"/>
        <w:rPr>
          <w:lang w:eastAsia="en-AU"/>
        </w:rPr>
      </w:pPr>
      <w:r>
        <w:rPr>
          <w:lang w:eastAsia="en-AU"/>
        </w:rPr>
        <w:t xml:space="preserve">Where </w:t>
      </w:r>
      <w:r w:rsidRPr="00E34849">
        <w:rPr>
          <w:noProof/>
          <w:lang w:eastAsia="en-AU"/>
        </w:rPr>
        <w:t>TNSP</w:t>
      </w:r>
      <w:r>
        <w:rPr>
          <w:lang w:eastAsia="en-AU"/>
        </w:rPr>
        <w:t xml:space="preserve"> chooses </w:t>
      </w:r>
      <w:r w:rsidRPr="008C0E9C">
        <w:rPr>
          <w:lang w:eastAsia="en-AU"/>
        </w:rPr>
        <w:t>'</w:t>
      </w:r>
      <w:proofErr w:type="gramStart"/>
      <w:r w:rsidRPr="008C0E9C">
        <w:rPr>
          <w:lang w:eastAsia="en-AU"/>
        </w:rPr>
        <w:t>Other</w:t>
      </w:r>
      <w:proofErr w:type="gramEnd"/>
      <w:r w:rsidRPr="008C0E9C">
        <w:rPr>
          <w:lang w:eastAsia="en-AU"/>
        </w:rPr>
        <w:t xml:space="preserve"> - specify' in a drop down list, </w:t>
      </w:r>
      <w:r>
        <w:rPr>
          <w:lang w:eastAsia="en-AU"/>
        </w:rPr>
        <w:t xml:space="preserve">it must </w:t>
      </w:r>
      <w:r w:rsidRPr="008C0E9C">
        <w:rPr>
          <w:lang w:eastAsia="en-AU"/>
        </w:rPr>
        <w:t xml:space="preserve">provide details in the </w:t>
      </w:r>
      <w:r>
        <w:rPr>
          <w:i/>
          <w:lang w:eastAsia="en-AU"/>
        </w:rPr>
        <w:t>basis of preparation</w:t>
      </w:r>
      <w:r w:rsidRPr="008C0E9C">
        <w:rPr>
          <w:lang w:eastAsia="en-AU"/>
        </w:rPr>
        <w:t>.</w:t>
      </w:r>
    </w:p>
    <w:p w:rsidR="00AE5FBA" w:rsidRDefault="00AE5FBA" w:rsidP="008C254A">
      <w:pPr>
        <w:pStyle w:val="Numberlist2"/>
        <w:rPr>
          <w:lang w:eastAsia="en-AU"/>
        </w:rPr>
      </w:pPr>
      <w:r w:rsidRPr="008C0E9C">
        <w:rPr>
          <w:lang w:eastAsia="en-AU"/>
        </w:rPr>
        <w:t>For '</w:t>
      </w:r>
      <w:r w:rsidRPr="00AF2CCF">
        <w:rPr>
          <w:i/>
          <w:lang w:eastAsia="en-AU"/>
        </w:rPr>
        <w:t>Substation</w:t>
      </w:r>
      <w:r w:rsidRPr="008C0E9C">
        <w:rPr>
          <w:lang w:eastAsia="en-AU"/>
        </w:rPr>
        <w:t xml:space="preserve"> ID' and 'Project ID', </w:t>
      </w:r>
      <w:r>
        <w:rPr>
          <w:lang w:eastAsia="en-AU"/>
        </w:rPr>
        <w:t xml:space="preserve">input </w:t>
      </w:r>
      <w:r w:rsidRPr="00E34849">
        <w:rPr>
          <w:noProof/>
          <w:lang w:eastAsia="en-AU"/>
        </w:rPr>
        <w:t>TNSP</w:t>
      </w:r>
      <w:r>
        <w:rPr>
          <w:lang w:eastAsia="en-AU"/>
        </w:rPr>
        <w:t xml:space="preserve">’s </w:t>
      </w:r>
      <w:r w:rsidRPr="008C0E9C">
        <w:rPr>
          <w:lang w:eastAsia="en-AU"/>
        </w:rPr>
        <w:t xml:space="preserve">identifier for the </w:t>
      </w:r>
      <w:r w:rsidRPr="00AF2CCF">
        <w:rPr>
          <w:i/>
          <w:lang w:eastAsia="en-AU"/>
        </w:rPr>
        <w:t>substation</w:t>
      </w:r>
      <w:r w:rsidRPr="008C0E9C">
        <w:rPr>
          <w:lang w:eastAsia="en-AU"/>
        </w:rPr>
        <w:t xml:space="preserve"> and project, respectively. This may be the </w:t>
      </w:r>
      <w:r w:rsidRPr="00AF2CCF">
        <w:rPr>
          <w:i/>
          <w:lang w:eastAsia="en-AU"/>
        </w:rPr>
        <w:t>substation</w:t>
      </w:r>
      <w:r w:rsidRPr="008C0E9C">
        <w:rPr>
          <w:lang w:eastAsia="en-AU"/>
        </w:rPr>
        <w:t>/project name, location and/or code.</w:t>
      </w:r>
    </w:p>
    <w:p w:rsidR="00AE5FBA" w:rsidRPr="008C0E9C" w:rsidRDefault="00AE5FBA" w:rsidP="008C254A">
      <w:pPr>
        <w:pStyle w:val="Numberlist2"/>
        <w:rPr>
          <w:lang w:eastAsia="en-AU"/>
        </w:rPr>
      </w:pPr>
      <w:r>
        <w:t xml:space="preserve">For ‘Project trigger’, choose the primary trigger for the project from the drop down list. Describe secondary triggers in the </w:t>
      </w:r>
      <w:r>
        <w:rPr>
          <w:i/>
          <w:lang w:eastAsia="en-AU"/>
        </w:rPr>
        <w:t>basis of preparation</w:t>
      </w:r>
      <w:r>
        <w:t>. Where there is no primary trigger (among multiple triggers), choose ‘</w:t>
      </w:r>
      <w:proofErr w:type="gramStart"/>
      <w:r>
        <w:t>Other</w:t>
      </w:r>
      <w:proofErr w:type="gramEnd"/>
      <w:r>
        <w:t xml:space="preserve"> – specify’ and describe the triggers in the </w:t>
      </w:r>
      <w:r>
        <w:rPr>
          <w:i/>
          <w:lang w:eastAsia="en-AU"/>
        </w:rPr>
        <w:t>basis of preparation</w:t>
      </w:r>
      <w:r>
        <w:t>.</w:t>
      </w:r>
    </w:p>
    <w:p w:rsidR="00AE5FBA" w:rsidRPr="008C0E9C" w:rsidRDefault="00AE5FBA" w:rsidP="008C254A">
      <w:pPr>
        <w:pStyle w:val="Numberlist2"/>
        <w:rPr>
          <w:lang w:eastAsia="en-AU"/>
        </w:rPr>
      </w:pPr>
      <w:r w:rsidRPr="008C0E9C">
        <w:rPr>
          <w:lang w:eastAsia="en-AU"/>
        </w:rPr>
        <w:t xml:space="preserve">For </w:t>
      </w:r>
      <w:r w:rsidRPr="00AF2CCF">
        <w:rPr>
          <w:i/>
          <w:lang w:eastAsia="en-AU"/>
        </w:rPr>
        <w:t>substation voltages</w:t>
      </w:r>
      <w:r w:rsidRPr="008C0E9C">
        <w:rPr>
          <w:lang w:eastAsia="en-AU"/>
        </w:rPr>
        <w:t xml:space="preserve">, enter </w:t>
      </w:r>
      <w:r w:rsidRPr="00AF2CCF">
        <w:rPr>
          <w:i/>
          <w:lang w:eastAsia="en-AU"/>
        </w:rPr>
        <w:t>voltages</w:t>
      </w:r>
      <w:r w:rsidRPr="008C0E9C">
        <w:rPr>
          <w:lang w:eastAsia="en-AU"/>
        </w:rPr>
        <w:t xml:space="preserve"> in the format </w:t>
      </w:r>
      <w:r w:rsidRPr="00E31B86">
        <w:rPr>
          <w:lang w:eastAsia="en-AU"/>
        </w:rPr>
        <w:t>xx/xx</w:t>
      </w:r>
      <w:r w:rsidRPr="008C0E9C">
        <w:rPr>
          <w:lang w:eastAsia="en-AU"/>
        </w:rPr>
        <w:t xml:space="preserve">, reflecting the </w:t>
      </w:r>
      <w:r>
        <w:rPr>
          <w:lang w:eastAsia="en-AU"/>
        </w:rPr>
        <w:t xml:space="preserve">primary and secondary </w:t>
      </w:r>
      <w:r w:rsidRPr="00AF2CCF">
        <w:rPr>
          <w:i/>
          <w:lang w:eastAsia="en-AU"/>
        </w:rPr>
        <w:t>voltages</w:t>
      </w:r>
      <w:r w:rsidRPr="008C0E9C">
        <w:rPr>
          <w:lang w:eastAsia="en-AU"/>
        </w:rPr>
        <w:t>.</w:t>
      </w:r>
      <w:r w:rsidRPr="00611DE1">
        <w:rPr>
          <w:lang w:eastAsia="en-AU"/>
        </w:rPr>
        <w:t xml:space="preserve"> </w:t>
      </w:r>
      <w:r w:rsidRPr="008C0E9C">
        <w:rPr>
          <w:lang w:eastAsia="en-AU"/>
        </w:rPr>
        <w:t xml:space="preserve">For example, a </w:t>
      </w:r>
      <w:r w:rsidRPr="00AF2CCF">
        <w:rPr>
          <w:i/>
          <w:lang w:eastAsia="en-AU"/>
        </w:rPr>
        <w:t>transformer</w:t>
      </w:r>
      <w:r w:rsidRPr="008C0E9C">
        <w:rPr>
          <w:lang w:eastAsia="en-AU"/>
        </w:rPr>
        <w:t xml:space="preserve"> may have its </w:t>
      </w:r>
      <w:r w:rsidRPr="00AF2CCF">
        <w:rPr>
          <w:i/>
          <w:lang w:eastAsia="en-AU"/>
        </w:rPr>
        <w:t>voltage</w:t>
      </w:r>
      <w:r w:rsidRPr="008C0E9C">
        <w:rPr>
          <w:lang w:eastAsia="en-AU"/>
        </w:rPr>
        <w:t xml:space="preserve"> recorded as 500/275</w:t>
      </w:r>
      <w:r>
        <w:rPr>
          <w:lang w:eastAsia="en-AU"/>
        </w:rPr>
        <w:t xml:space="preserve">, where 500kV is the primary </w:t>
      </w:r>
      <w:r w:rsidRPr="00AF2CCF">
        <w:rPr>
          <w:i/>
          <w:lang w:eastAsia="en-AU"/>
        </w:rPr>
        <w:t>voltage</w:t>
      </w:r>
      <w:r>
        <w:rPr>
          <w:lang w:eastAsia="en-AU"/>
        </w:rPr>
        <w:t xml:space="preserve"> and 275kV is the secondary </w:t>
      </w:r>
      <w:r w:rsidRPr="00AF2CCF">
        <w:rPr>
          <w:i/>
          <w:lang w:eastAsia="en-AU"/>
        </w:rPr>
        <w:t>voltage</w:t>
      </w:r>
      <w:r>
        <w:rPr>
          <w:lang w:eastAsia="en-AU"/>
        </w:rPr>
        <w:t>.</w:t>
      </w:r>
    </w:p>
    <w:p w:rsidR="00AE5FBA" w:rsidRPr="008C0E9C" w:rsidRDefault="00AE5FBA" w:rsidP="008C254A">
      <w:pPr>
        <w:pStyle w:val="Numberlist3"/>
        <w:rPr>
          <w:lang w:eastAsia="en-AU"/>
        </w:rPr>
      </w:pPr>
      <w:r>
        <w:rPr>
          <w:lang w:eastAsia="en-AU"/>
        </w:rPr>
        <w:t xml:space="preserve">Where a tertiary </w:t>
      </w:r>
      <w:r w:rsidRPr="00AF2CCF">
        <w:rPr>
          <w:i/>
          <w:lang w:eastAsia="en-AU"/>
        </w:rPr>
        <w:t>voltage</w:t>
      </w:r>
      <w:r>
        <w:rPr>
          <w:lang w:eastAsia="en-AU"/>
        </w:rPr>
        <w:t xml:space="preserve"> is applicable, enter </w:t>
      </w:r>
      <w:r w:rsidRPr="00AF2CCF">
        <w:rPr>
          <w:i/>
          <w:lang w:eastAsia="en-AU"/>
        </w:rPr>
        <w:t>voltages</w:t>
      </w:r>
      <w:r>
        <w:rPr>
          <w:lang w:eastAsia="en-AU"/>
        </w:rPr>
        <w:t xml:space="preserve"> in the format </w:t>
      </w:r>
      <w:r w:rsidRPr="00E31B86">
        <w:rPr>
          <w:lang w:eastAsia="en-AU"/>
        </w:rPr>
        <w:t>xx/xx/xx</w:t>
      </w:r>
      <w:r>
        <w:rPr>
          <w:lang w:eastAsia="en-AU"/>
        </w:rPr>
        <w:t xml:space="preserve">. For example, </w:t>
      </w:r>
      <w:r w:rsidRPr="008C0E9C">
        <w:rPr>
          <w:lang w:eastAsia="en-AU"/>
        </w:rPr>
        <w:t xml:space="preserve">a </w:t>
      </w:r>
      <w:r w:rsidRPr="00AF2CCF">
        <w:rPr>
          <w:i/>
          <w:lang w:eastAsia="en-AU"/>
        </w:rPr>
        <w:t>transformer</w:t>
      </w:r>
      <w:r w:rsidRPr="008C0E9C">
        <w:rPr>
          <w:lang w:eastAsia="en-AU"/>
        </w:rPr>
        <w:t xml:space="preserve"> may have its </w:t>
      </w:r>
      <w:r w:rsidRPr="00AF2CCF">
        <w:rPr>
          <w:i/>
          <w:lang w:eastAsia="en-AU"/>
        </w:rPr>
        <w:t>voltage</w:t>
      </w:r>
      <w:r w:rsidRPr="008C0E9C">
        <w:rPr>
          <w:lang w:eastAsia="en-AU"/>
        </w:rPr>
        <w:t xml:space="preserve"> recorded as 220/110/33</w:t>
      </w:r>
      <w:r>
        <w:rPr>
          <w:lang w:eastAsia="en-AU"/>
        </w:rPr>
        <w:t xml:space="preserve">, where 220kV, 110kV and 33kV are the primary, secondary and tertiary </w:t>
      </w:r>
      <w:r w:rsidRPr="00AF2CCF">
        <w:rPr>
          <w:i/>
          <w:lang w:eastAsia="en-AU"/>
        </w:rPr>
        <w:t>voltages</w:t>
      </w:r>
      <w:r>
        <w:rPr>
          <w:lang w:eastAsia="en-AU"/>
        </w:rPr>
        <w:t>, respectively.</w:t>
      </w:r>
    </w:p>
    <w:p w:rsidR="00AE5FBA" w:rsidRPr="008C0E9C" w:rsidRDefault="00AE5FBA" w:rsidP="008C254A">
      <w:pPr>
        <w:pStyle w:val="Numberlist2"/>
        <w:rPr>
          <w:lang w:eastAsia="en-AU"/>
        </w:rPr>
      </w:pPr>
      <w:r>
        <w:rPr>
          <w:lang w:eastAsia="en-AU"/>
        </w:rPr>
        <w:t xml:space="preserve">For </w:t>
      </w:r>
      <w:r w:rsidRPr="00AF2CCF">
        <w:rPr>
          <w:i/>
          <w:lang w:eastAsia="en-AU"/>
        </w:rPr>
        <w:t>substation</w:t>
      </w:r>
      <w:r w:rsidRPr="008C0E9C">
        <w:rPr>
          <w:lang w:eastAsia="en-AU"/>
        </w:rPr>
        <w:t xml:space="preserve"> ratings, 'Pre' refers to the relevant characteristic prior to the </w:t>
      </w:r>
      <w:r w:rsidRPr="00AF2CCF">
        <w:rPr>
          <w:i/>
          <w:lang w:eastAsia="en-AU"/>
        </w:rPr>
        <w:t>augmentation</w:t>
      </w:r>
      <w:r w:rsidRPr="008C0E9C">
        <w:rPr>
          <w:lang w:eastAsia="en-AU"/>
        </w:rPr>
        <w:t xml:space="preserve"> work; 'Post' refers to the relevant characteristic after the </w:t>
      </w:r>
      <w:r w:rsidRPr="00AF2CCF">
        <w:rPr>
          <w:i/>
          <w:lang w:eastAsia="en-AU"/>
        </w:rPr>
        <w:t>augmentation</w:t>
      </w:r>
      <w:r w:rsidRPr="008C0E9C">
        <w:rPr>
          <w:lang w:eastAsia="en-AU"/>
        </w:rPr>
        <w:t xml:space="preserve"> work.</w:t>
      </w:r>
      <w:r>
        <w:rPr>
          <w:lang w:eastAsia="en-AU"/>
        </w:rPr>
        <w:t xml:space="preserve"> </w:t>
      </w:r>
      <w:r w:rsidRPr="008C0E9C">
        <w:rPr>
          <w:lang w:eastAsia="en-AU"/>
        </w:rPr>
        <w:t xml:space="preserve">Where a rating metric does not undergo any change, or where the project relates to the establishment of a new </w:t>
      </w:r>
      <w:r w:rsidRPr="00AF2CCF">
        <w:rPr>
          <w:i/>
          <w:lang w:eastAsia="en-AU"/>
        </w:rPr>
        <w:t>substation</w:t>
      </w:r>
      <w:r w:rsidRPr="008C0E9C">
        <w:rPr>
          <w:lang w:eastAsia="en-AU"/>
        </w:rPr>
        <w:t>, input the metric only in the 'Post' column.</w:t>
      </w:r>
    </w:p>
    <w:p w:rsidR="00AE5FBA" w:rsidRDefault="00AE5FBA" w:rsidP="008C254A">
      <w:pPr>
        <w:pStyle w:val="Numberlist2"/>
        <w:rPr>
          <w:lang w:eastAsia="en-AU"/>
        </w:rPr>
      </w:pPr>
      <w:r w:rsidRPr="008C0E9C">
        <w:rPr>
          <w:lang w:eastAsia="en-AU"/>
        </w:rPr>
        <w:t xml:space="preserve">Under 'Total expenditure' for </w:t>
      </w:r>
      <w:r w:rsidRPr="00AF2CCF">
        <w:rPr>
          <w:i/>
          <w:lang w:eastAsia="en-AU"/>
        </w:rPr>
        <w:t>transformers</w:t>
      </w:r>
      <w:r w:rsidRPr="008C0E9C">
        <w:rPr>
          <w:lang w:eastAsia="en-AU"/>
        </w:rPr>
        <w:t xml:space="preserve">, </w:t>
      </w:r>
      <w:r w:rsidRPr="00AF2CCF">
        <w:rPr>
          <w:i/>
          <w:lang w:eastAsia="en-AU"/>
        </w:rPr>
        <w:t>switchgear</w:t>
      </w:r>
      <w:r w:rsidRPr="008C0E9C">
        <w:rPr>
          <w:lang w:eastAsia="en-AU"/>
        </w:rPr>
        <w:t xml:space="preserve">, </w:t>
      </w:r>
      <w:r w:rsidRPr="00AF2CCF">
        <w:rPr>
          <w:i/>
          <w:lang w:eastAsia="en-AU"/>
        </w:rPr>
        <w:t>reactive plant</w:t>
      </w:r>
      <w:r w:rsidRPr="008C0E9C">
        <w:rPr>
          <w:lang w:eastAsia="en-AU"/>
        </w:rPr>
        <w:t xml:space="preserve">, and other plant items, include only the procurement costs of the equipment. This </w:t>
      </w:r>
      <w:r>
        <w:rPr>
          <w:lang w:eastAsia="en-AU"/>
        </w:rPr>
        <w:t>must</w:t>
      </w:r>
      <w:r w:rsidRPr="008C0E9C">
        <w:rPr>
          <w:lang w:eastAsia="en-AU"/>
        </w:rPr>
        <w:t xml:space="preserve"> not include installation costs.</w:t>
      </w:r>
    </w:p>
    <w:p w:rsidR="00AE5FBA" w:rsidRDefault="00AE5FBA" w:rsidP="008C254A">
      <w:pPr>
        <w:pStyle w:val="Numberlist2"/>
      </w:pPr>
      <w:r w:rsidRPr="009F7091">
        <w:t xml:space="preserve">Expenditure inputted under the ‘Land and </w:t>
      </w:r>
      <w:r w:rsidRPr="00AF2CCF">
        <w:rPr>
          <w:i/>
        </w:rPr>
        <w:t>easements</w:t>
      </w:r>
      <w:r w:rsidRPr="009F7091">
        <w:t>’ columns is mutually exclusive from expenditure that appear</w:t>
      </w:r>
      <w:r>
        <w:t>s</w:t>
      </w:r>
      <w:r w:rsidRPr="009F7091">
        <w:t xml:space="preserve"> in the columns that sum to the </w:t>
      </w:r>
      <w:r w:rsidRPr="009F7091">
        <w:lastRenderedPageBreak/>
        <w:t xml:space="preserve">‘Total direct expenditure’ column. In other words, the ‘Total direct expenditure’ for a particular project must not include expenditure inputted into the ‘Land and </w:t>
      </w:r>
      <w:r w:rsidRPr="00AF2CCF">
        <w:rPr>
          <w:i/>
        </w:rPr>
        <w:t>easements</w:t>
      </w:r>
      <w:r w:rsidRPr="009F7091">
        <w:t>’ columns.</w:t>
      </w:r>
    </w:p>
    <w:p w:rsidR="00AE5FBA" w:rsidRDefault="00AE5FBA" w:rsidP="008C254A">
      <w:pPr>
        <w:pStyle w:val="Numberlist2"/>
      </w:pPr>
      <w:r>
        <w:t xml:space="preserve">If </w:t>
      </w:r>
      <w:r w:rsidRPr="00E34849">
        <w:rPr>
          <w:noProof/>
        </w:rPr>
        <w:t>TNSP</w:t>
      </w:r>
      <w:r>
        <w:t xml:space="preserve"> records land and </w:t>
      </w:r>
      <w:r w:rsidRPr="00AF2CCF">
        <w:rPr>
          <w:i/>
        </w:rPr>
        <w:t>easement</w:t>
      </w:r>
      <w:r>
        <w:t xml:space="preserve"> projects and/or expenditures as separate line items for regulatory purposes, select ‘Other – specify’ from the ‘Project type’ drop down list and note ‘Land/</w:t>
      </w:r>
      <w:r w:rsidRPr="00AF2CCF">
        <w:rPr>
          <w:i/>
        </w:rPr>
        <w:t>easement</w:t>
      </w:r>
      <w:r>
        <w:t xml:space="preserve"> expenditure’ in the </w:t>
      </w:r>
      <w:r>
        <w:rPr>
          <w:i/>
          <w:lang w:eastAsia="en-AU"/>
        </w:rPr>
        <w:t>basis of preparation</w:t>
      </w:r>
      <w:r>
        <w:t>.</w:t>
      </w:r>
    </w:p>
    <w:p w:rsidR="00AE5FBA" w:rsidRDefault="00AE5FBA" w:rsidP="008C254A">
      <w:pPr>
        <w:pStyle w:val="Numberlist3"/>
      </w:pPr>
      <w:r w:rsidRPr="00E34849">
        <w:rPr>
          <w:noProof/>
        </w:rPr>
        <w:t>TNSP</w:t>
      </w:r>
      <w:r>
        <w:rPr>
          <w:noProof/>
        </w:rPr>
        <w:t xml:space="preserve"> </w:t>
      </w:r>
      <w:r>
        <w:t xml:space="preserve">must input expenditure directly attributable to the land purchase or </w:t>
      </w:r>
      <w:r w:rsidRPr="00AF2CCF">
        <w:rPr>
          <w:i/>
        </w:rPr>
        <w:t>easement</w:t>
      </w:r>
      <w:r>
        <w:t xml:space="preserve"> compensation payments in the ‘Land purchases’ and ‘</w:t>
      </w:r>
      <w:r w:rsidRPr="00AF2CCF">
        <w:rPr>
          <w:i/>
        </w:rPr>
        <w:t>Easements</w:t>
      </w:r>
      <w:r>
        <w:t xml:space="preserve">’ columns, respectively. These costs include legal, stamp duties and cost of purchase or </w:t>
      </w:r>
      <w:r w:rsidRPr="00AF2CCF">
        <w:rPr>
          <w:i/>
        </w:rPr>
        <w:t>easement</w:t>
      </w:r>
      <w:r>
        <w:t xml:space="preserve"> compensation payments.</w:t>
      </w:r>
    </w:p>
    <w:p w:rsidR="00AE5FBA" w:rsidRPr="008C0E9C" w:rsidRDefault="00AE5FBA" w:rsidP="002175B6">
      <w:pPr>
        <w:pStyle w:val="Numberlist3"/>
        <w:rPr>
          <w:lang w:eastAsia="en-AU"/>
        </w:rPr>
      </w:pPr>
      <w:r w:rsidRPr="00E34849">
        <w:rPr>
          <w:noProof/>
        </w:rPr>
        <w:t>TNSP</w:t>
      </w:r>
      <w:r>
        <w:rPr>
          <w:noProof/>
        </w:rPr>
        <w:t xml:space="preserve"> </w:t>
      </w:r>
      <w:r>
        <w:t xml:space="preserve">must input other expenditure attributable to land purchases and </w:t>
      </w:r>
      <w:r w:rsidRPr="00AF2CCF">
        <w:rPr>
          <w:i/>
        </w:rPr>
        <w:t>easements</w:t>
      </w:r>
      <w:r>
        <w:t xml:space="preserve"> in the ‘Other expenditure – Other direct’ column.</w:t>
      </w:r>
    </w:p>
    <w:p w:rsidR="00AE5FBA" w:rsidRPr="008C0E9C" w:rsidRDefault="00AE5FBA" w:rsidP="008C254A">
      <w:pPr>
        <w:pStyle w:val="Numberlist2"/>
        <w:rPr>
          <w:lang w:eastAsia="en-AU"/>
        </w:rPr>
      </w:pPr>
      <w:r w:rsidRPr="008C0E9C">
        <w:rPr>
          <w:lang w:eastAsia="en-AU"/>
        </w:rPr>
        <w:t>Insert additional rows as required.</w:t>
      </w:r>
    </w:p>
    <w:p w:rsidR="00AE5FBA" w:rsidRPr="008C0E9C" w:rsidRDefault="00AE5FBA" w:rsidP="008C254A">
      <w:pPr>
        <w:pStyle w:val="Numberlist2"/>
        <w:rPr>
          <w:lang w:eastAsia="en-AU"/>
        </w:rPr>
      </w:pPr>
      <w:r w:rsidRPr="008C0E9C">
        <w:rPr>
          <w:lang w:eastAsia="en-AU"/>
        </w:rPr>
        <w:t>Definitions</w:t>
      </w:r>
      <w:r>
        <w:rPr>
          <w:lang w:eastAsia="en-AU"/>
        </w:rPr>
        <w:t xml:space="preserve">: </w:t>
      </w:r>
      <w:r w:rsidRPr="008C0E9C">
        <w:rPr>
          <w:lang w:eastAsia="en-AU"/>
        </w:rPr>
        <w:t>Other plant item</w:t>
      </w:r>
    </w:p>
    <w:p w:rsidR="00AE5FBA" w:rsidRPr="00141940" w:rsidRDefault="00AE5FBA" w:rsidP="008C254A">
      <w:pPr>
        <w:pStyle w:val="Numberlist3"/>
      </w:pPr>
      <w:r w:rsidRPr="00141940">
        <w:t xml:space="preserve">All equipment involved in utilising or transmitting electrical energy that are not </w:t>
      </w:r>
      <w:r w:rsidRPr="00AF2CCF">
        <w:rPr>
          <w:i/>
        </w:rPr>
        <w:t>transformers</w:t>
      </w:r>
      <w:r w:rsidRPr="00141940">
        <w:t xml:space="preserve">, </w:t>
      </w:r>
      <w:r w:rsidRPr="00AF2CCF">
        <w:rPr>
          <w:i/>
        </w:rPr>
        <w:t>switchgear</w:t>
      </w:r>
      <w:r w:rsidRPr="00141940">
        <w:t xml:space="preserve">, or </w:t>
      </w:r>
      <w:r>
        <w:rPr>
          <w:i/>
        </w:rPr>
        <w:t>reactive plant</w:t>
      </w:r>
      <w:r w:rsidRPr="00141940">
        <w:t>.</w:t>
      </w:r>
    </w:p>
    <w:p w:rsidR="00AE5FBA" w:rsidRDefault="00AE5FBA" w:rsidP="008C254A">
      <w:pPr>
        <w:pStyle w:val="Numberlist1"/>
        <w:rPr>
          <w:lang w:eastAsia="en-AU"/>
        </w:rPr>
      </w:pPr>
      <w:r>
        <w:rPr>
          <w:lang w:eastAsia="en-AU"/>
        </w:rPr>
        <w:t xml:space="preserve">Table </w:t>
      </w:r>
      <w:r w:rsidRPr="001C44B9">
        <w:rPr>
          <w:lang w:eastAsia="en-AU"/>
        </w:rPr>
        <w:t>2.3.2</w:t>
      </w:r>
      <w:r>
        <w:rPr>
          <w:lang w:eastAsia="en-AU"/>
        </w:rPr>
        <w:t xml:space="preserve"> (on </w:t>
      </w:r>
      <w:r w:rsidRPr="005E14DD">
        <w:rPr>
          <w:i/>
          <w:lang w:eastAsia="en-AU"/>
        </w:rPr>
        <w:t>regulatory template</w:t>
      </w:r>
      <w:r>
        <w:rPr>
          <w:lang w:eastAsia="en-AU"/>
        </w:rPr>
        <w:t xml:space="preserve"> 2.3) instructions:</w:t>
      </w:r>
    </w:p>
    <w:p w:rsidR="00AE5FBA" w:rsidRPr="00FE4566" w:rsidRDefault="00AE5FBA" w:rsidP="008C254A">
      <w:pPr>
        <w:pStyle w:val="Numberlist2"/>
        <w:rPr>
          <w:lang w:eastAsia="en-AU"/>
        </w:rPr>
      </w:pPr>
      <w:r w:rsidRPr="00FE4566">
        <w:rPr>
          <w:lang w:eastAsia="en-AU"/>
        </w:rPr>
        <w:t>For projects with a total cumulative expenditure over the life of the project of greater than or equal to $5 million</w:t>
      </w:r>
      <w:r>
        <w:rPr>
          <w:lang w:eastAsia="en-AU"/>
        </w:rPr>
        <w:t xml:space="preserve"> (nominal)</w:t>
      </w:r>
      <w:r w:rsidRPr="00FE4566">
        <w:rPr>
          <w:lang w:eastAsia="en-AU"/>
        </w:rPr>
        <w:t>:</w:t>
      </w:r>
    </w:p>
    <w:p w:rsidR="00AE5FBA" w:rsidRPr="00FE4566" w:rsidRDefault="00AE5FBA" w:rsidP="008C254A">
      <w:pPr>
        <w:pStyle w:val="Numberlist3"/>
        <w:rPr>
          <w:lang w:eastAsia="en-AU"/>
        </w:rPr>
      </w:pPr>
      <w:r w:rsidRPr="00FE4566">
        <w:rPr>
          <w:lang w:eastAsia="en-AU"/>
        </w:rPr>
        <w:t xml:space="preserve">insert a row for each </w:t>
      </w:r>
      <w:r w:rsidRPr="00AF2CCF">
        <w:rPr>
          <w:i/>
          <w:lang w:eastAsia="en-AU"/>
        </w:rPr>
        <w:t>augmentation</w:t>
      </w:r>
      <w:r w:rsidRPr="00FE4566">
        <w:rPr>
          <w:lang w:eastAsia="en-AU"/>
        </w:rPr>
        <w:t xml:space="preserve"> project on a </w:t>
      </w:r>
      <w:r w:rsidRPr="00AF2CCF">
        <w:rPr>
          <w:i/>
          <w:lang w:eastAsia="en-AU"/>
        </w:rPr>
        <w:t>line</w:t>
      </w:r>
      <w:r w:rsidRPr="00FE4566">
        <w:rPr>
          <w:lang w:eastAsia="en-AU"/>
        </w:rPr>
        <w:t xml:space="preserve"> </w:t>
      </w:r>
      <w:r>
        <w:rPr>
          <w:lang w:eastAsia="en-AU"/>
        </w:rPr>
        <w:t xml:space="preserve">or </w:t>
      </w:r>
      <w:r w:rsidRPr="00AF2CCF">
        <w:rPr>
          <w:i/>
          <w:lang w:eastAsia="en-AU"/>
        </w:rPr>
        <w:t>cable</w:t>
      </w:r>
      <w:r>
        <w:rPr>
          <w:lang w:eastAsia="en-AU"/>
        </w:rPr>
        <w:t xml:space="preserve"> owned and operated by</w:t>
      </w:r>
      <w:r w:rsidRPr="00FE4566">
        <w:rPr>
          <w:lang w:eastAsia="en-AU"/>
        </w:rPr>
        <w:t xml:space="preserve"> </w:t>
      </w:r>
      <w:r w:rsidRPr="00E34849">
        <w:rPr>
          <w:noProof/>
          <w:lang w:eastAsia="en-AU"/>
        </w:rPr>
        <w:t>TNSP</w:t>
      </w:r>
      <w:r w:rsidRPr="00FE4566">
        <w:rPr>
          <w:lang w:eastAsia="en-AU"/>
        </w:rPr>
        <w:t xml:space="preserve"> </w:t>
      </w:r>
      <w:r>
        <w:t xml:space="preserve">where </w:t>
      </w:r>
      <w:r>
        <w:rPr>
          <w:i/>
        </w:rPr>
        <w:t>project close</w:t>
      </w:r>
      <w:r>
        <w:t xml:space="preserve"> occurred</w:t>
      </w:r>
      <w:r w:rsidRPr="00FE4566">
        <w:t xml:space="preserve"> </w:t>
      </w:r>
      <w:r w:rsidRPr="00FE4566">
        <w:rPr>
          <w:lang w:eastAsia="en-AU"/>
        </w:rPr>
        <w:t>at any time during the</w:t>
      </w:r>
      <w:r w:rsidRPr="0081424A">
        <w:rPr>
          <w:lang w:eastAsia="en-AU"/>
        </w:rPr>
        <w:t xml:space="preserve"> </w:t>
      </w:r>
      <w:r w:rsidRPr="00B0320B">
        <w:rPr>
          <w:lang w:eastAsia="en-AU"/>
        </w:rPr>
        <w:t xml:space="preserve"> </w:t>
      </w:r>
      <w:r w:rsidRPr="0088740A">
        <w:rPr>
          <w:lang w:eastAsia="en-AU"/>
        </w:rPr>
        <w:t>years specified</w:t>
      </w:r>
      <w:r w:rsidRPr="00FE4566">
        <w:rPr>
          <w:lang w:eastAsia="en-AU"/>
        </w:rPr>
        <w:t xml:space="preserve">; and </w:t>
      </w:r>
    </w:p>
    <w:p w:rsidR="00AE5FBA" w:rsidRPr="009F0D2E" w:rsidRDefault="00AE5FBA" w:rsidP="008C254A">
      <w:pPr>
        <w:pStyle w:val="Numberlist3"/>
      </w:pPr>
      <w:proofErr w:type="gramStart"/>
      <w:r w:rsidRPr="009F0D2E">
        <w:t>input</w:t>
      </w:r>
      <w:proofErr w:type="gramEnd"/>
      <w:r w:rsidRPr="009F0D2E">
        <w:t xml:space="preserve"> the required details.</w:t>
      </w:r>
    </w:p>
    <w:p w:rsidR="00AE5FBA" w:rsidRPr="00FE4566" w:rsidRDefault="00AE5FBA" w:rsidP="008C254A">
      <w:pPr>
        <w:pStyle w:val="Numberlist2"/>
        <w:rPr>
          <w:lang w:eastAsia="en-AU"/>
        </w:rPr>
      </w:pPr>
      <w:r w:rsidRPr="00FE4566">
        <w:rPr>
          <w:lang w:eastAsia="en-AU"/>
        </w:rPr>
        <w:t xml:space="preserve">For projects with a total cumulative expenditure over the life of the project less than $5 million </w:t>
      </w:r>
      <w:r>
        <w:rPr>
          <w:lang w:eastAsia="en-AU"/>
        </w:rPr>
        <w:t>(nominal)</w:t>
      </w:r>
      <w:r w:rsidRPr="00FE4566">
        <w:rPr>
          <w:lang w:eastAsia="en-AU"/>
        </w:rPr>
        <w:t xml:space="preserve"> (</w:t>
      </w:r>
      <w:proofErr w:type="spellStart"/>
      <w:r w:rsidRPr="00FE4566">
        <w:rPr>
          <w:lang w:eastAsia="en-AU"/>
        </w:rPr>
        <w:t>non material</w:t>
      </w:r>
      <w:proofErr w:type="spellEnd"/>
      <w:r w:rsidRPr="00FE4566">
        <w:rPr>
          <w:lang w:eastAsia="en-AU"/>
        </w:rPr>
        <w:t xml:space="preserve"> projects):</w:t>
      </w:r>
    </w:p>
    <w:p w:rsidR="00AE5FBA" w:rsidRPr="00FE4566" w:rsidRDefault="00AE5FBA" w:rsidP="008C254A">
      <w:pPr>
        <w:pStyle w:val="Numberlist3"/>
        <w:rPr>
          <w:lang w:eastAsia="en-AU"/>
        </w:rPr>
      </w:pPr>
      <w:proofErr w:type="gramStart"/>
      <w:r w:rsidRPr="00FE4566">
        <w:rPr>
          <w:lang w:eastAsia="en-AU"/>
        </w:rPr>
        <w:t>input</w:t>
      </w:r>
      <w:proofErr w:type="gramEnd"/>
      <w:r w:rsidRPr="00FE4566">
        <w:rPr>
          <w:lang w:eastAsia="en-AU"/>
        </w:rPr>
        <w:t xml:space="preserve"> the total expenditure for all </w:t>
      </w:r>
      <w:proofErr w:type="spellStart"/>
      <w:r w:rsidRPr="00FE4566">
        <w:rPr>
          <w:lang w:eastAsia="en-AU"/>
        </w:rPr>
        <w:t>non material</w:t>
      </w:r>
      <w:proofErr w:type="spellEnd"/>
      <w:r w:rsidRPr="00FE4566">
        <w:rPr>
          <w:lang w:eastAsia="en-AU"/>
        </w:rPr>
        <w:t xml:space="preserve"> augmentation projects on </w:t>
      </w:r>
      <w:r w:rsidRPr="00AF2CCF">
        <w:rPr>
          <w:i/>
          <w:lang w:eastAsia="en-AU"/>
        </w:rPr>
        <w:t>lines</w:t>
      </w:r>
      <w:r w:rsidRPr="00FE4566">
        <w:rPr>
          <w:lang w:eastAsia="en-AU"/>
        </w:rPr>
        <w:t xml:space="preserve"> </w:t>
      </w:r>
      <w:r>
        <w:rPr>
          <w:lang w:eastAsia="en-AU"/>
        </w:rPr>
        <w:t xml:space="preserve">or </w:t>
      </w:r>
      <w:r w:rsidRPr="00AF2CCF">
        <w:rPr>
          <w:i/>
          <w:lang w:eastAsia="en-AU"/>
        </w:rPr>
        <w:t>cables</w:t>
      </w:r>
      <w:r>
        <w:rPr>
          <w:lang w:eastAsia="en-AU"/>
        </w:rPr>
        <w:t xml:space="preserve"> </w:t>
      </w:r>
      <w:r w:rsidRPr="00FE4566">
        <w:rPr>
          <w:lang w:eastAsia="en-AU"/>
        </w:rPr>
        <w:t xml:space="preserve">owned and operated </w:t>
      </w:r>
      <w:r>
        <w:rPr>
          <w:lang w:eastAsia="en-AU"/>
        </w:rPr>
        <w:t xml:space="preserve">by </w:t>
      </w:r>
      <w:r w:rsidRPr="00E34849">
        <w:rPr>
          <w:noProof/>
          <w:lang w:eastAsia="en-AU"/>
        </w:rPr>
        <w:t>TNSP</w:t>
      </w:r>
      <w:r w:rsidDel="00106506">
        <w:rPr>
          <w:lang w:eastAsia="en-AU"/>
        </w:rPr>
        <w:t xml:space="preserve"> </w:t>
      </w:r>
      <w:r w:rsidRPr="00FE4566">
        <w:rPr>
          <w:lang w:eastAsia="en-AU"/>
        </w:rPr>
        <w:t xml:space="preserve"> </w:t>
      </w:r>
      <w:r>
        <w:t xml:space="preserve">where </w:t>
      </w:r>
      <w:r>
        <w:rPr>
          <w:i/>
        </w:rPr>
        <w:t>project close</w:t>
      </w:r>
      <w:r>
        <w:t xml:space="preserve"> occurred</w:t>
      </w:r>
      <w:r w:rsidRPr="00FE4566">
        <w:rPr>
          <w:lang w:eastAsia="en-AU"/>
        </w:rPr>
        <w:t xml:space="preserve"> in the </w:t>
      </w:r>
      <w:r w:rsidRPr="0088740A">
        <w:rPr>
          <w:lang w:eastAsia="en-AU"/>
        </w:rPr>
        <w:t>years specified</w:t>
      </w:r>
      <w:r w:rsidRPr="00B0320B">
        <w:rPr>
          <w:i/>
          <w:lang w:eastAsia="en-AU"/>
        </w:rPr>
        <w:t xml:space="preserve"> </w:t>
      </w:r>
      <w:r w:rsidRPr="00FE4566">
        <w:rPr>
          <w:lang w:eastAsia="en-AU"/>
        </w:rPr>
        <w:t>in the penultimate line in the table, as indicated.</w:t>
      </w:r>
    </w:p>
    <w:p w:rsidR="00AE5FBA" w:rsidRDefault="00AE5FBA" w:rsidP="008C254A">
      <w:pPr>
        <w:pStyle w:val="Numberlist2"/>
        <w:rPr>
          <w:lang w:eastAsia="en-AU"/>
        </w:rPr>
      </w:pPr>
      <w:r>
        <w:rPr>
          <w:lang w:eastAsia="en-AU"/>
        </w:rPr>
        <w:t>Record a</w:t>
      </w:r>
      <w:r w:rsidRPr="00FE4566">
        <w:rPr>
          <w:lang w:eastAsia="en-AU"/>
        </w:rPr>
        <w:t xml:space="preserve">ll expenditure data on a </w:t>
      </w:r>
      <w:r w:rsidRPr="00C5181F">
        <w:rPr>
          <w:i/>
        </w:rPr>
        <w:t>project close</w:t>
      </w:r>
      <w:r w:rsidRPr="00FE4566">
        <w:rPr>
          <w:lang w:eastAsia="en-AU"/>
        </w:rPr>
        <w:t xml:space="preserve"> basis in real </w:t>
      </w:r>
      <w:r>
        <w:rPr>
          <w:lang w:eastAsia="en-AU"/>
        </w:rPr>
        <w:t>dollars ($2012–13)</w:t>
      </w:r>
      <w:r w:rsidRPr="00FE4566">
        <w:rPr>
          <w:lang w:eastAsia="en-AU"/>
        </w:rPr>
        <w:t>. Hence</w:t>
      </w:r>
      <w:r>
        <w:rPr>
          <w:lang w:eastAsia="en-AU"/>
        </w:rPr>
        <w:t xml:space="preserve">, </w:t>
      </w:r>
      <w:r w:rsidRPr="00E34849">
        <w:rPr>
          <w:noProof/>
          <w:lang w:eastAsia="en-AU"/>
        </w:rPr>
        <w:t>TNSP</w:t>
      </w:r>
      <w:r>
        <w:rPr>
          <w:lang w:eastAsia="en-AU"/>
        </w:rPr>
        <w:t xml:space="preserve"> must not </w:t>
      </w:r>
      <w:r w:rsidRPr="00FE4566">
        <w:rPr>
          <w:lang w:eastAsia="en-AU"/>
        </w:rPr>
        <w:t xml:space="preserve">include data for </w:t>
      </w:r>
      <w:r w:rsidRPr="00AF2CCF">
        <w:rPr>
          <w:i/>
          <w:lang w:eastAsia="en-AU"/>
        </w:rPr>
        <w:t>augmentation</w:t>
      </w:r>
      <w:r w:rsidRPr="00FE4566">
        <w:rPr>
          <w:lang w:eastAsia="en-AU"/>
        </w:rPr>
        <w:t xml:space="preserve"> works </w:t>
      </w:r>
      <w:r>
        <w:rPr>
          <w:lang w:eastAsia="en-AU"/>
        </w:rPr>
        <w:t xml:space="preserve">where </w:t>
      </w:r>
      <w:r w:rsidRPr="002175B6">
        <w:rPr>
          <w:i/>
          <w:lang w:eastAsia="en-AU"/>
        </w:rPr>
        <w:t>project close</w:t>
      </w:r>
      <w:r>
        <w:rPr>
          <w:lang w:eastAsia="en-AU"/>
        </w:rPr>
        <w:t xml:space="preserve"> occurs</w:t>
      </w:r>
      <w:r w:rsidRPr="00FE4566">
        <w:rPr>
          <w:lang w:eastAsia="en-AU"/>
        </w:rPr>
        <w:t xml:space="preserve"> after </w:t>
      </w:r>
      <w:proofErr w:type="gramStart"/>
      <w:r>
        <w:rPr>
          <w:lang w:eastAsia="en-AU"/>
        </w:rPr>
        <w:t xml:space="preserve">the </w:t>
      </w:r>
      <w:r>
        <w:rPr>
          <w:i/>
          <w:lang w:eastAsia="en-AU"/>
        </w:rPr>
        <w:t xml:space="preserve"> </w:t>
      </w:r>
      <w:r w:rsidRPr="0088740A">
        <w:rPr>
          <w:lang w:eastAsia="en-AU"/>
        </w:rPr>
        <w:t>years</w:t>
      </w:r>
      <w:proofErr w:type="gramEnd"/>
      <w:r w:rsidRPr="0088740A">
        <w:rPr>
          <w:lang w:eastAsia="en-AU"/>
        </w:rPr>
        <w:t xml:space="preserve"> specified</w:t>
      </w:r>
      <w:r>
        <w:rPr>
          <w:lang w:eastAsia="en-AU"/>
        </w:rPr>
        <w:t xml:space="preserve"> </w:t>
      </w:r>
      <w:r w:rsidRPr="00FE4566">
        <w:rPr>
          <w:lang w:eastAsia="en-AU"/>
        </w:rPr>
        <w:t>but incurs expenditure prior to this date.</w:t>
      </w:r>
      <w:r w:rsidRPr="00D25FC1">
        <w:rPr>
          <w:highlight w:val="yellow"/>
          <w:lang w:eastAsia="en-AU"/>
        </w:rPr>
        <w:t xml:space="preserve"> </w:t>
      </w:r>
    </w:p>
    <w:p w:rsidR="00AE5FBA" w:rsidRPr="00FE4566" w:rsidRDefault="00AE5FBA" w:rsidP="002175B6">
      <w:pPr>
        <w:pStyle w:val="Numberlist3"/>
        <w:rPr>
          <w:lang w:eastAsia="en-AU"/>
        </w:rPr>
      </w:pPr>
      <w:r w:rsidRPr="00E34849">
        <w:rPr>
          <w:noProof/>
          <w:lang w:eastAsia="en-AU"/>
        </w:rPr>
        <w:t>TNSP</w:t>
      </w:r>
      <w:r>
        <w:rPr>
          <w:lang w:eastAsia="en-AU"/>
        </w:rPr>
        <w:t xml:space="preserve"> </w:t>
      </w:r>
      <w:r>
        <w:t xml:space="preserve">must </w:t>
      </w:r>
      <w:r w:rsidRPr="00874F29">
        <w:t>provide any calculations used to convert real to nominal dollars or nominal to real dollars for</w:t>
      </w:r>
      <w:r>
        <w:t xml:space="preserve"> this purpose.</w:t>
      </w:r>
    </w:p>
    <w:p w:rsidR="00AE5FBA" w:rsidRPr="00FE4566" w:rsidRDefault="00AE5FBA" w:rsidP="008C254A">
      <w:pPr>
        <w:pStyle w:val="Numberlist2"/>
        <w:rPr>
          <w:lang w:eastAsia="en-AU"/>
        </w:rPr>
      </w:pPr>
      <w:r w:rsidRPr="00FE4566">
        <w:t xml:space="preserve">For the avoidance of doubt, this includes </w:t>
      </w:r>
      <w:r w:rsidRPr="00AF2CCF">
        <w:rPr>
          <w:i/>
        </w:rPr>
        <w:t>augmentation</w:t>
      </w:r>
      <w:r w:rsidRPr="00FE4566">
        <w:t xml:space="preserve"> works on any</w:t>
      </w:r>
      <w:r>
        <w:t xml:space="preserve"> </w:t>
      </w:r>
      <w:r w:rsidRPr="00AF2CCF">
        <w:rPr>
          <w:i/>
        </w:rPr>
        <w:t>line</w:t>
      </w:r>
      <w:r w:rsidRPr="00FE4566">
        <w:t xml:space="preserve"> </w:t>
      </w:r>
      <w:r>
        <w:t xml:space="preserve">or </w:t>
      </w:r>
      <w:r w:rsidRPr="00AF2CCF">
        <w:rPr>
          <w:i/>
        </w:rPr>
        <w:t>cable</w:t>
      </w:r>
      <w:r>
        <w:t xml:space="preserve"> in </w:t>
      </w:r>
      <w:r w:rsidRPr="00E34849">
        <w:rPr>
          <w:noProof/>
        </w:rPr>
        <w:t>TNSP</w:t>
      </w:r>
      <w:r>
        <w:t>’s</w:t>
      </w:r>
      <w:r w:rsidRPr="00FE4566">
        <w:t xml:space="preserve"> </w:t>
      </w:r>
      <w:r w:rsidRPr="00AF2CCF">
        <w:rPr>
          <w:i/>
        </w:rPr>
        <w:t>network</w:t>
      </w:r>
      <w:r>
        <w:t xml:space="preserve">, including those which are </w:t>
      </w:r>
      <w:r w:rsidRPr="00FE4566">
        <w:t xml:space="preserve">notionally operating at </w:t>
      </w:r>
      <w:r>
        <w:t>distribution</w:t>
      </w:r>
      <w:r w:rsidRPr="00FE4566">
        <w:t xml:space="preserve"> </w:t>
      </w:r>
      <w:r w:rsidRPr="00AF2CCF">
        <w:rPr>
          <w:i/>
        </w:rPr>
        <w:t>voltages</w:t>
      </w:r>
      <w:r>
        <w:t xml:space="preserve">. In such cases, describe the type of </w:t>
      </w:r>
      <w:r w:rsidRPr="00AF2CCF">
        <w:rPr>
          <w:i/>
        </w:rPr>
        <w:t>line</w:t>
      </w:r>
      <w:r>
        <w:t xml:space="preserve"> or </w:t>
      </w:r>
      <w:r w:rsidRPr="00AF2CCF">
        <w:rPr>
          <w:i/>
        </w:rPr>
        <w:t>cable</w:t>
      </w:r>
      <w:r>
        <w:t xml:space="preserve"> in the </w:t>
      </w:r>
      <w:r>
        <w:rPr>
          <w:i/>
        </w:rPr>
        <w:t>basis of preparation</w:t>
      </w:r>
      <w:r w:rsidRPr="00FE4566">
        <w:rPr>
          <w:lang w:eastAsia="en-AU"/>
        </w:rPr>
        <w:t xml:space="preserve">. </w:t>
      </w:r>
    </w:p>
    <w:p w:rsidR="00AE5FBA" w:rsidRDefault="00AE5FBA" w:rsidP="008C254A">
      <w:pPr>
        <w:pStyle w:val="Numberlist2"/>
      </w:pPr>
      <w:r w:rsidRPr="00BC5DB0">
        <w:lastRenderedPageBreak/>
        <w:t>Each row should represent data for all circuits</w:t>
      </w:r>
      <w:r>
        <w:t xml:space="preserve"> of a given </w:t>
      </w:r>
      <w:r w:rsidRPr="00AF2CCF">
        <w:rPr>
          <w:i/>
        </w:rPr>
        <w:t>voltage</w:t>
      </w:r>
      <w:r w:rsidRPr="00BC5DB0">
        <w:t xml:space="preserve"> subject to </w:t>
      </w:r>
      <w:r w:rsidRPr="00AF2CCF">
        <w:rPr>
          <w:i/>
        </w:rPr>
        <w:t>augmentation</w:t>
      </w:r>
      <w:r w:rsidRPr="00BC5DB0">
        <w:t xml:space="preserve"> works under the Project ID.</w:t>
      </w:r>
    </w:p>
    <w:p w:rsidR="00AE5FBA" w:rsidRDefault="00AE5FBA" w:rsidP="008C254A">
      <w:pPr>
        <w:pStyle w:val="Numberlist3"/>
      </w:pPr>
      <w:r>
        <w:t xml:space="preserve">If an </w:t>
      </w:r>
      <w:r w:rsidRPr="00AF2CCF">
        <w:rPr>
          <w:i/>
        </w:rPr>
        <w:t>augmentation</w:t>
      </w:r>
      <w:r>
        <w:t xml:space="preserve"> project applies to two circuits of the same </w:t>
      </w:r>
      <w:r w:rsidRPr="00AF2CCF">
        <w:rPr>
          <w:i/>
        </w:rPr>
        <w:t>voltage</w:t>
      </w:r>
      <w:r>
        <w:t xml:space="preserve">, for example, </w:t>
      </w:r>
      <w:r w:rsidRPr="00E34849">
        <w:rPr>
          <w:noProof/>
        </w:rPr>
        <w:t>TNSP</w:t>
      </w:r>
      <w:r>
        <w:rPr>
          <w:noProof/>
        </w:rPr>
        <w:t xml:space="preserve"> must enter data for the two circuits in one row.</w:t>
      </w:r>
    </w:p>
    <w:p w:rsidR="00AE5FBA" w:rsidRPr="00FE4566" w:rsidRDefault="00AE5FBA" w:rsidP="002175B6">
      <w:pPr>
        <w:pStyle w:val="Numberlist3"/>
        <w:rPr>
          <w:lang w:eastAsia="en-AU"/>
        </w:rPr>
      </w:pPr>
      <w:r>
        <w:t xml:space="preserve">If an </w:t>
      </w:r>
      <w:r w:rsidRPr="00AF2CCF">
        <w:rPr>
          <w:i/>
        </w:rPr>
        <w:t>augmentation</w:t>
      </w:r>
      <w:r>
        <w:t xml:space="preserve"> project applies to two circuits of different </w:t>
      </w:r>
      <w:r w:rsidRPr="00AF2CCF">
        <w:rPr>
          <w:i/>
        </w:rPr>
        <w:t>voltages</w:t>
      </w:r>
      <w:r>
        <w:t xml:space="preserve">, for example, </w:t>
      </w:r>
      <w:r w:rsidRPr="00E34849">
        <w:rPr>
          <w:noProof/>
        </w:rPr>
        <w:t>TNSP</w:t>
      </w:r>
      <w:r>
        <w:rPr>
          <w:noProof/>
        </w:rPr>
        <w:t xml:space="preserve"> must enter data for the two circuits in two rows</w:t>
      </w:r>
    </w:p>
    <w:p w:rsidR="00AE5FBA" w:rsidRPr="00FE4566" w:rsidRDefault="00AE5FBA" w:rsidP="008C254A">
      <w:pPr>
        <w:pStyle w:val="Numberlist2"/>
        <w:rPr>
          <w:lang w:eastAsia="en-AU"/>
        </w:rPr>
      </w:pPr>
      <w:r w:rsidRPr="00FE4566">
        <w:rPr>
          <w:lang w:eastAsia="en-AU"/>
        </w:rPr>
        <w:t xml:space="preserve">Where a </w:t>
      </w:r>
      <w:r w:rsidRPr="00AF2CCF">
        <w:rPr>
          <w:i/>
          <w:lang w:eastAsia="en-AU"/>
        </w:rPr>
        <w:t>lines</w:t>
      </w:r>
      <w:r>
        <w:rPr>
          <w:lang w:eastAsia="en-AU"/>
        </w:rPr>
        <w:t xml:space="preserve"> or </w:t>
      </w:r>
      <w:r w:rsidRPr="00AF2CCF">
        <w:rPr>
          <w:i/>
          <w:lang w:eastAsia="en-AU"/>
        </w:rPr>
        <w:t>cables</w:t>
      </w:r>
      <w:r w:rsidRPr="00FE4566">
        <w:rPr>
          <w:lang w:eastAsia="en-AU"/>
        </w:rPr>
        <w:t xml:space="preserve"> </w:t>
      </w:r>
      <w:r w:rsidRPr="00AF2CCF">
        <w:rPr>
          <w:i/>
          <w:lang w:eastAsia="en-AU"/>
        </w:rPr>
        <w:t>augmentation</w:t>
      </w:r>
      <w:r w:rsidRPr="00FE4566">
        <w:rPr>
          <w:lang w:eastAsia="en-AU"/>
        </w:rPr>
        <w:t xml:space="preserve"> project in this table is related to other projects (including those in other tables in</w:t>
      </w:r>
      <w:r>
        <w:rPr>
          <w:lang w:eastAsia="en-AU"/>
        </w:rPr>
        <w:t xml:space="preserve"> </w:t>
      </w:r>
      <w:r>
        <w:rPr>
          <w:i/>
          <w:lang w:eastAsia="en-AU"/>
        </w:rPr>
        <w:t>regulatory template</w:t>
      </w:r>
      <w:r>
        <w:rPr>
          <w:lang w:eastAsia="en-AU"/>
        </w:rPr>
        <w:t xml:space="preserve"> 2.3</w:t>
      </w:r>
      <w:r w:rsidRPr="00FE4566">
        <w:rPr>
          <w:lang w:eastAsia="en-AU"/>
        </w:rPr>
        <w:t xml:space="preserve">), describe this relationship in the </w:t>
      </w:r>
      <w:r>
        <w:rPr>
          <w:i/>
        </w:rPr>
        <w:t>basis of preparation</w:t>
      </w:r>
      <w:r w:rsidRPr="00FE4566">
        <w:rPr>
          <w:lang w:eastAsia="en-AU"/>
        </w:rPr>
        <w:t>.</w:t>
      </w:r>
    </w:p>
    <w:p w:rsidR="00AE5FBA" w:rsidRPr="00FE4566" w:rsidRDefault="00AE5FBA" w:rsidP="008C254A">
      <w:pPr>
        <w:pStyle w:val="Numberlist2"/>
        <w:rPr>
          <w:lang w:eastAsia="en-AU"/>
        </w:rPr>
      </w:pPr>
      <w:r>
        <w:rPr>
          <w:lang w:eastAsia="en-AU"/>
        </w:rPr>
        <w:t xml:space="preserve">Where </w:t>
      </w:r>
      <w:r w:rsidRPr="00E34849">
        <w:rPr>
          <w:noProof/>
          <w:lang w:eastAsia="en-AU"/>
        </w:rPr>
        <w:t>TNSP</w:t>
      </w:r>
      <w:r>
        <w:rPr>
          <w:lang w:eastAsia="en-AU"/>
        </w:rPr>
        <w:t xml:space="preserve"> chooses</w:t>
      </w:r>
      <w:r w:rsidRPr="00FE4566">
        <w:rPr>
          <w:lang w:eastAsia="en-AU"/>
        </w:rPr>
        <w:t xml:space="preserve"> '</w:t>
      </w:r>
      <w:proofErr w:type="gramStart"/>
      <w:r w:rsidRPr="00FE4566">
        <w:rPr>
          <w:lang w:eastAsia="en-AU"/>
        </w:rPr>
        <w:t>Other</w:t>
      </w:r>
      <w:proofErr w:type="gramEnd"/>
      <w:r w:rsidRPr="00FE4566">
        <w:rPr>
          <w:lang w:eastAsia="en-AU"/>
        </w:rPr>
        <w:t xml:space="preserve"> - specify' in a drop down list, provide details in the </w:t>
      </w:r>
      <w:r>
        <w:rPr>
          <w:i/>
        </w:rPr>
        <w:t>basis of preparation</w:t>
      </w:r>
      <w:r w:rsidRPr="00FE4566">
        <w:rPr>
          <w:lang w:eastAsia="en-AU"/>
        </w:rPr>
        <w:t>.</w:t>
      </w:r>
    </w:p>
    <w:p w:rsidR="00AE5FBA" w:rsidRDefault="00AE5FBA" w:rsidP="008C254A">
      <w:pPr>
        <w:pStyle w:val="Numberlist2"/>
      </w:pPr>
      <w:r w:rsidRPr="00F96F3A">
        <w:t xml:space="preserve">For ‘Line ID’, input </w:t>
      </w:r>
      <w:r w:rsidRPr="00E34849">
        <w:rPr>
          <w:noProof/>
        </w:rPr>
        <w:t>TNSP</w:t>
      </w:r>
      <w:r>
        <w:rPr>
          <w:noProof/>
        </w:rPr>
        <w:t xml:space="preserve">’s </w:t>
      </w:r>
      <w:r w:rsidRPr="00F96F3A">
        <w:t xml:space="preserve">identifier for the circuit(s) subject to </w:t>
      </w:r>
      <w:r w:rsidRPr="00AF2CCF">
        <w:rPr>
          <w:i/>
        </w:rPr>
        <w:t>augmentation</w:t>
      </w:r>
      <w:r w:rsidRPr="00F96F3A">
        <w:t xml:space="preserve"> works under the Project ID. This may be the circuit name(s), location and/or code.</w:t>
      </w:r>
    </w:p>
    <w:p w:rsidR="00AE5FBA" w:rsidRPr="00FE4566" w:rsidRDefault="00AE5FBA" w:rsidP="008C254A">
      <w:pPr>
        <w:pStyle w:val="Numberlist2"/>
        <w:rPr>
          <w:lang w:eastAsia="en-AU"/>
        </w:rPr>
      </w:pPr>
      <w:r w:rsidRPr="00FE4566">
        <w:t xml:space="preserve">For 'Project ID', </w:t>
      </w:r>
      <w:r>
        <w:t xml:space="preserve">input </w:t>
      </w:r>
      <w:r w:rsidRPr="00E34849">
        <w:rPr>
          <w:noProof/>
        </w:rPr>
        <w:t>TNSP</w:t>
      </w:r>
      <w:r>
        <w:t>’s</w:t>
      </w:r>
      <w:r w:rsidRPr="00FE4566">
        <w:t xml:space="preserve"> identifier for the project. This may be the project name, location and/or code.</w:t>
      </w:r>
    </w:p>
    <w:p w:rsidR="00AE5FBA" w:rsidRDefault="00AE5FBA" w:rsidP="008C254A">
      <w:pPr>
        <w:pStyle w:val="Numberlist2"/>
        <w:rPr>
          <w:lang w:eastAsia="en-AU"/>
        </w:rPr>
      </w:pPr>
      <w:r>
        <w:t xml:space="preserve">For ‘Project trigger’, choose the primary trigger for the project from the drop down list. Describe secondary triggers in the </w:t>
      </w:r>
      <w:r>
        <w:rPr>
          <w:i/>
        </w:rPr>
        <w:t>basis of preparation</w:t>
      </w:r>
      <w:r>
        <w:t>. Where there is no primary trigger (among multiple triggers), choose ‘</w:t>
      </w:r>
      <w:proofErr w:type="gramStart"/>
      <w:r>
        <w:t>Other</w:t>
      </w:r>
      <w:proofErr w:type="gramEnd"/>
      <w:r>
        <w:t xml:space="preserve"> – specify’ and describe the triggers in the </w:t>
      </w:r>
      <w:r>
        <w:rPr>
          <w:i/>
        </w:rPr>
        <w:t>basis of preparation</w:t>
      </w:r>
      <w:r>
        <w:t>.</w:t>
      </w:r>
    </w:p>
    <w:p w:rsidR="00AE5FBA" w:rsidRPr="00FE4566" w:rsidRDefault="00AE5FBA" w:rsidP="008C254A">
      <w:pPr>
        <w:pStyle w:val="Numberlist2"/>
        <w:rPr>
          <w:lang w:eastAsia="en-AU"/>
        </w:rPr>
      </w:pPr>
      <w:r w:rsidRPr="00685CA0">
        <w:t xml:space="preserve">For </w:t>
      </w:r>
      <w:r w:rsidRPr="00961467">
        <w:rPr>
          <w:i/>
        </w:rPr>
        <w:t>line</w:t>
      </w:r>
      <w:r w:rsidRPr="00685CA0">
        <w:t xml:space="preserve"> </w:t>
      </w:r>
      <w:r>
        <w:t xml:space="preserve">and </w:t>
      </w:r>
      <w:r w:rsidRPr="00AF2CCF">
        <w:rPr>
          <w:i/>
        </w:rPr>
        <w:t>cable</w:t>
      </w:r>
      <w:r>
        <w:t xml:space="preserve"> </w:t>
      </w:r>
      <w:r w:rsidRPr="00685CA0">
        <w:t xml:space="preserve">ratings, 'Pre' refers to the relevant characteristic prior to the </w:t>
      </w:r>
      <w:r w:rsidRPr="00961467">
        <w:rPr>
          <w:i/>
        </w:rPr>
        <w:t>augmentation</w:t>
      </w:r>
      <w:r w:rsidRPr="00685CA0">
        <w:t xml:space="preserve"> work; 'Post' refers to the relevant characteristic after the </w:t>
      </w:r>
      <w:r w:rsidRPr="00961467">
        <w:rPr>
          <w:i/>
        </w:rPr>
        <w:t>augmentation</w:t>
      </w:r>
      <w:r w:rsidRPr="00685CA0">
        <w:t xml:space="preserve"> work. Where a </w:t>
      </w:r>
      <w:r w:rsidRPr="00961467">
        <w:rPr>
          <w:i/>
        </w:rPr>
        <w:t>line</w:t>
      </w:r>
      <w:r w:rsidRPr="00685CA0">
        <w:t xml:space="preserve"> </w:t>
      </w:r>
      <w:r>
        <w:t xml:space="preserve">or </w:t>
      </w:r>
      <w:r w:rsidRPr="00AF2CCF">
        <w:rPr>
          <w:i/>
        </w:rPr>
        <w:t>cable</w:t>
      </w:r>
      <w:r>
        <w:t xml:space="preserve"> </w:t>
      </w:r>
      <w:r w:rsidRPr="00685CA0">
        <w:t xml:space="preserve">rating does not undergo any change, or where the project relates to the establishment of a new </w:t>
      </w:r>
      <w:r w:rsidRPr="00961467">
        <w:rPr>
          <w:i/>
        </w:rPr>
        <w:t>line</w:t>
      </w:r>
      <w:r>
        <w:t xml:space="preserve"> or </w:t>
      </w:r>
      <w:r>
        <w:rPr>
          <w:i/>
        </w:rPr>
        <w:t>cable</w:t>
      </w:r>
      <w:r w:rsidRPr="00685CA0">
        <w:t>, input the metric only in the 'Post' column.</w:t>
      </w:r>
    </w:p>
    <w:p w:rsidR="00AE5FBA" w:rsidRPr="00FE4566" w:rsidRDefault="00AE5FBA" w:rsidP="008C254A">
      <w:pPr>
        <w:pStyle w:val="Numberlist2"/>
        <w:rPr>
          <w:lang w:eastAsia="en-AU"/>
        </w:rPr>
      </w:pPr>
      <w:r w:rsidRPr="00FE4566">
        <w:rPr>
          <w:lang w:eastAsia="en-AU"/>
        </w:rPr>
        <w:t xml:space="preserve">For length metrics, 'km added' refers to the gross addition of the relevant length measure resulting from the </w:t>
      </w:r>
      <w:r w:rsidRPr="00AF2CCF">
        <w:rPr>
          <w:i/>
          <w:lang w:eastAsia="en-AU"/>
        </w:rPr>
        <w:t>augmentation</w:t>
      </w:r>
      <w:r w:rsidRPr="00FE4566">
        <w:rPr>
          <w:lang w:eastAsia="en-AU"/>
        </w:rPr>
        <w:t xml:space="preserve"> work.</w:t>
      </w:r>
    </w:p>
    <w:p w:rsidR="00AE5FBA" w:rsidRPr="00FE4566" w:rsidRDefault="00AE5FBA" w:rsidP="008C254A">
      <w:pPr>
        <w:pStyle w:val="Numberlist3"/>
        <w:rPr>
          <w:lang w:eastAsia="en-AU"/>
        </w:rPr>
      </w:pPr>
      <w:r w:rsidRPr="00FE4566">
        <w:rPr>
          <w:lang w:eastAsia="en-AU"/>
        </w:rPr>
        <w:t xml:space="preserve">This </w:t>
      </w:r>
      <w:r>
        <w:rPr>
          <w:lang w:eastAsia="en-AU"/>
        </w:rPr>
        <w:t>must</w:t>
      </w:r>
      <w:r w:rsidRPr="00FE4566">
        <w:rPr>
          <w:lang w:eastAsia="en-AU"/>
        </w:rPr>
        <w:t xml:space="preserve"> not be net of </w:t>
      </w:r>
      <w:r w:rsidRPr="00AF2CCF">
        <w:rPr>
          <w:i/>
          <w:lang w:eastAsia="en-AU"/>
        </w:rPr>
        <w:t>line</w:t>
      </w:r>
      <w:r>
        <w:rPr>
          <w:lang w:eastAsia="en-AU"/>
        </w:rPr>
        <w:t xml:space="preserve"> or </w:t>
      </w:r>
      <w:r w:rsidRPr="00AF2CCF">
        <w:rPr>
          <w:i/>
          <w:lang w:eastAsia="en-AU"/>
        </w:rPr>
        <w:t>cable</w:t>
      </w:r>
      <w:r w:rsidRPr="00FE4566">
        <w:rPr>
          <w:lang w:eastAsia="en-AU"/>
        </w:rPr>
        <w:t xml:space="preserve"> removal. If the </w:t>
      </w:r>
      <w:r w:rsidRPr="00AF2CCF">
        <w:rPr>
          <w:i/>
          <w:lang w:eastAsia="en-AU"/>
        </w:rPr>
        <w:t>augmentation</w:t>
      </w:r>
      <w:r w:rsidRPr="00FE4566">
        <w:rPr>
          <w:lang w:eastAsia="en-AU"/>
        </w:rPr>
        <w:t xml:space="preserve"> project includes </w:t>
      </w:r>
      <w:r w:rsidRPr="00AF2CCF">
        <w:rPr>
          <w:i/>
          <w:lang w:eastAsia="en-AU"/>
        </w:rPr>
        <w:t>line</w:t>
      </w:r>
      <w:r w:rsidRPr="00FE4566">
        <w:rPr>
          <w:lang w:eastAsia="en-AU"/>
        </w:rPr>
        <w:t xml:space="preserve"> </w:t>
      </w:r>
      <w:r>
        <w:rPr>
          <w:lang w:eastAsia="en-AU"/>
        </w:rPr>
        <w:t xml:space="preserve">or </w:t>
      </w:r>
      <w:r w:rsidRPr="00AF2CCF">
        <w:rPr>
          <w:i/>
          <w:lang w:eastAsia="en-AU"/>
        </w:rPr>
        <w:t>cable</w:t>
      </w:r>
      <w:r>
        <w:rPr>
          <w:lang w:eastAsia="en-AU"/>
        </w:rPr>
        <w:t xml:space="preserve"> </w:t>
      </w:r>
      <w:r w:rsidRPr="00FE4566">
        <w:rPr>
          <w:lang w:eastAsia="en-AU"/>
        </w:rPr>
        <w:t xml:space="preserve">removal, describe the amount in the </w:t>
      </w:r>
      <w:r>
        <w:rPr>
          <w:i/>
        </w:rPr>
        <w:t>basis of preparation</w:t>
      </w:r>
      <w:r w:rsidRPr="00FE4566">
        <w:rPr>
          <w:lang w:eastAsia="en-AU"/>
        </w:rPr>
        <w:t>.</w:t>
      </w:r>
    </w:p>
    <w:p w:rsidR="00AE5FBA" w:rsidRPr="00FE4566" w:rsidRDefault="00AE5FBA" w:rsidP="008C254A">
      <w:pPr>
        <w:pStyle w:val="Numberlist2"/>
        <w:rPr>
          <w:lang w:eastAsia="en-AU"/>
        </w:rPr>
      </w:pPr>
      <w:r w:rsidRPr="00FE4566">
        <w:rPr>
          <w:lang w:eastAsia="en-AU"/>
        </w:rPr>
        <w:t xml:space="preserve">Under 'Total expenditure' for </w:t>
      </w:r>
      <w:r w:rsidRPr="00AF2CCF">
        <w:rPr>
          <w:i/>
          <w:lang w:eastAsia="en-AU"/>
        </w:rPr>
        <w:t>towers/poles</w:t>
      </w:r>
      <w:r w:rsidRPr="00FE4566">
        <w:rPr>
          <w:lang w:eastAsia="en-AU"/>
        </w:rPr>
        <w:t xml:space="preserve">, include the procurement costs of the equipment and </w:t>
      </w:r>
      <w:r w:rsidRPr="00AF2CCF">
        <w:rPr>
          <w:i/>
          <w:lang w:eastAsia="en-AU"/>
        </w:rPr>
        <w:t>civil works</w:t>
      </w:r>
      <w:r w:rsidRPr="00FE4566">
        <w:rPr>
          <w:lang w:eastAsia="en-AU"/>
        </w:rPr>
        <w:t xml:space="preserve">. This </w:t>
      </w:r>
      <w:r>
        <w:rPr>
          <w:lang w:eastAsia="en-AU"/>
        </w:rPr>
        <w:t>must</w:t>
      </w:r>
      <w:r w:rsidRPr="00FE4566">
        <w:rPr>
          <w:lang w:eastAsia="en-AU"/>
        </w:rPr>
        <w:t xml:space="preserve"> not include installation costs.</w:t>
      </w:r>
    </w:p>
    <w:p w:rsidR="00AE5FBA" w:rsidRPr="00FE4566" w:rsidRDefault="00AE5FBA" w:rsidP="008C254A">
      <w:pPr>
        <w:pStyle w:val="Numberlist2"/>
        <w:rPr>
          <w:lang w:eastAsia="en-AU"/>
        </w:rPr>
      </w:pPr>
      <w:r w:rsidRPr="00FE4566">
        <w:rPr>
          <w:lang w:eastAsia="en-AU"/>
        </w:rPr>
        <w:t xml:space="preserve">Under 'Total expenditure' for </w:t>
      </w:r>
      <w:r w:rsidRPr="00AF2CCF">
        <w:rPr>
          <w:i/>
        </w:rPr>
        <w:t>lines</w:t>
      </w:r>
      <w:r>
        <w:t xml:space="preserve">, </w:t>
      </w:r>
      <w:r w:rsidRPr="00AF2CCF">
        <w:rPr>
          <w:i/>
        </w:rPr>
        <w:t>cables</w:t>
      </w:r>
      <w:r>
        <w:t xml:space="preserve"> and ‘other plant item’</w:t>
      </w:r>
      <w:r w:rsidRPr="00FE4566">
        <w:rPr>
          <w:lang w:eastAsia="en-AU"/>
        </w:rPr>
        <w:t xml:space="preserve">, respectively, include only the procurement costs of the equipment. This </w:t>
      </w:r>
      <w:r>
        <w:rPr>
          <w:lang w:eastAsia="en-AU"/>
        </w:rPr>
        <w:t xml:space="preserve">must </w:t>
      </w:r>
      <w:r w:rsidRPr="00FE4566">
        <w:rPr>
          <w:lang w:eastAsia="en-AU"/>
        </w:rPr>
        <w:t>not include installation costs.</w:t>
      </w:r>
    </w:p>
    <w:p w:rsidR="00AE5FBA" w:rsidRDefault="00AE5FBA" w:rsidP="008C254A">
      <w:pPr>
        <w:pStyle w:val="Numberlist2"/>
        <w:rPr>
          <w:lang w:eastAsia="en-AU"/>
        </w:rPr>
      </w:pPr>
      <w:r w:rsidRPr="00FE4566">
        <w:rPr>
          <w:lang w:eastAsia="en-AU"/>
        </w:rPr>
        <w:t xml:space="preserve">Under 'Total expenditure' for </w:t>
      </w:r>
      <w:r w:rsidRPr="00AF2CCF">
        <w:rPr>
          <w:i/>
          <w:lang w:eastAsia="en-AU"/>
        </w:rPr>
        <w:t>civil works</w:t>
      </w:r>
      <w:r w:rsidRPr="00FE4566">
        <w:rPr>
          <w:lang w:eastAsia="en-AU"/>
        </w:rPr>
        <w:t xml:space="preserve">, do not include </w:t>
      </w:r>
      <w:r w:rsidRPr="00AF2CCF">
        <w:rPr>
          <w:i/>
          <w:lang w:eastAsia="en-AU"/>
        </w:rPr>
        <w:t>civil works</w:t>
      </w:r>
      <w:r w:rsidRPr="00FE4566">
        <w:rPr>
          <w:lang w:eastAsia="en-AU"/>
        </w:rPr>
        <w:t xml:space="preserve"> expenditure related to </w:t>
      </w:r>
      <w:r w:rsidRPr="00AF2CCF">
        <w:rPr>
          <w:i/>
          <w:lang w:eastAsia="en-AU"/>
        </w:rPr>
        <w:t>towers/poles</w:t>
      </w:r>
      <w:r w:rsidRPr="00FE4566">
        <w:rPr>
          <w:lang w:eastAsia="en-AU"/>
        </w:rPr>
        <w:t>.</w:t>
      </w:r>
      <w:r>
        <w:rPr>
          <w:lang w:eastAsia="en-AU"/>
        </w:rPr>
        <w:t xml:space="preserve"> </w:t>
      </w:r>
      <w:r w:rsidRPr="00EB2DA4">
        <w:t>As a guide, expenditure</w:t>
      </w:r>
      <w:r>
        <w:t xml:space="preserve"> </w:t>
      </w:r>
      <w:r w:rsidRPr="00E34849">
        <w:rPr>
          <w:noProof/>
        </w:rPr>
        <w:t>TNSP</w:t>
      </w:r>
      <w:r w:rsidRPr="00EB2DA4">
        <w:t xml:space="preserve"> may input under ‘Other expenditure – </w:t>
      </w:r>
      <w:r w:rsidRPr="00AF2CCF">
        <w:rPr>
          <w:i/>
        </w:rPr>
        <w:t>Civil works</w:t>
      </w:r>
      <w:r w:rsidRPr="00EB2DA4">
        <w:t>’ includes (but is not limited to) construction of access tracks, construction pads and vegetation clearance.</w:t>
      </w:r>
    </w:p>
    <w:p w:rsidR="00AE5FBA" w:rsidRDefault="00AE5FBA" w:rsidP="008C254A">
      <w:pPr>
        <w:pStyle w:val="Numberlist2"/>
      </w:pPr>
      <w:r w:rsidRPr="009F7091">
        <w:lastRenderedPageBreak/>
        <w:t xml:space="preserve">Expenditure inputted under the ‘Land and </w:t>
      </w:r>
      <w:r w:rsidRPr="00AF2CCF">
        <w:rPr>
          <w:i/>
        </w:rPr>
        <w:t>easements</w:t>
      </w:r>
      <w:r w:rsidRPr="009F7091">
        <w:t xml:space="preserve">’ columns is mutually exclusive from expenditure that appear in the columns that sum to the ‘Total direct expenditure’ column. In other words, the ‘Total direct expenditure’ for a particular project must not include expenditure inputted into the ‘Land and </w:t>
      </w:r>
      <w:r w:rsidRPr="00AF2CCF">
        <w:rPr>
          <w:i/>
        </w:rPr>
        <w:t>easements</w:t>
      </w:r>
      <w:r w:rsidRPr="009F7091">
        <w:t>’ columns.</w:t>
      </w:r>
    </w:p>
    <w:p w:rsidR="00AE5FBA" w:rsidRDefault="00AE5FBA" w:rsidP="008C254A">
      <w:pPr>
        <w:pStyle w:val="Numberlist2"/>
      </w:pPr>
      <w:r>
        <w:t xml:space="preserve">If </w:t>
      </w:r>
      <w:r w:rsidRPr="00E34849">
        <w:rPr>
          <w:noProof/>
        </w:rPr>
        <w:t>TNSP</w:t>
      </w:r>
      <w:r>
        <w:t xml:space="preserve"> records land and </w:t>
      </w:r>
      <w:r w:rsidRPr="00AF2CCF">
        <w:rPr>
          <w:i/>
        </w:rPr>
        <w:t>easement</w:t>
      </w:r>
      <w:r>
        <w:t xml:space="preserve"> projects and/or expenditures as separate line items for regulatory purposes, select ‘Other – specify’ in the ‘Project type’ drop down list and note ‘Land/easement expenditure’ in the </w:t>
      </w:r>
      <w:r>
        <w:rPr>
          <w:i/>
        </w:rPr>
        <w:t>basis of preparation</w:t>
      </w:r>
      <w:r>
        <w:t>.</w:t>
      </w:r>
    </w:p>
    <w:p w:rsidR="00AE5FBA" w:rsidRDefault="00AE5FBA" w:rsidP="008C254A">
      <w:pPr>
        <w:pStyle w:val="Numberlist3"/>
      </w:pPr>
      <w:r w:rsidRPr="00E34849">
        <w:rPr>
          <w:noProof/>
        </w:rPr>
        <w:t>TNSP</w:t>
      </w:r>
      <w:r>
        <w:rPr>
          <w:noProof/>
        </w:rPr>
        <w:t xml:space="preserve"> </w:t>
      </w:r>
      <w:r>
        <w:t xml:space="preserve">must input expenditure directly attributable to the land purchase or </w:t>
      </w:r>
      <w:r w:rsidRPr="00AF2CCF">
        <w:rPr>
          <w:i/>
        </w:rPr>
        <w:t>easement</w:t>
      </w:r>
      <w:r>
        <w:t xml:space="preserve"> compensation payments in the ‘Land purchases’ and ‘</w:t>
      </w:r>
      <w:r w:rsidRPr="00AF2CCF">
        <w:rPr>
          <w:i/>
        </w:rPr>
        <w:t>Easements</w:t>
      </w:r>
      <w:r>
        <w:t xml:space="preserve">’ columns, respectively. These costs include legal, stamp duties and cost of purchase or </w:t>
      </w:r>
      <w:r w:rsidRPr="00AF2CCF">
        <w:rPr>
          <w:i/>
        </w:rPr>
        <w:t>easement</w:t>
      </w:r>
      <w:r>
        <w:t xml:space="preserve"> compensation payments.</w:t>
      </w:r>
    </w:p>
    <w:p w:rsidR="00AE5FBA" w:rsidRPr="00FE4566" w:rsidRDefault="00AE5FBA" w:rsidP="008C254A">
      <w:pPr>
        <w:pStyle w:val="Numberlist2"/>
        <w:rPr>
          <w:lang w:eastAsia="en-AU"/>
        </w:rPr>
      </w:pPr>
      <w:r w:rsidRPr="00E34849">
        <w:rPr>
          <w:noProof/>
        </w:rPr>
        <w:t>TNSP</w:t>
      </w:r>
      <w:r>
        <w:rPr>
          <w:noProof/>
        </w:rPr>
        <w:t xml:space="preserve"> </w:t>
      </w:r>
      <w:r>
        <w:t xml:space="preserve">must input other expenditure attributable to land purchases and </w:t>
      </w:r>
      <w:r w:rsidRPr="00AF2CCF">
        <w:rPr>
          <w:i/>
        </w:rPr>
        <w:t>easements</w:t>
      </w:r>
      <w:r>
        <w:t xml:space="preserve"> in the ‘Other expenditure – Other direct’ column.</w:t>
      </w:r>
    </w:p>
    <w:p w:rsidR="00AE5FBA" w:rsidRPr="00FE4566" w:rsidRDefault="00AE5FBA" w:rsidP="008C254A">
      <w:pPr>
        <w:pStyle w:val="Numberlist2"/>
        <w:rPr>
          <w:lang w:eastAsia="en-AU"/>
        </w:rPr>
      </w:pPr>
      <w:r w:rsidRPr="00FE4566">
        <w:rPr>
          <w:lang w:eastAsia="en-AU"/>
        </w:rPr>
        <w:t>Insert additional rows as required.</w:t>
      </w:r>
    </w:p>
    <w:p w:rsidR="00AE5FBA" w:rsidRPr="00FE4566" w:rsidRDefault="00AE5FBA" w:rsidP="008C254A">
      <w:pPr>
        <w:pStyle w:val="Numberlist2"/>
        <w:rPr>
          <w:lang w:eastAsia="en-AU"/>
        </w:rPr>
      </w:pPr>
      <w:r w:rsidRPr="00FE4566">
        <w:rPr>
          <w:lang w:eastAsia="en-AU"/>
        </w:rPr>
        <w:t>Definitions</w:t>
      </w:r>
      <w:r>
        <w:rPr>
          <w:lang w:eastAsia="en-AU"/>
        </w:rPr>
        <w:t xml:space="preserve">: </w:t>
      </w:r>
      <w:r w:rsidRPr="00FE4566">
        <w:rPr>
          <w:lang w:eastAsia="en-AU"/>
        </w:rPr>
        <w:t>Other plant item</w:t>
      </w:r>
    </w:p>
    <w:p w:rsidR="00AE5FBA" w:rsidRDefault="00AE5FBA" w:rsidP="008C254A">
      <w:pPr>
        <w:pStyle w:val="Numberlist3"/>
        <w:rPr>
          <w:lang w:eastAsia="en-AU"/>
        </w:rPr>
      </w:pPr>
      <w:r w:rsidRPr="00FE4566">
        <w:rPr>
          <w:lang w:eastAsia="en-AU"/>
        </w:rPr>
        <w:t xml:space="preserve">All equipment involved in utilising or transmitting electrical energy that are not </w:t>
      </w:r>
      <w:r w:rsidRPr="00AF2CCF">
        <w:rPr>
          <w:i/>
          <w:lang w:eastAsia="en-AU"/>
        </w:rPr>
        <w:t>towers/poles (including pole top or tower structures)</w:t>
      </w:r>
      <w:r w:rsidRPr="00FE4566">
        <w:rPr>
          <w:lang w:eastAsia="en-AU"/>
        </w:rPr>
        <w:t xml:space="preserve">, </w:t>
      </w:r>
      <w:r w:rsidRPr="00AF2CCF">
        <w:rPr>
          <w:i/>
          <w:lang w:eastAsia="en-AU"/>
        </w:rPr>
        <w:t>lines</w:t>
      </w:r>
      <w:r>
        <w:rPr>
          <w:lang w:eastAsia="en-AU"/>
        </w:rPr>
        <w:t xml:space="preserve"> or </w:t>
      </w:r>
      <w:r w:rsidRPr="00AF2CCF">
        <w:rPr>
          <w:i/>
          <w:lang w:eastAsia="en-AU"/>
        </w:rPr>
        <w:t>cables</w:t>
      </w:r>
      <w:r w:rsidRPr="00FE4566">
        <w:rPr>
          <w:lang w:eastAsia="en-AU"/>
        </w:rPr>
        <w:t>.</w:t>
      </w:r>
    </w:p>
    <w:p w:rsidR="00AE5FBA" w:rsidRDefault="00AE5FBA" w:rsidP="008C254A">
      <w:pPr>
        <w:pStyle w:val="Numberlist3"/>
        <w:rPr>
          <w:lang w:eastAsia="en-AU"/>
        </w:rPr>
      </w:pPr>
      <w:r>
        <w:t>This may include cable termination, cable transition and line diversion.</w:t>
      </w:r>
    </w:p>
    <w:p w:rsidR="00AE5FBA" w:rsidRDefault="00AE5FBA" w:rsidP="008C254A">
      <w:pPr>
        <w:pStyle w:val="Numberlist1"/>
        <w:rPr>
          <w:lang w:eastAsia="en-AU"/>
        </w:rPr>
      </w:pPr>
      <w:r>
        <w:rPr>
          <w:lang w:eastAsia="en-AU"/>
        </w:rPr>
        <w:t>Table 2.3.3</w:t>
      </w:r>
      <w:r w:rsidRPr="00D41923">
        <w:rPr>
          <w:lang w:eastAsia="en-AU"/>
        </w:rPr>
        <w:t xml:space="preserve"> instructions:</w:t>
      </w:r>
      <w:r w:rsidRPr="00DC1990">
        <w:rPr>
          <w:lang w:eastAsia="en-AU"/>
        </w:rPr>
        <w:t xml:space="preserve"> </w:t>
      </w:r>
    </w:p>
    <w:p w:rsidR="00AE5FBA" w:rsidRDefault="00AE5FBA" w:rsidP="008C254A">
      <w:pPr>
        <w:pStyle w:val="Numberlist2"/>
        <w:rPr>
          <w:lang w:eastAsia="en-AU"/>
        </w:rPr>
      </w:pPr>
      <w:r w:rsidRPr="00E34849">
        <w:rPr>
          <w:noProof/>
          <w:lang w:eastAsia="en-AU"/>
        </w:rPr>
        <w:t>TNSP</w:t>
      </w:r>
      <w:r>
        <w:rPr>
          <w:lang w:eastAsia="en-AU"/>
        </w:rPr>
        <w:t xml:space="preserve"> must </w:t>
      </w:r>
      <w:r w:rsidRPr="00D41923">
        <w:rPr>
          <w:lang w:eastAsia="en-AU"/>
        </w:rPr>
        <w:t xml:space="preserve">input the total </w:t>
      </w:r>
      <w:r w:rsidRPr="00AF2CCF">
        <w:rPr>
          <w:i/>
          <w:lang w:eastAsia="en-AU"/>
        </w:rPr>
        <w:t>augmentation</w:t>
      </w:r>
      <w:r w:rsidRPr="00D41923">
        <w:rPr>
          <w:lang w:eastAsia="en-AU"/>
        </w:rPr>
        <w:t xml:space="preserve"> expenditure for each asset group split by the groupings specified by the table.</w:t>
      </w:r>
      <w:r w:rsidRPr="00DC1990">
        <w:rPr>
          <w:lang w:eastAsia="en-AU"/>
        </w:rPr>
        <w:t xml:space="preserve"> </w:t>
      </w:r>
    </w:p>
    <w:p w:rsidR="00AE5FBA" w:rsidRDefault="00AE5FBA" w:rsidP="00AF2CCF">
      <w:pPr>
        <w:pStyle w:val="Numberlist3"/>
        <w:rPr>
          <w:lang w:eastAsia="en-AU"/>
        </w:rPr>
      </w:pPr>
      <w:r>
        <w:rPr>
          <w:lang w:eastAsia="en-AU"/>
        </w:rPr>
        <w:t>Record a</w:t>
      </w:r>
      <w:r w:rsidRPr="00FE4566">
        <w:rPr>
          <w:lang w:eastAsia="en-AU"/>
        </w:rPr>
        <w:t>ll expenditure data on a</w:t>
      </w:r>
      <w:r>
        <w:rPr>
          <w:lang w:eastAsia="en-AU"/>
        </w:rPr>
        <w:t>n ‘as incurred’</w:t>
      </w:r>
      <w:r w:rsidRPr="00FE4566">
        <w:rPr>
          <w:lang w:eastAsia="en-AU"/>
        </w:rPr>
        <w:t xml:space="preserve"> basis in </w:t>
      </w:r>
      <w:r>
        <w:rPr>
          <w:lang w:eastAsia="en-AU"/>
        </w:rPr>
        <w:t>nominal dollars.</w:t>
      </w:r>
    </w:p>
    <w:p w:rsidR="00AE5FBA" w:rsidRPr="00685CA0" w:rsidRDefault="00AE5FBA" w:rsidP="008C254A">
      <w:pPr>
        <w:pStyle w:val="Numberlist2"/>
        <w:rPr>
          <w:lang w:eastAsia="en-AU"/>
        </w:rPr>
      </w:pPr>
      <w:r w:rsidRPr="00E34849">
        <w:rPr>
          <w:noProof/>
          <w:lang w:eastAsia="en-AU"/>
        </w:rPr>
        <w:t>TNSP</w:t>
      </w:r>
      <w:r>
        <w:rPr>
          <w:lang w:eastAsia="en-AU"/>
        </w:rPr>
        <w:t xml:space="preserve"> </w:t>
      </w:r>
      <w:r w:rsidRPr="00D41923">
        <w:rPr>
          <w:lang w:eastAsia="en-AU"/>
        </w:rPr>
        <w:t xml:space="preserve">must explain how the sum of the asset group </w:t>
      </w:r>
      <w:r w:rsidRPr="00AF2CCF">
        <w:rPr>
          <w:i/>
          <w:lang w:eastAsia="en-AU"/>
        </w:rPr>
        <w:t>augmentation</w:t>
      </w:r>
      <w:r w:rsidRPr="00D41923">
        <w:rPr>
          <w:lang w:eastAsia="en-AU"/>
        </w:rPr>
        <w:t xml:space="preserve"> expenditures reconciles to the </w:t>
      </w:r>
      <w:r w:rsidRPr="00AF2CCF">
        <w:rPr>
          <w:i/>
          <w:lang w:eastAsia="en-AU"/>
        </w:rPr>
        <w:t>augmentation</w:t>
      </w:r>
      <w:r>
        <w:rPr>
          <w:lang w:eastAsia="en-AU"/>
        </w:rPr>
        <w:t xml:space="preserve"> expenditure in tables 2.3.1 and</w:t>
      </w:r>
      <w:r w:rsidRPr="00D41923">
        <w:rPr>
          <w:lang w:eastAsia="en-AU"/>
        </w:rPr>
        <w:t xml:space="preserve"> </w:t>
      </w:r>
      <w:r>
        <w:rPr>
          <w:lang w:eastAsia="en-AU"/>
        </w:rPr>
        <w:t>2.3.2</w:t>
      </w:r>
      <w:r w:rsidRPr="00D41923">
        <w:rPr>
          <w:lang w:eastAsia="en-AU"/>
        </w:rPr>
        <w:t>.</w:t>
      </w:r>
    </w:p>
    <w:p w:rsidR="00AE5FBA" w:rsidRPr="001455A5" w:rsidRDefault="00AE5FBA" w:rsidP="0052182B">
      <w:pPr>
        <w:pStyle w:val="Heading2"/>
        <w:rPr>
          <w:lang w:eastAsia="en-AU"/>
        </w:rPr>
      </w:pPr>
      <w:bookmarkStart w:id="24" w:name="_Toc383506914"/>
      <w:r w:rsidRPr="001455A5">
        <w:rPr>
          <w:lang w:eastAsia="en-AU"/>
        </w:rPr>
        <w:t>DEMAND</w:t>
      </w:r>
      <w:bookmarkEnd w:id="24"/>
    </w:p>
    <w:p w:rsidR="00AE5FBA" w:rsidRDefault="00AE5FBA" w:rsidP="00F85FC3">
      <w:r>
        <w:t xml:space="preserve">General instructions for </w:t>
      </w:r>
      <w:r w:rsidRPr="00B07BA9">
        <w:rPr>
          <w:i/>
        </w:rPr>
        <w:t>regulatory template</w:t>
      </w:r>
      <w:r>
        <w:rPr>
          <w:i/>
        </w:rPr>
        <w:t>s</w:t>
      </w:r>
      <w:r>
        <w:t xml:space="preserve"> 4.2 and 4.3</w:t>
      </w:r>
    </w:p>
    <w:p w:rsidR="00AE5FBA" w:rsidRDefault="00AE5FBA" w:rsidP="00F85FC3">
      <w:pPr>
        <w:pStyle w:val="Numberlist1"/>
        <w:rPr>
          <w:lang w:eastAsia="en-AU"/>
        </w:rPr>
      </w:pPr>
      <w:r w:rsidRPr="00E34849">
        <w:rPr>
          <w:noProof/>
          <w:lang w:eastAsia="en-AU"/>
        </w:rPr>
        <w:t>TNSP</w:t>
      </w:r>
      <w:r>
        <w:rPr>
          <w:lang w:eastAsia="en-AU"/>
        </w:rPr>
        <w:t xml:space="preserve"> must </w:t>
      </w:r>
      <w:r w:rsidRPr="009F74C1">
        <w:rPr>
          <w:lang w:eastAsia="en-AU"/>
        </w:rPr>
        <w:t>enter figures in yellow-shaded cells.</w:t>
      </w:r>
    </w:p>
    <w:p w:rsidR="00AE5FBA" w:rsidRDefault="00AE5FBA" w:rsidP="00AF2CCF">
      <w:pPr>
        <w:pStyle w:val="Numberlist2"/>
        <w:rPr>
          <w:lang w:eastAsia="en-AU"/>
        </w:rPr>
      </w:pPr>
      <w:r w:rsidRPr="00E34849">
        <w:rPr>
          <w:noProof/>
        </w:rPr>
        <w:t>TNSP</w:t>
      </w:r>
      <w:r>
        <w:t xml:space="preserve"> must enter figures in orange-shaded cells where it collects such information. Further instructions are provided for specific items below.</w:t>
      </w:r>
    </w:p>
    <w:p w:rsidR="00AE5FBA" w:rsidRDefault="00AE5FBA" w:rsidP="002175B6">
      <w:pPr>
        <w:pStyle w:val="Numberlist1"/>
      </w:pPr>
      <w:r w:rsidRPr="003B1365">
        <w:t>For the ‘</w:t>
      </w:r>
      <w:r w:rsidRPr="00AF2CCF">
        <w:rPr>
          <w:i/>
        </w:rPr>
        <w:t>Winter/Summer peaking</w:t>
      </w:r>
      <w:r w:rsidRPr="003B1365">
        <w:t xml:space="preserve">’ line item, the NSP is to indicate the season in which the </w:t>
      </w:r>
      <w:r w:rsidRPr="00AF2CCF">
        <w:rPr>
          <w:i/>
        </w:rPr>
        <w:t>maximum demand</w:t>
      </w:r>
      <w:r w:rsidRPr="003B1365">
        <w:t xml:space="preserve"> occurred by entering ‘Winter’ or ‘Summer’ as appropriate.</w:t>
      </w:r>
    </w:p>
    <w:p w:rsidR="00AE5FBA" w:rsidRPr="002175B6" w:rsidRDefault="00AE5FBA" w:rsidP="002175B6">
      <w:pPr>
        <w:pStyle w:val="Numberlist1"/>
      </w:pPr>
      <w:r>
        <w:t xml:space="preserve">Where the seasonality of </w:t>
      </w:r>
      <w:r w:rsidRPr="00E34849">
        <w:rPr>
          <w:noProof/>
        </w:rPr>
        <w:t>TNSP</w:t>
      </w:r>
      <w:r>
        <w:t xml:space="preserve">’s </w:t>
      </w:r>
      <w:r w:rsidRPr="00AF2CCF">
        <w:rPr>
          <w:i/>
        </w:rPr>
        <w:t>maximum demand</w:t>
      </w:r>
      <w:r>
        <w:t xml:space="preserve"> does not correspond with the form of its regulatory years, </w:t>
      </w:r>
      <w:r w:rsidRPr="00E34849">
        <w:rPr>
          <w:noProof/>
        </w:rPr>
        <w:t>TNSP</w:t>
      </w:r>
      <w:r>
        <w:t xml:space="preserve"> must explain its basis of reporting MD in the </w:t>
      </w:r>
      <w:r>
        <w:rPr>
          <w:i/>
        </w:rPr>
        <w:t>basis of preparation</w:t>
      </w:r>
      <w:r>
        <w:t xml:space="preserve">. For example, if </w:t>
      </w:r>
      <w:r w:rsidRPr="00E34849">
        <w:rPr>
          <w:noProof/>
        </w:rPr>
        <w:t>TNSP</w:t>
      </w:r>
      <w:r>
        <w:t xml:space="preserve"> forecasts expenditure on a financial year basis but forecasts MD on a calendar year basis because of winter MD, </w:t>
      </w:r>
      <w:r w:rsidRPr="00E34849">
        <w:rPr>
          <w:noProof/>
        </w:rPr>
        <w:t>TNSP</w:t>
      </w:r>
      <w:r>
        <w:rPr>
          <w:noProof/>
        </w:rPr>
        <w:t xml:space="preserve"> </w:t>
      </w:r>
      <w:r>
        <w:t xml:space="preserve">would state </w:t>
      </w:r>
      <w:r>
        <w:lastRenderedPageBreak/>
        <w:t>that it reports MD on a calendar year basis and describe, for example, the months that it includes for any given regulatory year.</w:t>
      </w:r>
    </w:p>
    <w:p w:rsidR="00AE5FBA" w:rsidRDefault="00AE5FBA" w:rsidP="00F85FC3">
      <w:pPr>
        <w:pStyle w:val="Body"/>
        <w:rPr>
          <w:b/>
          <w:lang w:eastAsia="en-AU"/>
        </w:rPr>
      </w:pPr>
      <w:r w:rsidRPr="00DC1990">
        <w:rPr>
          <w:b/>
          <w:lang w:eastAsia="en-AU"/>
        </w:rPr>
        <w:t>Network level</w:t>
      </w:r>
    </w:p>
    <w:p w:rsidR="00AE5FBA" w:rsidRDefault="00AE5FBA" w:rsidP="00AF2CCF">
      <w:pPr>
        <w:pStyle w:val="Body"/>
        <w:tabs>
          <w:tab w:val="left" w:pos="884"/>
        </w:tabs>
        <w:rPr>
          <w:lang w:eastAsia="en-AU"/>
        </w:rPr>
      </w:pPr>
      <w:r>
        <w:t xml:space="preserve">Instructions for </w:t>
      </w:r>
      <w:r w:rsidRPr="00B07BA9">
        <w:rPr>
          <w:i/>
        </w:rPr>
        <w:t>regulatory template</w:t>
      </w:r>
      <w:r>
        <w:t xml:space="preserve"> 4.2</w:t>
      </w:r>
      <w:r>
        <w:rPr>
          <w:b/>
          <w:lang w:eastAsia="en-AU"/>
        </w:rPr>
        <w:tab/>
      </w:r>
    </w:p>
    <w:p w:rsidR="00AE5FBA" w:rsidRDefault="00AE5FBA" w:rsidP="00F85FC3">
      <w:pPr>
        <w:pStyle w:val="Numberlist1"/>
      </w:pPr>
      <w:r w:rsidRPr="00BD3AD4">
        <w:t xml:space="preserve">Input </w:t>
      </w:r>
      <w:r w:rsidRPr="00AF2CCF">
        <w:rPr>
          <w:i/>
        </w:rPr>
        <w:t>maximum demand</w:t>
      </w:r>
      <w:r w:rsidRPr="00BD3AD4">
        <w:t xml:space="preserve"> information at the </w:t>
      </w:r>
      <w:r w:rsidRPr="00AF2CCF">
        <w:rPr>
          <w:i/>
        </w:rPr>
        <w:t>network</w:t>
      </w:r>
      <w:r w:rsidRPr="00BD3AD4">
        <w:t xml:space="preserve"> level</w:t>
      </w:r>
      <w:r>
        <w:t xml:space="preserve"> in </w:t>
      </w:r>
      <w:r w:rsidRPr="00AF2CCF">
        <w:rPr>
          <w:i/>
        </w:rPr>
        <w:t>MW</w:t>
      </w:r>
      <w:r>
        <w:t>.</w:t>
      </w:r>
    </w:p>
    <w:p w:rsidR="00AE5FBA" w:rsidRDefault="00AE5FBA" w:rsidP="00F85FC3">
      <w:pPr>
        <w:pStyle w:val="Numberlist1"/>
      </w:pPr>
      <w:r w:rsidRPr="00E34849">
        <w:rPr>
          <w:noProof/>
        </w:rPr>
        <w:t>TNSP</w:t>
      </w:r>
      <w:r>
        <w:t xml:space="preserve"> must provide inputs for ‘</w:t>
      </w:r>
      <w:r w:rsidRPr="00AF2CCF">
        <w:rPr>
          <w:i/>
        </w:rPr>
        <w:t>Embedded generation</w:t>
      </w:r>
      <w:r>
        <w:t xml:space="preserve">’ if it has kept and maintained historical data for </w:t>
      </w:r>
      <w:r w:rsidRPr="00AF2CCF">
        <w:rPr>
          <w:i/>
        </w:rPr>
        <w:t>embedded generation</w:t>
      </w:r>
      <w:r>
        <w:t xml:space="preserve"> downstream of </w:t>
      </w:r>
      <w:r w:rsidRPr="00AF2CCF">
        <w:rPr>
          <w:i/>
        </w:rPr>
        <w:t>connection points</w:t>
      </w:r>
      <w:r>
        <w:t xml:space="preserve"> and if it accounts for such </w:t>
      </w:r>
      <w:r w:rsidRPr="00AF2CCF">
        <w:rPr>
          <w:i/>
        </w:rPr>
        <w:t>embedded generation</w:t>
      </w:r>
      <w:r>
        <w:t xml:space="preserve"> in its </w:t>
      </w:r>
      <w:r w:rsidRPr="00AF2CCF">
        <w:rPr>
          <w:i/>
        </w:rPr>
        <w:t>maximum demand</w:t>
      </w:r>
      <w:r>
        <w:t xml:space="preserve"> forecast. </w:t>
      </w:r>
    </w:p>
    <w:p w:rsidR="00AE5FBA" w:rsidRDefault="00AE5FBA" w:rsidP="00F85FC3">
      <w:pPr>
        <w:pStyle w:val="Numberlist2"/>
      </w:pPr>
      <w:r w:rsidRPr="00E34849">
        <w:rPr>
          <w:noProof/>
        </w:rPr>
        <w:t>TNSP</w:t>
      </w:r>
      <w:r>
        <w:t xml:space="preserve"> must describe the type of </w:t>
      </w:r>
      <w:r w:rsidRPr="00AF2CCF">
        <w:rPr>
          <w:i/>
        </w:rPr>
        <w:t>embedded generation</w:t>
      </w:r>
      <w:r>
        <w:t xml:space="preserve"> data it has provided</w:t>
      </w:r>
      <w:r w:rsidRPr="003E078C">
        <w:t xml:space="preserve"> </w:t>
      </w:r>
      <w:r>
        <w:t xml:space="preserve">in the </w:t>
      </w:r>
      <w:r>
        <w:rPr>
          <w:i/>
        </w:rPr>
        <w:t>basis of preparation</w:t>
      </w:r>
      <w:r>
        <w:t xml:space="preserve">. For example, </w:t>
      </w:r>
      <w:r w:rsidRPr="00E34849">
        <w:rPr>
          <w:noProof/>
        </w:rPr>
        <w:t>TNSP</w:t>
      </w:r>
      <w:r>
        <w:t xml:space="preserve"> may state that it has included </w:t>
      </w:r>
      <w:r w:rsidRPr="00AF2CCF">
        <w:rPr>
          <w:i/>
        </w:rPr>
        <w:t>scheduled</w:t>
      </w:r>
      <w:r>
        <w:t xml:space="preserve">, </w:t>
      </w:r>
      <w:r w:rsidRPr="00AF2CCF">
        <w:rPr>
          <w:i/>
        </w:rPr>
        <w:t>semi-scheduled</w:t>
      </w:r>
      <w:r>
        <w:t xml:space="preserve"> and </w:t>
      </w:r>
      <w:r w:rsidRPr="00AF2CCF">
        <w:rPr>
          <w:i/>
        </w:rPr>
        <w:t>non-scheduled embedded generation</w:t>
      </w:r>
      <w:r>
        <w:t xml:space="preserve">. In this example, we would be able to calculate </w:t>
      </w:r>
      <w:r w:rsidRPr="00AF2CCF">
        <w:rPr>
          <w:i/>
        </w:rPr>
        <w:t>native demand</w:t>
      </w:r>
      <w:r>
        <w:t xml:space="preserve"> by adding these figures to raw </w:t>
      </w:r>
      <w:r w:rsidRPr="00AF2CCF">
        <w:rPr>
          <w:i/>
        </w:rPr>
        <w:t>maximum demand</w:t>
      </w:r>
      <w:r>
        <w:t>.</w:t>
      </w:r>
    </w:p>
    <w:p w:rsidR="00AE5FBA" w:rsidRDefault="00AE5FBA" w:rsidP="00F85FC3">
      <w:pPr>
        <w:pStyle w:val="Numberlist2"/>
      </w:pPr>
      <w:r>
        <w:t xml:space="preserve">If </w:t>
      </w:r>
      <w:r w:rsidRPr="00E34849">
        <w:rPr>
          <w:noProof/>
        </w:rPr>
        <w:t>TNSP</w:t>
      </w:r>
      <w:r>
        <w:t xml:space="preserve"> has not kept and maintained historical data for </w:t>
      </w:r>
      <w:r w:rsidRPr="00AF2CCF">
        <w:rPr>
          <w:i/>
        </w:rPr>
        <w:t>embedded generation</w:t>
      </w:r>
      <w:r>
        <w:t xml:space="preserve"> downstream of </w:t>
      </w:r>
      <w:r w:rsidRPr="00AF2CCF">
        <w:rPr>
          <w:i/>
        </w:rPr>
        <w:t>connection points</w:t>
      </w:r>
      <w:r>
        <w:t xml:space="preserve">, it may estimate the historical </w:t>
      </w:r>
      <w:r w:rsidRPr="00AF2CCF">
        <w:rPr>
          <w:i/>
        </w:rPr>
        <w:t>embedded generation</w:t>
      </w:r>
      <w:r>
        <w:t xml:space="preserve"> data or shade the cells black. For </w:t>
      </w:r>
      <w:r w:rsidRPr="004821FC">
        <w:rPr>
          <w:i/>
        </w:rPr>
        <w:t>Regulatory Years</w:t>
      </w:r>
      <w:r>
        <w:t xml:space="preserve"> 2015 and thereafter</w:t>
      </w:r>
      <w:r w:rsidDel="009426F4">
        <w:t xml:space="preserve"> </w:t>
      </w:r>
      <w:r w:rsidRPr="00E34849">
        <w:rPr>
          <w:noProof/>
        </w:rPr>
        <w:t>TNSP</w:t>
      </w:r>
      <w:r>
        <w:t xml:space="preserve"> must provide </w:t>
      </w:r>
      <w:r w:rsidRPr="00AF2CCF">
        <w:rPr>
          <w:i/>
        </w:rPr>
        <w:t>embedded generation</w:t>
      </w:r>
      <w:r>
        <w:t xml:space="preserve"> data. It must do similarly if it accounts for </w:t>
      </w:r>
      <w:r w:rsidRPr="00AF2CCF">
        <w:rPr>
          <w:i/>
        </w:rPr>
        <w:t>embedded generation</w:t>
      </w:r>
      <w:r>
        <w:t xml:space="preserve"> in its system level </w:t>
      </w:r>
      <w:r w:rsidRPr="00AF2CCF">
        <w:rPr>
          <w:i/>
        </w:rPr>
        <w:t>maximum demand</w:t>
      </w:r>
      <w:r>
        <w:t xml:space="preserve"> forecast.</w:t>
      </w:r>
    </w:p>
    <w:p w:rsidR="00AE5FBA" w:rsidRDefault="00AE5FBA" w:rsidP="00F85FC3">
      <w:pPr>
        <w:pStyle w:val="Numberlist1"/>
      </w:pPr>
      <w:r w:rsidRPr="00E34849">
        <w:rPr>
          <w:noProof/>
        </w:rPr>
        <w:t>TNSP</w:t>
      </w:r>
      <w:r>
        <w:t xml:space="preserve"> must provide inputs for the appropriate cells if it has calculated historical weather corrected </w:t>
      </w:r>
      <w:r w:rsidRPr="00AF2CCF">
        <w:rPr>
          <w:i/>
        </w:rPr>
        <w:t>maximum demand</w:t>
      </w:r>
      <w:r>
        <w:t>.</w:t>
      </w:r>
    </w:p>
    <w:p w:rsidR="00AE5FBA" w:rsidRPr="00AB347A" w:rsidRDefault="00AE5FBA" w:rsidP="002175B6">
      <w:pPr>
        <w:pStyle w:val="Numberlist2"/>
        <w:rPr>
          <w:lang w:eastAsia="en-AU"/>
        </w:rPr>
      </w:pPr>
      <w:r>
        <w:t xml:space="preserve">Where </w:t>
      </w:r>
      <w:r w:rsidRPr="00E34849">
        <w:rPr>
          <w:noProof/>
        </w:rPr>
        <w:t>TNSP</w:t>
      </w:r>
      <w:r>
        <w:t xml:space="preserve"> does not calculate weather corrected </w:t>
      </w:r>
      <w:r w:rsidRPr="00AF2CCF">
        <w:rPr>
          <w:i/>
        </w:rPr>
        <w:t>maximum demand</w:t>
      </w:r>
      <w:r>
        <w:t xml:space="preserve"> it may estimate the historical weather corrected data or shade the cells black. For </w:t>
      </w:r>
      <w:r w:rsidRPr="004821FC">
        <w:rPr>
          <w:i/>
        </w:rPr>
        <w:t>Regulatory Years</w:t>
      </w:r>
      <w:r>
        <w:t xml:space="preserve"> 2015 and thereafter</w:t>
      </w:r>
      <w:r w:rsidDel="009426F4">
        <w:t xml:space="preserve"> </w:t>
      </w:r>
      <w:r w:rsidRPr="00E34849">
        <w:rPr>
          <w:noProof/>
        </w:rPr>
        <w:t>TNSP</w:t>
      </w:r>
      <w:r>
        <w:t xml:space="preserve"> must provide weather corrected </w:t>
      </w:r>
      <w:r w:rsidRPr="00AF2CCF">
        <w:rPr>
          <w:i/>
        </w:rPr>
        <w:t>maximum demand</w:t>
      </w:r>
      <w:r>
        <w:t xml:space="preserve"> in accordance with best regulatory practice </w:t>
      </w:r>
      <w:r w:rsidRPr="00AF2CCF">
        <w:rPr>
          <w:i/>
        </w:rPr>
        <w:t>weather correction</w:t>
      </w:r>
      <w:r>
        <w:t xml:space="preserve"> methodologies.</w:t>
      </w:r>
    </w:p>
    <w:p w:rsidR="00AE5FBA" w:rsidRDefault="00AE5FBA" w:rsidP="00F85FC3">
      <w:pPr>
        <w:rPr>
          <w:b/>
          <w:lang w:eastAsia="en-AU"/>
        </w:rPr>
      </w:pPr>
      <w:r>
        <w:rPr>
          <w:b/>
          <w:lang w:eastAsia="en-AU"/>
        </w:rPr>
        <w:t>Spatial</w:t>
      </w:r>
    </w:p>
    <w:p w:rsidR="00AE5FBA" w:rsidRDefault="00AE5FBA" w:rsidP="00F85FC3">
      <w:pPr>
        <w:rPr>
          <w:b/>
          <w:lang w:eastAsia="en-AU"/>
        </w:rPr>
      </w:pPr>
      <w:r>
        <w:t xml:space="preserve">Instructions for </w:t>
      </w:r>
      <w:r w:rsidRPr="00B07BA9">
        <w:rPr>
          <w:i/>
        </w:rPr>
        <w:t>regulatory template</w:t>
      </w:r>
      <w:r>
        <w:t xml:space="preserve"> 4.3</w:t>
      </w:r>
    </w:p>
    <w:p w:rsidR="00AE5FBA" w:rsidRDefault="00AE5FBA" w:rsidP="00F85FC3">
      <w:pPr>
        <w:pStyle w:val="Numberlist1"/>
        <w:rPr>
          <w:lang w:eastAsia="en-AU"/>
        </w:rPr>
      </w:pPr>
      <w:r w:rsidRPr="009F74C1">
        <w:rPr>
          <w:lang w:eastAsia="en-AU"/>
        </w:rPr>
        <w:t xml:space="preserve">In tables </w:t>
      </w:r>
      <w:r>
        <w:rPr>
          <w:lang w:eastAsia="en-AU"/>
        </w:rPr>
        <w:t>4.3.</w:t>
      </w:r>
      <w:r w:rsidRPr="009F74C1">
        <w:rPr>
          <w:lang w:eastAsia="en-AU"/>
        </w:rPr>
        <w:t xml:space="preserve">1 </w:t>
      </w:r>
      <w:r>
        <w:rPr>
          <w:lang w:eastAsia="en-AU"/>
        </w:rPr>
        <w:t>and</w:t>
      </w:r>
      <w:r w:rsidRPr="009F74C1">
        <w:rPr>
          <w:lang w:eastAsia="en-AU"/>
        </w:rPr>
        <w:t xml:space="preserve"> </w:t>
      </w:r>
      <w:r>
        <w:rPr>
          <w:lang w:eastAsia="en-AU"/>
        </w:rPr>
        <w:t xml:space="preserve">4.3.2, </w:t>
      </w:r>
      <w:r w:rsidRPr="00E34849">
        <w:rPr>
          <w:noProof/>
          <w:lang w:eastAsia="en-AU"/>
        </w:rPr>
        <w:t>TNSP</w:t>
      </w:r>
      <w:r>
        <w:rPr>
          <w:lang w:eastAsia="en-AU"/>
        </w:rPr>
        <w:t xml:space="preserve"> must</w:t>
      </w:r>
      <w:r w:rsidRPr="009F74C1">
        <w:rPr>
          <w:lang w:eastAsia="en-AU"/>
        </w:rPr>
        <w:t xml:space="preserve"> input </w:t>
      </w:r>
      <w:r w:rsidRPr="00AF2CCF">
        <w:rPr>
          <w:i/>
          <w:lang w:eastAsia="en-AU"/>
        </w:rPr>
        <w:t>maximum demand</w:t>
      </w:r>
      <w:r w:rsidRPr="009F74C1">
        <w:rPr>
          <w:lang w:eastAsia="en-AU"/>
        </w:rPr>
        <w:t xml:space="preserve"> information for </w:t>
      </w:r>
      <w:r w:rsidRPr="00AF2CCF">
        <w:rPr>
          <w:i/>
          <w:lang w:eastAsia="en-AU"/>
        </w:rPr>
        <w:t>connection points</w:t>
      </w:r>
      <w:r w:rsidRPr="009F74C1">
        <w:rPr>
          <w:lang w:eastAsia="en-AU"/>
        </w:rPr>
        <w:t>.</w:t>
      </w:r>
      <w:r w:rsidRPr="00DC1990">
        <w:rPr>
          <w:lang w:eastAsia="en-AU"/>
        </w:rPr>
        <w:t xml:space="preserve"> </w:t>
      </w:r>
    </w:p>
    <w:p w:rsidR="00AE5FBA" w:rsidRPr="009F74C1" w:rsidRDefault="00AE5FBA" w:rsidP="002175B6">
      <w:pPr>
        <w:pStyle w:val="Numberlist2"/>
        <w:rPr>
          <w:lang w:eastAsia="en-AU"/>
        </w:rPr>
      </w:pPr>
      <w:r w:rsidRPr="00E34849">
        <w:rPr>
          <w:noProof/>
          <w:lang w:eastAsia="en-AU"/>
        </w:rPr>
        <w:t>TNSP</w:t>
      </w:r>
      <w:r>
        <w:rPr>
          <w:lang w:eastAsia="en-AU"/>
        </w:rPr>
        <w:t xml:space="preserve"> must </w:t>
      </w:r>
      <w:r w:rsidRPr="009F74C1">
        <w:rPr>
          <w:lang w:eastAsia="en-AU"/>
        </w:rPr>
        <w:t xml:space="preserve">insert rows into the tables for each of its </w:t>
      </w:r>
      <w:r w:rsidRPr="00AF2CCF">
        <w:rPr>
          <w:i/>
          <w:lang w:eastAsia="en-AU"/>
        </w:rPr>
        <w:t>connection points</w:t>
      </w:r>
      <w:r w:rsidRPr="009F74C1">
        <w:rPr>
          <w:lang w:eastAsia="en-AU"/>
        </w:rPr>
        <w:t>.</w:t>
      </w:r>
      <w:r>
        <w:rPr>
          <w:lang w:eastAsia="en-AU"/>
        </w:rPr>
        <w:t xml:space="preserve"> </w:t>
      </w:r>
      <w:r w:rsidRPr="00E34849">
        <w:rPr>
          <w:noProof/>
        </w:rPr>
        <w:t>TNSP</w:t>
      </w:r>
      <w:r w:rsidRPr="00A207BF">
        <w:t xml:space="preserve"> must note instances where it de-commissions </w:t>
      </w:r>
      <w:r>
        <w:t xml:space="preserve">components of its </w:t>
      </w:r>
      <w:r w:rsidRPr="00AF2CCF">
        <w:rPr>
          <w:i/>
        </w:rPr>
        <w:t>network</w:t>
      </w:r>
      <w:r>
        <w:t xml:space="preserve"> belonging to that segment</w:t>
      </w:r>
      <w:r w:rsidRPr="00A207BF">
        <w:t xml:space="preserve"> in the </w:t>
      </w:r>
      <w:r>
        <w:rPr>
          <w:i/>
        </w:rPr>
        <w:t>basis of preparation</w:t>
      </w:r>
      <w:r w:rsidRPr="00A207BF">
        <w:t>.</w:t>
      </w:r>
    </w:p>
    <w:p w:rsidR="00AE5FBA" w:rsidRPr="009F74C1" w:rsidRDefault="00AE5FBA" w:rsidP="00F85FC3">
      <w:pPr>
        <w:pStyle w:val="Numberlist1"/>
        <w:rPr>
          <w:lang w:eastAsia="en-AU"/>
        </w:rPr>
      </w:pPr>
      <w:r w:rsidRPr="009F74C1">
        <w:t xml:space="preserve">Where </w:t>
      </w:r>
      <w:r w:rsidRPr="00AF2CCF">
        <w:rPr>
          <w:i/>
        </w:rPr>
        <w:t>maximum demand</w:t>
      </w:r>
      <w:r w:rsidRPr="009F74C1">
        <w:t xml:space="preserve"> in </w:t>
      </w:r>
      <w:r w:rsidRPr="00AF2CCF">
        <w:rPr>
          <w:i/>
        </w:rPr>
        <w:t>MVA</w:t>
      </w:r>
      <w:r w:rsidRPr="009F74C1">
        <w:t xml:space="preserve"> occurred at a different time to </w:t>
      </w:r>
      <w:r w:rsidRPr="00AF2CCF">
        <w:rPr>
          <w:i/>
        </w:rPr>
        <w:t>maximum demand</w:t>
      </w:r>
      <w:r w:rsidRPr="009F74C1">
        <w:t xml:space="preserve"> in </w:t>
      </w:r>
      <w:r w:rsidRPr="00AF2CCF">
        <w:rPr>
          <w:i/>
        </w:rPr>
        <w:t>MW</w:t>
      </w:r>
      <w:r>
        <w:t xml:space="preserve">, </w:t>
      </w:r>
      <w:r w:rsidRPr="00E34849">
        <w:rPr>
          <w:noProof/>
        </w:rPr>
        <w:t>TNSP</w:t>
      </w:r>
      <w:r>
        <w:t xml:space="preserve"> must </w:t>
      </w:r>
      <w:r w:rsidRPr="009F74C1">
        <w:t xml:space="preserve">enter </w:t>
      </w:r>
      <w:r w:rsidRPr="00AF2CCF">
        <w:rPr>
          <w:i/>
        </w:rPr>
        <w:t>maximum demand</w:t>
      </w:r>
      <w:r w:rsidRPr="009F74C1">
        <w:t xml:space="preserve"> figures for both measures at the time </w:t>
      </w:r>
      <w:r w:rsidRPr="00AF2CCF">
        <w:rPr>
          <w:i/>
        </w:rPr>
        <w:t>maximum demand</w:t>
      </w:r>
      <w:r w:rsidRPr="009F74C1">
        <w:t xml:space="preserve"> in </w:t>
      </w:r>
      <w:r w:rsidRPr="00AF2CCF">
        <w:rPr>
          <w:i/>
        </w:rPr>
        <w:t>MW</w:t>
      </w:r>
      <w:r w:rsidRPr="009F74C1">
        <w:t xml:space="preserve"> occurred.</w:t>
      </w:r>
      <w:r w:rsidRPr="004D69DE">
        <w:t xml:space="preserve"> </w:t>
      </w:r>
      <w:r>
        <w:t xml:space="preserve">In such instances, </w:t>
      </w:r>
      <w:r w:rsidRPr="00E34849">
        <w:rPr>
          <w:noProof/>
        </w:rPr>
        <w:t>TNSP</w:t>
      </w:r>
      <w:r>
        <w:rPr>
          <w:noProof/>
        </w:rPr>
        <w:t xml:space="preserve"> must enter the </w:t>
      </w:r>
      <w:r w:rsidRPr="00AF2CCF">
        <w:rPr>
          <w:i/>
          <w:noProof/>
        </w:rPr>
        <w:t>maximum demand</w:t>
      </w:r>
      <w:r>
        <w:rPr>
          <w:noProof/>
        </w:rPr>
        <w:t xml:space="preserve"> in </w:t>
      </w:r>
      <w:r w:rsidRPr="00AF2CCF">
        <w:rPr>
          <w:i/>
          <w:noProof/>
        </w:rPr>
        <w:t>MVA</w:t>
      </w:r>
      <w:r>
        <w:rPr>
          <w:noProof/>
        </w:rPr>
        <w:t xml:space="preserve"> in the </w:t>
      </w:r>
      <w:r>
        <w:rPr>
          <w:i/>
        </w:rPr>
        <w:t>basis of preparation</w:t>
      </w:r>
      <w:r>
        <w:rPr>
          <w:noProof/>
        </w:rPr>
        <w:t>, noting the regulatory year in which it occurred.</w:t>
      </w:r>
    </w:p>
    <w:p w:rsidR="00AE5FBA" w:rsidRDefault="00AE5FBA" w:rsidP="00F85FC3">
      <w:pPr>
        <w:pStyle w:val="Numberlist1"/>
        <w:rPr>
          <w:lang w:eastAsia="en-AU"/>
        </w:rPr>
      </w:pPr>
      <w:r w:rsidRPr="009F74C1">
        <w:rPr>
          <w:lang w:eastAsia="en-AU"/>
        </w:rPr>
        <w:lastRenderedPageBreak/>
        <w:t xml:space="preserve">If either the </w:t>
      </w:r>
      <w:r w:rsidRPr="00AF2CCF">
        <w:rPr>
          <w:i/>
          <w:lang w:eastAsia="en-AU"/>
        </w:rPr>
        <w:t>MW</w:t>
      </w:r>
      <w:r w:rsidRPr="009F74C1">
        <w:rPr>
          <w:lang w:eastAsia="en-AU"/>
        </w:rPr>
        <w:t xml:space="preserve"> or </w:t>
      </w:r>
      <w:r w:rsidRPr="00AF2CCF">
        <w:rPr>
          <w:i/>
          <w:lang w:eastAsia="en-AU"/>
        </w:rPr>
        <w:t>MVA</w:t>
      </w:r>
      <w:r w:rsidRPr="009F74C1">
        <w:rPr>
          <w:lang w:eastAsia="en-AU"/>
        </w:rPr>
        <w:t xml:space="preserve"> measure is unavailable, </w:t>
      </w:r>
      <w:r>
        <w:rPr>
          <w:lang w:eastAsia="en-AU"/>
        </w:rPr>
        <w:t xml:space="preserve">calculate </w:t>
      </w:r>
      <w:r w:rsidRPr="009F74C1">
        <w:rPr>
          <w:lang w:eastAsia="en-AU"/>
        </w:rPr>
        <w:t xml:space="preserve">the </w:t>
      </w:r>
      <w:r w:rsidRPr="00AF2CCF">
        <w:rPr>
          <w:i/>
          <w:lang w:eastAsia="en-AU"/>
        </w:rPr>
        <w:t>power factor</w:t>
      </w:r>
      <w:r w:rsidRPr="009F74C1">
        <w:rPr>
          <w:lang w:eastAsia="en-AU"/>
        </w:rPr>
        <w:t xml:space="preserve"> conversion as an approximation based on best engineering estimates.</w:t>
      </w:r>
      <w:r w:rsidRPr="00DC1990">
        <w:rPr>
          <w:lang w:eastAsia="en-AU"/>
        </w:rPr>
        <w:t xml:space="preserve"> </w:t>
      </w:r>
    </w:p>
    <w:p w:rsidR="00AE5FBA" w:rsidRDefault="00AE5FBA" w:rsidP="00F85FC3">
      <w:pPr>
        <w:pStyle w:val="Numberlist1"/>
        <w:rPr>
          <w:lang w:eastAsia="en-AU"/>
        </w:rPr>
      </w:pPr>
      <w:r w:rsidRPr="007E1B96">
        <w:t xml:space="preserve">If </w:t>
      </w:r>
      <w:r w:rsidRPr="00E34849">
        <w:rPr>
          <w:noProof/>
        </w:rPr>
        <w:t>TNSP</w:t>
      </w:r>
      <w:r>
        <w:t xml:space="preserve"> </w:t>
      </w:r>
      <w:r w:rsidRPr="007E1B96">
        <w:t xml:space="preserve">cannot </w:t>
      </w:r>
      <w:r>
        <w:t>use</w:t>
      </w:r>
      <w:r w:rsidRPr="007E1B96">
        <w:t xml:space="preserve"> </w:t>
      </w:r>
      <w:r w:rsidRPr="002175B6">
        <w:rPr>
          <w:i/>
        </w:rPr>
        <w:t>raw unadjusted maximum demand</w:t>
      </w:r>
      <w:r w:rsidRPr="007E1B96">
        <w:t xml:space="preserve"> as the basis for the information it provides in tables </w:t>
      </w:r>
      <w:r>
        <w:t>4.3.1 and 4.3.2</w:t>
      </w:r>
      <w:r w:rsidRPr="007E1B96">
        <w:t>, it must describe the methods it employs to pop</w:t>
      </w:r>
      <w:r>
        <w:t>ul</w:t>
      </w:r>
      <w:r w:rsidRPr="007E1B96">
        <w:t xml:space="preserve">ate those tables. </w:t>
      </w:r>
      <w:r>
        <w:t>See clause 3.4(d)</w:t>
      </w:r>
      <w:r w:rsidRPr="00EC4181">
        <w:t xml:space="preserve"> for further guidance.</w:t>
      </w:r>
    </w:p>
    <w:p w:rsidR="00AE5FBA" w:rsidRDefault="00AE5FBA" w:rsidP="00F85FC3">
      <w:pPr>
        <w:pStyle w:val="Numberlist1"/>
        <w:rPr>
          <w:lang w:eastAsia="en-AU"/>
        </w:rPr>
      </w:pPr>
      <w:r w:rsidRPr="00E34849">
        <w:rPr>
          <w:noProof/>
          <w:lang w:eastAsia="en-AU"/>
        </w:rPr>
        <w:t>TNSP</w:t>
      </w:r>
      <w:r>
        <w:rPr>
          <w:lang w:eastAsia="en-AU"/>
        </w:rPr>
        <w:t xml:space="preserve"> must </w:t>
      </w:r>
      <w:r w:rsidRPr="009F74C1">
        <w:rPr>
          <w:lang w:eastAsia="en-AU"/>
        </w:rPr>
        <w:t xml:space="preserve">input the </w:t>
      </w:r>
      <w:r w:rsidRPr="00AF2CCF">
        <w:rPr>
          <w:i/>
          <w:lang w:eastAsia="en-AU"/>
        </w:rPr>
        <w:t>connection point</w:t>
      </w:r>
      <w:r>
        <w:rPr>
          <w:lang w:eastAsia="en-AU"/>
        </w:rPr>
        <w:t xml:space="preserve"> </w:t>
      </w:r>
      <w:r w:rsidRPr="009F74C1">
        <w:rPr>
          <w:lang w:eastAsia="en-AU"/>
        </w:rPr>
        <w:t>rating. For table</w:t>
      </w:r>
      <w:r>
        <w:rPr>
          <w:lang w:eastAsia="en-AU"/>
        </w:rPr>
        <w:t>s 4.3.1 and 4.3.2,</w:t>
      </w:r>
      <w:r w:rsidRPr="009F74C1">
        <w:rPr>
          <w:lang w:eastAsia="en-AU"/>
        </w:rPr>
        <w:t xml:space="preserve"> rating refers to </w:t>
      </w:r>
      <w:r w:rsidRPr="002175B6">
        <w:rPr>
          <w:i/>
          <w:lang w:eastAsia="en-AU"/>
        </w:rPr>
        <w:t>normal cyclic rating</w:t>
      </w:r>
      <w:r w:rsidRPr="009F74C1">
        <w:rPr>
          <w:lang w:eastAsia="en-AU"/>
        </w:rPr>
        <w:t>.</w:t>
      </w:r>
    </w:p>
    <w:p w:rsidR="00AE5FBA" w:rsidRDefault="00AE5FBA" w:rsidP="00F85FC3">
      <w:pPr>
        <w:pStyle w:val="Numberlist2"/>
      </w:pPr>
      <w:r w:rsidRPr="00E34849">
        <w:rPr>
          <w:noProof/>
        </w:rPr>
        <w:t>TNSP</w:t>
      </w:r>
      <w:r>
        <w:t xml:space="preserve"> must provide the seasonal rating that corresponds to the time of the </w:t>
      </w:r>
      <w:r w:rsidRPr="002175B6">
        <w:rPr>
          <w:i/>
        </w:rPr>
        <w:t>raw adjusted maximum demand</w:t>
      </w:r>
      <w:r>
        <w:t xml:space="preserve">. For example, </w:t>
      </w:r>
      <w:r w:rsidRPr="00E34849">
        <w:rPr>
          <w:noProof/>
        </w:rPr>
        <w:t>TNSP</w:t>
      </w:r>
      <w:r>
        <w:t xml:space="preserve"> must provide the summer </w:t>
      </w:r>
      <w:r w:rsidRPr="002175B6">
        <w:rPr>
          <w:i/>
        </w:rPr>
        <w:t>normal cyclic rating</w:t>
      </w:r>
      <w:r>
        <w:t xml:space="preserve"> of the network segment if the </w:t>
      </w:r>
      <w:r w:rsidRPr="002175B6">
        <w:rPr>
          <w:i/>
        </w:rPr>
        <w:t>raw adjusted maximum demand</w:t>
      </w:r>
      <w:r>
        <w:t xml:space="preserve"> occurred in summer.</w:t>
      </w:r>
    </w:p>
    <w:p w:rsidR="00AE5FBA" w:rsidRDefault="00AE5FBA" w:rsidP="00F85FC3">
      <w:pPr>
        <w:pStyle w:val="Numberlist2"/>
      </w:pPr>
      <w:r w:rsidRPr="00F974F5">
        <w:t xml:space="preserve">Where </w:t>
      </w:r>
      <w:r w:rsidRPr="00E34849">
        <w:rPr>
          <w:noProof/>
        </w:rPr>
        <w:t>TNSP</w:t>
      </w:r>
      <w:r>
        <w:rPr>
          <w:noProof/>
        </w:rPr>
        <w:t xml:space="preserve"> </w:t>
      </w:r>
      <w:r w:rsidRPr="00F974F5">
        <w:t xml:space="preserve">does not keep and maintain </w:t>
      </w:r>
      <w:r w:rsidRPr="002175B6">
        <w:rPr>
          <w:i/>
        </w:rPr>
        <w:t>connection point</w:t>
      </w:r>
      <w:r w:rsidRPr="00F974F5">
        <w:t xml:space="preserve"> rating information (for example, where the </w:t>
      </w:r>
      <w:r>
        <w:t>D</w:t>
      </w:r>
      <w:r w:rsidRPr="00F974F5">
        <w:t>NSP owns the assets to which such ratings apply), it may estimate this information or shade the cells black.</w:t>
      </w:r>
    </w:p>
    <w:p w:rsidR="00AE5FBA" w:rsidRDefault="00AE5FBA" w:rsidP="00F85FC3">
      <w:pPr>
        <w:pStyle w:val="Numberlist1"/>
      </w:pPr>
      <w:r w:rsidRPr="00E34849">
        <w:rPr>
          <w:noProof/>
        </w:rPr>
        <w:t>TNSP</w:t>
      </w:r>
      <w:r>
        <w:t xml:space="preserve"> must provide inputs for </w:t>
      </w:r>
      <w:r w:rsidRPr="00B263FF">
        <w:t>‘</w:t>
      </w:r>
      <w:r w:rsidRPr="00AF2CCF">
        <w:rPr>
          <w:i/>
        </w:rPr>
        <w:t>Embedded generation</w:t>
      </w:r>
      <w:r w:rsidRPr="00B263FF">
        <w:t>’</w:t>
      </w:r>
      <w:r>
        <w:t xml:space="preserve"> if it has kept and maintained historical data for </w:t>
      </w:r>
      <w:r w:rsidRPr="00AF2CCF">
        <w:rPr>
          <w:i/>
        </w:rPr>
        <w:t>embedded generation</w:t>
      </w:r>
      <w:r>
        <w:t xml:space="preserve"> downstream of the </w:t>
      </w:r>
      <w:r w:rsidRPr="00AF2CCF">
        <w:rPr>
          <w:i/>
        </w:rPr>
        <w:t>connection point</w:t>
      </w:r>
      <w:r>
        <w:t xml:space="preserve"> and/or if it accounts for such </w:t>
      </w:r>
      <w:r w:rsidRPr="00AF2CCF">
        <w:rPr>
          <w:i/>
        </w:rPr>
        <w:t>embedded generation</w:t>
      </w:r>
      <w:r>
        <w:t xml:space="preserve"> in its </w:t>
      </w:r>
      <w:r w:rsidRPr="00AF2CCF">
        <w:rPr>
          <w:i/>
        </w:rPr>
        <w:t>maximum demand</w:t>
      </w:r>
      <w:r>
        <w:t xml:space="preserve"> forecast. </w:t>
      </w:r>
    </w:p>
    <w:p w:rsidR="00AE5FBA" w:rsidRDefault="00AE5FBA" w:rsidP="00F85FC3">
      <w:pPr>
        <w:pStyle w:val="Numberlist2"/>
      </w:pPr>
      <w:r w:rsidRPr="00E34849">
        <w:rPr>
          <w:noProof/>
        </w:rPr>
        <w:t>TNSP</w:t>
      </w:r>
      <w:r>
        <w:rPr>
          <w:noProof/>
        </w:rPr>
        <w:t xml:space="preserve"> must </w:t>
      </w:r>
      <w:r>
        <w:t xml:space="preserve">allocate </w:t>
      </w:r>
      <w:r w:rsidRPr="00AF2CCF">
        <w:rPr>
          <w:i/>
        </w:rPr>
        <w:t>embedded generation</w:t>
      </w:r>
      <w:r>
        <w:t xml:space="preserve"> figures to the appropriate </w:t>
      </w:r>
      <w:r w:rsidRPr="00AF2CCF">
        <w:rPr>
          <w:i/>
        </w:rPr>
        <w:t>connection point</w:t>
      </w:r>
      <w:r>
        <w:t xml:space="preserve"> under system normal conditions (consistent with the definition of </w:t>
      </w:r>
      <w:r>
        <w:rPr>
          <w:i/>
        </w:rPr>
        <w:t>raw adjusted maximum demand</w:t>
      </w:r>
      <w:r>
        <w:t>).</w:t>
      </w:r>
    </w:p>
    <w:p w:rsidR="00AE5FBA" w:rsidRDefault="00AE5FBA" w:rsidP="00F85FC3">
      <w:pPr>
        <w:pStyle w:val="Numberlist2"/>
      </w:pPr>
      <w:r w:rsidRPr="00E34849">
        <w:rPr>
          <w:noProof/>
        </w:rPr>
        <w:t>TNSP</w:t>
      </w:r>
      <w:r>
        <w:t xml:space="preserve"> must describe the type of </w:t>
      </w:r>
      <w:r w:rsidRPr="00AF2CCF">
        <w:rPr>
          <w:i/>
        </w:rPr>
        <w:t>embedded generation</w:t>
      </w:r>
      <w:r>
        <w:t xml:space="preserve"> data it has provided. For example, </w:t>
      </w:r>
      <w:r w:rsidRPr="00E34849">
        <w:rPr>
          <w:noProof/>
        </w:rPr>
        <w:t>TNSP</w:t>
      </w:r>
      <w:r>
        <w:t xml:space="preserve"> may state that it has included </w:t>
      </w:r>
      <w:r w:rsidRPr="00AF2CCF">
        <w:rPr>
          <w:i/>
        </w:rPr>
        <w:t>scheduled</w:t>
      </w:r>
      <w:r>
        <w:t xml:space="preserve">, </w:t>
      </w:r>
      <w:r w:rsidRPr="00AF2CCF">
        <w:rPr>
          <w:i/>
        </w:rPr>
        <w:t>semi-scheduled</w:t>
      </w:r>
      <w:r>
        <w:t xml:space="preserve"> and </w:t>
      </w:r>
      <w:r w:rsidRPr="00AF2CCF">
        <w:rPr>
          <w:i/>
        </w:rPr>
        <w:t>non-scheduled embedded generation</w:t>
      </w:r>
      <w:r>
        <w:t xml:space="preserve"> in the tables for </w:t>
      </w:r>
      <w:r w:rsidRPr="00AF2CCF">
        <w:rPr>
          <w:i/>
        </w:rPr>
        <w:t>connection points</w:t>
      </w:r>
      <w:r>
        <w:t xml:space="preserve">. In this example, we would be able to calculate </w:t>
      </w:r>
      <w:r w:rsidRPr="00AF2CCF">
        <w:rPr>
          <w:i/>
        </w:rPr>
        <w:t>native demand</w:t>
      </w:r>
      <w:r>
        <w:t xml:space="preserve"> by adding these figures to the </w:t>
      </w:r>
      <w:r w:rsidRPr="002175B6">
        <w:rPr>
          <w:i/>
        </w:rPr>
        <w:t>raw adjusted maximum demand</w:t>
      </w:r>
      <w:r>
        <w:t xml:space="preserve"> figures.</w:t>
      </w:r>
    </w:p>
    <w:p w:rsidR="00AE5FBA" w:rsidRDefault="00AE5FBA" w:rsidP="00F85FC3">
      <w:pPr>
        <w:pStyle w:val="Numberlist2"/>
      </w:pPr>
      <w:r>
        <w:t xml:space="preserve">If </w:t>
      </w:r>
      <w:r w:rsidRPr="00E34849">
        <w:rPr>
          <w:noProof/>
        </w:rPr>
        <w:t>TNSP</w:t>
      </w:r>
      <w:r>
        <w:t xml:space="preserve"> has not kept and maintained historical data for </w:t>
      </w:r>
      <w:r w:rsidRPr="00AF2CCF">
        <w:rPr>
          <w:i/>
        </w:rPr>
        <w:t>embedded generation</w:t>
      </w:r>
      <w:r>
        <w:t xml:space="preserve"> downstream of the </w:t>
      </w:r>
      <w:r w:rsidRPr="00AF2CCF">
        <w:rPr>
          <w:i/>
        </w:rPr>
        <w:t>connection point</w:t>
      </w:r>
      <w:r>
        <w:t xml:space="preserve">, it may estimate the historical </w:t>
      </w:r>
      <w:r w:rsidRPr="00AF2CCF">
        <w:rPr>
          <w:i/>
        </w:rPr>
        <w:t>embedded generation</w:t>
      </w:r>
      <w:r>
        <w:t xml:space="preserve"> data or shade the cells black. For </w:t>
      </w:r>
      <w:r w:rsidRPr="004821FC">
        <w:rPr>
          <w:i/>
        </w:rPr>
        <w:t>Regulatory Years</w:t>
      </w:r>
      <w:r>
        <w:t xml:space="preserve"> 2015 and thereafter</w:t>
      </w:r>
      <w:r w:rsidDel="00CB4707">
        <w:t xml:space="preserve"> </w:t>
      </w:r>
      <w:r w:rsidRPr="00E34849">
        <w:rPr>
          <w:noProof/>
        </w:rPr>
        <w:t>TNSP</w:t>
      </w:r>
      <w:r>
        <w:t xml:space="preserve"> must provide </w:t>
      </w:r>
      <w:r w:rsidRPr="00AF2CCF">
        <w:rPr>
          <w:i/>
        </w:rPr>
        <w:t>embedded generation</w:t>
      </w:r>
      <w:r>
        <w:t xml:space="preserve"> data. It must do similarly if it accounts for </w:t>
      </w:r>
      <w:r w:rsidRPr="00AF2CCF">
        <w:rPr>
          <w:i/>
        </w:rPr>
        <w:t>embedded generation</w:t>
      </w:r>
      <w:r>
        <w:t xml:space="preserve"> in its spatial </w:t>
      </w:r>
      <w:r w:rsidRPr="00AF2CCF">
        <w:rPr>
          <w:i/>
        </w:rPr>
        <w:t>maximum demand</w:t>
      </w:r>
      <w:r>
        <w:t xml:space="preserve"> forecast.</w:t>
      </w:r>
    </w:p>
    <w:p w:rsidR="00AE5FBA" w:rsidRDefault="00AE5FBA" w:rsidP="00F85FC3">
      <w:pPr>
        <w:pStyle w:val="Numberlist1"/>
      </w:pPr>
      <w:r w:rsidRPr="00E34849">
        <w:rPr>
          <w:noProof/>
        </w:rPr>
        <w:t>TNSP</w:t>
      </w:r>
      <w:r>
        <w:t xml:space="preserve"> must provide inputs for the appropriate cells if it has calculated historical weather corrected </w:t>
      </w:r>
      <w:r w:rsidRPr="00AF2CCF">
        <w:rPr>
          <w:i/>
        </w:rPr>
        <w:t>maximum demand</w:t>
      </w:r>
      <w:r>
        <w:t>.</w:t>
      </w:r>
    </w:p>
    <w:p w:rsidR="00AE5FBA" w:rsidRDefault="00AE5FBA" w:rsidP="00F85FC3">
      <w:pPr>
        <w:pStyle w:val="Numberlist2"/>
      </w:pPr>
      <w:r w:rsidRPr="00E34849">
        <w:rPr>
          <w:noProof/>
        </w:rPr>
        <w:t>TNSP</w:t>
      </w:r>
      <w:r>
        <w:rPr>
          <w:noProof/>
        </w:rPr>
        <w:t xml:space="preserve"> must describe its </w:t>
      </w:r>
      <w:r w:rsidRPr="00AF2CCF">
        <w:rPr>
          <w:i/>
          <w:noProof/>
        </w:rPr>
        <w:t>weather correction</w:t>
      </w:r>
      <w:r>
        <w:rPr>
          <w:noProof/>
        </w:rPr>
        <w:t xml:space="preserve"> process in the </w:t>
      </w:r>
      <w:r>
        <w:rPr>
          <w:i/>
        </w:rPr>
        <w:t>basis of preparation</w:t>
      </w:r>
      <w:r>
        <w:rPr>
          <w:noProof/>
        </w:rPr>
        <w:t xml:space="preserve">. </w:t>
      </w:r>
      <w:r w:rsidRPr="00E34849">
        <w:rPr>
          <w:noProof/>
        </w:rPr>
        <w:t>TNSP</w:t>
      </w:r>
      <w:r>
        <w:rPr>
          <w:noProof/>
        </w:rPr>
        <w:t xml:space="preserve"> must describe whether the weather corrected </w:t>
      </w:r>
      <w:r w:rsidRPr="00AF2CCF">
        <w:rPr>
          <w:i/>
          <w:noProof/>
        </w:rPr>
        <w:t>maximum demand</w:t>
      </w:r>
      <w:r>
        <w:rPr>
          <w:noProof/>
        </w:rPr>
        <w:t xml:space="preserve"> figures provided are based on </w:t>
      </w:r>
      <w:r w:rsidRPr="00214996">
        <w:rPr>
          <w:i/>
          <w:noProof/>
        </w:rPr>
        <w:t>raw adjusted maximum demand</w:t>
      </w:r>
      <w:r>
        <w:rPr>
          <w:noProof/>
        </w:rPr>
        <w:t xml:space="preserve"> or </w:t>
      </w:r>
      <w:r w:rsidRPr="00214996">
        <w:rPr>
          <w:i/>
          <w:noProof/>
        </w:rPr>
        <w:t>raw unadjusted maximum demand</w:t>
      </w:r>
      <w:r>
        <w:rPr>
          <w:noProof/>
        </w:rPr>
        <w:t xml:space="preserve"> or another type of </w:t>
      </w:r>
      <w:r w:rsidRPr="00AF2CCF">
        <w:rPr>
          <w:i/>
          <w:noProof/>
        </w:rPr>
        <w:t>maximum demand</w:t>
      </w:r>
      <w:r>
        <w:rPr>
          <w:noProof/>
        </w:rPr>
        <w:t xml:space="preserve"> figure.</w:t>
      </w:r>
    </w:p>
    <w:p w:rsidR="00AE5FBA" w:rsidRPr="000A4F1A" w:rsidRDefault="00AE5FBA" w:rsidP="00F85FC3">
      <w:pPr>
        <w:pStyle w:val="Numberlist2"/>
      </w:pPr>
      <w:r>
        <w:t xml:space="preserve">Where </w:t>
      </w:r>
      <w:r w:rsidRPr="00E34849">
        <w:rPr>
          <w:noProof/>
        </w:rPr>
        <w:t>TNSP</w:t>
      </w:r>
      <w:r>
        <w:t xml:space="preserve"> does not calculate weather corrected </w:t>
      </w:r>
      <w:r w:rsidRPr="00AF2CCF">
        <w:rPr>
          <w:i/>
        </w:rPr>
        <w:t>maximum demand</w:t>
      </w:r>
      <w:r>
        <w:t xml:space="preserve"> it may estimate the historical weather corrected data or shade the cells black. </w:t>
      </w:r>
      <w:r>
        <w:lastRenderedPageBreak/>
        <w:t xml:space="preserve">For </w:t>
      </w:r>
      <w:r w:rsidRPr="004821FC">
        <w:rPr>
          <w:i/>
        </w:rPr>
        <w:t>Regulatory Years</w:t>
      </w:r>
      <w:r>
        <w:t xml:space="preserve"> 2015 and thereafter</w:t>
      </w:r>
      <w:r w:rsidDel="00CB4707">
        <w:t xml:space="preserve"> </w:t>
      </w:r>
      <w:r w:rsidRPr="00E34849">
        <w:rPr>
          <w:noProof/>
        </w:rPr>
        <w:t>TNSP</w:t>
      </w:r>
      <w:r>
        <w:t xml:space="preserve"> must provide weather corrected </w:t>
      </w:r>
      <w:r w:rsidRPr="00AF2CCF">
        <w:rPr>
          <w:i/>
        </w:rPr>
        <w:t>maximum demand</w:t>
      </w:r>
      <w:r>
        <w:t xml:space="preserve"> in accordance with best regulatory practice </w:t>
      </w:r>
      <w:r w:rsidRPr="00AF2CCF">
        <w:rPr>
          <w:i/>
        </w:rPr>
        <w:t>weather correction</w:t>
      </w:r>
      <w:r>
        <w:t xml:space="preserve"> methodologies.</w:t>
      </w:r>
    </w:p>
    <w:p w:rsidR="00AE5FBA" w:rsidRDefault="00AE5FBA" w:rsidP="00F85FC3">
      <w:pPr>
        <w:pStyle w:val="Numberlist1"/>
        <w:rPr>
          <w:lang w:eastAsia="en-AU"/>
        </w:rPr>
      </w:pPr>
      <w:r>
        <w:rPr>
          <w:lang w:eastAsia="en-AU"/>
        </w:rPr>
        <w:t>T</w:t>
      </w:r>
      <w:r w:rsidRPr="009F74C1">
        <w:rPr>
          <w:lang w:eastAsia="en-AU"/>
        </w:rPr>
        <w:t xml:space="preserve">ables requesting system coincident data are referring to the demand at that particular point on the </w:t>
      </w:r>
      <w:r w:rsidRPr="00AF2CCF">
        <w:rPr>
          <w:i/>
          <w:lang w:eastAsia="en-AU"/>
        </w:rPr>
        <w:t>network</w:t>
      </w:r>
      <w:r w:rsidRPr="009F74C1">
        <w:rPr>
          <w:lang w:eastAsia="en-AU"/>
        </w:rPr>
        <w:t xml:space="preserve"> (</w:t>
      </w:r>
      <w:r w:rsidRPr="00AF2CCF">
        <w:rPr>
          <w:i/>
          <w:lang w:eastAsia="en-AU"/>
        </w:rPr>
        <w:t>connection point</w:t>
      </w:r>
      <w:r w:rsidRPr="009F74C1">
        <w:rPr>
          <w:lang w:eastAsia="en-AU"/>
        </w:rPr>
        <w:t xml:space="preserve">) at the time of system (or </w:t>
      </w:r>
      <w:r w:rsidRPr="00AF2CCF">
        <w:rPr>
          <w:i/>
          <w:lang w:eastAsia="en-AU"/>
        </w:rPr>
        <w:t>network</w:t>
      </w:r>
      <w:r w:rsidRPr="009F74C1">
        <w:rPr>
          <w:lang w:eastAsia="en-AU"/>
        </w:rPr>
        <w:t xml:space="preserve">) peak. </w:t>
      </w:r>
    </w:p>
    <w:p w:rsidR="00AE5FBA" w:rsidRDefault="00AE5FBA" w:rsidP="00F85FC3">
      <w:pPr>
        <w:pStyle w:val="Numberlist2"/>
        <w:rPr>
          <w:lang w:eastAsia="en-AU"/>
        </w:rPr>
      </w:pPr>
      <w:r w:rsidRPr="009F74C1">
        <w:rPr>
          <w:lang w:eastAsia="en-AU"/>
        </w:rPr>
        <w:t xml:space="preserve">For example, table </w:t>
      </w:r>
      <w:r>
        <w:rPr>
          <w:lang w:eastAsia="en-AU"/>
        </w:rPr>
        <w:t xml:space="preserve">4.3.2 </w:t>
      </w:r>
      <w:r w:rsidRPr="009F74C1">
        <w:rPr>
          <w:lang w:eastAsia="en-AU"/>
        </w:rPr>
        <w:t xml:space="preserve">requests information about the </w:t>
      </w:r>
      <w:r w:rsidRPr="00AF2CCF">
        <w:rPr>
          <w:i/>
          <w:lang w:eastAsia="en-AU"/>
        </w:rPr>
        <w:t>maximum demand</w:t>
      </w:r>
      <w:r w:rsidRPr="009F74C1">
        <w:rPr>
          <w:lang w:eastAsia="en-AU"/>
        </w:rPr>
        <w:t xml:space="preserve"> on </w:t>
      </w:r>
      <w:r w:rsidRPr="00AF2CCF">
        <w:rPr>
          <w:i/>
          <w:lang w:eastAsia="en-AU"/>
        </w:rPr>
        <w:t>connection points</w:t>
      </w:r>
      <w:r>
        <w:rPr>
          <w:lang w:eastAsia="en-AU"/>
        </w:rPr>
        <w:t xml:space="preserve"> </w:t>
      </w:r>
      <w:r w:rsidRPr="009F74C1">
        <w:rPr>
          <w:lang w:eastAsia="en-AU"/>
        </w:rPr>
        <w:t xml:space="preserve">at the time of system or </w:t>
      </w:r>
      <w:r w:rsidRPr="00AF2CCF">
        <w:rPr>
          <w:i/>
          <w:lang w:eastAsia="en-AU"/>
        </w:rPr>
        <w:t>network</w:t>
      </w:r>
      <w:r w:rsidRPr="009F74C1">
        <w:rPr>
          <w:lang w:eastAsia="en-AU"/>
        </w:rPr>
        <w:t xml:space="preserve"> peak. </w:t>
      </w:r>
    </w:p>
    <w:p w:rsidR="00AE5FBA" w:rsidRDefault="00AE5FBA" w:rsidP="00F85FC3">
      <w:pPr>
        <w:pStyle w:val="Numberlist2"/>
        <w:rPr>
          <w:lang w:eastAsia="en-AU"/>
        </w:rPr>
      </w:pPr>
      <w:r w:rsidRPr="009F74C1">
        <w:rPr>
          <w:lang w:eastAsia="en-AU"/>
        </w:rPr>
        <w:t xml:space="preserve">Conversely, </w:t>
      </w:r>
      <w:proofErr w:type="spellStart"/>
      <w:r w:rsidRPr="00AF2CCF">
        <w:rPr>
          <w:i/>
          <w:lang w:eastAsia="en-AU"/>
        </w:rPr>
        <w:t>non coincident</w:t>
      </w:r>
      <w:proofErr w:type="spellEnd"/>
      <w:r w:rsidRPr="009F74C1">
        <w:rPr>
          <w:lang w:eastAsia="en-AU"/>
        </w:rPr>
        <w:t xml:space="preserve"> data is the </w:t>
      </w:r>
      <w:r w:rsidRPr="00AF2CCF">
        <w:rPr>
          <w:i/>
          <w:lang w:eastAsia="en-AU"/>
        </w:rPr>
        <w:t>maximum demand</w:t>
      </w:r>
      <w:r w:rsidRPr="009F74C1">
        <w:rPr>
          <w:lang w:eastAsia="en-AU"/>
        </w:rPr>
        <w:t xml:space="preserve"> at a particular point on the </w:t>
      </w:r>
      <w:r w:rsidRPr="00AF2CCF">
        <w:rPr>
          <w:i/>
          <w:lang w:eastAsia="en-AU"/>
        </w:rPr>
        <w:t>network</w:t>
      </w:r>
      <w:r w:rsidRPr="009F74C1">
        <w:rPr>
          <w:lang w:eastAsia="en-AU"/>
        </w:rPr>
        <w:t xml:space="preserve"> (which may not necessarily coincide with the time of system peak). For example, table </w:t>
      </w:r>
      <w:r>
        <w:rPr>
          <w:lang w:eastAsia="en-AU"/>
        </w:rPr>
        <w:t>4.3.1</w:t>
      </w:r>
      <w:r w:rsidRPr="009F74C1">
        <w:rPr>
          <w:lang w:eastAsia="en-AU"/>
        </w:rPr>
        <w:t xml:space="preserve"> requests information about </w:t>
      </w:r>
      <w:r w:rsidRPr="00AF2CCF">
        <w:rPr>
          <w:i/>
          <w:lang w:eastAsia="en-AU"/>
        </w:rPr>
        <w:t>non-coincident maximum demand</w:t>
      </w:r>
      <w:r w:rsidRPr="009F74C1">
        <w:rPr>
          <w:lang w:eastAsia="en-AU"/>
        </w:rPr>
        <w:t xml:space="preserve"> at </w:t>
      </w:r>
      <w:r w:rsidRPr="00AF2CCF">
        <w:rPr>
          <w:i/>
          <w:lang w:eastAsia="en-AU"/>
        </w:rPr>
        <w:t>connection points</w:t>
      </w:r>
      <w:r w:rsidRPr="009F74C1">
        <w:rPr>
          <w:lang w:eastAsia="en-AU"/>
        </w:rPr>
        <w:t xml:space="preserve">. In table </w:t>
      </w:r>
      <w:r>
        <w:rPr>
          <w:lang w:eastAsia="en-AU"/>
        </w:rPr>
        <w:t xml:space="preserve">4.3.1, </w:t>
      </w:r>
      <w:r w:rsidRPr="00E34849">
        <w:rPr>
          <w:noProof/>
          <w:lang w:eastAsia="en-AU"/>
        </w:rPr>
        <w:t>TNSP</w:t>
      </w:r>
      <w:r>
        <w:rPr>
          <w:lang w:eastAsia="en-AU"/>
        </w:rPr>
        <w:t xml:space="preserve"> must</w:t>
      </w:r>
      <w:r w:rsidRPr="009F74C1">
        <w:rPr>
          <w:lang w:eastAsia="en-AU"/>
        </w:rPr>
        <w:t xml:space="preserve"> provide information about the </w:t>
      </w:r>
      <w:r w:rsidRPr="00AF2CCF">
        <w:rPr>
          <w:i/>
          <w:lang w:eastAsia="en-AU"/>
        </w:rPr>
        <w:t>maximum demand</w:t>
      </w:r>
      <w:r w:rsidRPr="009F74C1">
        <w:rPr>
          <w:lang w:eastAsia="en-AU"/>
        </w:rPr>
        <w:t xml:space="preserve"> at each </w:t>
      </w:r>
      <w:r w:rsidRPr="00AF2CCF">
        <w:rPr>
          <w:i/>
          <w:lang w:eastAsia="en-AU"/>
        </w:rPr>
        <w:t>connection point</w:t>
      </w:r>
      <w:r>
        <w:rPr>
          <w:lang w:eastAsia="en-AU"/>
        </w:rPr>
        <w:t xml:space="preserve"> </w:t>
      </w:r>
      <w:r w:rsidRPr="009F74C1">
        <w:rPr>
          <w:lang w:eastAsia="en-AU"/>
        </w:rPr>
        <w:t>in each year, which may not correspond to demand at the time of system peak.</w:t>
      </w:r>
    </w:p>
    <w:p w:rsidR="00AE5FBA" w:rsidRPr="007466E5" w:rsidRDefault="00AE5FBA" w:rsidP="00F85FC3">
      <w:pPr>
        <w:pStyle w:val="Numberlist2"/>
        <w:rPr>
          <w:lang w:eastAsia="en-AU"/>
        </w:rPr>
      </w:pPr>
      <w:r>
        <w:t xml:space="preserve">If </w:t>
      </w:r>
      <w:r w:rsidRPr="00E34849">
        <w:rPr>
          <w:noProof/>
        </w:rPr>
        <w:t>TNSP</w:t>
      </w:r>
      <w:r>
        <w:t xml:space="preserve"> does not record and/or maintain spatial </w:t>
      </w:r>
      <w:r w:rsidRPr="00AF2CCF">
        <w:rPr>
          <w:i/>
        </w:rPr>
        <w:t>maximum demand</w:t>
      </w:r>
      <w:r>
        <w:t xml:space="preserve"> coincident to the system </w:t>
      </w:r>
      <w:r w:rsidRPr="00AF2CCF">
        <w:rPr>
          <w:i/>
        </w:rPr>
        <w:t>maximum demand</w:t>
      </w:r>
      <w:r>
        <w:t xml:space="preserve">, </w:t>
      </w:r>
      <w:r w:rsidRPr="00E34849">
        <w:rPr>
          <w:noProof/>
        </w:rPr>
        <w:t>TNSP</w:t>
      </w:r>
      <w:r>
        <w:rPr>
          <w:noProof/>
        </w:rPr>
        <w:t xml:space="preserve"> </w:t>
      </w:r>
      <w:r>
        <w:t xml:space="preserve">must provide spatial </w:t>
      </w:r>
      <w:r w:rsidRPr="00AF2CCF">
        <w:rPr>
          <w:i/>
        </w:rPr>
        <w:t>maximum demand</w:t>
      </w:r>
      <w:r>
        <w:t xml:space="preserve"> coincident to a higher </w:t>
      </w:r>
      <w:r w:rsidRPr="00AF2CCF">
        <w:rPr>
          <w:i/>
        </w:rPr>
        <w:t>network</w:t>
      </w:r>
      <w:r>
        <w:t xml:space="preserve"> segment. </w:t>
      </w:r>
      <w:r w:rsidRPr="00E34849">
        <w:rPr>
          <w:noProof/>
        </w:rPr>
        <w:t>TNSP</w:t>
      </w:r>
      <w:r>
        <w:t xml:space="preserve"> must specify the higher </w:t>
      </w:r>
      <w:r w:rsidRPr="00AF2CCF">
        <w:rPr>
          <w:i/>
        </w:rPr>
        <w:t>network</w:t>
      </w:r>
      <w:r>
        <w:t xml:space="preserve"> segment to which the lower network segment is coincident to in the </w:t>
      </w:r>
      <w:r>
        <w:rPr>
          <w:i/>
        </w:rPr>
        <w:t>basis of preparation</w:t>
      </w:r>
      <w:r>
        <w:t xml:space="preserve">. For example, if </w:t>
      </w:r>
      <w:r w:rsidRPr="00E34849">
        <w:rPr>
          <w:noProof/>
        </w:rPr>
        <w:t>TNSP</w:t>
      </w:r>
      <w:r>
        <w:t xml:space="preserve"> does not maintain </w:t>
      </w:r>
      <w:r w:rsidRPr="00AF2CCF">
        <w:rPr>
          <w:i/>
        </w:rPr>
        <w:t>maximum demand</w:t>
      </w:r>
      <w:r>
        <w:t xml:space="preserve"> data for </w:t>
      </w:r>
      <w:r w:rsidRPr="00AF2CCF">
        <w:rPr>
          <w:i/>
        </w:rPr>
        <w:t>connection points</w:t>
      </w:r>
      <w:r>
        <w:t xml:space="preserve"> coincident to the system </w:t>
      </w:r>
      <w:r w:rsidRPr="00AF2CCF">
        <w:rPr>
          <w:i/>
        </w:rPr>
        <w:t>maximum demand</w:t>
      </w:r>
      <w:r>
        <w:t xml:space="preserve">, </w:t>
      </w:r>
      <w:r w:rsidRPr="00E34849">
        <w:rPr>
          <w:noProof/>
        </w:rPr>
        <w:t>TNSP</w:t>
      </w:r>
      <w:r>
        <w:t xml:space="preserve"> may provide </w:t>
      </w:r>
      <w:r w:rsidRPr="00AF2CCF">
        <w:rPr>
          <w:i/>
        </w:rPr>
        <w:t>maximum demand</w:t>
      </w:r>
      <w:r>
        <w:t xml:space="preserve"> data coincident to regional demand. In this example, </w:t>
      </w:r>
      <w:r w:rsidRPr="00E34849">
        <w:rPr>
          <w:noProof/>
        </w:rPr>
        <w:t>TNSP</w:t>
      </w:r>
      <w:r>
        <w:t xml:space="preserve"> would specify the relevant region in the </w:t>
      </w:r>
      <w:r>
        <w:rPr>
          <w:i/>
        </w:rPr>
        <w:t>basis of preparation</w:t>
      </w:r>
      <w:r>
        <w:t>.</w:t>
      </w:r>
    </w:p>
    <w:p w:rsidR="00AE5FBA" w:rsidRPr="00DF0BC3" w:rsidRDefault="00AE5FBA" w:rsidP="00BB4349">
      <w:pPr>
        <w:pStyle w:val="Heading2"/>
      </w:pPr>
      <w:bookmarkStart w:id="25" w:name="_Toc383506915"/>
      <w:r w:rsidRPr="00DF0BC3">
        <w:t>NON-NETWORK EXPENDITURE</w:t>
      </w:r>
      <w:bookmarkEnd w:id="25"/>
    </w:p>
    <w:p w:rsidR="00AE5FBA" w:rsidRPr="00DF0BC3" w:rsidRDefault="00AE5FBA" w:rsidP="001F333A">
      <w:pPr>
        <w:pStyle w:val="Numberlist1"/>
        <w:tabs>
          <w:tab w:val="clear" w:pos="567"/>
        </w:tabs>
      </w:pPr>
      <w:r w:rsidRPr="00DF0BC3">
        <w:t xml:space="preserve">If expenditure is directly attributable to an expenditure category in this </w:t>
      </w:r>
      <w:r w:rsidRPr="00B07BA9">
        <w:rPr>
          <w:i/>
        </w:rPr>
        <w:t>regulatory template</w:t>
      </w:r>
      <w:r>
        <w:t xml:space="preserve"> 2.5, </w:t>
      </w:r>
      <w:r w:rsidRPr="00DF0BC3">
        <w:t xml:space="preserve">it is a </w:t>
      </w:r>
      <w:r w:rsidRPr="00A41936">
        <w:rPr>
          <w:i/>
        </w:rPr>
        <w:t>Direct Cost</w:t>
      </w:r>
      <w:r>
        <w:t xml:space="preserve"> for the purposes of this </w:t>
      </w:r>
      <w:r w:rsidRPr="00B25042">
        <w:rPr>
          <w:i/>
        </w:rPr>
        <w:t>regulatory template</w:t>
      </w:r>
      <w:r w:rsidRPr="00DF0BC3">
        <w:t xml:space="preserve"> </w:t>
      </w:r>
      <w:r>
        <w:t xml:space="preserve">2.5. </w:t>
      </w:r>
      <w:r w:rsidRPr="00DF0BC3">
        <w:t xml:space="preserve">Report all </w:t>
      </w:r>
      <w:r>
        <w:t xml:space="preserve">capex and/or opex </w:t>
      </w:r>
      <w:r w:rsidRPr="00A41936">
        <w:rPr>
          <w:i/>
        </w:rPr>
        <w:t>Direct Costs</w:t>
      </w:r>
      <w:r>
        <w:t xml:space="preserve"> as required, </w:t>
      </w:r>
      <w:r w:rsidRPr="00DF0BC3">
        <w:t>irrespective of whether a</w:t>
      </w:r>
      <w:r>
        <w:t>ny</w:t>
      </w:r>
      <w:r w:rsidRPr="00DF0BC3">
        <w:t xml:space="preserve"> </w:t>
      </w:r>
      <w:r w:rsidRPr="00A41936">
        <w:rPr>
          <w:i/>
        </w:rPr>
        <w:t>Direct Costs</w:t>
      </w:r>
      <w:r w:rsidRPr="00DF0BC3">
        <w:t xml:space="preserve"> </w:t>
      </w:r>
      <w:r>
        <w:t>are also classified as</w:t>
      </w:r>
      <w:r w:rsidRPr="00DF0BC3">
        <w:t xml:space="preserve"> </w:t>
      </w:r>
      <w:r w:rsidRPr="00A41936">
        <w:rPr>
          <w:i/>
        </w:rPr>
        <w:t>Corporate Overheads</w:t>
      </w:r>
      <w:r w:rsidRPr="00DF0BC3">
        <w:t xml:space="preserve">, </w:t>
      </w:r>
      <w:r w:rsidRPr="00A41936">
        <w:rPr>
          <w:i/>
        </w:rPr>
        <w:t>Network Overheads</w:t>
      </w:r>
      <w:r>
        <w:t xml:space="preserve"> or other </w:t>
      </w:r>
      <w:r w:rsidRPr="00C72D8B">
        <w:rPr>
          <w:i/>
        </w:rPr>
        <w:t>capex</w:t>
      </w:r>
      <w:r>
        <w:t xml:space="preserve"> or </w:t>
      </w:r>
      <w:r w:rsidRPr="00C72D8B">
        <w:rPr>
          <w:i/>
        </w:rPr>
        <w:t>opex categories</w:t>
      </w:r>
      <w:r>
        <w:t>.</w:t>
      </w:r>
      <w:r w:rsidRPr="00DF0BC3">
        <w:t xml:space="preserve"> </w:t>
      </w:r>
      <w:r>
        <w:t xml:space="preserve">To the extent this </w:t>
      </w:r>
      <w:r w:rsidRPr="00DF0BC3">
        <w:t>result</w:t>
      </w:r>
      <w:r>
        <w:t>s</w:t>
      </w:r>
      <w:r w:rsidRPr="00DF0BC3">
        <w:t xml:space="preserve"> in multiple reporting of </w:t>
      </w:r>
      <w:r>
        <w:t xml:space="preserve">expenditures, identify this in accordance with instructions </w:t>
      </w:r>
      <w:r w:rsidRPr="00CA0C1D">
        <w:t xml:space="preserve">at paragraph </w:t>
      </w:r>
      <w:r>
        <w:t>2.3</w:t>
      </w:r>
      <w:r w:rsidRPr="00CA0C1D">
        <w:t xml:space="preserve"> above</w:t>
      </w:r>
      <w:r>
        <w:t>.</w:t>
      </w:r>
      <w:r w:rsidRPr="00DF0BC3">
        <w:t xml:space="preserve"> </w:t>
      </w:r>
    </w:p>
    <w:p w:rsidR="00AE5FBA" w:rsidRPr="00DC1990" w:rsidRDefault="00AE5FBA" w:rsidP="001F333A">
      <w:pPr>
        <w:pStyle w:val="Numberlist1"/>
        <w:tabs>
          <w:tab w:val="clear" w:pos="567"/>
        </w:tabs>
      </w:pPr>
      <w:r w:rsidRPr="00C72D8B">
        <w:t xml:space="preserve">For </w:t>
      </w:r>
      <w:r>
        <w:t xml:space="preserve">example, and for </w:t>
      </w:r>
      <w:r w:rsidRPr="00C72D8B">
        <w:t>the avoidance of doubt,</w:t>
      </w:r>
      <w:r>
        <w:rPr>
          <w:i/>
        </w:rPr>
        <w:t xml:space="preserve"> </w:t>
      </w:r>
      <w:r w:rsidRPr="00A41936">
        <w:rPr>
          <w:i/>
        </w:rPr>
        <w:t>Motor Vehicle expenditure</w:t>
      </w:r>
      <w:r>
        <w:t xml:space="preserve"> directly attributable to direct expenditure categories, for example </w:t>
      </w:r>
      <w:r w:rsidRPr="00A41936">
        <w:rPr>
          <w:i/>
        </w:rPr>
        <w:t>motor vehicle expenditure</w:t>
      </w:r>
      <w:r>
        <w:t xml:space="preserve"> directly attributable to activities giving rise to </w:t>
      </w:r>
      <w:r w:rsidRPr="00C72D8B">
        <w:rPr>
          <w:i/>
        </w:rPr>
        <w:t xml:space="preserve">replacement capital </w:t>
      </w:r>
      <w:proofErr w:type="gramStart"/>
      <w:r w:rsidRPr="00C72D8B">
        <w:rPr>
          <w:i/>
        </w:rPr>
        <w:t>expenditure</w:t>
      </w:r>
      <w:r>
        <w:t>,</w:t>
      </w:r>
      <w:proofErr w:type="gramEnd"/>
      <w:r>
        <w:t xml:space="preserve"> must be included in the expenditure reported in those </w:t>
      </w:r>
      <w:r w:rsidRPr="00C72D8B">
        <w:rPr>
          <w:i/>
        </w:rPr>
        <w:t>replacement capital expenditure</w:t>
      </w:r>
      <w:r>
        <w:t xml:space="preserve"> categories and any reported unit costs.</w:t>
      </w:r>
      <w:r w:rsidRPr="00DC1990">
        <w:t xml:space="preserve">     </w:t>
      </w:r>
    </w:p>
    <w:p w:rsidR="00AE5FBA" w:rsidRPr="00DF0BC3" w:rsidRDefault="00AE5FBA" w:rsidP="001F333A">
      <w:pPr>
        <w:pStyle w:val="Numberlist1"/>
        <w:tabs>
          <w:tab w:val="clear" w:pos="567"/>
        </w:tabs>
      </w:pPr>
      <w:r w:rsidRPr="00DF0BC3">
        <w:t xml:space="preserve">Where </w:t>
      </w:r>
      <w:r>
        <w:t xml:space="preserve">a </w:t>
      </w:r>
      <w:r w:rsidRPr="00DF0BC3">
        <w:t xml:space="preserve">requested value is not constant across a year, calculate an approximate simple average based on the different values over the year and the period for which the different values applied. For example, if </w:t>
      </w:r>
      <w:r w:rsidRPr="00E34849">
        <w:rPr>
          <w:noProof/>
        </w:rPr>
        <w:t>TNSP</w:t>
      </w:r>
      <w:r>
        <w:t xml:space="preserve"> </w:t>
      </w:r>
      <w:r w:rsidRPr="00DF0BC3">
        <w:t>had 12 vehicles for 8 months and 14 vehicles for 4 months, the average vehicles in the class over the year would be 12*</w:t>
      </w:r>
      <w:r>
        <w:t>(</w:t>
      </w:r>
      <w:r w:rsidRPr="00DF0BC3">
        <w:t>8/12</w:t>
      </w:r>
      <w:r>
        <w:t xml:space="preserve">) </w:t>
      </w:r>
      <w:r w:rsidRPr="00DF0BC3">
        <w:t>+</w:t>
      </w:r>
      <w:r>
        <w:t xml:space="preserve"> </w:t>
      </w:r>
      <w:r w:rsidRPr="00DF0BC3">
        <w:t>14*</w:t>
      </w:r>
      <w:r>
        <w:t>(</w:t>
      </w:r>
      <w:r w:rsidRPr="00DF0BC3">
        <w:t>4/12</w:t>
      </w:r>
      <w:r>
        <w:t>)</w:t>
      </w:r>
      <w:r w:rsidRPr="00DF0BC3">
        <w:t xml:space="preserve"> = 12.67</w:t>
      </w:r>
      <w:r>
        <w:t xml:space="preserve"> vehicles.</w:t>
      </w:r>
    </w:p>
    <w:p w:rsidR="00AE5FBA" w:rsidRPr="005D0A34" w:rsidRDefault="00AE5FBA" w:rsidP="001F333A">
      <w:pPr>
        <w:pStyle w:val="Numberlist1"/>
        <w:tabs>
          <w:tab w:val="clear" w:pos="567"/>
        </w:tabs>
      </w:pPr>
      <w:r w:rsidRPr="005D0A34">
        <w:t xml:space="preserve">Add additional rows to disaggregate cost categories as </w:t>
      </w:r>
      <w:r w:rsidRPr="00E34849">
        <w:rPr>
          <w:noProof/>
        </w:rPr>
        <w:t>TNSP</w:t>
      </w:r>
      <w:r>
        <w:t xml:space="preserve"> </w:t>
      </w:r>
      <w:r w:rsidRPr="005D0A34">
        <w:t>consider</w:t>
      </w:r>
      <w:r>
        <w:t>s required.</w:t>
      </w:r>
    </w:p>
    <w:p w:rsidR="00AE5FBA" w:rsidRPr="00DF0BC3" w:rsidRDefault="00AE5FBA" w:rsidP="001F333A">
      <w:pPr>
        <w:pStyle w:val="Numberlist1"/>
        <w:tabs>
          <w:tab w:val="clear" w:pos="567"/>
        </w:tabs>
      </w:pPr>
      <w:r>
        <w:lastRenderedPageBreak/>
        <w:t xml:space="preserve">In relation to the </w:t>
      </w:r>
      <w:r w:rsidRPr="00A41936">
        <w:rPr>
          <w:i/>
        </w:rPr>
        <w:t>Non-network Other expenditure</w:t>
      </w:r>
      <w:r>
        <w:t xml:space="preserve"> category, i</w:t>
      </w:r>
      <w:r w:rsidRPr="00DF0BC3">
        <w:t xml:space="preserve">f </w:t>
      </w:r>
      <w:r w:rsidRPr="00E34849">
        <w:rPr>
          <w:noProof/>
        </w:rPr>
        <w:t>TNSP</w:t>
      </w:r>
      <w:r>
        <w:t xml:space="preserve"> </w:t>
      </w:r>
      <w:r w:rsidRPr="00DF0BC3">
        <w:t>ha</w:t>
      </w:r>
      <w:r>
        <w:t>s</w:t>
      </w:r>
      <w:r w:rsidRPr="00DF0BC3">
        <w:t xml:space="preserve"> incurred $1</w:t>
      </w:r>
      <w:r>
        <w:t xml:space="preserve"> million or more (nominal) </w:t>
      </w:r>
      <w:r w:rsidRPr="00DF0BC3">
        <w:t xml:space="preserve">in </w:t>
      </w:r>
      <w:r w:rsidRPr="00C72D8B">
        <w:rPr>
          <w:i/>
        </w:rPr>
        <w:t>capital expenditure</w:t>
      </w:r>
      <w:r w:rsidRPr="00DF0BC3">
        <w:t xml:space="preserve"> over the last </w:t>
      </w:r>
      <w:r>
        <w:t>five</w:t>
      </w:r>
      <w:r w:rsidRPr="00DF0BC3">
        <w:t xml:space="preserve"> </w:t>
      </w:r>
      <w:r w:rsidRPr="00C72D8B">
        <w:rPr>
          <w:i/>
        </w:rPr>
        <w:t>regulatory years</w:t>
      </w:r>
      <w:r w:rsidRPr="00DF0BC3">
        <w:t xml:space="preserve"> for a </w:t>
      </w:r>
      <w:r>
        <w:t xml:space="preserve">given type or </w:t>
      </w:r>
      <w:r w:rsidRPr="00DF0BC3">
        <w:t>class of assets</w:t>
      </w:r>
      <w:r>
        <w:t xml:space="preserve"> (e.g. mobile cranes)</w:t>
      </w:r>
      <w:r w:rsidRPr="00DF0BC3">
        <w:t xml:space="preserve">, </w:t>
      </w:r>
      <w:r w:rsidRPr="00E34849">
        <w:rPr>
          <w:noProof/>
        </w:rPr>
        <w:t>TNSP</w:t>
      </w:r>
      <w:r>
        <w:t xml:space="preserve"> must insert a row in the </w:t>
      </w:r>
      <w:r>
        <w:rPr>
          <w:i/>
        </w:rPr>
        <w:t xml:space="preserve">regulatory template </w:t>
      </w:r>
      <w:r w:rsidRPr="00C72D8B">
        <w:t>and</w:t>
      </w:r>
      <w:r>
        <w:rPr>
          <w:i/>
        </w:rPr>
        <w:t xml:space="preserve"> </w:t>
      </w:r>
      <w:r w:rsidRPr="00DF0BC3">
        <w:t>report</w:t>
      </w:r>
      <w:r>
        <w:t xml:space="preserve"> that item separately</w:t>
      </w:r>
      <w:r>
        <w:rPr>
          <w:i/>
        </w:rPr>
        <w:t>.</w:t>
      </w:r>
    </w:p>
    <w:p w:rsidR="00AE5FBA" w:rsidRPr="00DF0BC3" w:rsidRDefault="00AE5FBA" w:rsidP="00BB4349">
      <w:pPr>
        <w:pStyle w:val="Heading2"/>
        <w:rPr>
          <w:lang w:eastAsia="en-AU"/>
        </w:rPr>
      </w:pPr>
      <w:bookmarkStart w:id="26" w:name="_Toc383506916"/>
      <w:r w:rsidRPr="00DF0BC3">
        <w:rPr>
          <w:lang w:eastAsia="en-AU"/>
        </w:rPr>
        <w:t>MAINTENANCE EXPENDITURE</w:t>
      </w:r>
      <w:bookmarkEnd w:id="26"/>
      <w:r>
        <w:rPr>
          <w:lang w:eastAsia="en-AU"/>
        </w:rPr>
        <w:t xml:space="preserve"> </w:t>
      </w:r>
    </w:p>
    <w:p w:rsidR="00AE5FBA" w:rsidRDefault="00AE5FBA" w:rsidP="00FD79DB">
      <w:pPr>
        <w:pStyle w:val="Numberlist1"/>
      </w:pPr>
      <w:r w:rsidRPr="00AF0659">
        <w:t xml:space="preserve">For expenditure incurred for the simultaneous inspection of assets and vegetation </w:t>
      </w:r>
      <w:r>
        <w:t xml:space="preserve">or for </w:t>
      </w:r>
      <w:r w:rsidRPr="00AF2CCF">
        <w:rPr>
          <w:i/>
        </w:rPr>
        <w:t>access track maintenance</w:t>
      </w:r>
      <w:r>
        <w:t xml:space="preserve">, </w:t>
      </w:r>
      <w:r w:rsidRPr="00AF0659">
        <w:t xml:space="preserve">report this expenditure under </w:t>
      </w:r>
      <w:r w:rsidRPr="00AF2CCF">
        <w:rPr>
          <w:i/>
        </w:rPr>
        <w:t>maintenance</w:t>
      </w:r>
      <w:r w:rsidRPr="00AF0659">
        <w:t xml:space="preserve">, not </w:t>
      </w:r>
      <w:r w:rsidRPr="00AF2CCF">
        <w:rPr>
          <w:i/>
        </w:rPr>
        <w:t>vegetation management</w:t>
      </w:r>
      <w:r w:rsidRPr="00AF0659">
        <w:t>.</w:t>
      </w:r>
    </w:p>
    <w:p w:rsidR="00AE5FBA" w:rsidRDefault="00AE5FBA" w:rsidP="00FD79DB">
      <w:pPr>
        <w:pStyle w:val="Numberlist1"/>
      </w:pPr>
      <w:r>
        <w:t xml:space="preserve">For each of the </w:t>
      </w:r>
      <w:r w:rsidRPr="00AF2CCF">
        <w:rPr>
          <w:i/>
        </w:rPr>
        <w:t>maintenance</w:t>
      </w:r>
      <w:r>
        <w:t xml:space="preserve"> subcategories prescribed in the template, add rows for additional subcategories if these are material and necessary to disaggregate financial or non-financial data, for example, to disaggregate asset groups according to voltage levels or to specify inspection/maintenance cycles.</w:t>
      </w:r>
    </w:p>
    <w:p w:rsidR="00AE5FBA" w:rsidRPr="001777C2" w:rsidRDefault="00AE5FBA" w:rsidP="00FD79DB">
      <w:pPr>
        <w:pStyle w:val="Numberlist1"/>
        <w:rPr>
          <w:rFonts w:cstheme="minorHAnsi"/>
        </w:rPr>
      </w:pPr>
      <w:r>
        <w:t xml:space="preserve">For each </w:t>
      </w:r>
      <w:r w:rsidRPr="00AF2CCF">
        <w:rPr>
          <w:i/>
        </w:rPr>
        <w:t>maintenance</w:t>
      </w:r>
      <w:r>
        <w:t xml:space="preserve"> subcategory, provide in separate columns the data for inspection cycles and maintenance cycles. </w:t>
      </w:r>
    </w:p>
    <w:p w:rsidR="00AE5FBA" w:rsidRPr="00655D31" w:rsidRDefault="00AE5FBA" w:rsidP="00FD79DB">
      <w:pPr>
        <w:pStyle w:val="Numberlist1"/>
        <w:rPr>
          <w:rFonts w:cstheme="minorHAnsi"/>
        </w:rPr>
      </w:pPr>
      <w:r>
        <w:t xml:space="preserve">For the </w:t>
      </w:r>
      <w:r w:rsidRPr="00AF2CCF">
        <w:rPr>
          <w:i/>
        </w:rPr>
        <w:t>inspection cycle</w:t>
      </w:r>
      <w:r>
        <w:t xml:space="preserve"> for each </w:t>
      </w:r>
      <w:r w:rsidRPr="00AF2CCF">
        <w:rPr>
          <w:i/>
        </w:rPr>
        <w:t>maintenance</w:t>
      </w:r>
      <w:r>
        <w:t xml:space="preserve"> subcategory, express this as </w:t>
      </w:r>
      <w:r w:rsidRPr="00AF2CCF">
        <w:t>n</w:t>
      </w:r>
      <w:r>
        <w:t xml:space="preserve"> in the statement ‘every </w:t>
      </w:r>
      <w:r w:rsidRPr="00AF2CCF">
        <w:t>n</w:t>
      </w:r>
      <w:r>
        <w:t xml:space="preserve"> </w:t>
      </w:r>
      <w:proofErr w:type="gramStart"/>
      <w:r>
        <w:t>years’</w:t>
      </w:r>
      <w:proofErr w:type="gramEnd"/>
      <w:r>
        <w:t>. For example, if the inspection cycle is ‘every 6 years’, put in ‘6’ in the inspection cycle column.</w:t>
      </w:r>
    </w:p>
    <w:p w:rsidR="00AE5FBA" w:rsidRPr="00655D31" w:rsidRDefault="00AE5FBA" w:rsidP="00FD79DB">
      <w:pPr>
        <w:pStyle w:val="Numberlist1"/>
        <w:rPr>
          <w:rFonts w:cstheme="minorHAnsi"/>
        </w:rPr>
      </w:pPr>
      <w:r>
        <w:t xml:space="preserve"> Similarly, for the </w:t>
      </w:r>
      <w:r>
        <w:rPr>
          <w:i/>
        </w:rPr>
        <w:t>m</w:t>
      </w:r>
      <w:r w:rsidRPr="00AF2CCF">
        <w:rPr>
          <w:i/>
        </w:rPr>
        <w:t>aintenance cycle</w:t>
      </w:r>
      <w:r>
        <w:t xml:space="preserve"> for each maintenance subcategory, express this as </w:t>
      </w:r>
      <w:r w:rsidRPr="00AF2CCF">
        <w:t>n</w:t>
      </w:r>
      <w:r>
        <w:t xml:space="preserve"> in the statement ‘every </w:t>
      </w:r>
      <w:r w:rsidRPr="00AF2CCF">
        <w:t>n</w:t>
      </w:r>
      <w:r>
        <w:t xml:space="preserve"> </w:t>
      </w:r>
      <w:proofErr w:type="gramStart"/>
      <w:r>
        <w:t>years’</w:t>
      </w:r>
      <w:proofErr w:type="gramEnd"/>
      <w:r>
        <w:t>. For example, if the maintenance cycle is ‘every 3 years’, put in ‘3’ in the maintenance cycle column.</w:t>
      </w:r>
    </w:p>
    <w:p w:rsidR="00AE5FBA" w:rsidRPr="002F7945" w:rsidRDefault="00AE5FBA" w:rsidP="00FD79DB">
      <w:pPr>
        <w:pStyle w:val="Numberlist1"/>
        <w:rPr>
          <w:rFonts w:cstheme="minorHAnsi"/>
        </w:rPr>
      </w:pPr>
      <w:r>
        <w:t>For inspection and maintenance cycles, asset quantity, and average age of the asset group, use the highest-value (i.e. highest replacement cost) asset type in the asset group as the basis.</w:t>
      </w:r>
    </w:p>
    <w:p w:rsidR="00AE5FBA" w:rsidRDefault="00AE5FBA" w:rsidP="002F7945">
      <w:pPr>
        <w:pStyle w:val="Numberlist1"/>
      </w:pPr>
      <w:r>
        <w:t>Where there are multiple inspection and maintenance activities, report the cycle that reflects the highest cost activity.</w:t>
      </w:r>
    </w:p>
    <w:p w:rsidR="00AE5FBA" w:rsidRDefault="00AE5FBA" w:rsidP="00FD79DB">
      <w:pPr>
        <w:pStyle w:val="Numberlist1"/>
        <w:rPr>
          <w:rFonts w:cstheme="minorHAnsi"/>
        </w:rPr>
      </w:pPr>
      <w:r>
        <w:rPr>
          <w:rFonts w:cstheme="minorHAnsi"/>
        </w:rPr>
        <w:t xml:space="preserve">Adding rows for additional asset subcategories to specify inspection/ maintenance cycles (i.e. non-financial data) does not require disaggregating the </w:t>
      </w:r>
      <w:proofErr w:type="gramStart"/>
      <w:r>
        <w:rPr>
          <w:rFonts w:cstheme="minorHAnsi"/>
        </w:rPr>
        <w:t>corresponding  financial</w:t>
      </w:r>
      <w:proofErr w:type="gramEnd"/>
      <w:r>
        <w:rPr>
          <w:rFonts w:cstheme="minorHAnsi"/>
        </w:rPr>
        <w:t xml:space="preserve"> data for those additional asset subcategories.</w:t>
      </w:r>
    </w:p>
    <w:p w:rsidR="00AE5FBA" w:rsidRDefault="00AE5FBA" w:rsidP="00FD79DB">
      <w:pPr>
        <w:pStyle w:val="Numberlist1"/>
      </w:pPr>
      <w:r>
        <w:t>For ‘Asset Quantity’, provide in separate columns:</w:t>
      </w:r>
    </w:p>
    <w:p w:rsidR="00AE5FBA" w:rsidRDefault="00AE5FBA" w:rsidP="00FD79DB">
      <w:pPr>
        <w:pStyle w:val="Numberlist2"/>
      </w:pPr>
      <w:r>
        <w:t>the total number of assets (population) at the end of the regulatory year, for each asset category</w:t>
      </w:r>
    </w:p>
    <w:p w:rsidR="00AE5FBA" w:rsidRDefault="00AE5FBA" w:rsidP="00FD79DB">
      <w:pPr>
        <w:pStyle w:val="Numberlist2"/>
      </w:pPr>
      <w:r>
        <w:t>the number of assets actually inspected or maintained during the regulatory year, for each asset category</w:t>
      </w:r>
    </w:p>
    <w:p w:rsidR="00AE5FBA" w:rsidRPr="00B07E57" w:rsidRDefault="00AE5FBA" w:rsidP="00221AD2">
      <w:pPr>
        <w:pStyle w:val="Numberlist1"/>
        <w:rPr>
          <w:rFonts w:cstheme="minorHAnsi"/>
        </w:rPr>
      </w:pPr>
      <w:r>
        <w:t xml:space="preserve">For ‘Other </w:t>
      </w:r>
      <w:r w:rsidRPr="00CB4851">
        <w:rPr>
          <w:i/>
        </w:rPr>
        <w:t>maintenance</w:t>
      </w:r>
      <w:r>
        <w:t xml:space="preserve"> activity’, add rows for </w:t>
      </w:r>
      <w:r w:rsidRPr="00AF2CCF">
        <w:rPr>
          <w:i/>
        </w:rPr>
        <w:t>maintenance</w:t>
      </w:r>
      <w:r>
        <w:t xml:space="preserve"> expenditure subcategories if these are material and if these are not yet included in any other </w:t>
      </w:r>
      <w:r w:rsidRPr="00CB4851">
        <w:rPr>
          <w:i/>
        </w:rPr>
        <w:t>maintenance</w:t>
      </w:r>
      <w:r>
        <w:t xml:space="preserve"> expenditure subcategory.</w:t>
      </w:r>
    </w:p>
    <w:p w:rsidR="00AE5FBA" w:rsidRDefault="00AE5FBA" w:rsidP="00AF2CCF">
      <w:pPr>
        <w:pStyle w:val="Numberlist1"/>
        <w:numPr>
          <w:ilvl w:val="0"/>
          <w:numId w:val="0"/>
        </w:numPr>
        <w:ind w:left="567"/>
      </w:pPr>
    </w:p>
    <w:p w:rsidR="00AE5FBA" w:rsidRPr="002807C1" w:rsidRDefault="00AE5FBA" w:rsidP="0052182B">
      <w:pPr>
        <w:pStyle w:val="Heading2"/>
        <w:rPr>
          <w:lang w:eastAsia="en-AU"/>
        </w:rPr>
      </w:pPr>
      <w:bookmarkStart w:id="27" w:name="_Toc383506917"/>
      <w:r w:rsidRPr="002807C1">
        <w:rPr>
          <w:lang w:eastAsia="en-AU"/>
        </w:rPr>
        <w:t>VEGETATION MANAGEMENT EXPENDITURE</w:t>
      </w:r>
      <w:bookmarkEnd w:id="27"/>
      <w:r w:rsidRPr="002807C1">
        <w:rPr>
          <w:lang w:eastAsia="en-AU"/>
        </w:rPr>
        <w:t xml:space="preserve"> </w:t>
      </w:r>
    </w:p>
    <w:p w:rsidR="00AE5FBA" w:rsidRPr="0014239F" w:rsidRDefault="00AE5FBA" w:rsidP="0052182B">
      <w:pPr>
        <w:rPr>
          <w:b/>
          <w:lang w:eastAsia="en-AU"/>
        </w:rPr>
      </w:pPr>
      <w:r w:rsidRPr="0014239F">
        <w:rPr>
          <w:b/>
          <w:lang w:eastAsia="en-AU"/>
        </w:rPr>
        <w:t>Nomination of vegetation management zones</w:t>
      </w:r>
    </w:p>
    <w:p w:rsidR="00AE5FBA" w:rsidRPr="007311D1" w:rsidRDefault="00AE5FBA" w:rsidP="0052182B">
      <w:pPr>
        <w:pStyle w:val="Numberlist1"/>
        <w:rPr>
          <w:lang w:eastAsia="en-AU"/>
        </w:rPr>
      </w:pPr>
      <w:r w:rsidRPr="007311D1">
        <w:rPr>
          <w:lang w:eastAsia="en-AU"/>
        </w:rPr>
        <w:lastRenderedPageBreak/>
        <w:t>Identify</w:t>
      </w:r>
      <w:r>
        <w:rPr>
          <w:lang w:eastAsia="en-AU"/>
        </w:rPr>
        <w:t xml:space="preserve"> one or more</w:t>
      </w:r>
      <w:r w:rsidRPr="007311D1">
        <w:rPr>
          <w:lang w:eastAsia="en-AU"/>
        </w:rPr>
        <w:t xml:space="preserve"> </w:t>
      </w:r>
      <w:r w:rsidRPr="005D0A34">
        <w:rPr>
          <w:i/>
          <w:lang w:eastAsia="en-AU"/>
        </w:rPr>
        <w:t>vegetation management zones</w:t>
      </w:r>
      <w:r w:rsidRPr="007311D1">
        <w:rPr>
          <w:lang w:eastAsia="en-AU"/>
        </w:rPr>
        <w:t xml:space="preserve"> across the geographical area </w:t>
      </w:r>
      <w:r>
        <w:rPr>
          <w:lang w:eastAsia="en-AU"/>
        </w:rPr>
        <w:t xml:space="preserve">of </w:t>
      </w:r>
      <w:r w:rsidRPr="00E34849">
        <w:rPr>
          <w:noProof/>
          <w:lang w:eastAsia="en-AU"/>
        </w:rPr>
        <w:t>TNSP</w:t>
      </w:r>
      <w:r>
        <w:rPr>
          <w:lang w:eastAsia="en-AU"/>
        </w:rPr>
        <w:t>’s</w:t>
      </w:r>
      <w:r w:rsidRPr="007311D1">
        <w:rPr>
          <w:lang w:eastAsia="en-AU"/>
        </w:rPr>
        <w:t xml:space="preserve"> network. To do so</w:t>
      </w:r>
      <w:r>
        <w:rPr>
          <w:lang w:eastAsia="en-AU"/>
        </w:rPr>
        <w:t xml:space="preserve"> consider</w:t>
      </w:r>
      <w:r w:rsidRPr="007311D1">
        <w:rPr>
          <w:lang w:eastAsia="en-AU"/>
        </w:rPr>
        <w:t xml:space="preserve">: </w:t>
      </w:r>
    </w:p>
    <w:p w:rsidR="00AE5FBA" w:rsidRPr="007311D1" w:rsidRDefault="00AE5FBA" w:rsidP="0052182B">
      <w:pPr>
        <w:pStyle w:val="Numberlist2"/>
        <w:rPr>
          <w:lang w:eastAsia="en-AU"/>
        </w:rPr>
      </w:pPr>
      <w:r w:rsidRPr="007311D1">
        <w:rPr>
          <w:lang w:eastAsia="en-AU"/>
        </w:rPr>
        <w:t>areas where bushfire mitigation costs are imposed by legislation, regulation or ministerial order</w:t>
      </w:r>
      <w:r>
        <w:rPr>
          <w:lang w:eastAsia="en-AU"/>
        </w:rPr>
        <w:t>; and</w:t>
      </w:r>
    </w:p>
    <w:p w:rsidR="00AE5FBA" w:rsidRPr="00EB223D" w:rsidRDefault="00AE5FBA" w:rsidP="0052182B">
      <w:pPr>
        <w:pStyle w:val="Numberlist2"/>
        <w:rPr>
          <w:lang w:eastAsia="en-AU"/>
        </w:rPr>
      </w:pPr>
      <w:proofErr w:type="gramStart"/>
      <w:r w:rsidRPr="007311D1">
        <w:rPr>
          <w:lang w:eastAsia="en-AU"/>
        </w:rPr>
        <w:t>areas</w:t>
      </w:r>
      <w:proofErr w:type="gramEnd"/>
      <w:r w:rsidRPr="007311D1">
        <w:rPr>
          <w:lang w:eastAsia="en-AU"/>
        </w:rPr>
        <w:t xml:space="preserve"> of the network where </w:t>
      </w:r>
      <w:r>
        <w:rPr>
          <w:lang w:eastAsia="en-AU"/>
        </w:rPr>
        <w:t>other</w:t>
      </w:r>
      <w:r w:rsidRPr="007311D1">
        <w:rPr>
          <w:lang w:eastAsia="en-AU"/>
        </w:rPr>
        <w:t xml:space="preserve"> recognised drivers affect the costs of performing </w:t>
      </w:r>
      <w:r w:rsidRPr="005D0A34">
        <w:rPr>
          <w:i/>
          <w:lang w:eastAsia="en-AU"/>
        </w:rPr>
        <w:t>vegetation management</w:t>
      </w:r>
      <w:r w:rsidRPr="007311D1">
        <w:rPr>
          <w:lang w:eastAsia="en-AU"/>
        </w:rPr>
        <w:t xml:space="preserve"> work. </w:t>
      </w:r>
    </w:p>
    <w:p w:rsidR="00AE5FBA" w:rsidRPr="007311D1" w:rsidRDefault="00AE5FBA" w:rsidP="0052182B">
      <w:pPr>
        <w:pStyle w:val="Numberlist1"/>
        <w:rPr>
          <w:lang w:eastAsia="en-AU"/>
        </w:rPr>
      </w:pPr>
      <w:r w:rsidRPr="007311D1">
        <w:rPr>
          <w:lang w:eastAsia="en-AU"/>
        </w:rPr>
        <w:t xml:space="preserve">Each </w:t>
      </w:r>
      <w:r>
        <w:rPr>
          <w:lang w:eastAsia="en-AU"/>
        </w:rPr>
        <w:t>contiguous</w:t>
      </w:r>
      <w:r w:rsidRPr="007311D1">
        <w:rPr>
          <w:lang w:eastAsia="en-AU"/>
        </w:rPr>
        <w:t xml:space="preserve"> area </w:t>
      </w:r>
      <w:r>
        <w:rPr>
          <w:lang w:eastAsia="en-AU"/>
        </w:rPr>
        <w:t xml:space="preserve">nominated by </w:t>
      </w:r>
      <w:r w:rsidRPr="00E34849">
        <w:rPr>
          <w:noProof/>
          <w:lang w:eastAsia="en-AU"/>
        </w:rPr>
        <w:t>TNSP</w:t>
      </w:r>
      <w:r>
        <w:rPr>
          <w:lang w:eastAsia="en-AU"/>
        </w:rPr>
        <w:t xml:space="preserve"> is</w:t>
      </w:r>
      <w:r w:rsidRPr="007311D1">
        <w:rPr>
          <w:lang w:eastAsia="en-AU"/>
        </w:rPr>
        <w:t xml:space="preserve"> a </w:t>
      </w:r>
      <w:r w:rsidRPr="005D0A34">
        <w:rPr>
          <w:i/>
          <w:lang w:eastAsia="en-AU"/>
        </w:rPr>
        <w:t>vegetation management zone</w:t>
      </w:r>
      <w:r w:rsidRPr="007311D1">
        <w:rPr>
          <w:lang w:eastAsia="en-AU"/>
        </w:rPr>
        <w:t>.</w:t>
      </w:r>
    </w:p>
    <w:p w:rsidR="00AE5FBA" w:rsidRPr="007311D1" w:rsidRDefault="00AE5FBA" w:rsidP="0052182B">
      <w:pPr>
        <w:pStyle w:val="Numberlist1"/>
        <w:rPr>
          <w:lang w:eastAsia="en-AU"/>
        </w:rPr>
      </w:pPr>
      <w:r w:rsidRPr="007311D1">
        <w:rPr>
          <w:lang w:eastAsia="en-AU"/>
        </w:rPr>
        <w:t xml:space="preserve">Accordingly, each part of the network will be covered by </w:t>
      </w:r>
      <w:r>
        <w:rPr>
          <w:lang w:eastAsia="en-AU"/>
        </w:rPr>
        <w:t xml:space="preserve">only </w:t>
      </w:r>
      <w:r w:rsidRPr="007311D1">
        <w:rPr>
          <w:lang w:eastAsia="en-AU"/>
        </w:rPr>
        <w:t xml:space="preserve">one </w:t>
      </w:r>
      <w:r w:rsidRPr="005D0A34">
        <w:rPr>
          <w:i/>
          <w:lang w:eastAsia="en-AU"/>
        </w:rPr>
        <w:t>vegetation management zone</w:t>
      </w:r>
      <w:r w:rsidRPr="007311D1">
        <w:rPr>
          <w:lang w:eastAsia="en-AU"/>
        </w:rPr>
        <w:t>.</w:t>
      </w:r>
    </w:p>
    <w:p w:rsidR="00AE5FBA" w:rsidRPr="007311D1" w:rsidRDefault="00AE5FBA" w:rsidP="0052182B">
      <w:pPr>
        <w:pStyle w:val="Numberlist1"/>
        <w:rPr>
          <w:lang w:eastAsia="en-AU"/>
        </w:rPr>
      </w:pPr>
      <w:r w:rsidRPr="007311D1">
        <w:rPr>
          <w:lang w:eastAsia="en-AU"/>
        </w:rPr>
        <w:t>Provide, on separate A4 sheets, maps showing:</w:t>
      </w:r>
    </w:p>
    <w:p w:rsidR="00AE5FBA" w:rsidRPr="007311D1" w:rsidRDefault="00AE5FBA" w:rsidP="0052182B">
      <w:pPr>
        <w:pStyle w:val="Numberlist2"/>
        <w:rPr>
          <w:lang w:eastAsia="en-AU"/>
        </w:rPr>
      </w:pPr>
      <w:r w:rsidRPr="007311D1">
        <w:rPr>
          <w:lang w:eastAsia="en-AU"/>
        </w:rPr>
        <w:t xml:space="preserve">each </w:t>
      </w:r>
      <w:r w:rsidRPr="00AF2CCF">
        <w:rPr>
          <w:i/>
          <w:lang w:eastAsia="en-AU"/>
        </w:rPr>
        <w:t>vegetation management zone</w:t>
      </w:r>
      <w:r w:rsidRPr="007311D1">
        <w:rPr>
          <w:lang w:eastAsia="en-AU"/>
        </w:rPr>
        <w:t>; and</w:t>
      </w:r>
    </w:p>
    <w:p w:rsidR="00AE5FBA" w:rsidRPr="007311D1" w:rsidRDefault="00AE5FBA" w:rsidP="0052182B">
      <w:pPr>
        <w:pStyle w:val="Numberlist2"/>
        <w:rPr>
          <w:lang w:eastAsia="en-AU"/>
        </w:rPr>
      </w:pPr>
      <w:proofErr w:type="gramStart"/>
      <w:r w:rsidRPr="007311D1">
        <w:rPr>
          <w:lang w:eastAsia="en-AU"/>
        </w:rPr>
        <w:t>the</w:t>
      </w:r>
      <w:proofErr w:type="gramEnd"/>
      <w:r w:rsidRPr="007311D1">
        <w:rPr>
          <w:lang w:eastAsia="en-AU"/>
        </w:rPr>
        <w:t xml:space="preserve"> total </w:t>
      </w:r>
      <w:r w:rsidRPr="00AF2CCF">
        <w:rPr>
          <w:i/>
          <w:lang w:eastAsia="en-AU"/>
        </w:rPr>
        <w:t>network</w:t>
      </w:r>
      <w:r w:rsidRPr="007311D1">
        <w:rPr>
          <w:lang w:eastAsia="en-AU"/>
        </w:rPr>
        <w:t xml:space="preserve"> area with the borders of each </w:t>
      </w:r>
      <w:r w:rsidRPr="005D0A34">
        <w:rPr>
          <w:i/>
          <w:lang w:eastAsia="en-AU"/>
        </w:rPr>
        <w:t>vegetation management zone</w:t>
      </w:r>
      <w:r w:rsidRPr="007311D1">
        <w:rPr>
          <w:lang w:eastAsia="en-AU"/>
        </w:rPr>
        <w:t>.</w:t>
      </w:r>
    </w:p>
    <w:p w:rsidR="00AE5FBA" w:rsidRDefault="00AE5FBA" w:rsidP="0052182B">
      <w:pPr>
        <w:pStyle w:val="Numberlist1"/>
        <w:rPr>
          <w:lang w:eastAsia="en-AU"/>
        </w:rPr>
      </w:pPr>
      <w:r w:rsidRPr="007311D1">
        <w:rPr>
          <w:lang w:eastAsia="en-AU"/>
        </w:rPr>
        <w:t xml:space="preserve">Fill in tables in </w:t>
      </w:r>
      <w:r>
        <w:rPr>
          <w:lang w:eastAsia="en-AU"/>
        </w:rPr>
        <w:t xml:space="preserve">2.6.1 to 2.6.2 </w:t>
      </w:r>
      <w:r w:rsidRPr="007311D1">
        <w:rPr>
          <w:lang w:eastAsia="en-AU"/>
        </w:rPr>
        <w:t xml:space="preserve">for each </w:t>
      </w:r>
      <w:r w:rsidRPr="005D0A34">
        <w:rPr>
          <w:i/>
          <w:lang w:eastAsia="en-AU"/>
        </w:rPr>
        <w:t>vegetation management zone</w:t>
      </w:r>
      <w:r w:rsidRPr="007311D1">
        <w:rPr>
          <w:lang w:eastAsia="en-AU"/>
        </w:rPr>
        <w:t>, adding additional tables where required.</w:t>
      </w:r>
    </w:p>
    <w:p w:rsidR="00AE5FBA" w:rsidRPr="00437AE8" w:rsidRDefault="00AE5FBA" w:rsidP="0052182B">
      <w:pPr>
        <w:pStyle w:val="Numberlist1"/>
        <w:rPr>
          <w:lang w:eastAsia="en-AU"/>
        </w:rPr>
      </w:pPr>
      <w:r>
        <w:rPr>
          <w:lang w:eastAsia="en-AU"/>
        </w:rPr>
        <w:t xml:space="preserve">To add additional </w:t>
      </w:r>
      <w:r w:rsidRPr="005D0A34">
        <w:rPr>
          <w:i/>
          <w:lang w:eastAsia="en-AU"/>
        </w:rPr>
        <w:t>vegetation management zone</w:t>
      </w:r>
      <w:r>
        <w:rPr>
          <w:i/>
          <w:lang w:eastAsia="en-AU"/>
        </w:rPr>
        <w:t>s</w:t>
      </w:r>
      <w:r>
        <w:rPr>
          <w:lang w:eastAsia="en-AU"/>
        </w:rPr>
        <w:t xml:space="preserve"> on </w:t>
      </w:r>
      <w:r w:rsidRPr="005D0A34">
        <w:rPr>
          <w:i/>
          <w:lang w:eastAsia="en-AU"/>
        </w:rPr>
        <w:t>regulatory template</w:t>
      </w:r>
      <w:r>
        <w:rPr>
          <w:lang w:eastAsia="en-AU"/>
        </w:rPr>
        <w:t xml:space="preserve"> 2.6, </w:t>
      </w:r>
      <w:r>
        <w:t>copy the zone tables within table 2.6.1 and 2.6.2 and paste them at the bottom of each respective table.</w:t>
      </w:r>
      <w:r>
        <w:rPr>
          <w:lang w:eastAsia="en-AU"/>
        </w:rPr>
        <w:t xml:space="preserve"> </w:t>
      </w:r>
    </w:p>
    <w:p w:rsidR="00AE5FBA" w:rsidRPr="00527A6C" w:rsidRDefault="00AE5FBA" w:rsidP="0052182B">
      <w:pPr>
        <w:pStyle w:val="Numberlist1"/>
        <w:rPr>
          <w:lang w:eastAsia="en-AU"/>
        </w:rPr>
      </w:pPr>
      <w:r w:rsidRPr="00527A6C">
        <w:rPr>
          <w:lang w:eastAsia="en-AU"/>
        </w:rPr>
        <w:t xml:space="preserve">For each </w:t>
      </w:r>
      <w:r w:rsidRPr="005D0A34">
        <w:rPr>
          <w:i/>
          <w:lang w:eastAsia="en-AU"/>
        </w:rPr>
        <w:t>vegetation management zone</w:t>
      </w:r>
      <w:r w:rsidRPr="00527A6C">
        <w:rPr>
          <w:lang w:eastAsia="en-AU"/>
        </w:rPr>
        <w:t xml:space="preserve"> </w:t>
      </w:r>
      <w:r w:rsidRPr="002A0B63">
        <w:rPr>
          <w:lang w:eastAsia="en-AU"/>
        </w:rPr>
        <w:t xml:space="preserve">identified in </w:t>
      </w:r>
      <w:r>
        <w:rPr>
          <w:lang w:eastAsia="en-AU"/>
        </w:rPr>
        <w:t>11.1</w:t>
      </w:r>
      <w:r w:rsidRPr="002A0B63">
        <w:rPr>
          <w:lang w:eastAsia="en-AU"/>
        </w:rPr>
        <w:t xml:space="preserve"> above</w:t>
      </w:r>
      <w:r>
        <w:t xml:space="preserve">, </w:t>
      </w:r>
      <w:r w:rsidRPr="00D40C4B">
        <w:t xml:space="preserve">provide in the </w:t>
      </w:r>
      <w:r w:rsidRPr="00AF2CCF">
        <w:rPr>
          <w:i/>
        </w:rPr>
        <w:t>basis of preparation</w:t>
      </w:r>
      <w:r w:rsidRPr="00527A6C">
        <w:rPr>
          <w:lang w:eastAsia="en-AU"/>
        </w:rPr>
        <w:t>:</w:t>
      </w:r>
    </w:p>
    <w:p w:rsidR="00AE5FBA" w:rsidRPr="00527A6C" w:rsidRDefault="00AE5FBA" w:rsidP="0052182B">
      <w:pPr>
        <w:pStyle w:val="Numberlist2"/>
        <w:rPr>
          <w:lang w:eastAsia="en-AU"/>
        </w:rPr>
      </w:pPr>
      <w:r w:rsidRPr="00527A6C">
        <w:rPr>
          <w:lang w:eastAsia="en-AU"/>
        </w:rPr>
        <w:t xml:space="preserve">a list of regulations that impose a material cost on performing </w:t>
      </w:r>
      <w:r w:rsidRPr="005D0A34">
        <w:rPr>
          <w:i/>
          <w:lang w:eastAsia="en-AU"/>
        </w:rPr>
        <w:t>vegetation management</w:t>
      </w:r>
      <w:r w:rsidRPr="00527A6C">
        <w:rPr>
          <w:lang w:eastAsia="en-AU"/>
        </w:rPr>
        <w:t xml:space="preserve"> works (including, but is not limited to, bushfire mitigation regulations);</w:t>
      </w:r>
    </w:p>
    <w:p w:rsidR="00AE5FBA" w:rsidRDefault="00AE5FBA" w:rsidP="0052182B">
      <w:pPr>
        <w:pStyle w:val="Numberlist2"/>
        <w:rPr>
          <w:lang w:eastAsia="en-AU"/>
        </w:rPr>
      </w:pPr>
      <w:r w:rsidRPr="00527A6C">
        <w:rPr>
          <w:lang w:eastAsia="en-AU"/>
        </w:rPr>
        <w:t xml:space="preserve">a list of </w:t>
      </w:r>
      <w:r>
        <w:rPr>
          <w:lang w:eastAsia="en-AU"/>
        </w:rPr>
        <w:t xml:space="preserve">any </w:t>
      </w:r>
      <w:r w:rsidRPr="00527A6C">
        <w:rPr>
          <w:lang w:eastAsia="en-AU"/>
        </w:rPr>
        <w:t xml:space="preserve">self-imposed standards from </w:t>
      </w:r>
      <w:r w:rsidRPr="00E34849">
        <w:rPr>
          <w:noProof/>
          <w:lang w:eastAsia="en-AU"/>
        </w:rPr>
        <w:t>TNSP</w:t>
      </w:r>
      <w:r>
        <w:rPr>
          <w:lang w:eastAsia="en-AU"/>
        </w:rPr>
        <w:t xml:space="preserve">’s </w:t>
      </w:r>
      <w:r w:rsidRPr="005D0A34">
        <w:rPr>
          <w:i/>
          <w:lang w:eastAsia="en-AU"/>
        </w:rPr>
        <w:t>vegetation management</w:t>
      </w:r>
      <w:r w:rsidRPr="00527A6C">
        <w:rPr>
          <w:lang w:eastAsia="en-AU"/>
        </w:rPr>
        <w:t xml:space="preserve"> program which apply to that zone</w:t>
      </w:r>
      <w:r>
        <w:rPr>
          <w:lang w:eastAsia="en-AU"/>
        </w:rPr>
        <w:t>; and</w:t>
      </w:r>
    </w:p>
    <w:p w:rsidR="00AE5FBA" w:rsidRPr="00527A6C" w:rsidRDefault="00AE5FBA" w:rsidP="0052182B">
      <w:pPr>
        <w:pStyle w:val="Numberlist2"/>
        <w:rPr>
          <w:lang w:eastAsia="en-AU"/>
        </w:rPr>
      </w:pPr>
      <w:proofErr w:type="gramStart"/>
      <w:r>
        <w:rPr>
          <w:lang w:eastAsia="en-AU"/>
        </w:rPr>
        <w:t>an</w:t>
      </w:r>
      <w:proofErr w:type="gramEnd"/>
      <w:r>
        <w:rPr>
          <w:lang w:eastAsia="en-AU"/>
        </w:rPr>
        <w:t xml:space="preserve"> explanation of </w:t>
      </w:r>
      <w:r w:rsidRPr="00527A6C">
        <w:rPr>
          <w:lang w:eastAsia="en-AU"/>
        </w:rPr>
        <w:t>the cost impact of regulations</w:t>
      </w:r>
      <w:r>
        <w:rPr>
          <w:lang w:eastAsia="en-AU"/>
        </w:rPr>
        <w:t xml:space="preserve"> and self-imposed standards</w:t>
      </w:r>
      <w:r w:rsidRPr="00527A6C">
        <w:rPr>
          <w:lang w:eastAsia="en-AU"/>
        </w:rPr>
        <w:t xml:space="preserve"> on performing </w:t>
      </w:r>
      <w:r w:rsidRPr="005D0A34">
        <w:rPr>
          <w:i/>
          <w:lang w:eastAsia="en-AU"/>
        </w:rPr>
        <w:t>vegetation management</w:t>
      </w:r>
      <w:r w:rsidRPr="00527A6C">
        <w:rPr>
          <w:lang w:eastAsia="en-AU"/>
        </w:rPr>
        <w:t xml:space="preserve"> work.</w:t>
      </w:r>
    </w:p>
    <w:p w:rsidR="00AE5FBA" w:rsidRPr="0014239F" w:rsidRDefault="00AE5FBA" w:rsidP="0052182B">
      <w:pPr>
        <w:rPr>
          <w:b/>
          <w:lang w:eastAsia="en-AU"/>
        </w:rPr>
      </w:pPr>
      <w:r>
        <w:rPr>
          <w:b/>
          <w:lang w:eastAsia="en-AU"/>
        </w:rPr>
        <w:t>Descriptor metrics by zone</w:t>
      </w:r>
      <w:r w:rsidRPr="0014239F">
        <w:rPr>
          <w:b/>
          <w:lang w:eastAsia="en-AU"/>
        </w:rPr>
        <w:t xml:space="preserve"> table</w:t>
      </w:r>
    </w:p>
    <w:p w:rsidR="00AE5FBA" w:rsidRPr="00C07A78" w:rsidRDefault="00AE5FBA" w:rsidP="0052182B">
      <w:pPr>
        <w:pStyle w:val="Numberlist1"/>
        <w:rPr>
          <w:lang w:eastAsia="en-AU"/>
        </w:rPr>
      </w:pPr>
      <w:r>
        <w:rPr>
          <w:lang w:eastAsia="en-AU"/>
        </w:rPr>
        <w:t xml:space="preserve">If </w:t>
      </w:r>
      <w:r w:rsidRPr="00E34849">
        <w:rPr>
          <w:noProof/>
          <w:lang w:eastAsia="en-AU"/>
        </w:rPr>
        <w:t>TNSP</w:t>
      </w:r>
      <w:r>
        <w:rPr>
          <w:lang w:eastAsia="en-AU"/>
        </w:rPr>
        <w:t xml:space="preserve"> records</w:t>
      </w:r>
      <w:r w:rsidRPr="00C07A78">
        <w:rPr>
          <w:lang w:eastAsia="en-AU"/>
        </w:rPr>
        <w:t xml:space="preserve"> pole</w:t>
      </w:r>
      <w:r>
        <w:rPr>
          <w:lang w:eastAsia="en-AU"/>
        </w:rPr>
        <w:t>s and towers</w:t>
      </w:r>
      <w:r>
        <w:rPr>
          <w:rStyle w:val="CommentReference"/>
          <w:bCs w:val="0"/>
        </w:rPr>
        <w:t xml:space="preserve"> </w:t>
      </w:r>
      <w:r w:rsidRPr="00C07A78">
        <w:rPr>
          <w:lang w:eastAsia="en-AU"/>
        </w:rPr>
        <w:t xml:space="preserve">rather than spans, the number of spans is the number of poles </w:t>
      </w:r>
      <w:r>
        <w:rPr>
          <w:lang w:eastAsia="en-AU"/>
        </w:rPr>
        <w:t xml:space="preserve">and towers </w:t>
      </w:r>
      <w:r w:rsidRPr="00C07A78">
        <w:rPr>
          <w:lang w:eastAsia="en-AU"/>
        </w:rPr>
        <w:t xml:space="preserve">less one. </w:t>
      </w:r>
    </w:p>
    <w:p w:rsidR="00AE5FBA" w:rsidRPr="00C07A78" w:rsidRDefault="00AE5FBA" w:rsidP="0052182B">
      <w:pPr>
        <w:pStyle w:val="Numberlist1"/>
        <w:rPr>
          <w:lang w:eastAsia="en-AU"/>
        </w:rPr>
      </w:pPr>
      <w:r>
        <w:rPr>
          <w:lang w:eastAsia="en-AU"/>
        </w:rPr>
        <w:t xml:space="preserve">If </w:t>
      </w:r>
      <w:r w:rsidRPr="00E34849">
        <w:rPr>
          <w:noProof/>
          <w:lang w:eastAsia="en-AU"/>
        </w:rPr>
        <w:t>TNSP</w:t>
      </w:r>
      <w:r>
        <w:rPr>
          <w:lang w:eastAsia="en-AU"/>
        </w:rPr>
        <w:t xml:space="preserve"> does</w:t>
      </w:r>
      <w:r w:rsidRPr="00C07A78">
        <w:rPr>
          <w:lang w:eastAsia="en-AU"/>
        </w:rPr>
        <w:t xml:space="preserve"> not record the </w:t>
      </w:r>
      <w:r w:rsidRPr="00AF2CCF">
        <w:rPr>
          <w:i/>
          <w:lang w:eastAsia="en-AU"/>
        </w:rPr>
        <w:t>average number of trees per</w:t>
      </w:r>
      <w:r w:rsidRPr="00C07A78">
        <w:rPr>
          <w:lang w:eastAsia="en-AU"/>
        </w:rPr>
        <w:t xml:space="preserve"> </w:t>
      </w:r>
      <w:r w:rsidRPr="005D0A34">
        <w:rPr>
          <w:i/>
          <w:lang w:eastAsia="en-AU"/>
        </w:rPr>
        <w:t>maintenance span</w:t>
      </w:r>
      <w:r w:rsidRPr="00C07A78">
        <w:rPr>
          <w:lang w:eastAsia="en-AU"/>
        </w:rPr>
        <w:t xml:space="preserve">, estimate  this variable using one or a combination of the following data sources: </w:t>
      </w:r>
    </w:p>
    <w:p w:rsidR="00AE5FBA" w:rsidRPr="00C07A78" w:rsidRDefault="00AE5FBA" w:rsidP="0052182B">
      <w:pPr>
        <w:pStyle w:val="Numberlist2"/>
        <w:rPr>
          <w:lang w:eastAsia="en-AU"/>
        </w:rPr>
      </w:pPr>
      <w:r w:rsidRPr="00C07A78">
        <w:rPr>
          <w:lang w:eastAsia="en-AU"/>
        </w:rPr>
        <w:t xml:space="preserve">Encroachment </w:t>
      </w:r>
      <w:r w:rsidRPr="005D0A34">
        <w:rPr>
          <w:i/>
          <w:lang w:eastAsia="en-AU"/>
        </w:rPr>
        <w:t>defects</w:t>
      </w:r>
      <w:r w:rsidRPr="00C07A78">
        <w:rPr>
          <w:lang w:eastAsia="en-AU"/>
        </w:rPr>
        <w:t xml:space="preserve"> (e.g. </w:t>
      </w:r>
      <w:r>
        <w:rPr>
          <w:lang w:eastAsia="en-AU"/>
        </w:rPr>
        <w:t xml:space="preserve">identified by </w:t>
      </w:r>
      <w:r w:rsidRPr="00C07A78">
        <w:rPr>
          <w:lang w:eastAsia="en-AU"/>
        </w:rPr>
        <w:t xml:space="preserve">ground or aerial inspections, </w:t>
      </w:r>
      <w:r>
        <w:rPr>
          <w:lang w:eastAsia="en-AU"/>
        </w:rPr>
        <w:t xml:space="preserve">or </w:t>
      </w:r>
      <w:proofErr w:type="spellStart"/>
      <w:r w:rsidRPr="00AF2CCF">
        <w:rPr>
          <w:i/>
          <w:lang w:eastAsia="en-AU"/>
        </w:rPr>
        <w:t>LiDAR</w:t>
      </w:r>
      <w:proofErr w:type="spellEnd"/>
      <w:r w:rsidRPr="00C07A78">
        <w:rPr>
          <w:lang w:eastAsia="en-AU"/>
        </w:rPr>
        <w:t>) and/or records of vegetation works scoping, or GIS vegetation density data;</w:t>
      </w:r>
    </w:p>
    <w:p w:rsidR="00AE5FBA" w:rsidRPr="00C07A78" w:rsidRDefault="00AE5FBA" w:rsidP="0052182B">
      <w:pPr>
        <w:pStyle w:val="Numberlist2"/>
        <w:rPr>
          <w:lang w:eastAsia="en-AU"/>
        </w:rPr>
      </w:pPr>
      <w:r w:rsidRPr="00C07A78">
        <w:rPr>
          <w:lang w:eastAsia="en-AU"/>
        </w:rPr>
        <w:t xml:space="preserve">Field surveys using a sample of </w:t>
      </w:r>
      <w:r w:rsidRPr="005D0A34">
        <w:rPr>
          <w:i/>
          <w:lang w:eastAsia="en-AU"/>
        </w:rPr>
        <w:t>maintenance spans</w:t>
      </w:r>
      <w:r w:rsidRPr="00C07A78">
        <w:rPr>
          <w:lang w:eastAsia="en-AU"/>
        </w:rPr>
        <w:t xml:space="preserve"> within each vegetation management zone to assess the number of mature </w:t>
      </w:r>
      <w:r w:rsidRPr="00AF2CCF">
        <w:rPr>
          <w:i/>
          <w:lang w:eastAsia="en-AU"/>
        </w:rPr>
        <w:t>trees</w:t>
      </w:r>
      <w:r w:rsidRPr="00C07A78">
        <w:rPr>
          <w:lang w:eastAsia="en-AU"/>
        </w:rPr>
        <w:t xml:space="preserve"> within the maintenance corridor. Sampling must provide a reasonable estimate and </w:t>
      </w:r>
      <w:r w:rsidRPr="00C07A78">
        <w:rPr>
          <w:lang w:eastAsia="en-AU"/>
        </w:rPr>
        <w:lastRenderedPageBreak/>
        <w:t xml:space="preserve">consider the nature of </w:t>
      </w:r>
      <w:r w:rsidRPr="005D0A34">
        <w:rPr>
          <w:i/>
          <w:lang w:eastAsia="en-AU"/>
        </w:rPr>
        <w:t>maintenance spans</w:t>
      </w:r>
      <w:r w:rsidRPr="00C07A78">
        <w:rPr>
          <w:lang w:eastAsia="en-AU"/>
        </w:rPr>
        <w:t xml:space="preserve"> in </w:t>
      </w:r>
      <w:r w:rsidRPr="005D0A34">
        <w:rPr>
          <w:i/>
          <w:lang w:eastAsia="en-AU"/>
        </w:rPr>
        <w:t>urban</w:t>
      </w:r>
      <w:r w:rsidRPr="00C07A78">
        <w:rPr>
          <w:lang w:eastAsia="en-AU"/>
        </w:rPr>
        <w:t xml:space="preserve"> versus </w:t>
      </w:r>
      <w:r w:rsidRPr="005D0A34">
        <w:rPr>
          <w:i/>
          <w:lang w:eastAsia="en-AU"/>
        </w:rPr>
        <w:t>rural</w:t>
      </w:r>
      <w:r w:rsidRPr="00C07A78">
        <w:rPr>
          <w:lang w:eastAsia="en-AU"/>
        </w:rPr>
        <w:t xml:space="preserve"> environments in determining reasonable sample sizes. </w:t>
      </w:r>
    </w:p>
    <w:p w:rsidR="00AE5FBA" w:rsidRPr="00C07A78" w:rsidRDefault="00AE5FBA" w:rsidP="0052182B">
      <w:pPr>
        <w:pStyle w:val="Numberlist2"/>
        <w:rPr>
          <w:lang w:eastAsia="en-AU"/>
        </w:rPr>
      </w:pPr>
      <w:r w:rsidRPr="00C07A78">
        <w:rPr>
          <w:lang w:eastAsia="en-AU"/>
        </w:rPr>
        <w:t xml:space="preserve">Vegetation data such as: </w:t>
      </w:r>
    </w:p>
    <w:p w:rsidR="00AE5FBA" w:rsidRPr="00B2573B" w:rsidRDefault="00AE5FBA" w:rsidP="0052182B">
      <w:pPr>
        <w:pStyle w:val="Numberlist3"/>
        <w:rPr>
          <w:lang w:eastAsia="en-AU"/>
        </w:rPr>
      </w:pPr>
      <w:r w:rsidRPr="00C07A78">
        <w:rPr>
          <w:lang w:eastAsia="en-AU"/>
        </w:rPr>
        <w:t>the Normalised Difference Vegetation Index (NDVI)</w:t>
      </w:r>
      <w:r>
        <w:rPr>
          <w:lang w:eastAsia="en-AU"/>
        </w:rPr>
        <w:t xml:space="preserve"> </w:t>
      </w:r>
      <w:r w:rsidRPr="00B2573B">
        <w:rPr>
          <w:lang w:eastAsia="en-AU"/>
        </w:rPr>
        <w:t>and maps available from the Bureau of Meteorology (BOM);</w:t>
      </w:r>
    </w:p>
    <w:p w:rsidR="00AE5FBA" w:rsidRPr="00C07A78" w:rsidRDefault="00AE5FBA" w:rsidP="0052182B">
      <w:pPr>
        <w:pStyle w:val="Numberlist3"/>
        <w:rPr>
          <w:lang w:eastAsia="en-AU"/>
        </w:rPr>
      </w:pPr>
      <w:r w:rsidRPr="00C07A78">
        <w:rPr>
          <w:lang w:eastAsia="en-AU"/>
        </w:rPr>
        <w:t xml:space="preserve">data from the National Vegetation Information System (VIS data) overlaid on network GIS data to assess the density of vegetation in the direct vicinity of the </w:t>
      </w:r>
      <w:r w:rsidRPr="00AF2CCF">
        <w:rPr>
          <w:i/>
          <w:lang w:eastAsia="en-AU"/>
        </w:rPr>
        <w:t>maintenance spans</w:t>
      </w:r>
      <w:r w:rsidRPr="00C07A78">
        <w:rPr>
          <w:lang w:eastAsia="en-AU"/>
        </w:rPr>
        <w:t>; or</w:t>
      </w:r>
    </w:p>
    <w:p w:rsidR="00AE5FBA" w:rsidRPr="00C07A78" w:rsidRDefault="00AE5FBA" w:rsidP="0052182B">
      <w:pPr>
        <w:pStyle w:val="Numberlist3"/>
        <w:rPr>
          <w:lang w:eastAsia="en-AU"/>
        </w:rPr>
      </w:pPr>
      <w:proofErr w:type="gramStart"/>
      <w:r w:rsidRPr="00C07A78">
        <w:rPr>
          <w:lang w:eastAsia="en-AU"/>
        </w:rPr>
        <w:t>similar</w:t>
      </w:r>
      <w:proofErr w:type="gramEnd"/>
      <w:r w:rsidRPr="00C07A78">
        <w:rPr>
          <w:lang w:eastAsia="en-AU"/>
        </w:rPr>
        <w:t xml:space="preserve"> data from other sources such as Geoscience Australia or commercial suppliers of satellite imagery overlaid on network GIS data records. </w:t>
      </w:r>
    </w:p>
    <w:p w:rsidR="00AE5FBA" w:rsidRPr="00C07A78" w:rsidRDefault="00AE5FBA" w:rsidP="0052182B">
      <w:pPr>
        <w:pStyle w:val="Numberlist2"/>
        <w:rPr>
          <w:lang w:eastAsia="en-AU"/>
        </w:rPr>
      </w:pPr>
      <w:r w:rsidRPr="00C07A78">
        <w:rPr>
          <w:lang w:eastAsia="en-AU"/>
        </w:rPr>
        <w:t>Any other data source based on expert advice.</w:t>
      </w:r>
    </w:p>
    <w:p w:rsidR="00AE5FBA" w:rsidRDefault="00AE5FBA" w:rsidP="0052182B">
      <w:pPr>
        <w:pStyle w:val="Numberlist2"/>
        <w:rPr>
          <w:lang w:eastAsia="en-AU"/>
        </w:rPr>
      </w:pPr>
      <w:r w:rsidRPr="00EA60A8">
        <w:t xml:space="preserve">When completing the templates for </w:t>
      </w:r>
      <w:r>
        <w:t>subsequent regulatory years</w:t>
      </w:r>
      <w:r w:rsidRPr="00EA60A8">
        <w:t xml:space="preserve">, if </w:t>
      </w:r>
      <w:r w:rsidRPr="00E34849">
        <w:rPr>
          <w:noProof/>
        </w:rPr>
        <w:t>TNSP</w:t>
      </w:r>
      <w:r w:rsidRPr="00EA60A8">
        <w:t xml:space="preserve"> can provide </w:t>
      </w:r>
      <w:r>
        <w:t>actual i</w:t>
      </w:r>
      <w:r w:rsidRPr="00EA60A8">
        <w:t xml:space="preserve">nformation for the </w:t>
      </w:r>
      <w:r w:rsidRPr="0024531D">
        <w:rPr>
          <w:i/>
        </w:rPr>
        <w:t>average number of trees per maintenance span</w:t>
      </w:r>
      <w:r w:rsidRPr="00EA60A8">
        <w:t xml:space="preserve"> it must do so; otherwise </w:t>
      </w:r>
      <w:r w:rsidRPr="00E34849">
        <w:rPr>
          <w:noProof/>
        </w:rPr>
        <w:t>TNSP</w:t>
      </w:r>
      <w:r w:rsidRPr="00EA60A8">
        <w:t xml:space="preserve"> must provide </w:t>
      </w:r>
      <w:r>
        <w:t>e</w:t>
      </w:r>
      <w:r w:rsidRPr="00EA60A8">
        <w:t xml:space="preserve">stimated </w:t>
      </w:r>
      <w:r>
        <w:t>i</w:t>
      </w:r>
      <w:r w:rsidRPr="00EA60A8">
        <w:t>nformation.</w:t>
      </w:r>
    </w:p>
    <w:p w:rsidR="00AE5FBA" w:rsidRPr="00437AE8" w:rsidRDefault="00AE5FBA" w:rsidP="0052182B">
      <w:pPr>
        <w:pStyle w:val="Numberlist1"/>
        <w:rPr>
          <w:lang w:eastAsia="en-AU"/>
        </w:rPr>
      </w:pPr>
      <w:r>
        <w:rPr>
          <w:lang w:eastAsia="en-AU"/>
        </w:rPr>
        <w:t xml:space="preserve">If </w:t>
      </w:r>
      <w:r w:rsidRPr="00E34849">
        <w:rPr>
          <w:noProof/>
          <w:lang w:eastAsia="en-AU"/>
        </w:rPr>
        <w:t>TNSP</w:t>
      </w:r>
      <w:r>
        <w:rPr>
          <w:lang w:eastAsia="en-AU"/>
        </w:rPr>
        <w:t xml:space="preserve"> performs </w:t>
      </w:r>
      <w:r w:rsidRPr="005D0A34">
        <w:rPr>
          <w:i/>
          <w:lang w:eastAsia="en-AU"/>
        </w:rPr>
        <w:t>vegetation management</w:t>
      </w:r>
      <w:r>
        <w:rPr>
          <w:lang w:eastAsia="en-AU"/>
        </w:rPr>
        <w:t xml:space="preserve"> work on multiple </w:t>
      </w:r>
      <w:r w:rsidRPr="005D0A34">
        <w:rPr>
          <w:i/>
          <w:lang w:eastAsia="en-AU"/>
        </w:rPr>
        <w:t>cutting cycles</w:t>
      </w:r>
      <w:r>
        <w:rPr>
          <w:lang w:eastAsia="en-AU"/>
        </w:rPr>
        <w:t xml:space="preserve"> within its nominated </w:t>
      </w:r>
      <w:r w:rsidRPr="005D0A34">
        <w:rPr>
          <w:i/>
          <w:lang w:eastAsia="en-AU"/>
        </w:rPr>
        <w:t>vegetation management zones</w:t>
      </w:r>
      <w:r>
        <w:rPr>
          <w:lang w:eastAsia="en-AU"/>
        </w:rPr>
        <w:t xml:space="preserve">, provide a simple average of the </w:t>
      </w:r>
      <w:r w:rsidRPr="005D0A34">
        <w:rPr>
          <w:i/>
          <w:lang w:eastAsia="en-AU"/>
        </w:rPr>
        <w:t>cutting cycles</w:t>
      </w:r>
      <w:r>
        <w:rPr>
          <w:lang w:eastAsia="en-AU"/>
        </w:rPr>
        <w:t>.</w:t>
      </w:r>
    </w:p>
    <w:p w:rsidR="00AE5FBA" w:rsidRPr="0014239F" w:rsidRDefault="00AE5FBA" w:rsidP="0052182B">
      <w:pPr>
        <w:rPr>
          <w:b/>
          <w:lang w:eastAsia="en-AU"/>
        </w:rPr>
      </w:pPr>
      <w:r>
        <w:rPr>
          <w:b/>
          <w:lang w:eastAsia="en-AU"/>
        </w:rPr>
        <w:t>Expenditure metrics by zone</w:t>
      </w:r>
      <w:r w:rsidRPr="0014239F">
        <w:rPr>
          <w:b/>
          <w:lang w:eastAsia="en-AU"/>
        </w:rPr>
        <w:t xml:space="preserve"> table</w:t>
      </w:r>
    </w:p>
    <w:p w:rsidR="00AE5FBA" w:rsidRPr="009831D3" w:rsidRDefault="00AE5FBA" w:rsidP="0052182B">
      <w:pPr>
        <w:pStyle w:val="Numberlist1"/>
        <w:rPr>
          <w:lang w:eastAsia="en-AU"/>
        </w:rPr>
      </w:pPr>
      <w:r>
        <w:t>Only</w:t>
      </w:r>
      <w:r w:rsidRPr="00C07A78">
        <w:t xml:space="preserve"> include </w:t>
      </w:r>
      <w:r>
        <w:t>expenditure on</w:t>
      </w:r>
      <w:r w:rsidRPr="00C07A78">
        <w:t xml:space="preserve"> </w:t>
      </w:r>
      <w:r w:rsidRPr="00780604">
        <w:rPr>
          <w:i/>
        </w:rPr>
        <w:t>inspections</w:t>
      </w:r>
      <w:r w:rsidRPr="00C07A78">
        <w:t xml:space="preserve"> </w:t>
      </w:r>
      <w:r>
        <w:t>where</w:t>
      </w:r>
      <w:r w:rsidRPr="00C07A78">
        <w:t xml:space="preserve"> </w:t>
      </w:r>
      <w:r w:rsidRPr="00E34849">
        <w:rPr>
          <w:noProof/>
        </w:rPr>
        <w:t>TNSP</w:t>
      </w:r>
      <w:r w:rsidRPr="00C07A78">
        <w:t xml:space="preserve"> </w:t>
      </w:r>
      <w:r>
        <w:t xml:space="preserve">inspects </w:t>
      </w:r>
      <w:r w:rsidRPr="00C07A78">
        <w:t xml:space="preserve">solely for the purpose of assessing vegetation. Include </w:t>
      </w:r>
      <w:r w:rsidRPr="005B138A">
        <w:rPr>
          <w:i/>
        </w:rPr>
        <w:t>inspection</w:t>
      </w:r>
      <w:r w:rsidRPr="00C07A78">
        <w:t xml:space="preserve"> </w:t>
      </w:r>
      <w:r>
        <w:t>expenditure</w:t>
      </w:r>
      <w:r w:rsidRPr="00C07A78">
        <w:t xml:space="preserve"> for </w:t>
      </w:r>
      <w:r w:rsidRPr="0024531D">
        <w:t>inspections</w:t>
      </w:r>
      <w:r>
        <w:t xml:space="preserve"> assessing both </w:t>
      </w:r>
      <w:r w:rsidRPr="00E34849">
        <w:rPr>
          <w:noProof/>
        </w:rPr>
        <w:t>TNSP</w:t>
      </w:r>
      <w:r>
        <w:t xml:space="preserve">’s </w:t>
      </w:r>
      <w:r w:rsidRPr="0024531D">
        <w:rPr>
          <w:i/>
        </w:rPr>
        <w:t>assets</w:t>
      </w:r>
      <w:r>
        <w:t xml:space="preserve"> and</w:t>
      </w:r>
      <w:r w:rsidRPr="00C07A78">
        <w:t xml:space="preserve"> vegetation </w:t>
      </w:r>
      <w:r w:rsidRPr="009831D3">
        <w:t xml:space="preserve">under </w:t>
      </w:r>
      <w:r w:rsidRPr="005B138A">
        <w:rPr>
          <w:i/>
        </w:rPr>
        <w:t>maintenance</w:t>
      </w:r>
      <w:r w:rsidRPr="009831D3">
        <w:t xml:space="preserve"> (</w:t>
      </w:r>
      <w:r w:rsidRPr="005B138A">
        <w:rPr>
          <w:i/>
        </w:rPr>
        <w:t>regulatory template</w:t>
      </w:r>
      <w:r w:rsidRPr="009831D3">
        <w:t xml:space="preserve"> 2.</w:t>
      </w:r>
      <w:r>
        <w:t>7</w:t>
      </w:r>
      <w:r w:rsidRPr="009831D3">
        <w:t>).</w:t>
      </w:r>
      <w:r w:rsidRPr="008D30F9">
        <w:t xml:space="preserve"> </w:t>
      </w:r>
      <w:r>
        <w:t xml:space="preserve">If </w:t>
      </w:r>
      <w:r w:rsidRPr="00E34849">
        <w:rPr>
          <w:noProof/>
        </w:rPr>
        <w:t>TNSP</w:t>
      </w:r>
      <w:r>
        <w:t xml:space="preserve"> does not record expenditure on </w:t>
      </w:r>
      <w:r w:rsidRPr="00780604">
        <w:rPr>
          <w:i/>
        </w:rPr>
        <w:t>inspections</w:t>
      </w:r>
      <w:r>
        <w:t xml:space="preserve"> of vegetation separately, </w:t>
      </w:r>
      <w:r w:rsidRPr="00E34849">
        <w:rPr>
          <w:noProof/>
        </w:rPr>
        <w:t>TNSP</w:t>
      </w:r>
      <w:r>
        <w:rPr>
          <w:noProof/>
        </w:rPr>
        <w:t xml:space="preserve"> </w:t>
      </w:r>
      <w:r>
        <w:t xml:space="preserve">may shade the cells black. For the </w:t>
      </w:r>
      <w:r w:rsidRPr="00852E84">
        <w:rPr>
          <w:i/>
        </w:rPr>
        <w:t>Regulatory Years</w:t>
      </w:r>
      <w:r>
        <w:t xml:space="preserve"> including and after 2015, </w:t>
      </w:r>
      <w:r w:rsidRPr="00E34849">
        <w:rPr>
          <w:noProof/>
        </w:rPr>
        <w:t>TNSP</w:t>
      </w:r>
      <w:r w:rsidRPr="005A036E">
        <w:t xml:space="preserve"> must</w:t>
      </w:r>
      <w:r>
        <w:t xml:space="preserve"> provide data on </w:t>
      </w:r>
      <w:r>
        <w:rPr>
          <w:i/>
        </w:rPr>
        <w:t>inspection</w:t>
      </w:r>
      <w:r>
        <w:t xml:space="preserve"> expenditure.</w:t>
      </w:r>
    </w:p>
    <w:p w:rsidR="00AE5FBA" w:rsidRPr="00C07A78" w:rsidRDefault="00AE5FBA" w:rsidP="0052182B">
      <w:pPr>
        <w:pStyle w:val="Numberlist1"/>
        <w:rPr>
          <w:lang w:eastAsia="en-AU"/>
        </w:rPr>
      </w:pPr>
      <w:r w:rsidRPr="00C07A78">
        <w:rPr>
          <w:lang w:eastAsia="en-AU"/>
        </w:rPr>
        <w:t xml:space="preserve">If auditing </w:t>
      </w:r>
      <w:r>
        <w:rPr>
          <w:lang w:eastAsia="en-AU"/>
        </w:rPr>
        <w:t xml:space="preserve">of </w:t>
      </w:r>
      <w:r w:rsidRPr="005D0A34">
        <w:rPr>
          <w:i/>
          <w:lang w:eastAsia="en-AU"/>
        </w:rPr>
        <w:t>vegetation management</w:t>
      </w:r>
      <w:r w:rsidRPr="00C07A78">
        <w:rPr>
          <w:lang w:eastAsia="en-AU"/>
        </w:rPr>
        <w:t xml:space="preserve"> work </w:t>
      </w:r>
      <w:r>
        <w:rPr>
          <w:lang w:eastAsia="en-AU"/>
        </w:rPr>
        <w:t>is</w:t>
      </w:r>
      <w:r w:rsidRPr="00C07A78">
        <w:rPr>
          <w:lang w:eastAsia="en-AU"/>
        </w:rPr>
        <w:t xml:space="preserve"> not recorded separately, include these </w:t>
      </w:r>
      <w:r>
        <w:rPr>
          <w:lang w:eastAsia="en-AU"/>
        </w:rPr>
        <w:t>expenditures</w:t>
      </w:r>
      <w:r w:rsidRPr="00C07A78">
        <w:rPr>
          <w:lang w:eastAsia="en-AU"/>
        </w:rPr>
        <w:t xml:space="preserve"> within </w:t>
      </w:r>
      <w:r w:rsidRPr="005D0A34">
        <w:rPr>
          <w:i/>
          <w:lang w:eastAsia="en-AU"/>
        </w:rPr>
        <w:t>inspection</w:t>
      </w:r>
      <w:r w:rsidRPr="00C07A78">
        <w:rPr>
          <w:lang w:eastAsia="en-AU"/>
        </w:rPr>
        <w:t xml:space="preserve"> </w:t>
      </w:r>
      <w:r>
        <w:rPr>
          <w:lang w:eastAsia="en-AU"/>
        </w:rPr>
        <w:t>expenditure</w:t>
      </w:r>
      <w:r w:rsidRPr="00C07A78">
        <w:rPr>
          <w:lang w:eastAsia="en-AU"/>
        </w:rPr>
        <w:t>.</w:t>
      </w:r>
      <w:r>
        <w:rPr>
          <w:lang w:eastAsia="en-AU"/>
        </w:rPr>
        <w:t xml:space="preserve"> </w:t>
      </w:r>
      <w:r>
        <w:t xml:space="preserve">If </w:t>
      </w:r>
      <w:r w:rsidRPr="00E34849">
        <w:rPr>
          <w:noProof/>
        </w:rPr>
        <w:t>TNSP</w:t>
      </w:r>
      <w:r>
        <w:t xml:space="preserve"> does not record expenditure on </w:t>
      </w:r>
      <w:r>
        <w:rPr>
          <w:i/>
        </w:rPr>
        <w:t xml:space="preserve">audits </w:t>
      </w:r>
      <w:r w:rsidRPr="004E66D0">
        <w:t>of</w:t>
      </w:r>
      <w:r>
        <w:rPr>
          <w:i/>
        </w:rPr>
        <w:t xml:space="preserve"> vegetation management </w:t>
      </w:r>
      <w:r w:rsidRPr="004E66D0">
        <w:t>work</w:t>
      </w:r>
      <w:r>
        <w:t xml:space="preserve"> separately, </w:t>
      </w:r>
      <w:r w:rsidRPr="00E34849">
        <w:rPr>
          <w:noProof/>
        </w:rPr>
        <w:t>TNSP</w:t>
      </w:r>
      <w:r>
        <w:rPr>
          <w:noProof/>
        </w:rPr>
        <w:t xml:space="preserve"> </w:t>
      </w:r>
      <w:r>
        <w:t>may shade the cells black.</w:t>
      </w:r>
      <w:r w:rsidRPr="00A64A6C">
        <w:t xml:space="preserve"> </w:t>
      </w:r>
      <w:r>
        <w:t xml:space="preserve">For </w:t>
      </w:r>
      <w:r w:rsidRPr="004821FC">
        <w:rPr>
          <w:i/>
        </w:rPr>
        <w:t>Regulatory Years</w:t>
      </w:r>
      <w:r>
        <w:t xml:space="preserve"> 2015 and thereafter, </w:t>
      </w:r>
      <w:r w:rsidRPr="00E34849">
        <w:rPr>
          <w:noProof/>
        </w:rPr>
        <w:t>TNSP</w:t>
      </w:r>
      <w:r w:rsidRPr="005A036E">
        <w:t xml:space="preserve"> must</w:t>
      </w:r>
      <w:r>
        <w:t xml:space="preserve"> provide data on </w:t>
      </w:r>
      <w:r w:rsidRPr="003A3778">
        <w:t>auditing</w:t>
      </w:r>
      <w:r>
        <w:t xml:space="preserve"> expenditure. </w:t>
      </w:r>
    </w:p>
    <w:p w:rsidR="00AE5FBA" w:rsidRDefault="00AE5FBA" w:rsidP="00A82CD6">
      <w:pPr>
        <w:pStyle w:val="Numberlist1"/>
        <w:rPr>
          <w:noProof/>
          <w:lang w:eastAsia="en-AU"/>
        </w:rPr>
      </w:pPr>
      <w:r w:rsidRPr="00956240">
        <w:rPr>
          <w:noProof/>
          <w:lang w:eastAsia="en-AU"/>
        </w:rPr>
        <w:t xml:space="preserve">Annual </w:t>
      </w:r>
      <w:r w:rsidRPr="005D0A34">
        <w:rPr>
          <w:i/>
          <w:noProof/>
          <w:lang w:eastAsia="en-AU"/>
        </w:rPr>
        <w:t>vegetation management</w:t>
      </w:r>
      <w:r w:rsidRPr="00956240">
        <w:rPr>
          <w:noProof/>
          <w:lang w:eastAsia="en-AU"/>
        </w:rPr>
        <w:t xml:space="preserve"> </w:t>
      </w:r>
      <w:r>
        <w:rPr>
          <w:noProof/>
          <w:lang w:eastAsia="en-AU"/>
        </w:rPr>
        <w:t>expenditure</w:t>
      </w:r>
      <w:r w:rsidRPr="00956240">
        <w:rPr>
          <w:noProof/>
          <w:lang w:eastAsia="en-AU"/>
        </w:rPr>
        <w:t xml:space="preserve"> across all categories and zones must sum up to the total </w:t>
      </w:r>
      <w:r w:rsidRPr="005D0A34">
        <w:rPr>
          <w:i/>
          <w:noProof/>
          <w:lang w:eastAsia="en-AU"/>
        </w:rPr>
        <w:t>vegetation management</w:t>
      </w:r>
      <w:r w:rsidRPr="00956240">
        <w:rPr>
          <w:noProof/>
          <w:lang w:eastAsia="en-AU"/>
        </w:rPr>
        <w:t xml:space="preserve"> expenditure each year. </w:t>
      </w:r>
      <w:r>
        <w:rPr>
          <w:noProof/>
          <w:lang w:eastAsia="en-AU"/>
        </w:rPr>
        <w:t>In table 2.6.2, a</w:t>
      </w:r>
      <w:r w:rsidRPr="00956240">
        <w:rPr>
          <w:noProof/>
          <w:lang w:eastAsia="en-AU"/>
        </w:rPr>
        <w:t xml:space="preserve">dd any other </w:t>
      </w:r>
      <w:r w:rsidRPr="005D0A34">
        <w:rPr>
          <w:i/>
          <w:noProof/>
        </w:rPr>
        <w:t>vegetation management</w:t>
      </w:r>
      <w:r w:rsidRPr="00956240">
        <w:rPr>
          <w:noProof/>
        </w:rPr>
        <w:t xml:space="preserve"> </w:t>
      </w:r>
      <w:r>
        <w:rPr>
          <w:noProof/>
          <w:lang w:eastAsia="en-AU"/>
        </w:rPr>
        <w:t>expenditure</w:t>
      </w:r>
      <w:r w:rsidRPr="00956240">
        <w:rPr>
          <w:noProof/>
          <w:lang w:eastAsia="en-AU"/>
        </w:rPr>
        <w:t xml:space="preserve"> not requested in any other part of </w:t>
      </w:r>
      <w:r w:rsidRPr="005D0A34">
        <w:rPr>
          <w:i/>
          <w:noProof/>
          <w:lang w:eastAsia="en-AU"/>
        </w:rPr>
        <w:t xml:space="preserve">regulatory </w:t>
      </w:r>
      <w:r w:rsidRPr="0014239F">
        <w:rPr>
          <w:i/>
          <w:noProof/>
          <w:lang w:eastAsia="en-AU"/>
        </w:rPr>
        <w:t>template</w:t>
      </w:r>
      <w:r w:rsidRPr="0014239F">
        <w:rPr>
          <w:noProof/>
          <w:lang w:eastAsia="en-AU"/>
        </w:rPr>
        <w:t xml:space="preserve"> 2.6</w:t>
      </w:r>
      <w:r w:rsidRPr="00956240">
        <w:rPr>
          <w:noProof/>
          <w:lang w:eastAsia="en-AU"/>
        </w:rPr>
        <w:t xml:space="preserve"> </w:t>
      </w:r>
      <w:r w:rsidRPr="00A34899">
        <w:rPr>
          <w:noProof/>
        </w:rPr>
        <w:t xml:space="preserve">(or added in </w:t>
      </w:r>
      <w:r w:rsidRPr="00A34899">
        <w:rPr>
          <w:i/>
          <w:noProof/>
        </w:rPr>
        <w:t>regulatory template</w:t>
      </w:r>
      <w:r w:rsidRPr="00A34899">
        <w:rPr>
          <w:noProof/>
        </w:rPr>
        <w:t xml:space="preserve"> 2.</w:t>
      </w:r>
      <w:r>
        <w:rPr>
          <w:noProof/>
        </w:rPr>
        <w:t>7</w:t>
      </w:r>
      <w:r w:rsidRPr="00A34899">
        <w:rPr>
          <w:noProof/>
        </w:rPr>
        <w:t xml:space="preserve">) </w:t>
      </w:r>
      <w:r w:rsidRPr="00956240">
        <w:rPr>
          <w:noProof/>
          <w:lang w:eastAsia="en-AU"/>
        </w:rPr>
        <w:t xml:space="preserve">in </w:t>
      </w:r>
      <w:r w:rsidRPr="00E34849">
        <w:rPr>
          <w:noProof/>
          <w:lang w:eastAsia="en-AU"/>
        </w:rPr>
        <w:t>TNSP</w:t>
      </w:r>
      <w:r>
        <w:rPr>
          <w:noProof/>
          <w:lang w:eastAsia="en-AU"/>
        </w:rPr>
        <w:t xml:space="preserve">’s </w:t>
      </w:r>
      <w:r w:rsidRPr="00956240">
        <w:rPr>
          <w:noProof/>
          <w:lang w:eastAsia="en-AU"/>
        </w:rPr>
        <w:t xml:space="preserve">estimate of total annual </w:t>
      </w:r>
      <w:r w:rsidRPr="005D0A34">
        <w:rPr>
          <w:i/>
          <w:noProof/>
          <w:lang w:eastAsia="en-AU"/>
        </w:rPr>
        <w:t>vegetation management</w:t>
      </w:r>
      <w:r w:rsidRPr="00956240">
        <w:rPr>
          <w:noProof/>
          <w:lang w:eastAsia="en-AU"/>
        </w:rPr>
        <w:t xml:space="preserve"> </w:t>
      </w:r>
      <w:r>
        <w:rPr>
          <w:noProof/>
          <w:lang w:eastAsia="en-AU"/>
        </w:rPr>
        <w:t>expenditure</w:t>
      </w:r>
      <w:r w:rsidRPr="00956240">
        <w:rPr>
          <w:noProof/>
          <w:lang w:eastAsia="en-AU"/>
        </w:rPr>
        <w:t>.</w:t>
      </w:r>
      <w:r>
        <w:rPr>
          <w:noProof/>
          <w:lang w:eastAsia="en-AU"/>
        </w:rPr>
        <w:t xml:space="preserve"> </w:t>
      </w:r>
      <w:r w:rsidRPr="00A82CD6">
        <w:rPr>
          <w:noProof/>
          <w:lang w:eastAsia="en-AU"/>
        </w:rPr>
        <w:t xml:space="preserve">In the </w:t>
      </w:r>
      <w:r w:rsidRPr="00AF2CCF">
        <w:rPr>
          <w:i/>
          <w:noProof/>
          <w:lang w:eastAsia="en-AU"/>
        </w:rPr>
        <w:t>basis of preparation</w:t>
      </w:r>
      <w:r w:rsidRPr="00A82CD6">
        <w:rPr>
          <w:noProof/>
          <w:lang w:eastAsia="en-AU"/>
        </w:rPr>
        <w:t>, explain the expenditures that have been included in this table.</w:t>
      </w:r>
    </w:p>
    <w:p w:rsidR="00AE5FBA" w:rsidRPr="004452EF" w:rsidRDefault="00AE5FBA" w:rsidP="0052182B">
      <w:pPr>
        <w:rPr>
          <w:b/>
          <w:lang w:eastAsia="en-AU"/>
        </w:rPr>
      </w:pPr>
      <w:r w:rsidRPr="004452EF">
        <w:rPr>
          <w:b/>
          <w:lang w:eastAsia="en-AU"/>
        </w:rPr>
        <w:t>Unplanned vegetation events table</w:t>
      </w:r>
    </w:p>
    <w:p w:rsidR="00AE5FBA" w:rsidRDefault="00AE5FBA" w:rsidP="0052182B">
      <w:pPr>
        <w:pStyle w:val="Numberlist1"/>
        <w:rPr>
          <w:lang w:eastAsia="en-AU"/>
        </w:rPr>
      </w:pPr>
      <w:r>
        <w:rPr>
          <w:lang w:eastAsia="en-AU"/>
        </w:rPr>
        <w:t>In table 2.6.3, f</w:t>
      </w:r>
      <w:r w:rsidRPr="00685CA0">
        <w:rPr>
          <w:lang w:eastAsia="en-AU"/>
        </w:rPr>
        <w:t xml:space="preserve">ill out the </w:t>
      </w:r>
      <w:r w:rsidRPr="008758D4">
        <w:rPr>
          <w:i/>
          <w:lang w:eastAsia="en-AU"/>
        </w:rPr>
        <w:t>unplanned vegetation events</w:t>
      </w:r>
      <w:r w:rsidRPr="00685CA0">
        <w:rPr>
          <w:lang w:eastAsia="en-AU"/>
        </w:rPr>
        <w:t xml:space="preserve"> table once, providing the requested information across </w:t>
      </w:r>
      <w:r w:rsidRPr="00E34849">
        <w:rPr>
          <w:noProof/>
          <w:lang w:eastAsia="en-AU"/>
        </w:rPr>
        <w:t>TNSP</w:t>
      </w:r>
      <w:r w:rsidRPr="00685CA0">
        <w:rPr>
          <w:lang w:eastAsia="en-AU"/>
        </w:rPr>
        <w:t>’s entire network.</w:t>
      </w:r>
    </w:p>
    <w:p w:rsidR="00AE5FBA" w:rsidRPr="00EA7D8F" w:rsidRDefault="00AE5FBA" w:rsidP="003B18C7">
      <w:pPr>
        <w:pStyle w:val="Numberlist1"/>
      </w:pPr>
      <w:r w:rsidRPr="00E34849">
        <w:rPr>
          <w:noProof/>
        </w:rPr>
        <w:lastRenderedPageBreak/>
        <w:t>TNSP</w:t>
      </w:r>
      <w:r w:rsidRPr="00A34899">
        <w:t xml:space="preserve"> is not required to provide information requested in table </w:t>
      </w:r>
      <w:r>
        <w:t>2.6.3</w:t>
      </w:r>
      <w:r w:rsidRPr="00A34899">
        <w:t xml:space="preserve"> for Initial Regulatory Years where it does not currently have it</w:t>
      </w:r>
      <w:r>
        <w:t>, and may shade the cells black</w:t>
      </w:r>
      <w:r w:rsidRPr="00A34899">
        <w:t xml:space="preserve">. However, </w:t>
      </w:r>
      <w:r>
        <w:t xml:space="preserve">for </w:t>
      </w:r>
      <w:r w:rsidRPr="004821FC">
        <w:rPr>
          <w:i/>
        </w:rPr>
        <w:t>Regulatory Years</w:t>
      </w:r>
      <w:r>
        <w:t xml:space="preserve"> 2015 and thereafter</w:t>
      </w:r>
      <w:r w:rsidRPr="00A34899">
        <w:t xml:space="preserve">, </w:t>
      </w:r>
      <w:r w:rsidRPr="00E34849">
        <w:rPr>
          <w:noProof/>
        </w:rPr>
        <w:t>TNSP</w:t>
      </w:r>
      <w:r>
        <w:rPr>
          <w:noProof/>
        </w:rPr>
        <w:t xml:space="preserve"> </w:t>
      </w:r>
      <w:r w:rsidRPr="00A34899">
        <w:t>must provide this information.</w:t>
      </w:r>
    </w:p>
    <w:p w:rsidR="00AE5FBA" w:rsidRPr="00D100C9" w:rsidRDefault="00AE5FBA" w:rsidP="0052182B">
      <w:pPr>
        <w:pStyle w:val="Heading2"/>
        <w:rPr>
          <w:lang w:eastAsia="en-AU"/>
        </w:rPr>
      </w:pPr>
      <w:bookmarkStart w:id="28" w:name="_Toc383506918"/>
      <w:r w:rsidRPr="00D100C9">
        <w:rPr>
          <w:lang w:eastAsia="en-AU"/>
        </w:rPr>
        <w:t>OVERHEADS EXPENDITURE</w:t>
      </w:r>
      <w:bookmarkEnd w:id="28"/>
    </w:p>
    <w:p w:rsidR="00AE5FBA" w:rsidRDefault="00AE5FBA" w:rsidP="00FD79DB">
      <w:pPr>
        <w:pStyle w:val="Numberlist1"/>
      </w:pPr>
      <w:r>
        <w:t xml:space="preserve">Report </w:t>
      </w:r>
      <w:r w:rsidRPr="00AF2CCF">
        <w:rPr>
          <w:i/>
        </w:rPr>
        <w:t>overhead</w:t>
      </w:r>
      <w:r>
        <w:t xml:space="preserve"> expenditure before it is allocated to services or direct expenditure, and before any part of it is capitalised.</w:t>
      </w:r>
    </w:p>
    <w:p w:rsidR="00AE5FBA" w:rsidRDefault="00AE5FBA" w:rsidP="00FD79DB">
      <w:pPr>
        <w:pStyle w:val="Numberlist1"/>
      </w:pPr>
      <w:r>
        <w:t xml:space="preserve">Report </w:t>
      </w:r>
      <w:r w:rsidRPr="00AF2CCF">
        <w:rPr>
          <w:i/>
        </w:rPr>
        <w:t>network overhead</w:t>
      </w:r>
      <w:r>
        <w:t xml:space="preserve"> expenditure under </w:t>
      </w:r>
      <w:proofErr w:type="gramStart"/>
      <w:r>
        <w:t xml:space="preserve">either </w:t>
      </w:r>
      <w:r w:rsidRPr="00AF2CCF">
        <w:rPr>
          <w:i/>
        </w:rPr>
        <w:t>maintenance</w:t>
      </w:r>
      <w:proofErr w:type="gramEnd"/>
      <w:r w:rsidRPr="00AF2CCF">
        <w:rPr>
          <w:i/>
        </w:rPr>
        <w:t xml:space="preserve"> support</w:t>
      </w:r>
      <w:r>
        <w:t xml:space="preserve">, </w:t>
      </w:r>
      <w:r w:rsidRPr="00AF2CCF">
        <w:rPr>
          <w:i/>
        </w:rPr>
        <w:t>network monitoring &amp; control</w:t>
      </w:r>
      <w:r>
        <w:t xml:space="preserve">, or </w:t>
      </w:r>
      <w:r w:rsidRPr="00AF2CCF">
        <w:rPr>
          <w:i/>
        </w:rPr>
        <w:t>asset management support</w:t>
      </w:r>
      <w:r>
        <w:t xml:space="preserve">. </w:t>
      </w:r>
    </w:p>
    <w:p w:rsidR="00AE5FBA" w:rsidRDefault="00AE5FBA" w:rsidP="00FD79DB">
      <w:pPr>
        <w:pStyle w:val="Numberlist1"/>
      </w:pPr>
      <w:r>
        <w:t xml:space="preserve">For the avoidance of doubt, the following </w:t>
      </w:r>
      <w:r w:rsidRPr="00AF2CCF">
        <w:rPr>
          <w:i/>
        </w:rPr>
        <w:t>overhead</w:t>
      </w:r>
      <w:r>
        <w:t xml:space="preserve"> expenditures should be provided in regulatory templates 2.8.1 and 2.8.2:</w:t>
      </w:r>
    </w:p>
    <w:p w:rsidR="00AE5FBA" w:rsidRDefault="00AE5FBA" w:rsidP="00E91516">
      <w:pPr>
        <w:pStyle w:val="Numberlist2"/>
        <w:tabs>
          <w:tab w:val="clear" w:pos="1560"/>
          <w:tab w:val="num" w:pos="1134"/>
        </w:tabs>
        <w:ind w:left="1134"/>
      </w:pPr>
      <w:r>
        <w:t xml:space="preserve">Maintenance Support – </w:t>
      </w:r>
      <w:r w:rsidRPr="00740190">
        <w:t xml:space="preserve">If </w:t>
      </w:r>
      <w:r w:rsidRPr="00E34849">
        <w:rPr>
          <w:noProof/>
        </w:rPr>
        <w:t>TNSP</w:t>
      </w:r>
      <w:r>
        <w:rPr>
          <w:noProof/>
        </w:rPr>
        <w:t xml:space="preserve"> previously </w:t>
      </w:r>
      <w:r w:rsidRPr="00740190">
        <w:t>report</w:t>
      </w:r>
      <w:r>
        <w:t>ed</w:t>
      </w:r>
      <w:r w:rsidRPr="00740190">
        <w:t xml:space="preserve"> </w:t>
      </w:r>
      <w:r w:rsidRPr="00D93B08">
        <w:rPr>
          <w:i/>
        </w:rPr>
        <w:t>maintenance support</w:t>
      </w:r>
      <w:r w:rsidRPr="00740190">
        <w:t xml:space="preserve"> </w:t>
      </w:r>
      <w:r>
        <w:t>expenditure</w:t>
      </w:r>
      <w:r w:rsidRPr="00740190">
        <w:t xml:space="preserve"> </w:t>
      </w:r>
      <w:r>
        <w:rPr>
          <w:rFonts w:cs="Arial"/>
          <w:noProof/>
          <w:szCs w:val="22"/>
        </w:rPr>
        <w:t>in its</w:t>
      </w:r>
      <w:r w:rsidRPr="004D065C">
        <w:rPr>
          <w:rFonts w:cs="Arial"/>
          <w:noProof/>
          <w:szCs w:val="22"/>
        </w:rPr>
        <w:t xml:space="preserve"> </w:t>
      </w:r>
      <w:r w:rsidRPr="008317BB">
        <w:rPr>
          <w:rFonts w:cs="Arial"/>
          <w:i/>
          <w:noProof/>
          <w:szCs w:val="22"/>
        </w:rPr>
        <w:t>Regulatory Accounting Statements</w:t>
      </w:r>
      <w:r w:rsidRPr="00740190">
        <w:t xml:space="preserve">, </w:t>
      </w:r>
      <w:r w:rsidRPr="00E34849">
        <w:rPr>
          <w:noProof/>
        </w:rPr>
        <w:t>TNSP</w:t>
      </w:r>
      <w:r>
        <w:rPr>
          <w:noProof/>
        </w:rPr>
        <w:t xml:space="preserve"> </w:t>
      </w:r>
      <w:r>
        <w:t xml:space="preserve">must </w:t>
      </w:r>
      <w:r w:rsidRPr="00740190">
        <w:t xml:space="preserve">report these under </w:t>
      </w:r>
      <w:r w:rsidRPr="00740190">
        <w:rPr>
          <w:i/>
        </w:rPr>
        <w:t>m</w:t>
      </w:r>
      <w:r w:rsidRPr="00C25541">
        <w:rPr>
          <w:i/>
        </w:rPr>
        <w:t xml:space="preserve">aintenance </w:t>
      </w:r>
      <w:r w:rsidRPr="00740190">
        <w:rPr>
          <w:i/>
        </w:rPr>
        <w:t>s</w:t>
      </w:r>
      <w:r w:rsidRPr="00C25541">
        <w:rPr>
          <w:i/>
        </w:rPr>
        <w:t>upport</w:t>
      </w:r>
      <w:r>
        <w:t xml:space="preserve"> in regulatory template 2.8.1</w:t>
      </w:r>
      <w:r w:rsidRPr="00740190">
        <w:t xml:space="preserve">. These </w:t>
      </w:r>
      <w:r>
        <w:t>expenditures</w:t>
      </w:r>
      <w:r w:rsidRPr="00740190">
        <w:t xml:space="preserve"> include, but are not limited to:</w:t>
      </w:r>
    </w:p>
    <w:p w:rsidR="00AE5FBA" w:rsidRDefault="00AE5FBA" w:rsidP="00E91516">
      <w:pPr>
        <w:pStyle w:val="Numberlist3"/>
        <w:tabs>
          <w:tab w:val="clear" w:pos="1560"/>
        </w:tabs>
      </w:pPr>
      <w:r>
        <w:t>Field support</w:t>
      </w:r>
    </w:p>
    <w:p w:rsidR="00AE5FBA" w:rsidRDefault="00AE5FBA" w:rsidP="00E91516">
      <w:pPr>
        <w:pStyle w:val="Numberlist3"/>
        <w:tabs>
          <w:tab w:val="clear" w:pos="1560"/>
        </w:tabs>
      </w:pPr>
      <w:r>
        <w:t>Engineering services</w:t>
      </w:r>
    </w:p>
    <w:p w:rsidR="00AE5FBA" w:rsidRDefault="00AE5FBA" w:rsidP="00E91516">
      <w:pPr>
        <w:pStyle w:val="Numberlist3"/>
        <w:tabs>
          <w:tab w:val="clear" w:pos="1560"/>
        </w:tabs>
      </w:pPr>
      <w:r>
        <w:t>Works planning and coordination.</w:t>
      </w:r>
    </w:p>
    <w:p w:rsidR="00AE5FBA" w:rsidRDefault="00AE5FBA" w:rsidP="00AF2CCF">
      <w:pPr>
        <w:pStyle w:val="Numberlist2"/>
        <w:tabs>
          <w:tab w:val="clear" w:pos="1560"/>
          <w:tab w:val="num" w:pos="1134"/>
        </w:tabs>
        <w:ind w:left="1134"/>
      </w:pPr>
      <w:r>
        <w:t xml:space="preserve">Network Monitoring &amp; Control – </w:t>
      </w:r>
      <w:r w:rsidRPr="003E2FFD">
        <w:t xml:space="preserve">If </w:t>
      </w:r>
      <w:r w:rsidRPr="00E34849">
        <w:rPr>
          <w:noProof/>
        </w:rPr>
        <w:t>TNSP</w:t>
      </w:r>
      <w:r w:rsidRPr="00B204FD">
        <w:t xml:space="preserve"> </w:t>
      </w:r>
      <w:r>
        <w:t xml:space="preserve">previously reported </w:t>
      </w:r>
      <w:r w:rsidRPr="00AF2CCF">
        <w:rPr>
          <w:i/>
        </w:rPr>
        <w:t xml:space="preserve">network monitoring and control </w:t>
      </w:r>
      <w:r w:rsidRPr="00310557">
        <w:t xml:space="preserve">expenditure </w:t>
      </w:r>
      <w:r w:rsidRPr="00AF2CCF">
        <w:t xml:space="preserve">in its </w:t>
      </w:r>
      <w:r w:rsidRPr="00AF2CCF">
        <w:rPr>
          <w:i/>
        </w:rPr>
        <w:t>Regulatory Accounting Statements</w:t>
      </w:r>
      <w:r w:rsidRPr="00310557">
        <w:t xml:space="preserve">, </w:t>
      </w:r>
      <w:r w:rsidRPr="00E34849">
        <w:rPr>
          <w:noProof/>
        </w:rPr>
        <w:t>TNSP</w:t>
      </w:r>
      <w:r w:rsidRPr="00B204FD">
        <w:t xml:space="preserve"> must report these under </w:t>
      </w:r>
      <w:r w:rsidRPr="00AF2CCF">
        <w:rPr>
          <w:i/>
        </w:rPr>
        <w:t>network monitoring &amp; control</w:t>
      </w:r>
      <w:r w:rsidRPr="00310557">
        <w:t xml:space="preserve"> in regulatory template 2.8.1. These expenditures include, but are not limited to:</w:t>
      </w:r>
    </w:p>
    <w:p w:rsidR="00AE5FBA" w:rsidRDefault="00AE5FBA" w:rsidP="00E91516">
      <w:pPr>
        <w:pStyle w:val="Numberlist3"/>
        <w:tabs>
          <w:tab w:val="clear" w:pos="1560"/>
        </w:tabs>
      </w:pPr>
      <w:r>
        <w:t>Network switching</w:t>
      </w:r>
    </w:p>
    <w:p w:rsidR="00AE5FBA" w:rsidRDefault="00AE5FBA" w:rsidP="00E91516">
      <w:pPr>
        <w:pStyle w:val="Numberlist3"/>
        <w:tabs>
          <w:tab w:val="clear" w:pos="1560"/>
        </w:tabs>
      </w:pPr>
      <w:r>
        <w:t xml:space="preserve">Network Management System (NMS) support </w:t>
      </w:r>
    </w:p>
    <w:p w:rsidR="00AE5FBA" w:rsidRDefault="00AE5FBA" w:rsidP="00E91516">
      <w:pPr>
        <w:pStyle w:val="Numberlist3"/>
        <w:tabs>
          <w:tab w:val="clear" w:pos="1560"/>
        </w:tabs>
      </w:pPr>
      <w:r>
        <w:t>Transmission operations.</w:t>
      </w:r>
    </w:p>
    <w:p w:rsidR="00AE5FBA" w:rsidRDefault="00AE5FBA" w:rsidP="00E91516">
      <w:pPr>
        <w:pStyle w:val="Numberlist2"/>
        <w:tabs>
          <w:tab w:val="clear" w:pos="1560"/>
          <w:tab w:val="num" w:pos="1134"/>
        </w:tabs>
        <w:ind w:left="1134"/>
      </w:pPr>
      <w:r>
        <w:t xml:space="preserve">Asset Management Support – </w:t>
      </w:r>
      <w:r w:rsidRPr="00310557">
        <w:t xml:space="preserve">If </w:t>
      </w:r>
      <w:r w:rsidRPr="00E34849">
        <w:rPr>
          <w:noProof/>
        </w:rPr>
        <w:t>TNSP</w:t>
      </w:r>
      <w:r w:rsidRPr="00B204FD">
        <w:rPr>
          <w:noProof/>
        </w:rPr>
        <w:t xml:space="preserve"> </w:t>
      </w:r>
      <w:r>
        <w:t xml:space="preserve">previously reported </w:t>
      </w:r>
      <w:r w:rsidRPr="00B204FD">
        <w:rPr>
          <w:i/>
        </w:rPr>
        <w:t>asset management support</w:t>
      </w:r>
      <w:r w:rsidRPr="00310557">
        <w:t xml:space="preserve"> expenditure </w:t>
      </w:r>
      <w:r>
        <w:rPr>
          <w:rFonts w:cs="Arial"/>
          <w:noProof/>
          <w:szCs w:val="22"/>
        </w:rPr>
        <w:t>in its</w:t>
      </w:r>
      <w:r w:rsidRPr="004D065C">
        <w:rPr>
          <w:rFonts w:cs="Arial"/>
          <w:noProof/>
          <w:szCs w:val="22"/>
        </w:rPr>
        <w:t xml:space="preserve"> </w:t>
      </w:r>
      <w:r w:rsidRPr="008317BB">
        <w:rPr>
          <w:rFonts w:cs="Arial"/>
          <w:i/>
          <w:noProof/>
          <w:szCs w:val="22"/>
        </w:rPr>
        <w:t>Regulatory Accounting Statements</w:t>
      </w:r>
      <w:r w:rsidRPr="00310557">
        <w:t xml:space="preserve">, </w:t>
      </w:r>
      <w:r w:rsidRPr="00E34849">
        <w:rPr>
          <w:noProof/>
        </w:rPr>
        <w:t>TNSP</w:t>
      </w:r>
      <w:r w:rsidRPr="00B204FD">
        <w:rPr>
          <w:noProof/>
        </w:rPr>
        <w:t xml:space="preserve"> </w:t>
      </w:r>
      <w:r w:rsidRPr="00B204FD">
        <w:t xml:space="preserve">must report these under </w:t>
      </w:r>
      <w:r w:rsidRPr="00B204FD">
        <w:rPr>
          <w:i/>
        </w:rPr>
        <w:t>asset management support</w:t>
      </w:r>
      <w:r w:rsidRPr="00310557">
        <w:t xml:space="preserve"> </w:t>
      </w:r>
      <w:r w:rsidRPr="003E2FFD">
        <w:t xml:space="preserve">in </w:t>
      </w:r>
      <w:r>
        <w:t xml:space="preserve">table </w:t>
      </w:r>
      <w:r w:rsidRPr="003E2FFD">
        <w:t>2.8.1</w:t>
      </w:r>
      <w:r>
        <w:t xml:space="preserve"> in </w:t>
      </w:r>
      <w:r w:rsidRPr="00B204FD">
        <w:rPr>
          <w:i/>
        </w:rPr>
        <w:t>regulatory template</w:t>
      </w:r>
      <w:r>
        <w:t xml:space="preserve"> 2.8</w:t>
      </w:r>
      <w:r w:rsidRPr="003E2FFD">
        <w:t>. These expenditures include, but are not limited to:</w:t>
      </w:r>
    </w:p>
    <w:p w:rsidR="00AE5FBA" w:rsidRDefault="00AE5FBA" w:rsidP="00E91516">
      <w:pPr>
        <w:pStyle w:val="Numberlist3"/>
        <w:tabs>
          <w:tab w:val="clear" w:pos="1560"/>
        </w:tabs>
      </w:pPr>
      <w:r>
        <w:t>Grid planning</w:t>
      </w:r>
    </w:p>
    <w:p w:rsidR="00AE5FBA" w:rsidRDefault="00AE5FBA" w:rsidP="00E91516">
      <w:pPr>
        <w:pStyle w:val="Numberlist3"/>
        <w:tabs>
          <w:tab w:val="clear" w:pos="1560"/>
        </w:tabs>
      </w:pPr>
      <w:r>
        <w:t>Network support</w:t>
      </w:r>
    </w:p>
    <w:p w:rsidR="00AE5FBA" w:rsidRDefault="00AE5FBA" w:rsidP="00E91516">
      <w:pPr>
        <w:pStyle w:val="Numberlist3"/>
        <w:tabs>
          <w:tab w:val="clear" w:pos="1560"/>
        </w:tabs>
      </w:pPr>
      <w:r>
        <w:t>Customer support</w:t>
      </w:r>
    </w:p>
    <w:p w:rsidR="00AE5FBA" w:rsidRDefault="00AE5FBA" w:rsidP="00E91516">
      <w:pPr>
        <w:pStyle w:val="Numberlist3"/>
        <w:tabs>
          <w:tab w:val="clear" w:pos="1560"/>
        </w:tabs>
      </w:pPr>
      <w:r>
        <w:t>Property management</w:t>
      </w:r>
    </w:p>
    <w:p w:rsidR="00AE5FBA" w:rsidRDefault="00AE5FBA" w:rsidP="00E91516">
      <w:pPr>
        <w:pStyle w:val="Numberlist3"/>
        <w:tabs>
          <w:tab w:val="clear" w:pos="1560"/>
        </w:tabs>
      </w:pPr>
      <w:r>
        <w:t>Asset management</w:t>
      </w:r>
    </w:p>
    <w:p w:rsidR="00AE5FBA" w:rsidRDefault="00AE5FBA" w:rsidP="00E91516">
      <w:pPr>
        <w:pStyle w:val="Numberlist3"/>
        <w:tabs>
          <w:tab w:val="clear" w:pos="1560"/>
        </w:tabs>
      </w:pPr>
      <w:r>
        <w:t>Customer management, including customer billing</w:t>
      </w:r>
    </w:p>
    <w:p w:rsidR="00AE5FBA" w:rsidRDefault="00AE5FBA" w:rsidP="00E91516">
      <w:pPr>
        <w:pStyle w:val="Numberlist3"/>
        <w:tabs>
          <w:tab w:val="clear" w:pos="1560"/>
        </w:tabs>
      </w:pPr>
      <w:r>
        <w:t>Asset works program.</w:t>
      </w:r>
    </w:p>
    <w:p w:rsidR="00AE5FBA" w:rsidRDefault="00AE5FBA" w:rsidP="00AF2CCF">
      <w:pPr>
        <w:pStyle w:val="Numberlist2"/>
        <w:tabs>
          <w:tab w:val="num" w:pos="1134"/>
        </w:tabs>
        <w:ind w:left="1134"/>
      </w:pPr>
      <w:r>
        <w:lastRenderedPageBreak/>
        <w:t xml:space="preserve">Corporate Overhead – </w:t>
      </w:r>
      <w:r w:rsidRPr="00310557">
        <w:t xml:space="preserve">If </w:t>
      </w:r>
      <w:r w:rsidRPr="00E34849">
        <w:rPr>
          <w:noProof/>
        </w:rPr>
        <w:t>TNSP</w:t>
      </w:r>
      <w:r w:rsidRPr="00B204FD">
        <w:t xml:space="preserve"> </w:t>
      </w:r>
      <w:r>
        <w:t xml:space="preserve">previously reported </w:t>
      </w:r>
      <w:r w:rsidRPr="00AF2CCF">
        <w:t>corporate overhead</w:t>
      </w:r>
      <w:r w:rsidRPr="00310557">
        <w:t xml:space="preserve"> or corporate support expenditure </w:t>
      </w:r>
      <w:r w:rsidRPr="00AF2CCF">
        <w:t xml:space="preserve">in its </w:t>
      </w:r>
      <w:r w:rsidRPr="00AF2CCF">
        <w:rPr>
          <w:i/>
        </w:rPr>
        <w:t>Regulatory Accounting Statements</w:t>
      </w:r>
      <w:r w:rsidRPr="00310557">
        <w:t xml:space="preserve">, </w:t>
      </w:r>
      <w:r w:rsidRPr="00E34849">
        <w:rPr>
          <w:noProof/>
        </w:rPr>
        <w:t>TNSP</w:t>
      </w:r>
      <w:r w:rsidRPr="00B204FD">
        <w:t xml:space="preserve"> must report these under </w:t>
      </w:r>
      <w:r w:rsidRPr="00E91516">
        <w:rPr>
          <w:i/>
        </w:rPr>
        <w:t>corporate overhead</w:t>
      </w:r>
      <w:r w:rsidRPr="00B204FD">
        <w:t xml:space="preserve"> in </w:t>
      </w:r>
      <w:r>
        <w:t>table</w:t>
      </w:r>
      <w:r w:rsidRPr="00B204FD">
        <w:t xml:space="preserve"> 2.8.2</w:t>
      </w:r>
      <w:r>
        <w:t xml:space="preserve"> in </w:t>
      </w:r>
      <w:r w:rsidRPr="00E91516">
        <w:rPr>
          <w:i/>
        </w:rPr>
        <w:t>regulatory template</w:t>
      </w:r>
      <w:r>
        <w:t xml:space="preserve"> 2.8</w:t>
      </w:r>
      <w:r w:rsidRPr="00B204FD">
        <w:t>. These expenditures include, but are not limited to:</w:t>
      </w:r>
    </w:p>
    <w:p w:rsidR="00AE5FBA" w:rsidRDefault="00AE5FBA" w:rsidP="00E91516">
      <w:pPr>
        <w:pStyle w:val="Numberlist3"/>
        <w:tabs>
          <w:tab w:val="clear" w:pos="1560"/>
        </w:tabs>
      </w:pPr>
      <w:r>
        <w:t>Taxes and charges</w:t>
      </w:r>
    </w:p>
    <w:p w:rsidR="00AE5FBA" w:rsidRDefault="00AE5FBA" w:rsidP="00E91516">
      <w:pPr>
        <w:pStyle w:val="Numberlist3"/>
        <w:tabs>
          <w:tab w:val="clear" w:pos="1560"/>
        </w:tabs>
      </w:pPr>
      <w:r>
        <w:t>Insurance</w:t>
      </w:r>
    </w:p>
    <w:p w:rsidR="00AE5FBA" w:rsidRDefault="00AE5FBA" w:rsidP="00E91516">
      <w:pPr>
        <w:pStyle w:val="Numberlist3"/>
        <w:tabs>
          <w:tab w:val="clear" w:pos="1560"/>
        </w:tabs>
      </w:pPr>
      <w:r>
        <w:t>Self-insurance</w:t>
      </w:r>
    </w:p>
    <w:p w:rsidR="00AE5FBA" w:rsidRDefault="00AE5FBA" w:rsidP="00E91516">
      <w:pPr>
        <w:pStyle w:val="Numberlist3"/>
        <w:tabs>
          <w:tab w:val="clear" w:pos="1560"/>
        </w:tabs>
      </w:pPr>
      <w:r>
        <w:t>Debt raising costs</w:t>
      </w:r>
    </w:p>
    <w:p w:rsidR="00AE5FBA" w:rsidRDefault="00AE5FBA" w:rsidP="00E91516">
      <w:pPr>
        <w:pStyle w:val="Numberlist3"/>
        <w:tabs>
          <w:tab w:val="clear" w:pos="1560"/>
        </w:tabs>
      </w:pPr>
      <w:r>
        <w:t>Equity raising costs</w:t>
      </w:r>
    </w:p>
    <w:p w:rsidR="00AE5FBA" w:rsidRDefault="00AE5FBA" w:rsidP="00E91516">
      <w:pPr>
        <w:pStyle w:val="Numberlist3"/>
        <w:tabs>
          <w:tab w:val="clear" w:pos="1560"/>
        </w:tabs>
      </w:pPr>
      <w:r>
        <w:t>Corporate support</w:t>
      </w:r>
    </w:p>
    <w:p w:rsidR="00AE5FBA" w:rsidRDefault="00AE5FBA" w:rsidP="00E91516">
      <w:pPr>
        <w:pStyle w:val="Numberlist3"/>
        <w:tabs>
          <w:tab w:val="clear" w:pos="1560"/>
        </w:tabs>
      </w:pPr>
      <w:r>
        <w:t>Regulatory support/management</w:t>
      </w:r>
    </w:p>
    <w:p w:rsidR="00AE5FBA" w:rsidRDefault="00AE5FBA" w:rsidP="00E91516">
      <w:pPr>
        <w:pStyle w:val="Numberlist3"/>
        <w:tabs>
          <w:tab w:val="clear" w:pos="1560"/>
        </w:tabs>
      </w:pPr>
      <w:r>
        <w:t>Business services</w:t>
      </w:r>
    </w:p>
    <w:p w:rsidR="00AE5FBA" w:rsidRDefault="00AE5FBA" w:rsidP="00E91516">
      <w:pPr>
        <w:pStyle w:val="Numberlist3"/>
        <w:tabs>
          <w:tab w:val="clear" w:pos="1560"/>
        </w:tabs>
      </w:pPr>
      <w:r>
        <w:t>Corporate governance and planning</w:t>
      </w:r>
    </w:p>
    <w:p w:rsidR="00AE5FBA" w:rsidRDefault="00AE5FBA" w:rsidP="00E91516">
      <w:pPr>
        <w:pStyle w:val="Numberlist3"/>
        <w:tabs>
          <w:tab w:val="clear" w:pos="1560"/>
        </w:tabs>
      </w:pPr>
      <w:r>
        <w:t>OH&amp;S</w:t>
      </w:r>
    </w:p>
    <w:p w:rsidR="00AE5FBA" w:rsidRDefault="00AE5FBA" w:rsidP="00E91516">
      <w:pPr>
        <w:pStyle w:val="Numberlist3"/>
        <w:tabs>
          <w:tab w:val="clear" w:pos="1560"/>
        </w:tabs>
      </w:pPr>
      <w:r>
        <w:t>Finance</w:t>
      </w:r>
    </w:p>
    <w:p w:rsidR="00AE5FBA" w:rsidRDefault="00AE5FBA" w:rsidP="00E91516">
      <w:pPr>
        <w:pStyle w:val="Numberlist3"/>
        <w:tabs>
          <w:tab w:val="clear" w:pos="1560"/>
        </w:tabs>
      </w:pPr>
      <w:r>
        <w:t>Human resources</w:t>
      </w:r>
    </w:p>
    <w:p w:rsidR="00AE5FBA" w:rsidRDefault="00AE5FBA" w:rsidP="00E91516">
      <w:pPr>
        <w:pStyle w:val="Numberlist3"/>
        <w:tabs>
          <w:tab w:val="clear" w:pos="1560"/>
        </w:tabs>
      </w:pPr>
      <w:r>
        <w:t xml:space="preserve">IT </w:t>
      </w:r>
      <w:proofErr w:type="gramStart"/>
      <w:r>
        <w:t>support</w:t>
      </w:r>
      <w:proofErr w:type="gramEnd"/>
      <w:r>
        <w:t>.</w:t>
      </w:r>
    </w:p>
    <w:p w:rsidR="00AE5FBA" w:rsidRPr="0014239F" w:rsidRDefault="00AE5FBA" w:rsidP="00FD79DB">
      <w:pPr>
        <w:pStyle w:val="Numberlist1"/>
      </w:pPr>
      <w:r w:rsidRPr="0014239F">
        <w:t xml:space="preserve">If there is any overhead expenditure that is capitalised: </w:t>
      </w:r>
    </w:p>
    <w:p w:rsidR="00AE5FBA" w:rsidRPr="00D20E51" w:rsidRDefault="00AE5FBA" w:rsidP="00FD79DB">
      <w:pPr>
        <w:pStyle w:val="Numberlist2"/>
      </w:pPr>
      <w:r>
        <w:rPr>
          <w:bCs w:val="0"/>
        </w:rPr>
        <w:t>explain</w:t>
      </w:r>
      <w:r w:rsidRPr="00D20E51">
        <w:t xml:space="preserve">, in the Basis of Preparation, why it is capitalised </w:t>
      </w:r>
    </w:p>
    <w:p w:rsidR="00AE5FBA" w:rsidRPr="00D100C9" w:rsidRDefault="00AE5FBA" w:rsidP="00FD79DB">
      <w:pPr>
        <w:pStyle w:val="Numberlist2"/>
      </w:pPr>
      <w:proofErr w:type="gramStart"/>
      <w:r>
        <w:t>if</w:t>
      </w:r>
      <w:proofErr w:type="gramEnd"/>
      <w:r>
        <w:t xml:space="preserve"> there is a material change in reported expenditures in the </w:t>
      </w:r>
      <w:r w:rsidRPr="008317BB">
        <w:rPr>
          <w:i/>
        </w:rPr>
        <w:t>Initial Regulatory Years</w:t>
      </w:r>
      <w:r>
        <w:t xml:space="preserve"> or in </w:t>
      </w:r>
      <w:r w:rsidRPr="008317BB">
        <w:rPr>
          <w:i/>
        </w:rPr>
        <w:t>Subsequent Regulatory Years</w:t>
      </w:r>
      <w:r>
        <w:t xml:space="preserve"> due to a change in capitalisation policy, identify the expenditure categories and quantum of capex and opex that are affected and explain this in the Basis of Preparation.</w:t>
      </w:r>
    </w:p>
    <w:p w:rsidR="00AE5FBA" w:rsidRDefault="00AE5FBA" w:rsidP="0052182B"/>
    <w:p w:rsidR="00AE5FBA" w:rsidRDefault="00AE5FBA" w:rsidP="0052182B"/>
    <w:p w:rsidR="00AE5FBA" w:rsidRDefault="00AE5FBA" w:rsidP="0052182B"/>
    <w:p w:rsidR="00AE5FBA" w:rsidRDefault="00AE5FBA" w:rsidP="0052182B"/>
    <w:p w:rsidR="00AE5FBA" w:rsidRDefault="00AE5FBA" w:rsidP="0052182B"/>
    <w:p w:rsidR="00AE5FBA" w:rsidRDefault="00AE5FBA" w:rsidP="0052182B"/>
    <w:p w:rsidR="00AE5FBA" w:rsidRDefault="00AE5FBA" w:rsidP="0052182B">
      <w:pPr>
        <w:spacing w:after="200" w:line="276" w:lineRule="auto"/>
        <w:jc w:val="left"/>
        <w:rPr>
          <w:b/>
        </w:rPr>
      </w:pPr>
      <w:r>
        <w:rPr>
          <w:b/>
        </w:rPr>
        <w:br w:type="page"/>
      </w:r>
    </w:p>
    <w:p w:rsidR="00AE5FBA" w:rsidRDefault="00AE5FBA" w:rsidP="0052182B">
      <w:pPr>
        <w:pStyle w:val="Heading1"/>
      </w:pPr>
      <w:bookmarkStart w:id="29" w:name="_Toc383506919"/>
      <w:r>
        <w:lastRenderedPageBreak/>
        <w:t>APPENDIX F: DEFINITIONS</w:t>
      </w:r>
      <w:bookmarkEnd w:id="29"/>
    </w:p>
    <w:tbl>
      <w:tblPr>
        <w:tblStyle w:val="MediumShading1-Accent1"/>
        <w:tblW w:w="4955" w:type="pct"/>
        <w:tblLook w:val="04A0" w:firstRow="1" w:lastRow="0" w:firstColumn="1" w:lastColumn="0" w:noHBand="0" w:noVBand="1"/>
      </w:tblPr>
      <w:tblGrid>
        <w:gridCol w:w="2235"/>
        <w:gridCol w:w="6924"/>
      </w:tblGrid>
      <w:tr w:rsidR="00AE5FBA" w:rsidRPr="005A79F8" w:rsidTr="00BC2EA4">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top w:val="none" w:sz="0" w:space="0" w:color="auto"/>
              <w:left w:val="none" w:sz="0" w:space="0" w:color="auto"/>
              <w:bottom w:val="none" w:sz="0" w:space="0" w:color="auto"/>
              <w:right w:val="none" w:sz="0" w:space="0" w:color="auto"/>
            </w:tcBorders>
          </w:tcPr>
          <w:p w:rsidR="00AE5FBA" w:rsidRPr="00DA05A7" w:rsidRDefault="00AE5FBA" w:rsidP="00BC2EA4">
            <w:pPr>
              <w:pStyle w:val="AERtabletextleft"/>
              <w:rPr>
                <w:rFonts w:eastAsia="Calibri"/>
                <w:b w:val="0"/>
              </w:rPr>
            </w:pPr>
            <w:r w:rsidRPr="00DA05A7">
              <w:rPr>
                <w:rFonts w:eastAsia="Calibri"/>
              </w:rPr>
              <w:t>Term</w:t>
            </w:r>
          </w:p>
        </w:tc>
        <w:tc>
          <w:tcPr>
            <w:tcW w:w="3780" w:type="pct"/>
            <w:tcBorders>
              <w:top w:val="none" w:sz="0" w:space="0" w:color="auto"/>
              <w:left w:val="none" w:sz="0" w:space="0" w:color="auto"/>
              <w:bottom w:val="none" w:sz="0" w:space="0" w:color="auto"/>
              <w:right w:val="none" w:sz="0" w:space="0" w:color="auto"/>
            </w:tcBorders>
          </w:tcPr>
          <w:p w:rsidR="00AE5FBA" w:rsidRPr="005A79F8" w:rsidRDefault="00AE5FBA" w:rsidP="00BC2EA4">
            <w:pPr>
              <w:pStyle w:val="AERtabletextleft"/>
              <w:cnfStyle w:val="100000000000" w:firstRow="1" w:lastRow="0" w:firstColumn="0" w:lastColumn="0" w:oddVBand="0" w:evenVBand="0" w:oddHBand="0" w:evenHBand="0" w:firstRowFirstColumn="0" w:firstRowLastColumn="0" w:lastRowFirstColumn="0" w:lastRowLastColumn="0"/>
            </w:pPr>
            <w: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AER</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Australian Energy Regulator, which is established by section 44AE of the Competition and Consumer Act 2010 (</w:t>
            </w:r>
            <w:proofErr w:type="spellStart"/>
            <w:r w:rsidRPr="003B40E2">
              <w:rPr>
                <w:rFonts w:ascii="Gautami" w:eastAsia="Calibri" w:hAnsi="Gautami" w:cs="Gautami"/>
                <w:sz w:val="16"/>
                <w:szCs w:val="16"/>
              </w:rPr>
              <w:t>Cth</w:t>
            </w:r>
            <w:proofErr w:type="spellEnd"/>
            <w:r w:rsidRPr="003B40E2">
              <w:rPr>
                <w:rFonts w:ascii="Gautami" w:eastAsia="Calibri" w:hAnsi="Gautami" w:cs="Gautami"/>
                <w:sz w:val="16"/>
                <w:szCs w:val="16"/>
              </w:rPr>
              <w:t>) (as defined in the NER).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Annual ordinary time hours costs - average productive </w:t>
            </w:r>
            <w:r>
              <w:rPr>
                <w:rFonts w:ascii="Gautami" w:hAnsi="Gautami" w:cs="Gautami"/>
                <w:b w:val="0"/>
                <w:i/>
                <w:color w:val="000000" w:themeColor="text1"/>
                <w:sz w:val="16"/>
                <w:szCs w:val="16"/>
              </w:rPr>
              <w:t xml:space="preserve">work hours </w:t>
            </w:r>
            <w:r w:rsidRPr="003B40E2">
              <w:rPr>
                <w:rFonts w:ascii="Gautami" w:hAnsi="Gautami" w:cs="Gautami"/>
                <w:b w:val="0"/>
                <w:i/>
                <w:color w:val="000000" w:themeColor="text1"/>
                <w:sz w:val="16"/>
                <w:szCs w:val="16"/>
              </w:rPr>
              <w:t>hourly rate per ASL</w:t>
            </w:r>
          </w:p>
        </w:tc>
        <w:tc>
          <w:tcPr>
            <w:tcW w:w="3780" w:type="pct"/>
            <w:tcBorders>
              <w:left w:val="none" w:sz="0" w:space="0" w:color="auto"/>
            </w:tcBorders>
          </w:tcPr>
          <w:p w:rsidR="00AE5FBA" w:rsidRPr="003B40E2" w:rsidRDefault="00AE5FBA" w:rsidP="003B40E2">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sidRPr="003B40E2">
              <w:rPr>
                <w:rFonts w:cs="Gautami"/>
                <w:color w:val="000000" w:themeColor="text1"/>
                <w:szCs w:val="16"/>
              </w:rPr>
              <w:t xml:space="preserve">The regulatory year’s average </w:t>
            </w:r>
            <w:r w:rsidRPr="00AF2CCF">
              <w:rPr>
                <w:rFonts w:cs="Gautami"/>
                <w:i/>
                <w:color w:val="000000" w:themeColor="text1"/>
                <w:szCs w:val="16"/>
              </w:rPr>
              <w:t>productive work hours</w:t>
            </w:r>
            <w:r>
              <w:rPr>
                <w:rFonts w:cs="Gautami"/>
                <w:color w:val="000000" w:themeColor="text1"/>
                <w:szCs w:val="16"/>
              </w:rPr>
              <w:t xml:space="preserve"> spent on </w:t>
            </w:r>
            <w:r>
              <w:rPr>
                <w:rFonts w:cs="Gautami"/>
                <w:i/>
                <w:color w:val="000000" w:themeColor="text1"/>
                <w:szCs w:val="16"/>
              </w:rPr>
              <w:t xml:space="preserve">prescribed transmission services </w:t>
            </w:r>
            <w:r w:rsidRPr="003B40E2">
              <w:rPr>
                <w:rFonts w:cs="Gautami"/>
                <w:color w:val="000000" w:themeColor="text1"/>
                <w:szCs w:val="16"/>
              </w:rPr>
              <w:t xml:space="preserve">hourly rate per </w:t>
            </w:r>
            <w:r w:rsidRPr="00AF2CCF">
              <w:rPr>
                <w:rFonts w:cs="Gautami"/>
                <w:i/>
                <w:color w:val="000000" w:themeColor="text1"/>
                <w:szCs w:val="16"/>
              </w:rPr>
              <w:t>ASL</w:t>
            </w:r>
            <w:r w:rsidRPr="003B40E2">
              <w:rPr>
                <w:rFonts w:cs="Gautami"/>
                <w:color w:val="000000" w:themeColor="text1"/>
                <w:szCs w:val="16"/>
              </w:rPr>
              <w:t xml:space="preserve"> for each </w:t>
            </w:r>
            <w:r w:rsidRPr="00AF2CCF">
              <w:rPr>
                <w:rFonts w:cs="Gautami"/>
                <w:i/>
                <w:color w:val="000000" w:themeColor="text1"/>
                <w:szCs w:val="16"/>
              </w:rPr>
              <w:t>Classification level</w:t>
            </w:r>
            <w:r w:rsidRPr="003B40E2">
              <w:rPr>
                <w:rFonts w:cs="Gautami"/>
                <w:color w:val="000000" w:themeColor="text1"/>
                <w:szCs w:val="16"/>
              </w:rPr>
              <w:t xml:space="preserve"> including </w:t>
            </w:r>
            <w:r w:rsidRPr="003B40E2">
              <w:rPr>
                <w:rFonts w:cs="Gautami"/>
                <w:i/>
                <w:color w:val="000000" w:themeColor="text1"/>
                <w:szCs w:val="16"/>
              </w:rPr>
              <w:t>labour costs</w:t>
            </w:r>
            <w:r w:rsidRPr="003B40E2">
              <w:rPr>
                <w:rFonts w:cs="Gautami"/>
                <w:color w:val="000000" w:themeColor="text1"/>
                <w:szCs w:val="16"/>
              </w:rPr>
              <w:t xml:space="preserve"> that are direct on costs related to </w:t>
            </w:r>
            <w:r w:rsidRPr="003B40E2">
              <w:rPr>
                <w:rFonts w:cs="Gautami"/>
                <w:i/>
                <w:color w:val="000000" w:themeColor="text1"/>
                <w:szCs w:val="16"/>
              </w:rPr>
              <w:t>Labour costs</w:t>
            </w:r>
            <w:r w:rsidRPr="003B40E2">
              <w:rPr>
                <w:rFonts w:cs="Gautami"/>
                <w:color w:val="000000" w:themeColor="text1"/>
                <w:szCs w:val="16"/>
              </w:rPr>
              <w:t xml:space="preserve"> – ordinary time earnings.  </w:t>
            </w:r>
            <w:r>
              <w:rPr>
                <w:rFonts w:cs="Gautami"/>
                <w:szCs w:val="16"/>
              </w:rPr>
              <w:t xml:space="preserve">This includes all direct costs associated with non-productive hours related to ordinary time hours spent on </w:t>
            </w:r>
            <w:r>
              <w:rPr>
                <w:rFonts w:cs="Gautami"/>
                <w:i/>
                <w:szCs w:val="16"/>
              </w:rPr>
              <w:t xml:space="preserve">prescribed transmission services </w:t>
            </w:r>
            <w:r>
              <w:rPr>
                <w:rFonts w:cs="Gautami"/>
                <w:szCs w:val="16"/>
              </w:rPr>
              <w:t xml:space="preserve">(e.g. costs associated with annual leave accrued from working ordinary hours). </w:t>
            </w:r>
            <w:r w:rsidRPr="003B40E2">
              <w:rPr>
                <w:rFonts w:cs="Gautami"/>
                <w:color w:val="000000" w:themeColor="text1"/>
                <w:szCs w:val="16"/>
              </w:rPr>
              <w:t xml:space="preserve">NSP should indicate what costs are included in each category (1) to (3) directly below. The average hourly wage rate for each year should be calculated by reference to the average number of hours paid as </w:t>
            </w:r>
            <w:r w:rsidRPr="003B40E2">
              <w:rPr>
                <w:rFonts w:cs="Gautami"/>
                <w:i/>
                <w:color w:val="000000" w:themeColor="text1"/>
                <w:szCs w:val="16"/>
              </w:rPr>
              <w:t>Labour costs</w:t>
            </w:r>
            <w:r w:rsidRPr="003B40E2">
              <w:rPr>
                <w:rFonts w:cs="Gautami"/>
                <w:color w:val="000000" w:themeColor="text1"/>
                <w:szCs w:val="16"/>
              </w:rPr>
              <w:t xml:space="preserve"> – ordinary time earnings for each year and includes costs that are:</w:t>
            </w:r>
          </w:p>
          <w:p w:rsidR="00AE5FBA" w:rsidRPr="003B40E2" w:rsidRDefault="00AE5FBA" w:rsidP="003B40E2">
            <w:pPr>
              <w:pStyle w:val="AERtabletextleft"/>
              <w:numPr>
                <w:ilvl w:val="0"/>
                <w:numId w:val="53"/>
              </w:numPr>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i/>
                <w:color w:val="000000" w:themeColor="text1"/>
                <w:szCs w:val="16"/>
              </w:rPr>
              <w:t xml:space="preserve">Labour costs - </w:t>
            </w:r>
            <w:r w:rsidRPr="003B40E2">
              <w:rPr>
                <w:rFonts w:cs="Gautami"/>
                <w:color w:val="000000" w:themeColor="text1"/>
                <w:szCs w:val="16"/>
              </w:rPr>
              <w:t xml:space="preserve">Ordinary time salaries and wages in the year </w:t>
            </w:r>
          </w:p>
          <w:p w:rsidR="00AE5FBA" w:rsidRPr="00AF2CCF" w:rsidRDefault="00AE5FBA" w:rsidP="00AF2CCF">
            <w:pPr>
              <w:pStyle w:val="AERtabletextleft"/>
              <w:numPr>
                <w:ilvl w:val="0"/>
                <w:numId w:val="53"/>
              </w:numPr>
              <w:cnfStyle w:val="000000010000" w:firstRow="0" w:lastRow="0" w:firstColumn="0" w:lastColumn="0" w:oddVBand="0" w:evenVBand="0" w:oddHBand="0" w:evenHBand="1" w:firstRowFirstColumn="0" w:firstRowLastColumn="0" w:lastRowFirstColumn="0" w:lastRowLastColumn="0"/>
              <w:rPr>
                <w:rFonts w:eastAsia="Calibri" w:cs="Gautami"/>
                <w:szCs w:val="16"/>
              </w:rPr>
            </w:pPr>
            <w:r w:rsidRPr="00AF2CCF">
              <w:rPr>
                <w:rFonts w:cs="Gautami"/>
                <w:i/>
                <w:color w:val="000000" w:themeColor="text1"/>
                <w:szCs w:val="16"/>
              </w:rPr>
              <w:t>Labour costs</w:t>
            </w:r>
            <w:r w:rsidRPr="00AF2CCF">
              <w:rPr>
                <w:rFonts w:cs="Gautami"/>
                <w:color w:val="000000" w:themeColor="text1"/>
                <w:szCs w:val="16"/>
              </w:rPr>
              <w:t xml:space="preserve"> – other earnings, on costs, and taxes that are directly related to ordinary time salaries and wages in the year but including allowances</w:t>
            </w:r>
            <w:proofErr w:type="gramStart"/>
            <w:r w:rsidRPr="00AF2CCF">
              <w:rPr>
                <w:rFonts w:cs="Gautami"/>
                <w:color w:val="000000" w:themeColor="text1"/>
                <w:szCs w:val="16"/>
              </w:rPr>
              <w:t>..</w:t>
            </w:r>
            <w:proofErr w:type="gramEnd"/>
            <w:r w:rsidRPr="00AF2CCF">
              <w:rPr>
                <w:rFonts w:cs="Gautami"/>
                <w:color w:val="000000" w:themeColor="text1"/>
                <w:szCs w:val="16"/>
              </w:rPr>
              <w:t xml:space="preserve"> Fixed costs associated with </w:t>
            </w:r>
            <w:r w:rsidRPr="00AF2CCF">
              <w:rPr>
                <w:rFonts w:cs="Gautami"/>
                <w:i/>
                <w:color w:val="000000" w:themeColor="text1"/>
                <w:szCs w:val="16"/>
              </w:rPr>
              <w:t xml:space="preserve">Labour costs – other earnings, on costs and </w:t>
            </w:r>
            <w:r w:rsidRPr="00AF2CCF">
              <w:rPr>
                <w:rFonts w:cs="Gautami"/>
                <w:color w:val="000000" w:themeColor="text1"/>
                <w:szCs w:val="16"/>
              </w:rPr>
              <w:t xml:space="preserve">taxes, for example training, should be reported as costs of ordinary time hours. </w:t>
            </w:r>
          </w:p>
          <w:p w:rsidR="00AE5FBA" w:rsidRPr="00A17312" w:rsidRDefault="00AE5FBA" w:rsidP="00AF2CCF">
            <w:pPr>
              <w:pStyle w:val="AERtabletextleft"/>
              <w:numPr>
                <w:ilvl w:val="0"/>
                <w:numId w:val="53"/>
              </w:numPr>
              <w:cnfStyle w:val="000000010000" w:firstRow="0" w:lastRow="0" w:firstColumn="0" w:lastColumn="0" w:oddVBand="0" w:evenVBand="0" w:oddHBand="0" w:evenHBand="1" w:firstRowFirstColumn="0" w:firstRowLastColumn="0" w:lastRowFirstColumn="0" w:lastRowLastColumn="0"/>
              <w:rPr>
                <w:rFonts w:eastAsia="Calibri" w:cs="Gautami"/>
                <w:sz w:val="22"/>
                <w:szCs w:val="16"/>
                <w:lang w:eastAsia="en-US"/>
              </w:rPr>
            </w:pPr>
            <w:r w:rsidRPr="00AF2CCF">
              <w:rPr>
                <w:rFonts w:cs="Gautami"/>
                <w:i/>
                <w:color w:val="000000" w:themeColor="text1"/>
                <w:szCs w:val="16"/>
              </w:rPr>
              <w:t>Labour costs</w:t>
            </w:r>
            <w:r w:rsidRPr="00AF2CCF">
              <w:rPr>
                <w:rFonts w:cs="Gautami"/>
                <w:color w:val="000000" w:themeColor="text1"/>
                <w:szCs w:val="16"/>
              </w:rPr>
              <w:t xml:space="preserve"> – super that are directly related to ordinary time salaries and wages in the year.</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Annual ordinary time hours costs - productive </w:t>
            </w:r>
            <w:r>
              <w:rPr>
                <w:rFonts w:ascii="Gautami" w:hAnsi="Gautami" w:cs="Gautami"/>
                <w:b w:val="0"/>
                <w:i/>
                <w:color w:val="000000" w:themeColor="text1"/>
                <w:sz w:val="16"/>
                <w:szCs w:val="16"/>
              </w:rPr>
              <w:t xml:space="preserve">work </w:t>
            </w:r>
            <w:r w:rsidRPr="003B40E2">
              <w:rPr>
                <w:rFonts w:ascii="Gautami" w:hAnsi="Gautami" w:cs="Gautami"/>
                <w:b w:val="0"/>
                <w:i/>
                <w:color w:val="000000" w:themeColor="text1"/>
                <w:sz w:val="16"/>
                <w:szCs w:val="16"/>
              </w:rPr>
              <w:t>hours per ASL</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hAnsi="Gautami" w:cs="Gautami"/>
                <w:color w:val="000000" w:themeColor="text1"/>
                <w:sz w:val="16"/>
                <w:szCs w:val="16"/>
              </w:rPr>
              <w:t xml:space="preserve">The average </w:t>
            </w:r>
            <w:r w:rsidRPr="00AF2CCF">
              <w:rPr>
                <w:rFonts w:ascii="Gautami" w:hAnsi="Gautami" w:cs="Gautami"/>
                <w:i/>
                <w:color w:val="000000" w:themeColor="text1"/>
                <w:sz w:val="16"/>
                <w:szCs w:val="16"/>
              </w:rPr>
              <w:t>productive work hours</w:t>
            </w:r>
            <w:r w:rsidRPr="003B40E2">
              <w:rPr>
                <w:rFonts w:ascii="Gautami" w:hAnsi="Gautami" w:cs="Gautami"/>
                <w:color w:val="000000" w:themeColor="text1"/>
                <w:sz w:val="16"/>
                <w:szCs w:val="16"/>
              </w:rPr>
              <w:t xml:space="preserve"> per regulatory year per </w:t>
            </w:r>
            <w:r w:rsidRPr="00AF2CCF">
              <w:rPr>
                <w:rFonts w:ascii="Gautami" w:hAnsi="Gautami" w:cs="Gautami"/>
                <w:i/>
                <w:color w:val="000000" w:themeColor="text1"/>
                <w:sz w:val="16"/>
                <w:szCs w:val="16"/>
              </w:rPr>
              <w:t>ASL</w:t>
            </w:r>
            <w:r w:rsidRPr="003B40E2">
              <w:rPr>
                <w:rFonts w:ascii="Gautami" w:hAnsi="Gautami" w:cs="Gautami"/>
                <w:color w:val="000000" w:themeColor="text1"/>
                <w:sz w:val="16"/>
                <w:szCs w:val="16"/>
              </w:rPr>
              <w:t xml:space="preserve"> in each </w:t>
            </w:r>
            <w:r w:rsidRPr="00AF2CCF">
              <w:rPr>
                <w:rFonts w:ascii="Gautami" w:hAnsi="Gautami" w:cs="Gautami"/>
                <w:i/>
                <w:color w:val="000000" w:themeColor="text1"/>
                <w:sz w:val="16"/>
                <w:szCs w:val="16"/>
              </w:rPr>
              <w:t>Classification level</w:t>
            </w:r>
            <w:r w:rsidRPr="003B40E2">
              <w:rPr>
                <w:rFonts w:ascii="Gautami" w:hAnsi="Gautami" w:cs="Gautami"/>
                <w:color w:val="000000" w:themeColor="text1"/>
                <w:sz w:val="16"/>
                <w:szCs w:val="16"/>
              </w:rPr>
              <w:t xml:space="preserve"> </w:t>
            </w:r>
            <w:r>
              <w:rPr>
                <w:rFonts w:ascii="Gautami" w:hAnsi="Gautami" w:cs="Gautami"/>
                <w:color w:val="000000" w:themeColor="text1"/>
                <w:sz w:val="16"/>
                <w:szCs w:val="16"/>
              </w:rPr>
              <w:t xml:space="preserve">spent on </w:t>
            </w:r>
            <w:r w:rsidRPr="00AF2CCF">
              <w:rPr>
                <w:rFonts w:ascii="Gautami" w:hAnsi="Gautami" w:cs="Gautami"/>
                <w:i/>
                <w:color w:val="000000" w:themeColor="text1"/>
                <w:sz w:val="16"/>
                <w:szCs w:val="16"/>
              </w:rPr>
              <w:t>prescribed transmission services</w:t>
            </w:r>
            <w:r>
              <w:rPr>
                <w:rFonts w:ascii="Gautami" w:hAnsi="Gautami" w:cs="Gautami"/>
                <w:color w:val="000000" w:themeColor="text1"/>
                <w:sz w:val="16"/>
                <w:szCs w:val="16"/>
              </w:rPr>
              <w:t xml:space="preserve"> work </w:t>
            </w:r>
            <w:r w:rsidRPr="003B40E2">
              <w:rPr>
                <w:rFonts w:ascii="Gautami" w:hAnsi="Gautami" w:cs="Gautami"/>
                <w:color w:val="000000" w:themeColor="text1"/>
                <w:sz w:val="16"/>
                <w:szCs w:val="16"/>
              </w:rPr>
              <w:t xml:space="preserve">that are </w:t>
            </w:r>
            <w:r w:rsidRPr="003B40E2">
              <w:rPr>
                <w:rFonts w:ascii="Gautami" w:hAnsi="Gautami" w:cs="Gautami"/>
                <w:i/>
                <w:color w:val="000000" w:themeColor="text1"/>
                <w:sz w:val="16"/>
                <w:szCs w:val="16"/>
              </w:rPr>
              <w:t>Labour costs</w:t>
            </w:r>
            <w:r w:rsidRPr="003B40E2">
              <w:rPr>
                <w:rFonts w:ascii="Gautami" w:hAnsi="Gautami" w:cs="Gautami"/>
                <w:color w:val="000000" w:themeColor="text1"/>
                <w:sz w:val="16"/>
                <w:szCs w:val="16"/>
              </w:rPr>
              <w:t xml:space="preserve"> – ordinary time earnings.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Annual overtime hours costs - average productive </w:t>
            </w:r>
            <w:r>
              <w:rPr>
                <w:rFonts w:ascii="Gautami" w:hAnsi="Gautami" w:cs="Gautami"/>
                <w:b w:val="0"/>
                <w:i/>
                <w:color w:val="000000" w:themeColor="text1"/>
                <w:sz w:val="16"/>
                <w:szCs w:val="16"/>
              </w:rPr>
              <w:t xml:space="preserve">work hours </w:t>
            </w:r>
            <w:r w:rsidRPr="003B40E2">
              <w:rPr>
                <w:rFonts w:ascii="Gautami" w:hAnsi="Gautami" w:cs="Gautami"/>
                <w:b w:val="0"/>
                <w:i/>
                <w:color w:val="000000" w:themeColor="text1"/>
                <w:sz w:val="16"/>
                <w:szCs w:val="16"/>
              </w:rPr>
              <w:t>hourly rate</w:t>
            </w:r>
            <w:r>
              <w:rPr>
                <w:rFonts w:ascii="Gautami" w:hAnsi="Gautami" w:cs="Gautami"/>
                <w:b w:val="0"/>
                <w:i/>
                <w:color w:val="000000" w:themeColor="text1"/>
                <w:sz w:val="16"/>
                <w:szCs w:val="16"/>
              </w:rPr>
              <w:t xml:space="preserve"> per ASL</w:t>
            </w:r>
          </w:p>
        </w:tc>
        <w:tc>
          <w:tcPr>
            <w:tcW w:w="3780" w:type="pct"/>
            <w:tcBorders>
              <w:left w:val="none" w:sz="0" w:space="0" w:color="auto"/>
            </w:tcBorders>
          </w:tcPr>
          <w:p w:rsidR="00AE5FBA" w:rsidRPr="003B40E2" w:rsidRDefault="00AE5FBA" w:rsidP="003B40E2">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sidRPr="003B40E2">
              <w:rPr>
                <w:rFonts w:cs="Gautami"/>
                <w:color w:val="000000" w:themeColor="text1"/>
                <w:szCs w:val="16"/>
              </w:rPr>
              <w:t xml:space="preserve">The regulatory year’s average </w:t>
            </w:r>
            <w:r w:rsidRPr="00AF2CCF">
              <w:rPr>
                <w:rFonts w:cs="Gautami"/>
                <w:i/>
                <w:color w:val="000000" w:themeColor="text1"/>
                <w:szCs w:val="16"/>
              </w:rPr>
              <w:t>productive work hours</w:t>
            </w:r>
            <w:r>
              <w:rPr>
                <w:rFonts w:cs="Gautami"/>
                <w:color w:val="000000" w:themeColor="text1"/>
                <w:szCs w:val="16"/>
              </w:rPr>
              <w:t xml:space="preserve"> spent on </w:t>
            </w:r>
            <w:r>
              <w:rPr>
                <w:rFonts w:cs="Gautami"/>
                <w:i/>
                <w:color w:val="000000" w:themeColor="text1"/>
                <w:szCs w:val="16"/>
              </w:rPr>
              <w:t xml:space="preserve">prescribed transmission services </w:t>
            </w:r>
            <w:r w:rsidRPr="003B40E2">
              <w:rPr>
                <w:rFonts w:cs="Gautami"/>
                <w:color w:val="000000" w:themeColor="text1"/>
                <w:szCs w:val="16"/>
              </w:rPr>
              <w:t xml:space="preserve">hourly rate per </w:t>
            </w:r>
            <w:r w:rsidRPr="00AF2CCF">
              <w:rPr>
                <w:rFonts w:cs="Gautami"/>
                <w:i/>
                <w:color w:val="000000" w:themeColor="text1"/>
                <w:szCs w:val="16"/>
              </w:rPr>
              <w:t>ASL</w:t>
            </w:r>
            <w:r w:rsidRPr="003B40E2">
              <w:rPr>
                <w:rFonts w:cs="Gautami"/>
                <w:color w:val="000000" w:themeColor="text1"/>
                <w:szCs w:val="16"/>
              </w:rPr>
              <w:t xml:space="preserve"> for each </w:t>
            </w:r>
            <w:r w:rsidRPr="00AF2CCF">
              <w:rPr>
                <w:rFonts w:cs="Gautami"/>
                <w:i/>
                <w:color w:val="000000" w:themeColor="text1"/>
                <w:szCs w:val="16"/>
              </w:rPr>
              <w:t>Classification level</w:t>
            </w:r>
            <w:r w:rsidRPr="003B40E2">
              <w:rPr>
                <w:rFonts w:cs="Gautami"/>
                <w:color w:val="000000" w:themeColor="text1"/>
                <w:szCs w:val="16"/>
              </w:rPr>
              <w:t xml:space="preserve"> including </w:t>
            </w:r>
            <w:r w:rsidRPr="003B40E2">
              <w:rPr>
                <w:rFonts w:cs="Gautami"/>
                <w:i/>
                <w:color w:val="000000" w:themeColor="text1"/>
                <w:szCs w:val="16"/>
              </w:rPr>
              <w:t>labour costs</w:t>
            </w:r>
            <w:r w:rsidRPr="003B40E2">
              <w:rPr>
                <w:rFonts w:cs="Gautami"/>
                <w:color w:val="000000" w:themeColor="text1"/>
                <w:szCs w:val="16"/>
              </w:rPr>
              <w:t xml:space="preserve"> that are direct on costs related to productive overtime hours that are not </w:t>
            </w:r>
            <w:r w:rsidRPr="003B40E2">
              <w:rPr>
                <w:rFonts w:cs="Gautami"/>
                <w:i/>
                <w:color w:val="000000" w:themeColor="text1"/>
                <w:szCs w:val="16"/>
              </w:rPr>
              <w:t>Labour Costs – ordinary time earnings</w:t>
            </w:r>
            <w:r w:rsidRPr="003B40E2">
              <w:rPr>
                <w:rFonts w:cs="Gautami"/>
                <w:color w:val="000000" w:themeColor="text1"/>
                <w:szCs w:val="16"/>
              </w:rPr>
              <w:t xml:space="preserve">. </w:t>
            </w:r>
            <w:r>
              <w:rPr>
                <w:rFonts w:cs="Gautami"/>
                <w:szCs w:val="16"/>
              </w:rPr>
              <w:t xml:space="preserve">This includes all direct costs associated with </w:t>
            </w:r>
            <w:r w:rsidRPr="00AF2CCF">
              <w:rPr>
                <w:rFonts w:cs="Gautami"/>
                <w:i/>
                <w:szCs w:val="16"/>
              </w:rPr>
              <w:t>non-productive work hours</w:t>
            </w:r>
            <w:r>
              <w:rPr>
                <w:rFonts w:cs="Gautami"/>
                <w:szCs w:val="16"/>
              </w:rPr>
              <w:t xml:space="preserve"> related to overtime hours spent on </w:t>
            </w:r>
            <w:r>
              <w:rPr>
                <w:rFonts w:cs="Gautami"/>
                <w:i/>
                <w:szCs w:val="16"/>
              </w:rPr>
              <w:t>prescribed transmission services</w:t>
            </w:r>
            <w:r>
              <w:rPr>
                <w:rFonts w:cs="Gautami"/>
                <w:szCs w:val="16"/>
              </w:rPr>
              <w:t xml:space="preserve">.  </w:t>
            </w:r>
            <w:r w:rsidRPr="003B40E2">
              <w:rPr>
                <w:rFonts w:cs="Gautami"/>
                <w:color w:val="000000" w:themeColor="text1"/>
                <w:szCs w:val="16"/>
              </w:rPr>
              <w:t xml:space="preserve">NSPs should indicate what costs are included in each category (1) to (3) directly below. The average hourly wage rate should be calculated by reference to the average number of </w:t>
            </w:r>
            <w:r w:rsidRPr="00AF2CCF">
              <w:rPr>
                <w:rFonts w:cs="Gautami"/>
                <w:i/>
                <w:color w:val="000000" w:themeColor="text1"/>
                <w:szCs w:val="16"/>
              </w:rPr>
              <w:t>productive work hours</w:t>
            </w:r>
            <w:r w:rsidRPr="003B40E2">
              <w:rPr>
                <w:rFonts w:cs="Gautami"/>
                <w:color w:val="000000" w:themeColor="text1"/>
                <w:szCs w:val="16"/>
              </w:rPr>
              <w:t xml:space="preserve"> paid as overtime and includes costs that are: </w:t>
            </w:r>
          </w:p>
          <w:p w:rsidR="00AE5FBA" w:rsidRPr="003B40E2" w:rsidRDefault="00AE5FBA" w:rsidP="003B40E2">
            <w:pPr>
              <w:pStyle w:val="AERtabletextleft"/>
              <w:numPr>
                <w:ilvl w:val="0"/>
                <w:numId w:val="54"/>
              </w:numPr>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i/>
                <w:color w:val="000000" w:themeColor="text1"/>
                <w:szCs w:val="16"/>
              </w:rPr>
              <w:t xml:space="preserve">Labour costs - </w:t>
            </w:r>
            <w:r w:rsidRPr="003B40E2">
              <w:rPr>
                <w:rFonts w:cs="Gautami"/>
                <w:color w:val="000000" w:themeColor="text1"/>
                <w:szCs w:val="16"/>
              </w:rPr>
              <w:t xml:space="preserve">Overtime salaries and wages in the year </w:t>
            </w:r>
          </w:p>
          <w:p w:rsidR="00AE5FBA" w:rsidRPr="003B40E2" w:rsidRDefault="00AE5FBA" w:rsidP="003B40E2">
            <w:pPr>
              <w:pStyle w:val="AERtabletextleft"/>
              <w:numPr>
                <w:ilvl w:val="0"/>
                <w:numId w:val="54"/>
              </w:numPr>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sidRPr="003B40E2">
              <w:rPr>
                <w:rFonts w:cs="Gautami"/>
                <w:i/>
                <w:color w:val="000000" w:themeColor="text1"/>
                <w:szCs w:val="16"/>
              </w:rPr>
              <w:t>Labour costs</w:t>
            </w:r>
            <w:r w:rsidRPr="003B40E2">
              <w:rPr>
                <w:rFonts w:cs="Gautami"/>
                <w:color w:val="000000" w:themeColor="text1"/>
                <w:szCs w:val="16"/>
              </w:rPr>
              <w:t xml:space="preserve"> – other earnings, on costs, and taxes that are directly related to overtime salaries and wages in the year including allowances. Only incremental costs associated with overtime should be reported against overtime </w:t>
            </w:r>
            <w:proofErr w:type="gramStart"/>
            <w:r w:rsidRPr="003B40E2">
              <w:rPr>
                <w:rFonts w:cs="Gautami"/>
                <w:color w:val="000000" w:themeColor="text1"/>
                <w:szCs w:val="16"/>
              </w:rPr>
              <w:t>hours</w:t>
            </w:r>
            <w:proofErr w:type="gramEnd"/>
            <w:r w:rsidRPr="003B40E2">
              <w:rPr>
                <w:rFonts w:cs="Gautami"/>
                <w:color w:val="000000" w:themeColor="text1"/>
                <w:szCs w:val="16"/>
              </w:rPr>
              <w:t xml:space="preserve"> costs, for example payroll tax on overtime payments. </w:t>
            </w:r>
          </w:p>
          <w:p w:rsidR="00AE5FBA" w:rsidRPr="003B40E2" w:rsidRDefault="00AE5FBA" w:rsidP="00AF2CCF">
            <w:pPr>
              <w:pStyle w:val="AERtabletextleft"/>
              <w:numPr>
                <w:ilvl w:val="0"/>
                <w:numId w:val="54"/>
              </w:numPr>
              <w:cnfStyle w:val="000000010000" w:firstRow="0" w:lastRow="0" w:firstColumn="0" w:lastColumn="0" w:oddVBand="0" w:evenVBand="0" w:oddHBand="0" w:evenHBand="1" w:firstRowFirstColumn="0" w:firstRowLastColumn="0" w:lastRowFirstColumn="0" w:lastRowLastColumn="0"/>
              <w:rPr>
                <w:rFonts w:eastAsia="Calibri" w:cs="Gautami"/>
                <w:sz w:val="22"/>
                <w:szCs w:val="16"/>
                <w:lang w:eastAsia="en-US"/>
              </w:rPr>
            </w:pPr>
            <w:r w:rsidRPr="003B40E2">
              <w:rPr>
                <w:rFonts w:cs="Gautami"/>
                <w:i/>
                <w:color w:val="000000" w:themeColor="text1"/>
                <w:szCs w:val="16"/>
              </w:rPr>
              <w:t>Labour costs</w:t>
            </w:r>
            <w:r w:rsidRPr="003B40E2">
              <w:rPr>
                <w:rFonts w:cs="Gautami"/>
                <w:color w:val="000000" w:themeColor="text1"/>
                <w:szCs w:val="16"/>
              </w:rPr>
              <w:t xml:space="preserve"> – super that are directly related to overtime salaries and wages  in the year</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Annual overtime hours costs - productive hours per ASL</w:t>
            </w:r>
          </w:p>
        </w:tc>
        <w:tc>
          <w:tcPr>
            <w:tcW w:w="3780" w:type="pct"/>
            <w:tcBorders>
              <w:left w:val="none" w:sz="0" w:space="0" w:color="auto"/>
            </w:tcBorders>
          </w:tcPr>
          <w:p w:rsidR="00AE5FBA" w:rsidRPr="00AF2CCF" w:rsidRDefault="00AE5FBA" w:rsidP="00B310B9">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014722">
              <w:rPr>
                <w:rFonts w:cs="Gautami"/>
                <w:color w:val="000000" w:themeColor="text1"/>
                <w:szCs w:val="16"/>
              </w:rPr>
              <w:t xml:space="preserve">The average overtime hours for the regulatory year paid per </w:t>
            </w:r>
            <w:r w:rsidRPr="00AF2CCF">
              <w:rPr>
                <w:rFonts w:cs="Gautami"/>
                <w:i/>
                <w:color w:val="000000" w:themeColor="text1"/>
                <w:szCs w:val="16"/>
              </w:rPr>
              <w:t>ASL</w:t>
            </w:r>
            <w:r w:rsidRPr="00014722">
              <w:rPr>
                <w:rFonts w:cs="Gautami"/>
                <w:color w:val="000000" w:themeColor="text1"/>
                <w:szCs w:val="16"/>
              </w:rPr>
              <w:t xml:space="preserve"> for each </w:t>
            </w:r>
            <w:r w:rsidRPr="00AF2CCF">
              <w:rPr>
                <w:rFonts w:cs="Gautami"/>
                <w:i/>
                <w:color w:val="000000" w:themeColor="text1"/>
                <w:szCs w:val="16"/>
              </w:rPr>
              <w:t>Classification level</w:t>
            </w:r>
            <w:r w:rsidRPr="00014722">
              <w:rPr>
                <w:rFonts w:cs="Gautami"/>
                <w:color w:val="000000" w:themeColor="text1"/>
                <w:szCs w:val="16"/>
              </w:rPr>
              <w:t xml:space="preserve"> per year</w:t>
            </w:r>
            <w:r>
              <w:rPr>
                <w:rFonts w:cs="Gautami"/>
                <w:color w:val="000000" w:themeColor="text1"/>
                <w:szCs w:val="16"/>
              </w:rPr>
              <w:t xml:space="preserve"> spent on </w:t>
            </w:r>
            <w:r w:rsidRPr="000119E4">
              <w:rPr>
                <w:rFonts w:cs="Gautami"/>
                <w:i/>
                <w:color w:val="000000" w:themeColor="text1"/>
                <w:szCs w:val="16"/>
              </w:rPr>
              <w:t>prescribed transmission services</w:t>
            </w:r>
            <w:r w:rsidRPr="00014722">
              <w:rPr>
                <w:rFonts w:cs="Gautami"/>
                <w:color w:val="000000" w:themeColor="text1"/>
                <w:szCs w:val="16"/>
              </w:rPr>
              <w:t xml:space="preserve">. Overtime hours are paid </w:t>
            </w:r>
            <w:r w:rsidRPr="00AF2CCF">
              <w:rPr>
                <w:rFonts w:cs="Gautami"/>
                <w:i/>
                <w:color w:val="000000" w:themeColor="text1"/>
                <w:szCs w:val="16"/>
              </w:rPr>
              <w:t>productive work hours</w:t>
            </w:r>
            <w:r w:rsidRPr="00014722">
              <w:rPr>
                <w:rFonts w:cs="Gautami"/>
                <w:color w:val="000000" w:themeColor="text1"/>
                <w:szCs w:val="16"/>
              </w:rPr>
              <w:t xml:space="preserve"> that are not </w:t>
            </w:r>
            <w:r w:rsidRPr="00014722">
              <w:rPr>
                <w:rFonts w:cs="Gautami"/>
                <w:i/>
                <w:color w:val="000000" w:themeColor="text1"/>
                <w:szCs w:val="16"/>
              </w:rPr>
              <w:t>Labour costs – ordinary time earnings</w:t>
            </w:r>
            <w:r w:rsidRPr="00014722">
              <w:rPr>
                <w:rFonts w:cs="Gautami"/>
                <w:color w:val="000000" w:themeColor="text1"/>
                <w:szCs w:val="16"/>
              </w:rPr>
              <w:t xml:space="preserve">. </w:t>
            </w:r>
          </w:p>
          <w:p w:rsidR="00AE5FBA" w:rsidRPr="003B40E2" w:rsidRDefault="00AE5FBA" w:rsidP="00B310B9">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F2CCF">
              <w:rPr>
                <w:rFonts w:ascii="Gautami" w:hAnsi="Gautami" w:cs="Gautami"/>
                <w:color w:val="000000" w:themeColor="text1"/>
                <w:sz w:val="16"/>
                <w:szCs w:val="16"/>
              </w:rPr>
              <w:t xml:space="preserve">Note: for a given </w:t>
            </w:r>
            <w:r w:rsidRPr="00AF2CCF">
              <w:rPr>
                <w:rFonts w:ascii="Gautami" w:hAnsi="Gautami" w:cs="Gautami"/>
                <w:i/>
                <w:color w:val="000000" w:themeColor="text1"/>
                <w:sz w:val="16"/>
                <w:szCs w:val="16"/>
              </w:rPr>
              <w:t>classification level</w:t>
            </w:r>
            <w:r w:rsidRPr="00AF2CCF">
              <w:rPr>
                <w:rFonts w:ascii="Gautami" w:hAnsi="Gautami" w:cs="Gautami"/>
                <w:color w:val="000000" w:themeColor="text1"/>
                <w:sz w:val="16"/>
                <w:szCs w:val="16"/>
              </w:rPr>
              <w:t xml:space="preserve"> average overtime </w:t>
            </w:r>
            <w:r w:rsidRPr="00AF2CCF">
              <w:rPr>
                <w:rFonts w:ascii="Gautami" w:hAnsi="Gautami" w:cs="Gautami"/>
                <w:i/>
                <w:color w:val="000000" w:themeColor="text1"/>
                <w:sz w:val="16"/>
                <w:szCs w:val="16"/>
              </w:rPr>
              <w:t>productive work hours</w:t>
            </w:r>
            <w:r w:rsidRPr="00AF2CCF">
              <w:rPr>
                <w:rFonts w:ascii="Gautami" w:hAnsi="Gautami" w:cs="Gautami"/>
                <w:color w:val="000000" w:themeColor="text1"/>
                <w:sz w:val="16"/>
                <w:szCs w:val="16"/>
              </w:rPr>
              <w:t xml:space="preserve"> per </w:t>
            </w:r>
            <w:r w:rsidRPr="00AF2CCF">
              <w:rPr>
                <w:rFonts w:ascii="Gautami" w:hAnsi="Gautami" w:cs="Gautami"/>
                <w:i/>
                <w:color w:val="000000" w:themeColor="text1"/>
                <w:sz w:val="16"/>
                <w:szCs w:val="16"/>
              </w:rPr>
              <w:t>ASL</w:t>
            </w:r>
            <w:r w:rsidRPr="00AF2CCF">
              <w:rPr>
                <w:rFonts w:ascii="Gautami" w:hAnsi="Gautami" w:cs="Gautami"/>
                <w:color w:val="000000" w:themeColor="text1"/>
                <w:sz w:val="16"/>
                <w:szCs w:val="16"/>
              </w:rPr>
              <w:t xml:space="preserve"> in regulatory year X </w:t>
            </w:r>
            <w:r>
              <w:rPr>
                <w:rFonts w:ascii="Gautami" w:hAnsi="Gautami" w:cs="Gautami"/>
                <w:color w:val="000000" w:themeColor="text1"/>
                <w:sz w:val="16"/>
                <w:szCs w:val="16"/>
              </w:rPr>
              <w:t xml:space="preserve">spent on </w:t>
            </w:r>
            <w:r w:rsidRPr="00AF2CCF">
              <w:rPr>
                <w:rFonts w:ascii="Gautami" w:hAnsi="Gautami" w:cs="Gautami"/>
                <w:i/>
                <w:color w:val="000000" w:themeColor="text1"/>
                <w:sz w:val="16"/>
                <w:szCs w:val="16"/>
              </w:rPr>
              <w:t>prescribed transmission services</w:t>
            </w:r>
            <w:r>
              <w:rPr>
                <w:rFonts w:ascii="Gautami" w:hAnsi="Gautami" w:cs="Gautami"/>
                <w:color w:val="000000" w:themeColor="text1"/>
                <w:sz w:val="16"/>
                <w:szCs w:val="16"/>
              </w:rPr>
              <w:t xml:space="preserve"> </w:t>
            </w:r>
            <w:r w:rsidRPr="00AF2CCF">
              <w:rPr>
                <w:rFonts w:ascii="Gautami" w:hAnsi="Gautami" w:cs="Gautami"/>
                <w:color w:val="000000" w:themeColor="text1"/>
                <w:sz w:val="16"/>
                <w:szCs w:val="16"/>
              </w:rPr>
              <w:t xml:space="preserve">plus average ordinary time earnings </w:t>
            </w:r>
            <w:r w:rsidRPr="00AF2CCF">
              <w:rPr>
                <w:rFonts w:ascii="Gautami" w:hAnsi="Gautami" w:cs="Gautami"/>
                <w:i/>
                <w:color w:val="000000" w:themeColor="text1"/>
                <w:sz w:val="16"/>
                <w:szCs w:val="16"/>
              </w:rPr>
              <w:t>productive work hours</w:t>
            </w:r>
            <w:r w:rsidRPr="00AF2CCF">
              <w:rPr>
                <w:rFonts w:ascii="Gautami" w:hAnsi="Gautami" w:cs="Gautami"/>
                <w:color w:val="000000" w:themeColor="text1"/>
                <w:sz w:val="16"/>
                <w:szCs w:val="16"/>
              </w:rPr>
              <w:t xml:space="preserve"> per </w:t>
            </w:r>
            <w:r w:rsidRPr="00AF2CCF">
              <w:rPr>
                <w:rFonts w:ascii="Gautami" w:hAnsi="Gautami" w:cs="Gautami"/>
                <w:i/>
                <w:color w:val="000000" w:themeColor="text1"/>
                <w:sz w:val="16"/>
                <w:szCs w:val="16"/>
              </w:rPr>
              <w:t>ASL</w:t>
            </w:r>
            <w:r w:rsidRPr="00AF2CCF">
              <w:rPr>
                <w:rFonts w:ascii="Gautami" w:hAnsi="Gautami" w:cs="Gautami"/>
                <w:color w:val="000000" w:themeColor="text1"/>
                <w:sz w:val="16"/>
                <w:szCs w:val="16"/>
              </w:rPr>
              <w:t xml:space="preserve"> in regulatory year X </w:t>
            </w:r>
            <w:r>
              <w:rPr>
                <w:rFonts w:ascii="Gautami" w:hAnsi="Gautami" w:cs="Gautami"/>
                <w:color w:val="000000" w:themeColor="text1"/>
                <w:sz w:val="16"/>
                <w:szCs w:val="16"/>
              </w:rPr>
              <w:t xml:space="preserve">spent on </w:t>
            </w:r>
            <w:r w:rsidRPr="00AF2CCF">
              <w:rPr>
                <w:rFonts w:ascii="Gautami" w:hAnsi="Gautami" w:cs="Gautami"/>
                <w:i/>
                <w:color w:val="000000" w:themeColor="text1"/>
                <w:sz w:val="16"/>
                <w:szCs w:val="16"/>
              </w:rPr>
              <w:t>prescribed transmission services</w:t>
            </w:r>
            <w:r>
              <w:rPr>
                <w:rFonts w:ascii="Gautami" w:hAnsi="Gautami" w:cs="Gautami"/>
                <w:color w:val="000000" w:themeColor="text1"/>
                <w:sz w:val="16"/>
                <w:szCs w:val="16"/>
              </w:rPr>
              <w:t xml:space="preserve"> </w:t>
            </w:r>
            <w:r w:rsidRPr="00AF2CCF">
              <w:rPr>
                <w:rFonts w:ascii="Gautami" w:hAnsi="Gautami" w:cs="Gautami"/>
                <w:color w:val="000000" w:themeColor="text1"/>
                <w:sz w:val="16"/>
                <w:szCs w:val="16"/>
              </w:rPr>
              <w:t xml:space="preserve">should equal average total </w:t>
            </w:r>
            <w:r w:rsidRPr="00AF2CCF">
              <w:rPr>
                <w:rFonts w:ascii="Gautami" w:hAnsi="Gautami" w:cs="Gautami"/>
                <w:i/>
                <w:color w:val="000000" w:themeColor="text1"/>
                <w:sz w:val="16"/>
                <w:szCs w:val="16"/>
              </w:rPr>
              <w:t>productive work hours</w:t>
            </w:r>
            <w:r w:rsidRPr="00AF2CCF">
              <w:rPr>
                <w:rFonts w:ascii="Gautami" w:hAnsi="Gautami" w:cs="Gautami"/>
                <w:color w:val="000000" w:themeColor="text1"/>
                <w:sz w:val="16"/>
                <w:szCs w:val="16"/>
              </w:rPr>
              <w:t xml:space="preserve"> per </w:t>
            </w:r>
            <w:r w:rsidRPr="00AF2CCF">
              <w:rPr>
                <w:rFonts w:ascii="Gautami" w:hAnsi="Gautami" w:cs="Gautami"/>
                <w:i/>
                <w:color w:val="000000" w:themeColor="text1"/>
                <w:sz w:val="16"/>
                <w:szCs w:val="16"/>
              </w:rPr>
              <w:t>ASL</w:t>
            </w:r>
            <w:r w:rsidRPr="00AF2CCF">
              <w:rPr>
                <w:rFonts w:ascii="Gautami" w:hAnsi="Gautami" w:cs="Gautami"/>
                <w:color w:val="000000" w:themeColor="text1"/>
                <w:sz w:val="16"/>
                <w:szCs w:val="16"/>
              </w:rPr>
              <w:t xml:space="preserve"> in regulatory year X</w:t>
            </w:r>
            <w:r>
              <w:rPr>
                <w:rFonts w:ascii="Gautami" w:hAnsi="Gautami" w:cs="Gautami"/>
                <w:color w:val="000000" w:themeColor="text1"/>
                <w:sz w:val="16"/>
                <w:szCs w:val="16"/>
              </w:rPr>
              <w:t xml:space="preserve"> spent on </w:t>
            </w:r>
            <w:r w:rsidRPr="00AF2CCF">
              <w:rPr>
                <w:rFonts w:ascii="Gautami" w:hAnsi="Gautami" w:cs="Gautami"/>
                <w:i/>
                <w:color w:val="000000" w:themeColor="text1"/>
                <w:sz w:val="16"/>
                <w:szCs w:val="16"/>
              </w:rPr>
              <w:t>prescribed transmission services</w:t>
            </w:r>
            <w:r w:rsidRPr="00AF2CCF">
              <w:rPr>
                <w:rFonts w:ascii="Gautami" w:hAnsi="Gautami" w:cs="Gautami"/>
                <w:color w:val="000000" w:themeColor="text1"/>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Annual stand down occurrences – total per ASL  </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average number of </w:t>
            </w:r>
            <w:r w:rsidRPr="00AF2CCF">
              <w:rPr>
                <w:rFonts w:ascii="Gautami" w:eastAsia="Calibri" w:hAnsi="Gautami" w:cs="Gautami"/>
                <w:i/>
                <w:sz w:val="16"/>
                <w:szCs w:val="16"/>
              </w:rPr>
              <w:t>Stand Down Periods</w:t>
            </w:r>
            <w:r w:rsidRPr="003B40E2">
              <w:rPr>
                <w:rFonts w:ascii="Gautami" w:eastAsia="Calibri" w:hAnsi="Gautami" w:cs="Gautami"/>
                <w:sz w:val="16"/>
                <w:szCs w:val="16"/>
              </w:rPr>
              <w:t xml:space="preserve"> per </w:t>
            </w:r>
            <w:r w:rsidRPr="00AF2CCF">
              <w:rPr>
                <w:rFonts w:ascii="Gautami" w:eastAsia="Calibri" w:hAnsi="Gautami" w:cs="Gautami"/>
                <w:i/>
                <w:sz w:val="16"/>
                <w:szCs w:val="16"/>
              </w:rPr>
              <w:t>ASL</w:t>
            </w:r>
            <w:r w:rsidRPr="003B40E2">
              <w:rPr>
                <w:rFonts w:ascii="Gautami" w:eastAsia="Calibri" w:hAnsi="Gautami" w:cs="Gautami"/>
                <w:sz w:val="16"/>
                <w:szCs w:val="16"/>
              </w:rPr>
              <w:t xml:space="preserve"> in each </w:t>
            </w:r>
            <w:r w:rsidRPr="00AF2CCF">
              <w:rPr>
                <w:rFonts w:ascii="Gautami" w:eastAsia="Calibri" w:hAnsi="Gautami" w:cs="Gautami"/>
                <w:i/>
                <w:sz w:val="16"/>
                <w:szCs w:val="16"/>
              </w:rPr>
              <w:t>Classification Level</w:t>
            </w:r>
            <w:r w:rsidRPr="003B40E2">
              <w:rPr>
                <w:rFonts w:ascii="Gautami" w:eastAsia="Calibri" w:hAnsi="Gautami" w:cs="Gautami"/>
                <w:sz w:val="16"/>
                <w:szCs w:val="16"/>
              </w:rPr>
              <w:t xml:space="preserve"> over the year</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Annual totals - ASLs</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F2CCF">
              <w:rPr>
                <w:rFonts w:ascii="Gautami" w:hAnsi="Gautami" w:cs="Gautami"/>
                <w:color w:val="000000" w:themeColor="text1"/>
                <w:sz w:val="16"/>
                <w:szCs w:val="16"/>
              </w:rPr>
              <w:t>The number of full-time equivalent</w:t>
            </w:r>
            <w:r>
              <w:rPr>
                <w:rFonts w:ascii="Gautami" w:hAnsi="Gautami" w:cs="Gautami"/>
                <w:color w:val="000000" w:themeColor="text1"/>
                <w:sz w:val="16"/>
                <w:szCs w:val="16"/>
              </w:rPr>
              <w:t xml:space="preserve"> </w:t>
            </w:r>
            <w:r w:rsidRPr="00AF2CCF">
              <w:rPr>
                <w:rFonts w:ascii="Gautami" w:hAnsi="Gautami" w:cs="Gautami"/>
                <w:color w:val="000000" w:themeColor="text1"/>
                <w:sz w:val="16"/>
                <w:szCs w:val="16"/>
              </w:rPr>
              <w:t>employees r</w:t>
            </w:r>
            <w:r>
              <w:rPr>
                <w:rFonts w:ascii="Gautami" w:hAnsi="Gautami" w:cs="Gautami"/>
                <w:color w:val="000000" w:themeColor="text1"/>
                <w:sz w:val="16"/>
                <w:szCs w:val="16"/>
              </w:rPr>
              <w:t xml:space="preserve">and staff engaged under labour hire </w:t>
            </w:r>
            <w:r>
              <w:rPr>
                <w:rFonts w:ascii="Gautami" w:hAnsi="Gautami" w:cs="Gautami"/>
                <w:color w:val="000000" w:themeColor="text1"/>
                <w:sz w:val="16"/>
                <w:szCs w:val="16"/>
              </w:rPr>
              <w:lastRenderedPageBreak/>
              <w:t xml:space="preserve">agreements engaged on </w:t>
            </w:r>
            <w:r w:rsidRPr="00AF2CCF">
              <w:rPr>
                <w:rFonts w:ascii="Gautami" w:hAnsi="Gautami" w:cs="Gautami"/>
                <w:i/>
                <w:color w:val="000000" w:themeColor="text1"/>
                <w:sz w:val="16"/>
                <w:szCs w:val="16"/>
              </w:rPr>
              <w:t>prescribed transmission services</w:t>
            </w:r>
            <w:r>
              <w:rPr>
                <w:rFonts w:ascii="Gautami" w:hAnsi="Gautami" w:cs="Gautami"/>
                <w:color w:val="000000" w:themeColor="text1"/>
                <w:sz w:val="16"/>
                <w:szCs w:val="16"/>
              </w:rPr>
              <w:t xml:space="preserve"> r</w:t>
            </w:r>
            <w:r w:rsidRPr="00AF2CCF">
              <w:rPr>
                <w:rFonts w:ascii="Gautami" w:hAnsi="Gautami" w:cs="Gautami"/>
                <w:color w:val="000000" w:themeColor="text1"/>
                <w:sz w:val="16"/>
                <w:szCs w:val="16"/>
              </w:rPr>
              <w:t xml:space="preserve">eceiving salary or wages (Paid FTE) by the organisation in a given </w:t>
            </w:r>
            <w:r w:rsidRPr="00AF2CCF">
              <w:rPr>
                <w:rFonts w:ascii="Gautami" w:hAnsi="Gautami" w:cs="Gautami"/>
                <w:i/>
                <w:color w:val="000000" w:themeColor="text1"/>
                <w:sz w:val="16"/>
                <w:szCs w:val="16"/>
              </w:rPr>
              <w:t>Classification level</w:t>
            </w:r>
            <w:r w:rsidRPr="00AF2CCF">
              <w:rPr>
                <w:rFonts w:ascii="Gautami" w:hAnsi="Gautami" w:cs="Gautami"/>
                <w:color w:val="000000" w:themeColor="text1"/>
                <w:sz w:val="16"/>
                <w:szCs w:val="16"/>
              </w:rPr>
              <w:t xml:space="preserve"> averaged over the regulatory year.</w:t>
            </w:r>
            <w:r>
              <w:rPr>
                <w:rFonts w:ascii="Gautami" w:hAnsi="Gautami" w:cs="Gautami"/>
                <w:color w:val="000000" w:themeColor="text1"/>
                <w:sz w:val="16"/>
                <w:szCs w:val="16"/>
              </w:rPr>
              <w:t xml:space="preserve"> </w:t>
            </w:r>
            <w:r w:rsidRPr="00401124">
              <w:rPr>
                <w:rFonts w:ascii="Gautami" w:eastAsia="Calibri" w:hAnsi="Gautami" w:cs="Gautami"/>
                <w:sz w:val="16"/>
                <w:szCs w:val="16"/>
              </w:rPr>
              <w:t>For avoidance of doubt, one full time employee equating to one FTE over the course of the year</w:t>
            </w:r>
            <w:r>
              <w:rPr>
                <w:rFonts w:ascii="Gautami" w:eastAsia="Calibri" w:hAnsi="Gautami" w:cs="Gautami"/>
                <w:sz w:val="16"/>
                <w:szCs w:val="16"/>
              </w:rPr>
              <w:t xml:space="preserve"> (</w:t>
            </w:r>
            <w:r w:rsidRPr="00401124">
              <w:rPr>
                <w:rFonts w:ascii="Gautami" w:eastAsia="Calibri" w:hAnsi="Gautami" w:cs="Gautami"/>
                <w:sz w:val="16"/>
                <w:szCs w:val="16"/>
              </w:rPr>
              <w:t xml:space="preserve">for both </w:t>
            </w:r>
            <w:r w:rsidRPr="00AF2CCF">
              <w:rPr>
                <w:rFonts w:ascii="Gautami" w:eastAsia="Calibri" w:hAnsi="Gautami" w:cs="Gautami"/>
                <w:i/>
                <w:sz w:val="16"/>
                <w:szCs w:val="16"/>
              </w:rPr>
              <w:t>prescribed transmission services</w:t>
            </w:r>
            <w:r w:rsidRPr="00401124">
              <w:rPr>
                <w:rFonts w:ascii="Gautami" w:eastAsia="Calibri" w:hAnsi="Gautami" w:cs="Gautami"/>
                <w:sz w:val="16"/>
                <w:szCs w:val="16"/>
              </w:rPr>
              <w:t xml:space="preserve"> </w:t>
            </w:r>
            <w:r>
              <w:rPr>
                <w:rFonts w:ascii="Gautami" w:eastAsia="Calibri" w:hAnsi="Gautami" w:cs="Gautami"/>
                <w:sz w:val="16"/>
                <w:szCs w:val="16"/>
              </w:rPr>
              <w:t>work and other</w:t>
            </w:r>
            <w:r w:rsidRPr="00401124">
              <w:rPr>
                <w:rFonts w:ascii="Gautami" w:eastAsia="Calibri" w:hAnsi="Gautami" w:cs="Gautami"/>
                <w:sz w:val="16"/>
                <w:szCs w:val="16"/>
              </w:rPr>
              <w:t xml:space="preserve"> work) that spend</w:t>
            </w:r>
            <w:r>
              <w:rPr>
                <w:rFonts w:ascii="Gautami" w:eastAsia="Calibri" w:hAnsi="Gautami" w:cs="Gautami"/>
                <w:sz w:val="16"/>
                <w:szCs w:val="16"/>
              </w:rPr>
              <w:t>s 50% of their time on</w:t>
            </w:r>
            <w:r w:rsidRPr="00401124">
              <w:rPr>
                <w:rFonts w:ascii="Gautami" w:eastAsia="Calibri" w:hAnsi="Gautami" w:cs="Gautami"/>
                <w:sz w:val="16"/>
                <w:szCs w:val="16"/>
              </w:rPr>
              <w:t xml:space="preserve"> </w:t>
            </w:r>
            <w:r w:rsidRPr="00792A5A">
              <w:rPr>
                <w:rFonts w:ascii="Gautami" w:eastAsia="Calibri" w:hAnsi="Gautami" w:cs="Gautami"/>
                <w:i/>
                <w:sz w:val="16"/>
                <w:szCs w:val="16"/>
              </w:rPr>
              <w:t>prescribed transmission services</w:t>
            </w:r>
            <w:r w:rsidRPr="00401124">
              <w:rPr>
                <w:rFonts w:ascii="Gautami" w:eastAsia="Calibri" w:hAnsi="Gautami" w:cs="Gautami"/>
                <w:sz w:val="16"/>
                <w:szCs w:val="16"/>
              </w:rPr>
              <w:t xml:space="preserve"> work is 0.5 </w:t>
            </w:r>
            <w:r w:rsidRPr="00AF2CCF">
              <w:rPr>
                <w:rFonts w:ascii="Gautami" w:eastAsia="Calibri" w:hAnsi="Gautami" w:cs="Gautami"/>
                <w:i/>
                <w:sz w:val="16"/>
                <w:szCs w:val="16"/>
              </w:rPr>
              <w:t>ASL</w:t>
            </w:r>
            <w:r w:rsidRPr="00401124">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 xml:space="preserve">Annual totals - average </w:t>
            </w:r>
            <w:r>
              <w:rPr>
                <w:rFonts w:ascii="Gautami" w:eastAsia="Calibri" w:hAnsi="Gautami" w:cs="Gautami"/>
                <w:b w:val="0"/>
                <w:i/>
                <w:sz w:val="16"/>
                <w:szCs w:val="16"/>
              </w:rPr>
              <w:t xml:space="preserve">productive </w:t>
            </w:r>
            <w:proofErr w:type="gramStart"/>
            <w:r>
              <w:rPr>
                <w:rFonts w:ascii="Gautami" w:eastAsia="Calibri" w:hAnsi="Gautami" w:cs="Gautami"/>
                <w:b w:val="0"/>
                <w:i/>
                <w:sz w:val="16"/>
                <w:szCs w:val="16"/>
              </w:rPr>
              <w:t xml:space="preserve">work </w:t>
            </w:r>
            <w:r w:rsidRPr="003B40E2">
              <w:rPr>
                <w:rFonts w:ascii="Gautami" w:eastAsia="Calibri" w:hAnsi="Gautami" w:cs="Gautami"/>
                <w:b w:val="0"/>
                <w:i/>
                <w:sz w:val="16"/>
                <w:szCs w:val="16"/>
              </w:rPr>
              <w:t xml:space="preserve"> hours</w:t>
            </w:r>
            <w:proofErr w:type="gramEnd"/>
            <w:r w:rsidRPr="003B40E2">
              <w:rPr>
                <w:rFonts w:ascii="Gautami" w:eastAsia="Calibri" w:hAnsi="Gautami" w:cs="Gautami"/>
                <w:b w:val="0"/>
                <w:i/>
                <w:sz w:val="16"/>
                <w:szCs w:val="16"/>
              </w:rPr>
              <w:t xml:space="preserve"> </w:t>
            </w:r>
            <w:r>
              <w:rPr>
                <w:rFonts w:ascii="Gautami" w:eastAsia="Calibri" w:hAnsi="Gautami" w:cs="Gautami"/>
                <w:b w:val="0"/>
                <w:i/>
                <w:sz w:val="16"/>
                <w:szCs w:val="16"/>
              </w:rPr>
              <w:t>per ASL</w:t>
            </w:r>
            <w:r w:rsidRPr="003B40E2">
              <w:rPr>
                <w:rFonts w:ascii="Gautami" w:eastAsia="Calibri" w:hAnsi="Gautami" w:cs="Gautami"/>
                <w:b w:val="0"/>
                <w:i/>
                <w:sz w:val="16"/>
                <w:szCs w:val="16"/>
              </w:rPr>
              <w:t>.</w:t>
            </w:r>
          </w:p>
        </w:tc>
        <w:tc>
          <w:tcPr>
            <w:tcW w:w="3780" w:type="pct"/>
            <w:tcBorders>
              <w:left w:val="none" w:sz="0" w:space="0" w:color="auto"/>
            </w:tcBorders>
          </w:tcPr>
          <w:p w:rsidR="00AE5FBA" w:rsidRPr="003B40E2" w:rsidRDefault="00AE5FBA" w:rsidP="00A1731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average </w:t>
            </w:r>
            <w:r>
              <w:rPr>
                <w:rFonts w:ascii="Gautami" w:eastAsia="Calibri" w:hAnsi="Gautami" w:cs="Gautami"/>
                <w:sz w:val="16"/>
                <w:szCs w:val="16"/>
              </w:rPr>
              <w:t>work</w:t>
            </w:r>
            <w:r w:rsidRPr="003B40E2">
              <w:rPr>
                <w:rFonts w:ascii="Gautami" w:eastAsia="Calibri" w:hAnsi="Gautami" w:cs="Gautami"/>
                <w:sz w:val="16"/>
                <w:szCs w:val="16"/>
              </w:rPr>
              <w:t xml:space="preserve"> hours for the </w:t>
            </w:r>
            <w:r>
              <w:rPr>
                <w:rFonts w:ascii="Gautami" w:eastAsia="Calibri" w:hAnsi="Gautami" w:cs="Gautami"/>
                <w:sz w:val="16"/>
                <w:szCs w:val="16"/>
              </w:rPr>
              <w:t xml:space="preserve">regulatory </w:t>
            </w:r>
            <w:r w:rsidRPr="003B40E2">
              <w:rPr>
                <w:rFonts w:ascii="Gautami" w:eastAsia="Calibri" w:hAnsi="Gautami" w:cs="Gautami"/>
                <w:sz w:val="16"/>
                <w:szCs w:val="16"/>
              </w:rPr>
              <w:t xml:space="preserve">year per </w:t>
            </w:r>
            <w:r w:rsidRPr="00AF2CCF">
              <w:rPr>
                <w:rFonts w:ascii="Gautami" w:eastAsia="Calibri" w:hAnsi="Gautami" w:cs="Gautami"/>
                <w:i/>
                <w:sz w:val="16"/>
                <w:szCs w:val="16"/>
              </w:rPr>
              <w:t>ASL</w:t>
            </w:r>
            <w:r w:rsidRPr="003B40E2">
              <w:rPr>
                <w:rFonts w:ascii="Gautami" w:eastAsia="Calibri" w:hAnsi="Gautami" w:cs="Gautami"/>
                <w:sz w:val="16"/>
                <w:szCs w:val="16"/>
              </w:rPr>
              <w:t xml:space="preserve"> in each </w:t>
            </w:r>
            <w:r w:rsidRPr="00AF2CCF">
              <w:rPr>
                <w:rFonts w:ascii="Gautami" w:eastAsia="Calibri" w:hAnsi="Gautami" w:cs="Gautami"/>
                <w:i/>
                <w:sz w:val="16"/>
                <w:szCs w:val="16"/>
              </w:rPr>
              <w:t>Classification level</w:t>
            </w:r>
            <w:r w:rsidRPr="003B40E2">
              <w:rPr>
                <w:rFonts w:ascii="Gautami" w:eastAsia="Calibri" w:hAnsi="Gautami" w:cs="Gautami"/>
                <w:sz w:val="16"/>
                <w:szCs w:val="16"/>
              </w:rPr>
              <w:t xml:space="preserve"> </w:t>
            </w:r>
            <w:r>
              <w:rPr>
                <w:rFonts w:ascii="Gautami" w:eastAsia="Calibri" w:hAnsi="Gautami" w:cs="Gautami"/>
                <w:sz w:val="16"/>
                <w:szCs w:val="16"/>
              </w:rPr>
              <w:t xml:space="preserve">spent on </w:t>
            </w:r>
            <w:r>
              <w:rPr>
                <w:rFonts w:ascii="Gautami" w:eastAsia="Calibri" w:hAnsi="Gautami" w:cs="Gautami"/>
                <w:i/>
                <w:sz w:val="16"/>
                <w:szCs w:val="16"/>
              </w:rPr>
              <w:t>prescribed transmission services</w:t>
            </w:r>
            <w:r>
              <w:rPr>
                <w:rFonts w:ascii="Gautami" w:eastAsia="Calibri" w:hAnsi="Gautami" w:cs="Gautami"/>
                <w:sz w:val="16"/>
                <w:szCs w:val="16"/>
              </w:rPr>
              <w:t xml:space="preserve"> work </w:t>
            </w:r>
            <w:r w:rsidRPr="003B40E2">
              <w:rPr>
                <w:rFonts w:ascii="Gautami" w:eastAsia="Calibri" w:hAnsi="Gautami" w:cs="Gautami"/>
                <w:sz w:val="16"/>
                <w:szCs w:val="16"/>
              </w:rPr>
              <w:t xml:space="preserve">that are </w:t>
            </w:r>
            <w:r w:rsidRPr="00AF2CCF">
              <w:rPr>
                <w:rFonts w:ascii="Gautami" w:eastAsia="Calibri" w:hAnsi="Gautami" w:cs="Gautami"/>
                <w:i/>
                <w:sz w:val="16"/>
                <w:szCs w:val="16"/>
              </w:rPr>
              <w:t>productive work hours</w:t>
            </w:r>
            <w:r w:rsidRPr="003B40E2">
              <w:rPr>
                <w:rFonts w:ascii="Gautami" w:eastAsia="Calibri" w:hAnsi="Gautami" w:cs="Gautami"/>
                <w:sz w:val="16"/>
                <w:szCs w:val="16"/>
              </w:rPr>
              <w:t xml:space="preserve"> (</w:t>
            </w:r>
            <w:r>
              <w:rPr>
                <w:rFonts w:ascii="Gautami" w:eastAsia="Calibri" w:hAnsi="Gautami" w:cs="Gautami"/>
                <w:sz w:val="16"/>
                <w:szCs w:val="16"/>
              </w:rPr>
              <w:t xml:space="preserve">i.e. not including </w:t>
            </w:r>
            <w:r w:rsidRPr="00AF2CCF">
              <w:rPr>
                <w:rFonts w:ascii="Gautami" w:eastAsia="Calibri" w:hAnsi="Gautami" w:cs="Gautami"/>
                <w:i/>
                <w:sz w:val="16"/>
                <w:szCs w:val="16"/>
              </w:rPr>
              <w:t>non-productive work hours</w:t>
            </w:r>
            <w:r w:rsidRPr="003B40E2">
              <w:rPr>
                <w:rFonts w:ascii="Gautami" w:eastAsia="Calibri" w:hAnsi="Gautami" w:cs="Gautami"/>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Annual totals – total labour costs</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total </w:t>
            </w:r>
            <w:r w:rsidRPr="00AF2CCF">
              <w:rPr>
                <w:rFonts w:ascii="Gautami" w:eastAsia="Calibri" w:hAnsi="Gautami" w:cs="Gautami"/>
                <w:i/>
                <w:sz w:val="16"/>
                <w:szCs w:val="16"/>
              </w:rPr>
              <w:t>Labour Costs</w:t>
            </w:r>
            <w:r w:rsidRPr="003B40E2">
              <w:rPr>
                <w:rFonts w:ascii="Gautami" w:eastAsia="Calibri" w:hAnsi="Gautami" w:cs="Gautami"/>
                <w:sz w:val="16"/>
                <w:szCs w:val="16"/>
              </w:rPr>
              <w:t xml:space="preserve"> associated with the total </w:t>
            </w:r>
            <w:r w:rsidRPr="00F83AFE">
              <w:rPr>
                <w:rFonts w:ascii="Gautami" w:eastAsia="Calibri" w:hAnsi="Gautami" w:cs="Gautami"/>
                <w:i/>
                <w:sz w:val="16"/>
                <w:szCs w:val="16"/>
              </w:rPr>
              <w:t>ASL</w:t>
            </w:r>
            <w:r w:rsidRPr="00AF2CCF">
              <w:rPr>
                <w:rFonts w:ascii="Gautami" w:eastAsia="Calibri" w:hAnsi="Gautami" w:cs="Gautami"/>
                <w:i/>
                <w:sz w:val="16"/>
                <w:szCs w:val="16"/>
              </w:rPr>
              <w:t>s</w:t>
            </w:r>
            <w:r w:rsidRPr="003B40E2">
              <w:rPr>
                <w:rFonts w:ascii="Gautami" w:eastAsia="Calibri" w:hAnsi="Gautami" w:cs="Gautami"/>
                <w:sz w:val="16"/>
                <w:szCs w:val="16"/>
              </w:rPr>
              <w:t xml:space="preserve"> in a given </w:t>
            </w:r>
            <w:r w:rsidRPr="00AF2CCF">
              <w:rPr>
                <w:rFonts w:ascii="Gautami" w:eastAsia="Calibri" w:hAnsi="Gautami" w:cs="Gautami"/>
                <w:i/>
                <w:sz w:val="16"/>
                <w:szCs w:val="16"/>
              </w:rPr>
              <w:t>Classification level</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ASL</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hAnsi="Gautami" w:cs="Gautami"/>
                <w:color w:val="000000" w:themeColor="text1"/>
                <w:sz w:val="16"/>
                <w:szCs w:val="16"/>
              </w:rPr>
              <w:t xml:space="preserve">Average Staffing Level. One </w:t>
            </w:r>
            <w:r w:rsidRPr="00AF2CCF">
              <w:rPr>
                <w:rFonts w:ascii="Gautami" w:hAnsi="Gautami" w:cs="Gautami"/>
                <w:i/>
                <w:color w:val="000000" w:themeColor="text1"/>
                <w:sz w:val="16"/>
                <w:szCs w:val="16"/>
              </w:rPr>
              <w:t>ASL</w:t>
            </w:r>
            <w:r w:rsidRPr="003B40E2">
              <w:rPr>
                <w:rFonts w:ascii="Gautami" w:hAnsi="Gautami" w:cs="Gautami"/>
                <w:color w:val="000000" w:themeColor="text1"/>
                <w:sz w:val="16"/>
                <w:szCs w:val="16"/>
              </w:rPr>
              <w:t xml:space="preserve"> is one full-time equivalent employee</w:t>
            </w:r>
            <w:r>
              <w:rPr>
                <w:rFonts w:ascii="Gautami" w:hAnsi="Gautami" w:cs="Gautami"/>
                <w:color w:val="000000" w:themeColor="text1"/>
                <w:sz w:val="16"/>
                <w:szCs w:val="16"/>
              </w:rPr>
              <w:t xml:space="preserve"> undertaking </w:t>
            </w:r>
            <w:r w:rsidRPr="000119E4">
              <w:rPr>
                <w:rFonts w:ascii="Gautami" w:hAnsi="Gautami" w:cs="Gautami"/>
                <w:i/>
                <w:color w:val="000000" w:themeColor="text1"/>
                <w:sz w:val="16"/>
                <w:szCs w:val="16"/>
              </w:rPr>
              <w:t>prescribed transmission services</w:t>
            </w:r>
            <w:r>
              <w:rPr>
                <w:rFonts w:ascii="Gautami" w:hAnsi="Gautami" w:cs="Gautami"/>
                <w:color w:val="000000" w:themeColor="text1"/>
                <w:sz w:val="16"/>
                <w:szCs w:val="16"/>
              </w:rPr>
              <w:t xml:space="preserve"> work</w:t>
            </w:r>
            <w:r w:rsidRPr="003B40E2">
              <w:rPr>
                <w:rFonts w:ascii="Gautami" w:hAnsi="Gautami" w:cs="Gautami"/>
                <w:color w:val="000000" w:themeColor="text1"/>
                <w:sz w:val="16"/>
                <w:szCs w:val="16"/>
              </w:rPr>
              <w:t xml:space="preserve"> receiving salary or wages (</w:t>
            </w:r>
            <w:r w:rsidRPr="00AF2CCF">
              <w:rPr>
                <w:rFonts w:ascii="Gautami" w:hAnsi="Gautami" w:cs="Gautami"/>
                <w:i/>
                <w:color w:val="000000" w:themeColor="text1"/>
                <w:sz w:val="16"/>
                <w:szCs w:val="16"/>
              </w:rPr>
              <w:t>Paid FTE)</w:t>
            </w:r>
            <w:r w:rsidRPr="003B40E2">
              <w:rPr>
                <w:rFonts w:ascii="Gautami" w:hAnsi="Gautami" w:cs="Gautami"/>
                <w:color w:val="000000" w:themeColor="text1"/>
                <w:sz w:val="16"/>
                <w:szCs w:val="16"/>
              </w:rPr>
              <w:t xml:space="preserve"> over the entire year.</w:t>
            </w:r>
            <w:r>
              <w:rPr>
                <w:rFonts w:ascii="Gautami" w:hAnsi="Gautami" w:cs="Gautami"/>
                <w:color w:val="000000" w:themeColor="text1"/>
                <w:sz w:val="16"/>
                <w:szCs w:val="16"/>
              </w:rPr>
              <w:t xml:space="preserve"> </w:t>
            </w:r>
            <w:r w:rsidRPr="00AF2CCF">
              <w:rPr>
                <w:rFonts w:ascii="Gautami" w:hAnsi="Gautami" w:cs="Gautami"/>
                <w:color w:val="000000" w:themeColor="text1"/>
                <w:sz w:val="16"/>
                <w:szCs w:val="16"/>
              </w:rPr>
              <w:t xml:space="preserve">For avoidance of doubt, one full time employee equating to one FTE over the course of the year( for both </w:t>
            </w:r>
            <w:r w:rsidRPr="000119E4">
              <w:rPr>
                <w:rFonts w:ascii="Gautami" w:hAnsi="Gautami" w:cs="Gautami"/>
                <w:i/>
                <w:color w:val="000000" w:themeColor="text1"/>
                <w:sz w:val="16"/>
                <w:szCs w:val="16"/>
              </w:rPr>
              <w:t>prescribed transmission services</w:t>
            </w:r>
            <w:r w:rsidRPr="00CF1A19">
              <w:rPr>
                <w:rFonts w:ascii="Gautami" w:hAnsi="Gautami" w:cs="Gautami"/>
                <w:color w:val="000000" w:themeColor="text1"/>
                <w:sz w:val="16"/>
                <w:szCs w:val="16"/>
              </w:rPr>
              <w:t xml:space="preserve"> and </w:t>
            </w:r>
            <w:r>
              <w:rPr>
                <w:rFonts w:ascii="Gautami" w:hAnsi="Gautami" w:cs="Gautami"/>
                <w:color w:val="000000" w:themeColor="text1"/>
                <w:sz w:val="16"/>
                <w:szCs w:val="16"/>
              </w:rPr>
              <w:t>other</w:t>
            </w:r>
            <w:r w:rsidRPr="00AF2CCF">
              <w:rPr>
                <w:rFonts w:ascii="Gautami" w:hAnsi="Gautami" w:cs="Gautami"/>
                <w:color w:val="000000" w:themeColor="text1"/>
                <w:sz w:val="16"/>
                <w:szCs w:val="16"/>
              </w:rPr>
              <w:t xml:space="preserve"> work) that spends 50% of their time on </w:t>
            </w:r>
            <w:r w:rsidRPr="000119E4">
              <w:rPr>
                <w:rFonts w:ascii="Gautami" w:hAnsi="Gautami" w:cs="Gautami"/>
                <w:i/>
                <w:color w:val="000000" w:themeColor="text1"/>
                <w:sz w:val="16"/>
                <w:szCs w:val="16"/>
              </w:rPr>
              <w:t>prescribed transmission services</w:t>
            </w:r>
            <w:r w:rsidRPr="00AF2CCF">
              <w:rPr>
                <w:rFonts w:ascii="Gautami" w:hAnsi="Gautami" w:cs="Gautami"/>
                <w:color w:val="000000" w:themeColor="text1"/>
                <w:sz w:val="16"/>
                <w:szCs w:val="16"/>
              </w:rPr>
              <w:t xml:space="preserve"> work is 0.5 </w:t>
            </w:r>
            <w:r w:rsidRPr="00AF2CCF">
              <w:rPr>
                <w:rFonts w:ascii="Gautami" w:hAnsi="Gautami" w:cs="Gautami"/>
                <w:i/>
                <w:color w:val="000000" w:themeColor="text1"/>
                <w:sz w:val="16"/>
                <w:szCs w:val="16"/>
              </w:rPr>
              <w:t>ASL.</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Asset</w:t>
            </w:r>
          </w:p>
        </w:tc>
        <w:tc>
          <w:tcPr>
            <w:tcW w:w="3780" w:type="pct"/>
            <w:tcBorders>
              <w:left w:val="none" w:sz="0" w:space="0" w:color="auto"/>
            </w:tcBorders>
          </w:tcPr>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cs="Gautami"/>
                <w:szCs w:val="16"/>
              </w:rPr>
            </w:pPr>
            <w:r w:rsidRPr="003B40E2">
              <w:rPr>
                <w:rFonts w:cs="Gautami"/>
                <w:szCs w:val="16"/>
              </w:rPr>
              <w:t>A resource controlled by an entity as a result of past events and from which future economic benefits are expected to flow to the entity</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Audit </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A service where the auditor’s objective is to provide a high level of assurance through: the issue of a positive expression of an opinion that enhances the credibility of a written assertion(s) about an accountability matter (“attest audit”); or the provision of relevant and reliable information and a positive expression of opinion about an accountability matter where the party responsible for the matter does not make a written assertion(s) (“direct reporting audit”).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audit report  </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A report provided by an auditor for an audit engagement, prepared in accordance with Australian Auditing Standards.  </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Audited statutory accounts</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The audited set of accounts prepared in accordance with Australian Securities and Investments Commission (ASIC) requirements.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auditor </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The person with final responsibility for the audit or audit related service engagement that is independent from the entity, appointed to express an opinion on an accountability matter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Average</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An arithmetic (simple) average unless a weighted average is specified.</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Basis of Preparation</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basis upon which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 prepared information to populate the input cells in the Microsoft Excel workbooks attached at Appendix A.</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Capex</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Capital expenditure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Capex Category</w:t>
            </w:r>
          </w:p>
          <w:p w:rsidR="00AE5FBA" w:rsidRPr="003B40E2" w:rsidRDefault="00AE5FBA" w:rsidP="003B40E2">
            <w:pPr>
              <w:spacing w:before="80" w:after="120"/>
              <w:rPr>
                <w:rFonts w:ascii="Gautami" w:eastAsia="Calibri" w:hAnsi="Gautami" w:cs="Gautami"/>
                <w:b w:val="0"/>
                <w:i/>
                <w:sz w:val="16"/>
                <w:szCs w:val="16"/>
              </w:rPr>
            </w:pP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Capital expenditure associated with the following categories:</w:t>
            </w:r>
          </w:p>
          <w:p w:rsidR="00AE5FBA" w:rsidRPr="003B40E2"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Augmentation Capital expenditure;</w:t>
            </w:r>
          </w:p>
          <w:p w:rsidR="00AE5FBA" w:rsidRPr="003B40E2"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Capitalised Overheads;</w:t>
            </w:r>
          </w:p>
          <w:p w:rsidR="00AE5FBA" w:rsidRPr="003B40E2"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Connections Capital expenditure;</w:t>
            </w:r>
          </w:p>
          <w:p w:rsidR="00AE5FBA" w:rsidRPr="003B40E2"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Non-Network—IT &amp; Communications Expenditure;</w:t>
            </w:r>
          </w:p>
          <w:p w:rsidR="00AE5FBA" w:rsidRPr="003B40E2"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Non-Network—Buildings and Property Expenditure;</w:t>
            </w:r>
          </w:p>
          <w:p w:rsidR="00AE5FBA" w:rsidRPr="003B40E2"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Non-Network—Motor Vehicles Expenditure; or</w:t>
            </w:r>
          </w:p>
          <w:p w:rsidR="00AE5FBA" w:rsidRPr="003B40E2"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Non-Network—Other Expenditure.</w:t>
            </w:r>
          </w:p>
          <w:p w:rsidR="00AE5FBA" w:rsidRPr="00306BBE" w:rsidRDefault="00AE5FBA" w:rsidP="003B40E2">
            <w:pPr>
              <w:pStyle w:val="ListParagraph"/>
              <w:numPr>
                <w:ilvl w:val="0"/>
                <w:numId w:val="44"/>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Replacement Capital expenditure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Capitalisation</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The recognition of expenditure as part of the cost of an asset, i.e. as capital expenditure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Capitalised overheads</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Overhead expenditure recognised as part of the cost of an asset, i.e. as capital expenditure</w:t>
            </w:r>
          </w:p>
          <w:p w:rsidR="00AE5FBA" w:rsidRPr="003B40E2" w:rsidRDefault="00AE5FBA" w:rsidP="003B40E2">
            <w:pPr>
              <w:spacing w:before="80" w:after="120"/>
              <w:ind w:left="849" w:hanging="283"/>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Classification level</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color w:val="000000" w:themeColor="text1"/>
                <w:sz w:val="16"/>
                <w:szCs w:val="16"/>
              </w:rPr>
              <w:t xml:space="preserve">The breakdown of </w:t>
            </w:r>
            <w:r w:rsidRPr="00F83AFE">
              <w:rPr>
                <w:rFonts w:ascii="Gautami" w:hAnsi="Gautami" w:cs="Gautami"/>
                <w:i/>
                <w:color w:val="000000" w:themeColor="text1"/>
                <w:sz w:val="16"/>
                <w:szCs w:val="16"/>
              </w:rPr>
              <w:t>paid FTE</w:t>
            </w:r>
            <w:r w:rsidRPr="003B40E2">
              <w:rPr>
                <w:rFonts w:ascii="Gautami" w:hAnsi="Gautami" w:cs="Gautami"/>
                <w:color w:val="000000" w:themeColor="text1"/>
                <w:sz w:val="16"/>
                <w:szCs w:val="16"/>
              </w:rPr>
              <w:t xml:space="preserve"> (ASLs) by </w:t>
            </w:r>
            <w:r w:rsidRPr="00F83AFE">
              <w:rPr>
                <w:rFonts w:ascii="Gautami" w:hAnsi="Gautami" w:cs="Gautami"/>
                <w:i/>
                <w:color w:val="000000" w:themeColor="text1"/>
                <w:sz w:val="16"/>
                <w:szCs w:val="16"/>
              </w:rPr>
              <w:t>classification levels</w:t>
            </w:r>
            <w:r w:rsidRPr="003B40E2">
              <w:rPr>
                <w:rFonts w:ascii="Gautami" w:hAnsi="Gautami" w:cs="Gautami"/>
                <w:color w:val="000000" w:themeColor="text1"/>
                <w:sz w:val="16"/>
                <w:szCs w:val="16"/>
              </w:rPr>
              <w:t xml:space="preserve"> within the organisation.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Contract</w:t>
            </w:r>
          </w:p>
        </w:tc>
        <w:tc>
          <w:tcPr>
            <w:tcW w:w="3780" w:type="pct"/>
            <w:tcBorders>
              <w:left w:val="none" w:sz="0" w:space="0" w:color="auto"/>
            </w:tcBorders>
          </w:tcPr>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eastAsiaTheme="minorHAnsi" w:cs="Gautami"/>
                <w:szCs w:val="16"/>
              </w:rPr>
            </w:pPr>
            <w:r>
              <w:rPr>
                <w:rFonts w:cs="Gautami"/>
                <w:szCs w:val="16"/>
              </w:rPr>
              <w:t>A legally binding contract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Contractor</w:t>
            </w:r>
          </w:p>
        </w:tc>
        <w:tc>
          <w:tcPr>
            <w:tcW w:w="3780" w:type="pct"/>
            <w:tcBorders>
              <w:left w:val="none" w:sz="0" w:space="0" w:color="auto"/>
            </w:tcBorders>
          </w:tcPr>
          <w:p w:rsidR="00AE5FBA" w:rsidRPr="003B40E2" w:rsidRDefault="00AE5FBA" w:rsidP="003B40E2">
            <w:pPr>
              <w:pStyle w:val="AERtabletextleft"/>
              <w:cnfStyle w:val="000000010000" w:firstRow="0" w:lastRow="0" w:firstColumn="0" w:lastColumn="0" w:oddVBand="0" w:evenVBand="0" w:oddHBand="0" w:evenHBand="1" w:firstRowFirstColumn="0" w:firstRowLastColumn="0" w:lastRowFirstColumn="0" w:lastRowLastColumn="0"/>
              <w:rPr>
                <w:rFonts w:eastAsiaTheme="minorHAnsi" w:cs="Gautami"/>
                <w:szCs w:val="16"/>
              </w:rPr>
            </w:pPr>
            <w:r w:rsidRPr="003B40E2">
              <w:rPr>
                <w:rFonts w:cs="Gautami"/>
                <w:szCs w:val="16"/>
              </w:rPr>
              <w:t xml:space="preserve">An outside agent employed by </w:t>
            </w:r>
            <w:r w:rsidRPr="00E34849">
              <w:rPr>
                <w:rFonts w:cs="Gautami"/>
                <w:noProof/>
                <w:szCs w:val="16"/>
              </w:rPr>
              <w:t>TNSP</w:t>
            </w:r>
            <w:r w:rsidRPr="003B40E2">
              <w:rPr>
                <w:rFonts w:cs="Gautami"/>
                <w:szCs w:val="16"/>
              </w:rPr>
              <w:t xml:space="preserve"> to perform a specific task rather than </w:t>
            </w:r>
            <w:r w:rsidRPr="00E34849">
              <w:rPr>
                <w:rFonts w:cs="Gautami"/>
                <w:noProof/>
                <w:szCs w:val="16"/>
              </w:rPr>
              <w:t>TNSP</w:t>
            </w:r>
            <w:r w:rsidRPr="003B40E2">
              <w:rPr>
                <w:rFonts w:cs="Gautami"/>
                <w:szCs w:val="16"/>
              </w:rPr>
              <w:t xml:space="preserve"> performing the same task in-house, in accordance with a contract entered into with </w:t>
            </w:r>
            <w:r w:rsidRPr="00E34849">
              <w:rPr>
                <w:rFonts w:cs="Gautami"/>
                <w:noProof/>
                <w:szCs w:val="16"/>
              </w:rPr>
              <w:t>TNSP</w:t>
            </w:r>
            <w:r w:rsidRPr="003B40E2">
              <w:rPr>
                <w:rFonts w:cs="Gautami"/>
                <w:szCs w:val="16"/>
              </w:rPr>
              <w:t xml:space="preserve"> usually following a competitive process for the awarding of the right to enter into that contract. A contractor can be either a related party or a non-related party to </w:t>
            </w:r>
            <w:r w:rsidRPr="00E34849">
              <w:rPr>
                <w:rFonts w:cs="Gautami"/>
                <w:noProof/>
                <w:szCs w:val="16"/>
              </w:rPr>
              <w:t>TNSP</w:t>
            </w:r>
            <w:r w:rsidRPr="003B40E2">
              <w:rPr>
                <w:rFonts w:cs="Gautami"/>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Direct Costs</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 xml:space="preserve">Operating or capital expenditure directly attributable to a work activity, project or work order. Consists of in-house costs of direct labour, direct materials and other </w:t>
            </w:r>
            <w:proofErr w:type="gramStart"/>
            <w:r w:rsidRPr="003B40E2">
              <w:rPr>
                <w:rFonts w:ascii="Gautami" w:hAnsi="Gautami" w:cs="Gautami"/>
                <w:color w:val="000000"/>
                <w:sz w:val="16"/>
                <w:szCs w:val="16"/>
              </w:rPr>
              <w:t>attributable</w:t>
            </w:r>
            <w:proofErr w:type="gramEnd"/>
            <w:r w:rsidRPr="003B40E2">
              <w:rPr>
                <w:rFonts w:ascii="Gautami" w:hAnsi="Gautami" w:cs="Gautami"/>
                <w:color w:val="000000"/>
                <w:sz w:val="16"/>
                <w:szCs w:val="16"/>
              </w:rPr>
              <w:t xml:space="preserve"> costs.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color w:val="000000"/>
                <w:sz w:val="16"/>
                <w:szCs w:val="16"/>
              </w:rPr>
              <w:t>Excludes any allocated overhead.</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Direct labour costs</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i/>
                <w:color w:val="000000"/>
                <w:sz w:val="16"/>
                <w:szCs w:val="16"/>
              </w:rPr>
              <w:t>Labour</w:t>
            </w:r>
            <w:r w:rsidRPr="003B40E2">
              <w:rPr>
                <w:rFonts w:ascii="Gautami" w:hAnsi="Gautami" w:cs="Gautami"/>
                <w:color w:val="000000"/>
                <w:sz w:val="16"/>
                <w:szCs w:val="16"/>
              </w:rPr>
              <w:t xml:space="preserve"> </w:t>
            </w:r>
            <w:r w:rsidRPr="003B40E2">
              <w:rPr>
                <w:rFonts w:ascii="Gautami" w:hAnsi="Gautami" w:cs="Gautami"/>
                <w:i/>
                <w:color w:val="000000"/>
                <w:sz w:val="16"/>
                <w:szCs w:val="16"/>
              </w:rPr>
              <w:t>costs</w:t>
            </w:r>
            <w:r w:rsidRPr="003B40E2">
              <w:rPr>
                <w:rFonts w:ascii="Gautami" w:hAnsi="Gautami" w:cs="Gautami"/>
                <w:color w:val="000000"/>
                <w:sz w:val="16"/>
                <w:szCs w:val="16"/>
              </w:rPr>
              <w:t xml:space="preserve"> attributable to a specific asset or service, cost centre, work activity, project or work order</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Direct materials</w:t>
            </w:r>
          </w:p>
        </w:tc>
        <w:tc>
          <w:tcPr>
            <w:tcW w:w="3780" w:type="pct"/>
            <w:tcBorders>
              <w:left w:val="none" w:sz="0" w:space="0" w:color="auto"/>
            </w:tcBorders>
          </w:tcPr>
          <w:p w:rsidR="00AE5FBA" w:rsidRPr="003B40E2" w:rsidRDefault="00AE5FBA" w:rsidP="003B40E2">
            <w:p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Materials are the raw materials, standard parts, specialised parts and sub-assemblies required to assemble or manufacture a network/non-network asset or to provide a network/non-network service. Direct materials costs are attributable to a specific asset or service, cost centre or work order, and exclude materials under external-party contracts.</w:t>
            </w:r>
          </w:p>
          <w:p w:rsidR="00AE5FBA" w:rsidRPr="003B40E2" w:rsidRDefault="00AE5FBA" w:rsidP="003B40E2">
            <w:p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Includes:</w:t>
            </w:r>
          </w:p>
          <w:p w:rsidR="00AE5FBA" w:rsidRPr="003B40E2" w:rsidRDefault="00AE5FBA" w:rsidP="003B40E2">
            <w:pPr>
              <w:pStyle w:val="ListParagraph"/>
              <w:numPr>
                <w:ilvl w:val="0"/>
                <w:numId w:val="4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The cost of scrap</w:t>
            </w:r>
          </w:p>
          <w:p w:rsidR="00AE5FBA" w:rsidRPr="003B40E2" w:rsidRDefault="00AE5FBA" w:rsidP="003B40E2">
            <w:pPr>
              <w:pStyle w:val="ListParagraph"/>
              <w:numPr>
                <w:ilvl w:val="0"/>
                <w:numId w:val="4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Normally anticipated defective units that occur in the ordinary course of the production process</w:t>
            </w:r>
          </w:p>
          <w:p w:rsidR="00AE5FBA" w:rsidRPr="003B40E2" w:rsidRDefault="00AE5FBA" w:rsidP="003B40E2">
            <w:pPr>
              <w:pStyle w:val="ListParagraph"/>
              <w:numPr>
                <w:ilvl w:val="0"/>
                <w:numId w:val="4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Routine quality assurance samples that are tested to destruction</w:t>
            </w:r>
          </w:p>
          <w:p w:rsidR="00AE5FBA" w:rsidRPr="003B40E2" w:rsidRDefault="00AE5FBA" w:rsidP="003B40E2">
            <w:pPr>
              <w:pStyle w:val="ListParagraph"/>
              <w:numPr>
                <w:ilvl w:val="0"/>
                <w:numId w:val="4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The net invoice price paid to vendors to deliver the material quantity to the production facility or to a point of free delivery.</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Direct Network Labour</w:t>
            </w:r>
          </w:p>
        </w:tc>
        <w:tc>
          <w:tcPr>
            <w:tcW w:w="3780" w:type="pct"/>
            <w:tcBorders>
              <w:left w:val="none" w:sz="0" w:space="0" w:color="auto"/>
            </w:tcBorders>
          </w:tcPr>
          <w:p w:rsidR="00AE5FBA" w:rsidRPr="003B40E2" w:rsidRDefault="00AE5FBA" w:rsidP="003B40E2">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sidRPr="003B40E2">
              <w:rPr>
                <w:rFonts w:cs="Gautami"/>
                <w:color w:val="000000" w:themeColor="text1"/>
                <w:szCs w:val="16"/>
              </w:rPr>
              <w:t>Only includes workers who primarily undertaking field work in their job. This includes:</w:t>
            </w:r>
          </w:p>
          <w:p w:rsidR="00AE5FBA" w:rsidRPr="003B40E2" w:rsidRDefault="00AE5FBA" w:rsidP="003B40E2">
            <w:pPr>
              <w:pStyle w:val="AERtabletextleft"/>
              <w:numPr>
                <w:ilvl w:val="0"/>
                <w:numId w:val="55"/>
              </w:numPr>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sidRPr="003B40E2">
              <w:rPr>
                <w:rFonts w:cs="Gautami"/>
                <w:color w:val="000000" w:themeColor="text1"/>
                <w:szCs w:val="16"/>
              </w:rPr>
              <w:t xml:space="preserve"> </w:t>
            </w:r>
            <w:proofErr w:type="gramStart"/>
            <w:r w:rsidRPr="003B40E2">
              <w:rPr>
                <w:rFonts w:cs="Gautami"/>
                <w:color w:val="000000" w:themeColor="text1"/>
                <w:szCs w:val="16"/>
              </w:rPr>
              <w:t>field</w:t>
            </w:r>
            <w:proofErr w:type="gramEnd"/>
            <w:r w:rsidRPr="003B40E2">
              <w:rPr>
                <w:rFonts w:cs="Gautami"/>
                <w:color w:val="000000" w:themeColor="text1"/>
                <w:szCs w:val="16"/>
              </w:rPr>
              <w:t xml:space="preserve"> tradespeople including workers working in filed depots (e.g. fitters and turners and mechanics working in depots). </w:t>
            </w:r>
          </w:p>
          <w:p w:rsidR="00AE5FBA" w:rsidRPr="003B40E2" w:rsidRDefault="00AE5FBA" w:rsidP="007772A8">
            <w:pPr>
              <w:pStyle w:val="AERtabletextleft"/>
              <w:numPr>
                <w:ilvl w:val="0"/>
                <w:numId w:val="55"/>
              </w:numPr>
              <w:cnfStyle w:val="000000010000" w:firstRow="0" w:lastRow="0" w:firstColumn="0" w:lastColumn="0" w:oddVBand="0" w:evenVBand="0" w:oddHBand="0" w:evenHBand="1" w:firstRowFirstColumn="0" w:firstRowLastColumn="0" w:lastRowFirstColumn="0" w:lastRowLastColumn="0"/>
              <w:rPr>
                <w:rFonts w:cs="Gautami"/>
                <w:szCs w:val="16"/>
              </w:rPr>
            </w:pPr>
            <w:r w:rsidRPr="003B40E2">
              <w:rPr>
                <w:rFonts w:cs="Gautami"/>
                <w:color w:val="000000" w:themeColor="text1"/>
                <w:szCs w:val="16"/>
              </w:rPr>
              <w:t xml:space="preserve">Apprentices training for work that would primarily be field work (i.e. irrespective of whether most of their current work or training is not undertaken in the field)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Documents</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Includes correspondence, notices, circulars, memoranda, minutes, notes, reports, contracts or agreements in the possession, power or control of </w:t>
            </w:r>
            <w:r w:rsidRPr="00E34849">
              <w:rPr>
                <w:rFonts w:ascii="Gautami" w:eastAsia="Calibri" w:hAnsi="Gautami" w:cs="Gautami"/>
                <w:noProof/>
                <w:sz w:val="16"/>
                <w:szCs w:val="16"/>
              </w:rPr>
              <w:t>TNSP</w:t>
            </w:r>
            <w:r w:rsidRPr="003B40E2">
              <w:rPr>
                <w:rFonts w:ascii="Gautam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Fire start</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Any fire:</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that starts in and originates from the reporting NSP’s transmission system; 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started by any tree, or part of a tree, which falls or blows in or grows into contact with the reporting NSP’s transmission system; 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started by any person, bird, reptile or other animal coming into contact with the reporting NSP’s transmission system; 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started by lightning striking the reporting NSP’s transmission system; 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started by any other thing forming part of or coming into contact with the reporting NSP’s transmission system; or</w:t>
            </w:r>
          </w:p>
          <w:p w:rsidR="00AE5FBA" w:rsidRPr="00306BBE" w:rsidRDefault="00AE5FBA" w:rsidP="00306BBE">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proofErr w:type="gramStart"/>
            <w:r w:rsidRPr="003B40E2">
              <w:rPr>
                <w:rFonts w:ascii="Gautami" w:hAnsi="Gautami" w:cs="Gautami"/>
                <w:color w:val="000000" w:themeColor="text1"/>
                <w:sz w:val="16"/>
                <w:szCs w:val="16"/>
              </w:rPr>
              <w:t>otherwise</w:t>
            </w:r>
            <w:proofErr w:type="gramEnd"/>
            <w:r w:rsidRPr="003B40E2">
              <w:rPr>
                <w:rFonts w:ascii="Gautami" w:hAnsi="Gautami" w:cs="Gautami"/>
                <w:color w:val="000000" w:themeColor="text1"/>
                <w:sz w:val="16"/>
                <w:szCs w:val="16"/>
              </w:rPr>
              <w:t xml:space="preserve"> started by the reporting NSP’s transmission system.</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Interruption</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An interruption is as defined in the STPIS.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Del="00B84853"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Labour costs</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The costs of:</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bCs/>
                <w:color w:val="000000" w:themeColor="text1"/>
                <w:sz w:val="16"/>
                <w:szCs w:val="16"/>
                <w:u w:val="single"/>
              </w:rPr>
            </w:pPr>
            <w:r w:rsidRPr="003B40E2">
              <w:rPr>
                <w:rFonts w:ascii="Gautami" w:hAnsi="Gautami" w:cs="Gautami"/>
                <w:color w:val="000000" w:themeColor="text1"/>
                <w:sz w:val="16"/>
                <w:szCs w:val="16"/>
              </w:rPr>
              <w:t>Labour hire; and</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bCs/>
                <w:color w:val="000000" w:themeColor="text1"/>
                <w:sz w:val="16"/>
                <w:szCs w:val="16"/>
                <w:u w:val="single"/>
              </w:rPr>
            </w:pPr>
            <w:r w:rsidRPr="003B40E2">
              <w:rPr>
                <w:rFonts w:ascii="Gautami" w:hAnsi="Gautami" w:cs="Gautami"/>
                <w:color w:val="000000" w:themeColor="text1"/>
                <w:sz w:val="16"/>
                <w:szCs w:val="16"/>
              </w:rPr>
              <w:t>Ordinary time earnings; and</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bCs/>
                <w:color w:val="000000" w:themeColor="text1"/>
                <w:sz w:val="16"/>
                <w:szCs w:val="16"/>
                <w:u w:val="single"/>
              </w:rPr>
            </w:pPr>
            <w:r w:rsidRPr="003B40E2">
              <w:rPr>
                <w:rFonts w:ascii="Gautami" w:hAnsi="Gautami" w:cs="Gautami"/>
                <w:color w:val="000000" w:themeColor="text1"/>
                <w:sz w:val="16"/>
                <w:szCs w:val="16"/>
              </w:rPr>
              <w:t>Other earnings, on-costs and taxes; and</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bCs/>
                <w:color w:val="000000" w:themeColor="text1"/>
                <w:sz w:val="16"/>
                <w:szCs w:val="16"/>
                <w:u w:val="single"/>
              </w:rPr>
            </w:pPr>
            <w:r w:rsidRPr="003B40E2">
              <w:rPr>
                <w:rFonts w:ascii="Gautami" w:hAnsi="Gautami" w:cs="Gautami"/>
                <w:color w:val="000000" w:themeColor="text1"/>
                <w:sz w:val="16"/>
                <w:szCs w:val="16"/>
              </w:rPr>
              <w:t>Superannuation.</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i/>
                <w:color w:val="000000" w:themeColor="text1"/>
                <w:sz w:val="16"/>
                <w:szCs w:val="16"/>
              </w:rPr>
              <w:lastRenderedPageBreak/>
              <w:t>Labour hire</w:t>
            </w:r>
            <w:r w:rsidRPr="003B40E2">
              <w:rPr>
                <w:rFonts w:ascii="Gautami" w:hAnsi="Gautami" w:cs="Gautami"/>
                <w:color w:val="000000" w:themeColor="text1"/>
                <w:sz w:val="16"/>
                <w:szCs w:val="16"/>
              </w:rPr>
              <w:t xml:space="preserve"> – means expenditure:</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proofErr w:type="gramStart"/>
            <w:r w:rsidRPr="003B40E2">
              <w:rPr>
                <w:rFonts w:ascii="Gautami" w:hAnsi="Gautami" w:cs="Gautami"/>
                <w:color w:val="000000" w:themeColor="text1"/>
                <w:sz w:val="16"/>
                <w:szCs w:val="16"/>
              </w:rPr>
              <w:t>incurred</w:t>
            </w:r>
            <w:proofErr w:type="gramEnd"/>
            <w:r w:rsidRPr="003B40E2">
              <w:rPr>
                <w:rFonts w:ascii="Gautami" w:hAnsi="Gautami" w:cs="Gautami"/>
                <w:color w:val="000000" w:themeColor="text1"/>
                <w:sz w:val="16"/>
                <w:szCs w:val="16"/>
              </w:rPr>
              <w:t xml:space="preserve"> under labour hire contracts.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Excludes expenditure required under contracts other than labour hire contracts, irrespective of whether or not the contract includes a labour component.</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i/>
                <w:color w:val="000000" w:themeColor="text1"/>
                <w:sz w:val="16"/>
                <w:szCs w:val="16"/>
              </w:rPr>
              <w:t xml:space="preserve">Ordinary time earnings </w:t>
            </w:r>
            <w:r w:rsidRPr="003B40E2">
              <w:rPr>
                <w:rFonts w:ascii="Gautami" w:hAnsi="Gautami" w:cs="Gautami"/>
                <w:color w:val="000000" w:themeColor="text1"/>
                <w:sz w:val="16"/>
                <w:szCs w:val="16"/>
              </w:rPr>
              <w:t>– means expenditure:</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 xml:space="preserve">that was required under contracts of employment with </w:t>
            </w:r>
            <w:r w:rsidRPr="00E34849">
              <w:rPr>
                <w:rFonts w:ascii="Gautami" w:eastAsia="Calibri" w:hAnsi="Gautami" w:cs="Gautami"/>
                <w:noProof/>
                <w:sz w:val="16"/>
                <w:szCs w:val="16"/>
              </w:rPr>
              <w:t>TNSP</w:t>
            </w:r>
            <w:r w:rsidRPr="003B40E2">
              <w:rPr>
                <w:rFonts w:ascii="Gautami" w:hAnsi="Gautami" w:cs="Gautami"/>
                <w:color w:val="000000" w:themeColor="text1"/>
                <w:sz w:val="16"/>
                <w:szCs w:val="16"/>
              </w:rPr>
              <w:t>; and</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proofErr w:type="gramStart"/>
            <w:r w:rsidRPr="003B40E2">
              <w:rPr>
                <w:rFonts w:ascii="Gautami" w:hAnsi="Gautami" w:cs="Gautami"/>
                <w:color w:val="000000" w:themeColor="text1"/>
                <w:sz w:val="16"/>
                <w:szCs w:val="16"/>
              </w:rPr>
              <w:t>which</w:t>
            </w:r>
            <w:proofErr w:type="gramEnd"/>
            <w:r w:rsidRPr="003B40E2">
              <w:rPr>
                <w:rFonts w:ascii="Gautami" w:hAnsi="Gautami" w:cs="Gautami"/>
                <w:color w:val="000000" w:themeColor="text1"/>
                <w:sz w:val="16"/>
                <w:szCs w:val="16"/>
              </w:rPr>
              <w:t xml:space="preserve"> constitutes ordinary time salaries and wages.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Includes expenditure related to full time, part-time, and casual employees.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Includes expenditure related to ongoing and temporary employment contracts.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Excludes expenditure required under contracts other than employment contracts, irrespective of whether or not the contract includes a labour component.</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Excludes overtime, allowances, bonuses and incentive payments, and superannuation contributions.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Excludes payroll tax paid and fringe benefits tax paid.</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i/>
                <w:color w:val="000000" w:themeColor="text1"/>
                <w:sz w:val="16"/>
                <w:szCs w:val="16"/>
              </w:rPr>
              <w:t>Other earnings, on-costs, and taxes</w:t>
            </w:r>
            <w:r w:rsidRPr="003B40E2">
              <w:rPr>
                <w:rFonts w:ascii="Gautami" w:hAnsi="Gautami" w:cs="Gautami"/>
                <w:color w:val="000000" w:themeColor="text1"/>
                <w:sz w:val="16"/>
                <w:szCs w:val="16"/>
              </w:rPr>
              <w:t xml:space="preserve"> – means expenditure:</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 xml:space="preserve">that was  required under contracts of employment with </w:t>
            </w:r>
            <w:r w:rsidRPr="00E34849">
              <w:rPr>
                <w:rFonts w:ascii="Gautami" w:eastAsia="Calibri" w:hAnsi="Gautami" w:cs="Gautami"/>
                <w:noProof/>
                <w:sz w:val="16"/>
                <w:szCs w:val="16"/>
              </w:rPr>
              <w:t>TNSP</w:t>
            </w:r>
            <w:r w:rsidRPr="003B40E2">
              <w:rPr>
                <w:rFonts w:ascii="Gautami" w:hAnsi="Gautami" w:cs="Gautami"/>
                <w:color w:val="000000" w:themeColor="text1"/>
                <w:sz w:val="16"/>
                <w:szCs w:val="16"/>
              </w:rPr>
              <w:t>; and</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which does not constitute employer superannuation contributions; and</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which constitutes:</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overtime;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staff allowances, including allowances for expenses incurred (e.g. meal allowances) and allowances for nature of work performed (e.g. special skills allowance, or living away from home allowance);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bonuses, incentive payments, and awards;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benefits in kind and corresponding compensation payments (e.g. housing, electricity or gas subsidies);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termination and redundancy payments;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workers compensation;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purchase of protective clothing for use by employees;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training and study assistance provided to employees; and/or</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 xml:space="preserve">taxes (payroll tax, fringe benefits </w:t>
            </w:r>
            <w:proofErr w:type="spellStart"/>
            <w:r w:rsidRPr="003B40E2">
              <w:rPr>
                <w:rFonts w:ascii="Gautami" w:hAnsi="Gautami" w:cs="Gautami"/>
                <w:color w:val="000000" w:themeColor="text1"/>
                <w:sz w:val="16"/>
                <w:szCs w:val="16"/>
              </w:rPr>
              <w:t>etc</w:t>
            </w:r>
            <w:proofErr w:type="spellEnd"/>
            <w:r w:rsidRPr="003B40E2">
              <w:rPr>
                <w:rFonts w:ascii="Gautami" w:hAnsi="Gautami" w:cs="Gautami"/>
                <w:color w:val="000000" w:themeColor="text1"/>
                <w:sz w:val="16"/>
                <w:szCs w:val="16"/>
              </w:rPr>
              <w:t>)</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Includes expenditure related to full time, part-time, and casual employees.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Includes expenditure related to ongoing and temporary employment contracts.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Excludes expenditure required under contracts other than employment contracts, irrespective of whether or not the contract includes a labour component.</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i/>
                <w:color w:val="000000" w:themeColor="text1"/>
                <w:sz w:val="16"/>
                <w:szCs w:val="16"/>
              </w:rPr>
              <w:t>Superannuation</w:t>
            </w:r>
            <w:r w:rsidRPr="003B40E2">
              <w:rPr>
                <w:rFonts w:ascii="Gautami" w:hAnsi="Gautami" w:cs="Gautami"/>
                <w:color w:val="000000" w:themeColor="text1"/>
                <w:sz w:val="16"/>
                <w:szCs w:val="16"/>
              </w:rPr>
              <w:t xml:space="preserve"> – means expenditure:</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 xml:space="preserve">that was  required under contracts of employment with </w:t>
            </w:r>
            <w:r w:rsidRPr="00E34849">
              <w:rPr>
                <w:rFonts w:ascii="Gautami" w:eastAsia="Calibri" w:hAnsi="Gautami" w:cs="Gautami"/>
                <w:noProof/>
                <w:sz w:val="16"/>
                <w:szCs w:val="16"/>
              </w:rPr>
              <w:t>TNSP</w:t>
            </w:r>
            <w:r w:rsidRPr="003B40E2">
              <w:rPr>
                <w:rFonts w:ascii="Gautami" w:hAnsi="Gautami" w:cs="Gautami"/>
                <w:color w:val="000000" w:themeColor="text1"/>
                <w:sz w:val="16"/>
                <w:szCs w:val="16"/>
              </w:rPr>
              <w:t>; and</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which constitutes:</w:t>
            </w:r>
          </w:p>
          <w:p w:rsidR="00AE5FBA" w:rsidRPr="003B40E2" w:rsidRDefault="00AE5FBA" w:rsidP="003B40E2">
            <w:pPr>
              <w:numPr>
                <w:ilvl w:val="0"/>
                <w:numId w:val="41"/>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proofErr w:type="gramStart"/>
            <w:r w:rsidRPr="003B40E2">
              <w:rPr>
                <w:rFonts w:ascii="Gautami" w:hAnsi="Gautami" w:cs="Gautami"/>
                <w:color w:val="000000" w:themeColor="text1"/>
                <w:sz w:val="16"/>
                <w:szCs w:val="16"/>
              </w:rPr>
              <w:t>employer</w:t>
            </w:r>
            <w:proofErr w:type="gramEnd"/>
            <w:r w:rsidRPr="003B40E2">
              <w:rPr>
                <w:rFonts w:ascii="Gautami" w:hAnsi="Gautami" w:cs="Gautami"/>
                <w:color w:val="000000" w:themeColor="text1"/>
                <w:sz w:val="16"/>
                <w:szCs w:val="16"/>
              </w:rPr>
              <w:t xml:space="preserve"> superannuation contributions. </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Includes expenditure related to full time, part-time, and casual employees.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3B40E2">
              <w:rPr>
                <w:rFonts w:ascii="Gautami" w:hAnsi="Gautami" w:cs="Gautami"/>
                <w:color w:val="000000" w:themeColor="text1"/>
                <w:sz w:val="16"/>
                <w:szCs w:val="16"/>
              </w:rPr>
              <w:t>Includes expenditure related to ongoing and temporary employment contracts.</w:t>
            </w:r>
          </w:p>
          <w:p w:rsidR="00AE5FBA" w:rsidRPr="003B40E2" w:rsidDel="00235541"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color w:val="000000" w:themeColor="text1"/>
                <w:sz w:val="16"/>
                <w:szCs w:val="16"/>
              </w:rPr>
              <w:t>Excludes expenditure required under contracts other than employment contracts, irrespective of whether or not the contract includes a labour component.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lastRenderedPageBreak/>
              <w:t xml:space="preserve">Labour Classification Level </w:t>
            </w:r>
            <w:r w:rsidRPr="003B40E2">
              <w:rPr>
                <w:rFonts w:ascii="Gautami" w:hAnsi="Gautami" w:cs="Gautami"/>
                <w:b w:val="0"/>
                <w:i/>
                <w:color w:val="000000" w:themeColor="text1"/>
                <w:sz w:val="16"/>
                <w:szCs w:val="16"/>
              </w:rPr>
              <w:lastRenderedPageBreak/>
              <w:t>– Executive manager</w:t>
            </w:r>
          </w:p>
        </w:tc>
        <w:tc>
          <w:tcPr>
            <w:tcW w:w="3780" w:type="pct"/>
            <w:tcBorders>
              <w:left w:val="none" w:sz="0" w:space="0" w:color="auto"/>
            </w:tcBorders>
          </w:tcPr>
          <w:p w:rsidR="00AE5FBA" w:rsidRPr="003B40E2" w:rsidRDefault="00AE5FBA" w:rsidP="001E2BE3">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lastRenderedPageBreak/>
              <w:t xml:space="preserve">A manager responsible for managing multiple senior managers. NSPs typically may have one </w:t>
            </w:r>
            <w:r w:rsidRPr="003B40E2">
              <w:rPr>
                <w:rFonts w:ascii="Gautami" w:hAnsi="Gautami" w:cs="Gautami"/>
                <w:sz w:val="16"/>
                <w:szCs w:val="16"/>
              </w:rPr>
              <w:lastRenderedPageBreak/>
              <w:t>or more executive managers in areas such as CEO, HR, Finance &amp; Treasury, Legal, Corporate and Network Operations.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lastRenderedPageBreak/>
              <w:t>Labour Classification Level – Senior Manager</w:t>
            </w:r>
          </w:p>
        </w:tc>
        <w:tc>
          <w:tcPr>
            <w:tcW w:w="3780" w:type="pct"/>
            <w:tcBorders>
              <w:left w:val="none" w:sz="0" w:space="0" w:color="auto"/>
            </w:tcBorders>
          </w:tcPr>
          <w:p w:rsidR="00AE5FBA" w:rsidRPr="003B40E2" w:rsidRDefault="00AE5FBA" w:rsidP="001E2BE3">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 xml:space="preserve">A manager responsible for managing multiple managers who each manage work teams and projects within the organisation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Labour Classification Level - Manager</w:t>
            </w:r>
          </w:p>
        </w:tc>
        <w:tc>
          <w:tcPr>
            <w:tcW w:w="3780" w:type="pct"/>
            <w:tcBorders>
              <w:left w:val="none" w:sz="0" w:space="0" w:color="auto"/>
            </w:tcBorders>
          </w:tcPr>
          <w:p w:rsidR="00AE5FBA" w:rsidRPr="003B40E2" w:rsidRDefault="00AE5FBA" w:rsidP="001E2BE3">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 xml:space="preserve">A manager responsible for managing up to full project teams of staff   </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Labour Classification Level - Professional</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Professional workers who do not have a primary role as staff managers. These may include lawyers, accountants, economists etc.</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Labour Classification Level – Semi professional</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 xml:space="preserve">Workers with some specialist training supporting fully trained professionals (e.g. draftsperson, bookkeeper </w:t>
            </w:r>
            <w:proofErr w:type="spellStart"/>
            <w:r w:rsidRPr="003B40E2">
              <w:rPr>
                <w:rFonts w:ascii="Gautami" w:hAnsi="Gautami" w:cs="Gautami"/>
                <w:sz w:val="16"/>
                <w:szCs w:val="16"/>
              </w:rPr>
              <w:t>etc</w:t>
            </w:r>
            <w:proofErr w:type="spellEnd"/>
            <w:r w:rsidRPr="003B40E2">
              <w:rPr>
                <w:rFonts w:ascii="Gautam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Labour Classification Level – Support staff</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Non-professional sup</w:t>
            </w:r>
            <w:r>
              <w:rPr>
                <w:rFonts w:ascii="Gautami" w:hAnsi="Gautami" w:cs="Gautami"/>
                <w:sz w:val="16"/>
                <w:szCs w:val="16"/>
              </w:rPr>
              <w:t>port staff not undertaking field</w:t>
            </w:r>
            <w:r w:rsidRPr="003B40E2">
              <w:rPr>
                <w:rFonts w:ascii="Gautami" w:hAnsi="Gautami" w:cs="Gautami"/>
                <w:sz w:val="16"/>
                <w:szCs w:val="16"/>
              </w:rPr>
              <w:t xml:space="preserve"> work (e.g. clerical support, secretaries)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Labour Classification Level – intern, junior staff, non-field work apprentice</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 xml:space="preserve">Interns, junior staff and apprentices undertaking non field work. All apprentices undertaking or training to undertake field work should be reported under </w:t>
            </w:r>
            <w:r w:rsidRPr="003B40E2">
              <w:rPr>
                <w:rFonts w:ascii="Gautami" w:hAnsi="Gautami" w:cs="Gautami"/>
                <w:i/>
                <w:sz w:val="16"/>
                <w:szCs w:val="16"/>
              </w:rPr>
              <w:t>Labour Classification Level - Apprentice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Labour Classification Level – Skilled electrical worker </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Fully qualified/trained electrical workers. This will include line workers, cable jointers, electrical technicians and electricians who have completed an apprenticeship.</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Labour Classification Level – Skilled non electrical worker</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 xml:space="preserve">Skilled non electrical worker employed for their skill set.   Examples are tradesmen who have completed an apprenticeship such as carpenters, mechanic, painters and </w:t>
            </w:r>
            <w:proofErr w:type="spellStart"/>
            <w:r w:rsidRPr="003B40E2">
              <w:rPr>
                <w:rFonts w:ascii="Gautami" w:hAnsi="Gautami" w:cs="Gautami"/>
                <w:sz w:val="16"/>
                <w:szCs w:val="16"/>
              </w:rPr>
              <w:t>arborists</w:t>
            </w:r>
            <w:proofErr w:type="spellEnd"/>
            <w:r w:rsidRPr="003B40E2">
              <w:rPr>
                <w:rFonts w:ascii="Gautam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Labour Classification Level - Apprentice </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 xml:space="preserve">A field worker employed as part of a government accredited apprenticeship program. This includes all apprentices who will not primarily be working in offices once fully trained (e.g. apprentices training to become electrical workers, fitters and turners, plumbers, painters, mechanics and </w:t>
            </w:r>
            <w:proofErr w:type="spellStart"/>
            <w:r w:rsidRPr="003B40E2">
              <w:rPr>
                <w:rFonts w:ascii="Gautami" w:hAnsi="Gautami" w:cs="Gautami"/>
                <w:sz w:val="16"/>
                <w:szCs w:val="16"/>
              </w:rPr>
              <w:t>ar</w:t>
            </w:r>
            <w:r>
              <w:rPr>
                <w:rFonts w:ascii="Gautami" w:hAnsi="Gautami" w:cs="Gautami"/>
                <w:sz w:val="16"/>
                <w:szCs w:val="16"/>
              </w:rPr>
              <w:t>b</w:t>
            </w:r>
            <w:r w:rsidRPr="003B40E2">
              <w:rPr>
                <w:rFonts w:ascii="Gautami" w:hAnsi="Gautami" w:cs="Gautami"/>
                <w:sz w:val="16"/>
                <w:szCs w:val="16"/>
              </w:rPr>
              <w:t>orists</w:t>
            </w:r>
            <w:proofErr w:type="spellEnd"/>
            <w:r w:rsidRPr="003B40E2">
              <w:rPr>
                <w:rFonts w:ascii="Gautami" w:hAnsi="Gautami" w:cs="Gautami"/>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Labour Classification Level – unskilled worker</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sz w:val="16"/>
                <w:szCs w:val="16"/>
              </w:rPr>
              <w:t xml:space="preserve">Field workers with limited specialist training. This includes workers who have completed short courses with no other qualifications (e.g. labourer, </w:t>
            </w:r>
            <w:proofErr w:type="spellStart"/>
            <w:r w:rsidRPr="003B40E2">
              <w:rPr>
                <w:rFonts w:ascii="Gautami" w:hAnsi="Gautami" w:cs="Gautami"/>
                <w:sz w:val="16"/>
                <w:szCs w:val="16"/>
              </w:rPr>
              <w:t>arborist</w:t>
            </w:r>
            <w:r>
              <w:rPr>
                <w:rFonts w:ascii="Gautami" w:hAnsi="Gautami" w:cs="Gautami"/>
                <w:sz w:val="16"/>
                <w:szCs w:val="16"/>
              </w:rPr>
              <w:t>’</w:t>
            </w:r>
            <w:r w:rsidRPr="003B40E2">
              <w:rPr>
                <w:rFonts w:ascii="Gautami" w:hAnsi="Gautami" w:cs="Gautami"/>
                <w:sz w:val="16"/>
                <w:szCs w:val="16"/>
              </w:rPr>
              <w:t>s</w:t>
            </w:r>
            <w:proofErr w:type="spellEnd"/>
            <w:r w:rsidRPr="003B40E2">
              <w:rPr>
                <w:rFonts w:ascii="Gautami" w:hAnsi="Gautami" w:cs="Gautami"/>
                <w:sz w:val="16"/>
                <w:szCs w:val="16"/>
              </w:rPr>
              <w:t xml:space="preserve"> assistant, traffic controller, meter reader)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Material Project</w:t>
            </w:r>
          </w:p>
          <w:p w:rsidR="00AE5FBA" w:rsidRPr="003B40E2" w:rsidDel="00B84853" w:rsidRDefault="00AE5FBA" w:rsidP="003B40E2">
            <w:pPr>
              <w:spacing w:before="80" w:after="120"/>
              <w:rPr>
                <w:rFonts w:ascii="Gautami" w:eastAsia="Calibri" w:hAnsi="Gautami" w:cs="Gautami"/>
                <w:b w:val="0"/>
                <w:i/>
                <w:sz w:val="16"/>
                <w:szCs w:val="16"/>
              </w:rPr>
            </w:pP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A Project that relates to one or more Capex Categories  and which over the life of the works exceeds:</w:t>
            </w:r>
          </w:p>
          <w:p w:rsidR="00AE5FBA" w:rsidRPr="003B40E2" w:rsidRDefault="00AE5FBA" w:rsidP="003B40E2">
            <w:pPr>
              <w:numPr>
                <w:ilvl w:val="0"/>
                <w:numId w:val="46"/>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$2 million (</w:t>
            </w:r>
            <w:r>
              <w:rPr>
                <w:rFonts w:ascii="Gautami" w:hAnsi="Gautami" w:cs="Gautami"/>
                <w:color w:val="000000"/>
                <w:sz w:val="16"/>
                <w:szCs w:val="16"/>
              </w:rPr>
              <w:t>nominal</w:t>
            </w:r>
            <w:r w:rsidRPr="003B40E2">
              <w:rPr>
                <w:rFonts w:ascii="Gautami" w:hAnsi="Gautami" w:cs="Gautami"/>
                <w:color w:val="000000"/>
                <w:sz w:val="16"/>
                <w:szCs w:val="16"/>
              </w:rPr>
              <w:t>) in the case of a project which relates to non-network categories; or</w:t>
            </w:r>
          </w:p>
          <w:p w:rsidR="00AE5FBA" w:rsidRPr="003B40E2" w:rsidDel="00235541" w:rsidRDefault="00AE5FBA" w:rsidP="00C04808">
            <w:pPr>
              <w:numPr>
                <w:ilvl w:val="0"/>
                <w:numId w:val="46"/>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color w:val="000000"/>
                <w:sz w:val="16"/>
                <w:szCs w:val="16"/>
              </w:rPr>
              <w:t>$5 million (</w:t>
            </w:r>
            <w:r>
              <w:rPr>
                <w:rFonts w:ascii="Gautami" w:hAnsi="Gautami" w:cs="Gautami"/>
                <w:color w:val="000000"/>
                <w:sz w:val="16"/>
                <w:szCs w:val="16"/>
              </w:rPr>
              <w:t>nominal</w:t>
            </w:r>
            <w:r w:rsidRPr="003B40E2">
              <w:rPr>
                <w:rFonts w:ascii="Gautami" w:hAnsi="Gautami" w:cs="Gautami"/>
                <w:color w:val="000000"/>
                <w:sz w:val="16"/>
                <w:szCs w:val="16"/>
              </w:rPr>
              <w:t>) in the case of all other projects.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Del="00B84853"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Negotiated transmission services</w:t>
            </w:r>
          </w:p>
        </w:tc>
        <w:tc>
          <w:tcPr>
            <w:tcW w:w="3780" w:type="pct"/>
            <w:tcBorders>
              <w:left w:val="none" w:sz="0" w:space="0" w:color="auto"/>
            </w:tcBorders>
          </w:tcPr>
          <w:p w:rsidR="00AE5FBA" w:rsidRPr="003B40E2" w:rsidDel="00235541"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color w:val="000000"/>
                <w:sz w:val="16"/>
                <w:szCs w:val="16"/>
              </w:rPr>
              <w:t xml:space="preserve">Has the meaning prescribed in the National Electricity </w:t>
            </w:r>
            <w:proofErr w:type="gramStart"/>
            <w:r w:rsidRPr="003B40E2">
              <w:rPr>
                <w:rFonts w:ascii="Gautami" w:hAnsi="Gautami" w:cs="Gautami"/>
                <w:color w:val="000000"/>
                <w:sz w:val="16"/>
                <w:szCs w:val="16"/>
              </w:rPr>
              <w:t>Rules.</w:t>
            </w:r>
            <w:proofErr w:type="gramEnd"/>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NEL</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National Electricity Law - means the National Electricity Law set out in schedule to the National Electricity Rules (South Australia) Act 1996.</w:t>
            </w:r>
          </w:p>
        </w:tc>
      </w:tr>
      <w:tr w:rsidR="00AE5FBA" w:rsidRPr="00A329E7" w:rsidTr="00BC2EA4">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NER</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National Electricity Rules - means the Rules, as defined in the National Electricity Law.</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Non-financial Information</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Information that is not measured in monetary terms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20"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Non-productive </w:t>
            </w:r>
            <w:r>
              <w:rPr>
                <w:rFonts w:ascii="Gautami" w:hAnsi="Gautami" w:cs="Gautami"/>
                <w:b w:val="0"/>
                <w:i/>
                <w:color w:val="000000" w:themeColor="text1"/>
                <w:sz w:val="16"/>
                <w:szCs w:val="16"/>
              </w:rPr>
              <w:t xml:space="preserve">work </w:t>
            </w:r>
            <w:r w:rsidRPr="003B40E2">
              <w:rPr>
                <w:rFonts w:ascii="Gautami" w:hAnsi="Gautami" w:cs="Gautami"/>
                <w:b w:val="0"/>
                <w:i/>
                <w:color w:val="000000" w:themeColor="text1"/>
                <w:sz w:val="16"/>
                <w:szCs w:val="16"/>
              </w:rPr>
              <w:t xml:space="preserve">hours </w:t>
            </w:r>
          </w:p>
        </w:tc>
        <w:tc>
          <w:tcPr>
            <w:tcW w:w="3780"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F2CCF">
              <w:rPr>
                <w:rFonts w:ascii="Gautami" w:eastAsia="Calibri" w:hAnsi="Gautami" w:cs="Gautami"/>
                <w:sz w:val="16"/>
                <w:szCs w:val="16"/>
              </w:rPr>
              <w:t xml:space="preserve">Work hours that are non-productive work hours such as annual leave; sick </w:t>
            </w:r>
            <w:proofErr w:type="gramStart"/>
            <w:r w:rsidRPr="00AF2CCF">
              <w:rPr>
                <w:rFonts w:ascii="Gautami" w:eastAsia="Calibri" w:hAnsi="Gautami" w:cs="Gautami"/>
                <w:sz w:val="16"/>
                <w:szCs w:val="16"/>
              </w:rPr>
              <w:t>leave ,training</w:t>
            </w:r>
            <w:proofErr w:type="gramEnd"/>
            <w:r w:rsidRPr="00AF2CCF">
              <w:rPr>
                <w:rFonts w:ascii="Gautami" w:eastAsia="Calibri" w:hAnsi="Gautami" w:cs="Gautami"/>
                <w:sz w:val="16"/>
                <w:szCs w:val="16"/>
              </w:rPr>
              <w:t xml:space="preserve"> course and sessions (that are more than supervised on the job training, mentoring and normal employee feedback and development) and other non-productive work hours. For avoidance of doubt, time apprentices spend in trade school/formal training not performing their substantive job would be </w:t>
            </w:r>
            <w:r w:rsidRPr="00AF2CCF">
              <w:rPr>
                <w:rFonts w:ascii="Gautami" w:eastAsia="Calibri" w:hAnsi="Gautami" w:cs="Gautami"/>
                <w:i/>
                <w:sz w:val="16"/>
                <w:szCs w:val="16"/>
              </w:rPr>
              <w:t>Non-productive work hours</w:t>
            </w:r>
            <w:r w:rsidRPr="00AF2CCF">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Notice</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regulatory information notice to which this document is an appendix.</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Opex</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Operating expenditure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Opex Category</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Operating expenditure associated with the following categories:</w:t>
            </w:r>
          </w:p>
          <w:p w:rsidR="00AE5FBA" w:rsidRPr="003B40E2" w:rsidRDefault="00AE5FBA" w:rsidP="003B40E2">
            <w:pPr>
              <w:pStyle w:val="ListParagraph"/>
              <w:numPr>
                <w:ilvl w:val="0"/>
                <w:numId w:val="45"/>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Non-network expenditure</w:t>
            </w:r>
          </w:p>
          <w:p w:rsidR="00AE5FBA" w:rsidRPr="003B40E2" w:rsidRDefault="00AE5FBA" w:rsidP="003B40E2">
            <w:pPr>
              <w:pStyle w:val="ListParagraph"/>
              <w:numPr>
                <w:ilvl w:val="0"/>
                <w:numId w:val="45"/>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Vegetation management;</w:t>
            </w:r>
          </w:p>
          <w:p w:rsidR="00AE5FBA" w:rsidRPr="003B40E2" w:rsidRDefault="00AE5FBA" w:rsidP="003B40E2">
            <w:pPr>
              <w:pStyle w:val="ListParagraph"/>
              <w:numPr>
                <w:ilvl w:val="0"/>
                <w:numId w:val="45"/>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Maintenance;</w:t>
            </w:r>
          </w:p>
          <w:p w:rsidR="00AE5FBA" w:rsidRPr="003B40E2" w:rsidRDefault="00AE5FBA" w:rsidP="003B40E2">
            <w:pPr>
              <w:pStyle w:val="ListParagraph"/>
              <w:numPr>
                <w:ilvl w:val="0"/>
                <w:numId w:val="45"/>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Overheads.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Paid FTE</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The number of full-time equivalent employees receiving salary or wages by the organisation at the end of a pay period. </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Part-time employees are converted to full-time equivalent. </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Includes:</w:t>
            </w:r>
          </w:p>
          <w:p w:rsidR="00AE5FBA" w:rsidRPr="003B40E2" w:rsidRDefault="00AE5FBA" w:rsidP="003B40E2">
            <w:pPr>
              <w:pStyle w:val="ListParagraph"/>
              <w:numPr>
                <w:ilvl w:val="0"/>
                <w:numId w:val="45"/>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eastAsiaTheme="minorHAnsi" w:hAnsi="Gautami" w:cs="Gautami"/>
                <w:sz w:val="16"/>
                <w:szCs w:val="16"/>
                <w:lang w:eastAsia="en-US"/>
              </w:rPr>
            </w:pPr>
            <w:r w:rsidRPr="003B40E2">
              <w:rPr>
                <w:rFonts w:ascii="Gautami" w:hAnsi="Gautami" w:cs="Gautami"/>
                <w:sz w:val="16"/>
                <w:szCs w:val="16"/>
              </w:rPr>
              <w:t>all active full-time and part-time, ongoing and non-ongoing employees engaged for a specified term or task paid through payroll (part-time employees are converted to full-time equivalent based on the hours they work)</w:t>
            </w:r>
          </w:p>
          <w:p w:rsidR="00AE5FBA" w:rsidRPr="003B40E2" w:rsidRDefault="00AE5FBA" w:rsidP="003B40E2">
            <w:pPr>
              <w:pStyle w:val="ListParagraph"/>
              <w:numPr>
                <w:ilvl w:val="0"/>
                <w:numId w:val="45"/>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eastAsiaTheme="minorHAnsi" w:hAnsi="Gautami" w:cs="Gautami"/>
                <w:sz w:val="16"/>
                <w:szCs w:val="16"/>
                <w:lang w:eastAsia="en-US"/>
              </w:rPr>
            </w:pPr>
            <w:r w:rsidRPr="003B40E2">
              <w:rPr>
                <w:rFonts w:ascii="Gautami" w:hAnsi="Gautami" w:cs="Gautami"/>
                <w:sz w:val="16"/>
                <w:szCs w:val="16"/>
              </w:rPr>
              <w:t>workers engaged under labour hire contracts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Excludes:</w:t>
            </w:r>
          </w:p>
          <w:p w:rsidR="00AE5FBA" w:rsidRPr="003B40E2" w:rsidRDefault="00AE5FBA" w:rsidP="003B40E2">
            <w:pPr>
              <w:pStyle w:val="ListParagraph"/>
              <w:numPr>
                <w:ilvl w:val="0"/>
                <w:numId w:val="45"/>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eastAsiaTheme="minorHAnsi" w:hAnsi="Gautami" w:cs="Gautami"/>
                <w:sz w:val="16"/>
                <w:szCs w:val="16"/>
                <w:lang w:eastAsia="en-US"/>
              </w:rPr>
            </w:pPr>
            <w:r w:rsidRPr="003B40E2">
              <w:rPr>
                <w:rFonts w:ascii="Gautami" w:hAnsi="Gautami" w:cs="Gautami"/>
                <w:sz w:val="16"/>
                <w:szCs w:val="16"/>
              </w:rPr>
              <w:t>Overtime.</w:t>
            </w:r>
          </w:p>
          <w:p w:rsidR="00AE5FBA" w:rsidRPr="003B40E2" w:rsidRDefault="00AE5FBA" w:rsidP="00F83AFE">
            <w:pPr>
              <w:pStyle w:val="ListParagraph"/>
              <w:numPr>
                <w:ilvl w:val="0"/>
                <w:numId w:val="45"/>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Employees on unpaid leave.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Prescribed  transmission services </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roofErr w:type="gramStart"/>
            <w:r w:rsidRPr="003B40E2">
              <w:rPr>
                <w:rFonts w:ascii="Gautami" w:hAnsi="Gautami" w:cs="Gautami"/>
                <w:sz w:val="16"/>
                <w:szCs w:val="16"/>
              </w:rPr>
              <w:t>Prescribed transmission services has</w:t>
            </w:r>
            <w:proofErr w:type="gramEnd"/>
            <w:r w:rsidRPr="003B40E2">
              <w:rPr>
                <w:rFonts w:ascii="Gautami" w:hAnsi="Gautami" w:cs="Gautami"/>
                <w:sz w:val="16"/>
                <w:szCs w:val="16"/>
              </w:rPr>
              <w:t xml:space="preserve"> the meaning set out in the Chapter 6A of the NER.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Primary driver</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The factor or cause leading directly to a decision to incur capex, categorised by the expenditure categories.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AE5FBA" w:rsidRPr="003B40E2" w:rsidRDefault="00AE5FBA" w:rsidP="003B40E2">
            <w:pPr>
              <w:spacing w:before="80" w:after="120"/>
              <w:rPr>
                <w:rFonts w:ascii="Gautami" w:eastAsia="Calibri" w:hAnsi="Gautami" w:cs="Gautami"/>
                <w:b w:val="0"/>
                <w:i/>
                <w:sz w:val="16"/>
                <w:szCs w:val="16"/>
              </w:rPr>
            </w:pPr>
            <w:r w:rsidRPr="005163B6">
              <w:rPr>
                <w:rFonts w:ascii="Gautami" w:eastAsia="Calibri" w:hAnsi="Gautami" w:cs="Gautami"/>
                <w:b w:val="0"/>
                <w:i/>
                <w:sz w:val="16"/>
                <w:szCs w:val="16"/>
              </w:rPr>
              <w:t>Productive work hours</w:t>
            </w:r>
          </w:p>
        </w:tc>
        <w:tc>
          <w:tcPr>
            <w:tcW w:w="3780" w:type="pct"/>
          </w:tcPr>
          <w:p w:rsidR="00AE5FBA" w:rsidRDefault="00AE5FBA" w:rsidP="00F8272D">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color w:val="000000" w:themeColor="text1"/>
                <w:szCs w:val="16"/>
              </w:rPr>
              <w:t xml:space="preserve">Hours worked undertaking the employee/labour hire person’s substantive job. This does not include </w:t>
            </w:r>
            <w:r>
              <w:rPr>
                <w:rFonts w:cs="Gautami"/>
                <w:i/>
                <w:color w:val="000000" w:themeColor="text1"/>
                <w:szCs w:val="16"/>
              </w:rPr>
              <w:t>N</w:t>
            </w:r>
            <w:r w:rsidRPr="000E3166">
              <w:rPr>
                <w:rFonts w:cs="Gautami"/>
                <w:i/>
                <w:color w:val="000000" w:themeColor="text1"/>
                <w:szCs w:val="16"/>
              </w:rPr>
              <w:t>on-productive work hours</w:t>
            </w:r>
            <w:r>
              <w:rPr>
                <w:rFonts w:cs="Gautami"/>
                <w:color w:val="000000" w:themeColor="text1"/>
                <w:szCs w:val="16"/>
              </w:rPr>
              <w:t>. Productive hours include:</w:t>
            </w:r>
          </w:p>
          <w:p w:rsidR="00AE5FBA" w:rsidRDefault="00AE5FBA" w:rsidP="001B07BD">
            <w:pPr>
              <w:pStyle w:val="AERtabletextleft"/>
              <w:numPr>
                <w:ilvl w:val="0"/>
                <w:numId w:val="63"/>
              </w:numPr>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color w:val="000000" w:themeColor="text1"/>
                <w:szCs w:val="16"/>
              </w:rPr>
              <w:t>Supervised on the job training including supervision of apprentices, mentoring and normal employee feedback and development.</w:t>
            </w:r>
          </w:p>
          <w:p w:rsidR="00AE5FBA" w:rsidRPr="003B40E2" w:rsidRDefault="00AE5FBA" w:rsidP="007772A8">
            <w:pPr>
              <w:pStyle w:val="AERtabletextleft"/>
              <w:numPr>
                <w:ilvl w:val="0"/>
                <w:numId w:val="63"/>
              </w:numPr>
              <w:cnfStyle w:val="000000010000" w:firstRow="0" w:lastRow="0" w:firstColumn="0" w:lastColumn="0" w:oddVBand="0" w:evenVBand="0" w:oddHBand="0" w:evenHBand="1" w:firstRowFirstColumn="0" w:firstRowLastColumn="0" w:lastRowFirstColumn="0" w:lastRowLastColumn="0"/>
              <w:rPr>
                <w:rFonts w:cs="Gautami"/>
                <w:szCs w:val="16"/>
              </w:rPr>
            </w:pPr>
            <w:r w:rsidRPr="00FF4716">
              <w:rPr>
                <w:rFonts w:cs="Gautami"/>
                <w:color w:val="000000" w:themeColor="text1"/>
                <w:szCs w:val="16"/>
              </w:rPr>
              <w:t>All normal work involved in undertaking the person’s substantive job including time spent on meetings and travel between different work areas.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Program </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A mix of capex or opex projects directed at the same purpose.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Regulatory Accounting Statements</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financial reports revealing the performance and financial situation of </w:t>
            </w:r>
            <w:r w:rsidRPr="00E34849">
              <w:rPr>
                <w:rFonts w:ascii="Gautami" w:eastAsia="Calibri" w:hAnsi="Gautami" w:cs="Gautami"/>
                <w:noProof/>
                <w:sz w:val="16"/>
                <w:szCs w:val="16"/>
              </w:rPr>
              <w:t>TNSP</w:t>
            </w:r>
            <w:r w:rsidRPr="003B40E2">
              <w:rPr>
                <w:rFonts w:ascii="Gautami" w:eastAsia="Calibri" w:hAnsi="Gautami" w:cs="Gautami"/>
                <w:sz w:val="16"/>
                <w:szCs w:val="16"/>
              </w:rPr>
              <w:t>. They show the originating statutory account amount, its translation into a regulatory account amount and its disaggregation between the different categories of transmission services that it provides.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Regulatory obligations or requirements</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Regulatory template </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Refers to spreadsheet in the Microsoft Excel workbooks at Appendix A to this Notice.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Related Party</w:t>
            </w:r>
          </w:p>
          <w:p w:rsidR="00AE5FBA" w:rsidRPr="003B40E2" w:rsidRDefault="00AE5FBA" w:rsidP="003B40E2">
            <w:pPr>
              <w:spacing w:before="80" w:after="120"/>
              <w:rPr>
                <w:rFonts w:ascii="Gautami" w:eastAsia="Calibri" w:hAnsi="Gautami" w:cs="Gautami"/>
                <w:b w:val="0"/>
                <w:i/>
                <w:sz w:val="16"/>
                <w:szCs w:val="16"/>
              </w:rPr>
            </w:pP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In relation to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 </w:t>
            </w:r>
            <w:r w:rsidRPr="003B40E2">
              <w:rPr>
                <w:rFonts w:ascii="Gautami" w:hAnsi="Gautami" w:cs="Gautami"/>
                <w:sz w:val="16"/>
                <w:szCs w:val="16"/>
              </w:rPr>
              <w:t xml:space="preserve">any other entity that: </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(a) had, has or is expected to have control or significant influence over </w:t>
            </w:r>
            <w:r w:rsidRPr="00E34849">
              <w:rPr>
                <w:rFonts w:ascii="Gautami" w:eastAsia="Calibri" w:hAnsi="Gautami" w:cs="Gautami"/>
                <w:noProof/>
                <w:sz w:val="16"/>
                <w:szCs w:val="16"/>
              </w:rPr>
              <w:t>TNSP</w:t>
            </w:r>
            <w:r w:rsidRPr="003B40E2">
              <w:rPr>
                <w:rFonts w:ascii="Gautami" w:eastAsia="Calibri" w:hAnsi="Gautami" w:cs="Gautami"/>
                <w:sz w:val="16"/>
                <w:szCs w:val="16"/>
              </w:rPr>
              <w: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(b) was, is or is expected to be subject to control or significant influence from </w:t>
            </w:r>
            <w:r w:rsidRPr="00E34849">
              <w:rPr>
                <w:rFonts w:ascii="Gautami" w:eastAsia="Calibri" w:hAnsi="Gautami" w:cs="Gautami"/>
                <w:noProof/>
                <w:sz w:val="16"/>
                <w:szCs w:val="16"/>
              </w:rPr>
              <w:t>TNSP</w:t>
            </w:r>
            <w:r w:rsidRPr="003B40E2">
              <w:rPr>
                <w:rFonts w:ascii="Gautami" w:eastAsia="Calibri" w:hAnsi="Gautami" w:cs="Gautami"/>
                <w:sz w:val="16"/>
                <w:szCs w:val="16"/>
              </w:rPr>
              <w: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(c) was, is or is expected to be controlled by the same entity that controlled, controls or is expect to control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 – </w:t>
            </w:r>
            <w:r w:rsidRPr="003B40E2">
              <w:rPr>
                <w:rFonts w:ascii="Gautami" w:hAnsi="Gautami" w:cs="Gautami"/>
                <w:sz w:val="16"/>
                <w:szCs w:val="16"/>
              </w:rPr>
              <w:t>referred to as a situation in which entities are subject to common control;</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(d) was, is or is expected to be controlled by the same entity that significantly influenced, influences or is expected to influence </w:t>
            </w:r>
            <w:r w:rsidRPr="00E34849">
              <w:rPr>
                <w:rFonts w:ascii="Gautami" w:eastAsia="Calibri" w:hAnsi="Gautami" w:cs="Gautami"/>
                <w:noProof/>
                <w:sz w:val="16"/>
                <w:szCs w:val="16"/>
              </w:rPr>
              <w:t>TNSP</w:t>
            </w:r>
            <w:r w:rsidRPr="003B40E2">
              <w:rPr>
                <w:rFonts w:ascii="Gautami" w:hAnsi="Gautami" w:cs="Gautami"/>
                <w:sz w:val="16"/>
                <w:szCs w:val="16"/>
              </w:rPr>
              <w:t>; or</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(e) was, is or is expected to be significantly influenced by the same entity that controlled, </w:t>
            </w:r>
            <w:r w:rsidRPr="003B40E2">
              <w:rPr>
                <w:rFonts w:ascii="Gautami" w:hAnsi="Gautami" w:cs="Gautami"/>
                <w:sz w:val="16"/>
                <w:szCs w:val="16"/>
              </w:rPr>
              <w:lastRenderedPageBreak/>
              <w:t xml:space="preserve">controls or is expected to control </w:t>
            </w:r>
            <w:r w:rsidRPr="00E34849">
              <w:rPr>
                <w:rFonts w:ascii="Gautami" w:eastAsia="Calibri" w:hAnsi="Gautami" w:cs="Gautami"/>
                <w:noProof/>
                <w:sz w:val="16"/>
                <w:szCs w:val="16"/>
              </w:rPr>
              <w:t>TNSP</w:t>
            </w:r>
            <w:r w:rsidRPr="003B40E2">
              <w:rPr>
                <w:rFonts w:ascii="Gautami" w:hAnsi="Gautami" w:cs="Gautami"/>
                <w:sz w:val="16"/>
                <w:szCs w:val="16"/>
              </w:rPr>
              <w: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but excludes any other entity that would otherwise be related solely due to normal dealings of:</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(a) financial institutions;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(b) authorised trustee corporations as prescribed in Schedule 9 of the Corporations Regulations 2001 (</w:t>
            </w:r>
            <w:proofErr w:type="spellStart"/>
            <w:r w:rsidRPr="003B40E2">
              <w:rPr>
                <w:rFonts w:ascii="Gautami" w:hAnsi="Gautami" w:cs="Gautami"/>
                <w:sz w:val="16"/>
                <w:szCs w:val="16"/>
              </w:rPr>
              <w:t>Cth</w:t>
            </w:r>
            <w:proofErr w:type="spellEnd"/>
            <w:r w:rsidRPr="003B40E2">
              <w:rPr>
                <w:rFonts w:ascii="Gautami" w:hAnsi="Gautami" w:cs="Gautami"/>
                <w:sz w:val="16"/>
                <w:szCs w:val="16"/>
              </w:rPr>
              <w: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(c) fund managers;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(d) trade unions;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(e) statutory authorities;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(f) government departments;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(g) local governments and includes </w:t>
            </w:r>
            <w:r w:rsidRPr="00E34849">
              <w:rPr>
                <w:rFonts w:ascii="Gautami" w:hAnsi="Gautami" w:cs="Gautami"/>
                <w:noProof/>
                <w:sz w:val="16"/>
                <w:szCs w:val="16"/>
              </w:rPr>
              <w:t>NSP Name</w:t>
            </w:r>
            <w:r w:rsidRPr="003B40E2">
              <w:rPr>
                <w:rFonts w:ascii="Gautami" w:hAnsi="Gautami" w:cs="Gautami"/>
                <w:sz w:val="16"/>
                <w:szCs w:val="16"/>
              </w:rPr>
              <w:t xml:space="preserve"> </w:t>
            </w:r>
            <w:r w:rsidRPr="00E34849">
              <w:rPr>
                <w:rFonts w:ascii="Gautami" w:hAnsi="Gautami" w:cs="Gautami"/>
                <w:noProof/>
                <w:sz w:val="16"/>
                <w:szCs w:val="16"/>
              </w:rPr>
              <w:t>(ACN XXX XXX XXX)</w:t>
            </w:r>
            <w:r w:rsidRPr="003B40E2">
              <w:rPr>
                <w:rFonts w:ascii="Gautami" w:hAnsi="Gautami" w:cs="Gautami"/>
                <w:sz w:val="16"/>
                <w:szCs w:val="16"/>
              </w:rPr>
              <w:t xml:space="preserve">; or </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(h) </w:t>
            </w:r>
            <w:proofErr w:type="gramStart"/>
            <w:r w:rsidRPr="003B40E2">
              <w:rPr>
                <w:rFonts w:ascii="Gautami" w:hAnsi="Gautami" w:cs="Gautami"/>
                <w:sz w:val="16"/>
                <w:szCs w:val="16"/>
              </w:rPr>
              <w:t>where</w:t>
            </w:r>
            <w:proofErr w:type="gramEnd"/>
            <w:r w:rsidRPr="003B40E2">
              <w:rPr>
                <w:rFonts w:ascii="Gautami" w:hAnsi="Gautami" w:cs="Gautami"/>
                <w:sz w:val="16"/>
                <w:szCs w:val="16"/>
              </w:rPr>
              <w:t xml:space="preserve"> any of the entities identified in sub-paragraphs (a) to (e) have </w:t>
            </w:r>
            <w:proofErr w:type="spellStart"/>
            <w:r w:rsidRPr="003B40E2">
              <w:rPr>
                <w:rFonts w:ascii="Gautami" w:hAnsi="Gautami" w:cs="Gautami"/>
                <w:sz w:val="16"/>
                <w:szCs w:val="16"/>
              </w:rPr>
              <w:t>novated</w:t>
            </w:r>
            <w:proofErr w:type="spellEnd"/>
            <w:r w:rsidRPr="003B40E2">
              <w:rPr>
                <w:rFonts w:ascii="Gautami" w:hAnsi="Gautami" w:cs="Gautami"/>
                <w:sz w:val="16"/>
                <w:szCs w:val="16"/>
              </w:rPr>
              <w:t xml:space="preserve"> or assigned a contract or arrangement to or from another entity (where that contract or arrangement relates to the provision of transmission services by </w:t>
            </w:r>
            <w:r w:rsidRPr="00E34849">
              <w:rPr>
                <w:rFonts w:ascii="Gautami" w:eastAsia="Calibri" w:hAnsi="Gautami" w:cs="Gautami"/>
                <w:noProof/>
                <w:sz w:val="16"/>
                <w:szCs w:val="16"/>
              </w:rPr>
              <w:t>TNSP</w:t>
            </w:r>
            <w:r w:rsidRPr="003B40E2">
              <w:rPr>
                <w:rFonts w:ascii="Gautami" w:hAnsi="Gautami" w:cs="Gautami"/>
                <w:sz w:val="16"/>
                <w:szCs w:val="16"/>
              </w:rPr>
              <w:t xml:space="preserve">), the entity to whom that contract or arrangement has been </w:t>
            </w:r>
            <w:proofErr w:type="spellStart"/>
            <w:r w:rsidRPr="003B40E2">
              <w:rPr>
                <w:rFonts w:ascii="Gautami" w:hAnsi="Gautami" w:cs="Gautami"/>
                <w:sz w:val="16"/>
                <w:szCs w:val="16"/>
              </w:rPr>
              <w:t>novated</w:t>
            </w:r>
            <w:proofErr w:type="spellEnd"/>
            <w:r w:rsidRPr="003B40E2">
              <w:rPr>
                <w:rFonts w:ascii="Gautami" w:hAnsi="Gautami" w:cs="Gautami"/>
                <w:sz w:val="16"/>
                <w:szCs w:val="16"/>
              </w:rPr>
              <w:t xml:space="preserve"> or assigned.</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Del="00F6699E"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Related party contract</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A finalised </w:t>
            </w:r>
            <w:r w:rsidRPr="003B40E2">
              <w:rPr>
                <w:rFonts w:ascii="Gautami" w:hAnsi="Gautami" w:cs="Gautami"/>
                <w:i/>
                <w:sz w:val="16"/>
                <w:szCs w:val="16"/>
              </w:rPr>
              <w:t>Contract</w:t>
            </w:r>
            <w:r w:rsidRPr="003B40E2">
              <w:rPr>
                <w:rFonts w:ascii="Gautami" w:hAnsi="Gautami" w:cs="Gautami"/>
                <w:sz w:val="16"/>
                <w:szCs w:val="16"/>
              </w:rPr>
              <w:t xml:space="preserve"> between </w:t>
            </w:r>
            <w:r w:rsidRPr="00E34849">
              <w:rPr>
                <w:rFonts w:ascii="Gautami" w:eastAsia="Calibri" w:hAnsi="Gautami" w:cs="Gautami"/>
                <w:noProof/>
                <w:sz w:val="16"/>
                <w:szCs w:val="16"/>
              </w:rPr>
              <w:t>TNSP</w:t>
            </w:r>
            <w:r w:rsidRPr="003B40E2">
              <w:rPr>
                <w:rFonts w:ascii="Gautami" w:hAnsi="Gautami" w:cs="Gautami"/>
                <w:sz w:val="16"/>
                <w:szCs w:val="16"/>
              </w:rPr>
              <w:t xml:space="preserve"> and a </w:t>
            </w:r>
            <w:r w:rsidRPr="003B40E2">
              <w:rPr>
                <w:rFonts w:ascii="Gautami" w:hAnsi="Gautami" w:cs="Gautami"/>
                <w:i/>
                <w:sz w:val="16"/>
                <w:szCs w:val="16"/>
              </w:rPr>
              <w:t>Related Party</w:t>
            </w:r>
            <w:r w:rsidRPr="003B40E2">
              <w:rPr>
                <w:rFonts w:ascii="Gautami" w:hAnsi="Gautami" w:cs="Gautami"/>
                <w:sz w:val="16"/>
                <w:szCs w:val="16"/>
              </w:rPr>
              <w:t xml:space="preserve"> for the provision of goods and/or services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Del="00F6699E"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Related party margin</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The dollar amount of profit a </w:t>
            </w:r>
            <w:r w:rsidRPr="003B40E2">
              <w:rPr>
                <w:rFonts w:ascii="Gautami" w:hAnsi="Gautami" w:cs="Gautami"/>
                <w:i/>
                <w:sz w:val="16"/>
                <w:szCs w:val="16"/>
              </w:rPr>
              <w:t>Related Party</w:t>
            </w:r>
            <w:r w:rsidRPr="003B40E2">
              <w:rPr>
                <w:rFonts w:ascii="Gautami" w:hAnsi="Gautami" w:cs="Gautami"/>
                <w:sz w:val="16"/>
                <w:szCs w:val="16"/>
              </w:rPr>
              <w:t xml:space="preserve"> gains above its total actual costs under a </w:t>
            </w:r>
            <w:r w:rsidRPr="003B40E2">
              <w:rPr>
                <w:rFonts w:ascii="Gautami" w:hAnsi="Gautami" w:cs="Gautami"/>
                <w:i/>
                <w:sz w:val="16"/>
                <w:szCs w:val="16"/>
              </w:rPr>
              <w:t>Related Party</w:t>
            </w:r>
            <w:r w:rsidRPr="003B40E2">
              <w:rPr>
                <w:rFonts w:ascii="Gautami" w:hAnsi="Gautami" w:cs="Gautami"/>
                <w:sz w:val="16"/>
                <w:szCs w:val="16"/>
              </w:rPr>
              <w:t xml:space="preserve"> </w:t>
            </w:r>
            <w:r w:rsidRPr="003B40E2">
              <w:rPr>
                <w:rFonts w:ascii="Gautami" w:hAnsi="Gautami" w:cs="Gautami"/>
                <w:i/>
                <w:sz w:val="16"/>
                <w:szCs w:val="16"/>
              </w:rPr>
              <w:t>Contract</w:t>
            </w:r>
            <w:r w:rsidRPr="003B40E2">
              <w:rPr>
                <w:rFonts w:ascii="Gautami" w:hAnsi="Gautami" w:cs="Gautami"/>
                <w:sz w:val="16"/>
                <w:szCs w:val="16"/>
              </w:rPr>
              <w:t xml:space="preserve"> with </w:t>
            </w:r>
            <w:r w:rsidRPr="00E34849">
              <w:rPr>
                <w:rFonts w:ascii="Gautami" w:eastAsia="Calibri" w:hAnsi="Gautami" w:cs="Gautami"/>
                <w:noProof/>
                <w:sz w:val="16"/>
                <w:szCs w:val="16"/>
              </w:rPr>
              <w:t>TNSP</w:t>
            </w:r>
            <w:r w:rsidRPr="003B40E2">
              <w:rPr>
                <w:rFonts w:ascii="Gautami" w:hAnsi="Gautami" w:cs="Gautami"/>
                <w:sz w:val="16"/>
                <w:szCs w:val="16"/>
              </w:rPr>
              <w:t>. This profit may include margins, management fees or incentive payments.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Repex model</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1F497D"/>
                <w:sz w:val="16"/>
                <w:szCs w:val="16"/>
              </w:rPr>
            </w:pPr>
            <w:r w:rsidRPr="003B40E2">
              <w:rPr>
                <w:rFonts w:ascii="Gautami" w:hAnsi="Gautami" w:cs="Gautami"/>
                <w:sz w:val="16"/>
                <w:szCs w:val="16"/>
              </w:rPr>
              <w:t xml:space="preserve">Available at: </w:t>
            </w:r>
            <w:hyperlink r:id="rId16" w:history="1">
              <w:r w:rsidRPr="003B40E2">
                <w:rPr>
                  <w:rStyle w:val="Hyperlink"/>
                  <w:rFonts w:ascii="Gautami" w:eastAsiaTheme="majorEastAsia" w:hAnsi="Gautami" w:cs="Gautami"/>
                  <w:sz w:val="16"/>
                  <w:szCs w:val="16"/>
                </w:rPr>
                <w:t>http://www.aer.gov.au/node/18864</w:t>
              </w:r>
            </w:hyperlink>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Review Report</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An Auditor’s limited assurance engagement report as required by this Notice and prepared in accordance with the requirements set out in Appendix D of this Notice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SCADA</w:t>
            </w:r>
          </w:p>
        </w:tc>
        <w:tc>
          <w:tcPr>
            <w:tcW w:w="3780" w:type="pct"/>
            <w:tcBorders>
              <w:left w:val="none" w:sz="0" w:space="0" w:color="auto"/>
            </w:tcBorders>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Supervisory control and data acquisition</w:t>
            </w:r>
            <w:r w:rsidRPr="003B40E2" w:rsidDel="007A1673">
              <w:rPr>
                <w:rFonts w:ascii="Gautami" w:hAnsi="Gautami" w:cs="Gautami"/>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Stand Down Period</w:t>
            </w:r>
          </w:p>
        </w:tc>
        <w:tc>
          <w:tcPr>
            <w:tcW w:w="3780"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F2CCF">
              <w:rPr>
                <w:rFonts w:ascii="Gautami" w:hAnsi="Gautami" w:cs="Gautami"/>
                <w:color w:val="000000" w:themeColor="text1"/>
                <w:sz w:val="16"/>
                <w:szCs w:val="16"/>
              </w:rPr>
              <w:t xml:space="preserve">Where an employee, or worker employed under a labour hire contract, can’t start a scheduled shift </w:t>
            </w:r>
            <w:r>
              <w:rPr>
                <w:rFonts w:ascii="Gautami" w:hAnsi="Gautami" w:cs="Gautami"/>
                <w:color w:val="000000" w:themeColor="text1"/>
                <w:sz w:val="16"/>
                <w:szCs w:val="16"/>
              </w:rPr>
              <w:t xml:space="preserve">that would involve </w:t>
            </w:r>
            <w:r w:rsidRPr="000119E4">
              <w:rPr>
                <w:rFonts w:ascii="Gautami" w:hAnsi="Gautami" w:cs="Gautami"/>
                <w:i/>
                <w:color w:val="000000" w:themeColor="text1"/>
                <w:sz w:val="16"/>
                <w:szCs w:val="16"/>
              </w:rPr>
              <w:t>prescribed transmission services</w:t>
            </w:r>
            <w:r>
              <w:rPr>
                <w:rFonts w:ascii="Gautami" w:hAnsi="Gautami" w:cs="Gautami"/>
                <w:color w:val="000000" w:themeColor="text1"/>
                <w:sz w:val="16"/>
                <w:szCs w:val="16"/>
              </w:rPr>
              <w:t xml:space="preserve"> work </w:t>
            </w:r>
            <w:r w:rsidRPr="00AF2CCF">
              <w:rPr>
                <w:rFonts w:ascii="Gautami" w:hAnsi="Gautami" w:cs="Gautami"/>
                <w:color w:val="000000" w:themeColor="text1"/>
                <w:sz w:val="16"/>
                <w:szCs w:val="16"/>
              </w:rPr>
              <w:t xml:space="preserve">at normal ordinary time wages due to prior work at the organisation (for example, due to not having sufficient time off between work shifts). </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Pr>
          <w:p w:rsidR="00AE5FBA" w:rsidRPr="00FA5AAA" w:rsidRDefault="00AE5FBA" w:rsidP="003B40E2">
            <w:pPr>
              <w:spacing w:before="80" w:after="120"/>
              <w:rPr>
                <w:rFonts w:ascii="Gautami" w:eastAsia="Calibri" w:hAnsi="Gautami" w:cs="Gautami"/>
                <w:b w:val="0"/>
                <w:i/>
                <w:sz w:val="16"/>
                <w:szCs w:val="16"/>
              </w:rPr>
            </w:pPr>
            <w:r>
              <w:rPr>
                <w:rFonts w:ascii="Gautami" w:eastAsia="Calibri" w:hAnsi="Gautami" w:cs="Gautami"/>
                <w:b w:val="0"/>
                <w:i/>
                <w:sz w:val="16"/>
                <w:szCs w:val="16"/>
              </w:rPr>
              <w:t>Transmission system</w:t>
            </w:r>
          </w:p>
        </w:tc>
        <w:tc>
          <w:tcPr>
            <w:tcW w:w="3780"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 xml:space="preserve">Has the meaning prescribed in the National Electricity </w:t>
            </w:r>
            <w:proofErr w:type="gramStart"/>
            <w:r>
              <w:rPr>
                <w:rFonts w:ascii="Gautami" w:eastAsia="Calibri" w:hAnsi="Gautami" w:cs="Gautami"/>
                <w:sz w:val="16"/>
                <w:szCs w:val="16"/>
              </w:rPr>
              <w:t>Rules.</w:t>
            </w:r>
            <w:proofErr w:type="gramEnd"/>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right w:val="none" w:sz="0" w:space="0" w:color="auto"/>
            </w:tcBorders>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Variable</w:t>
            </w:r>
          </w:p>
        </w:tc>
        <w:tc>
          <w:tcPr>
            <w:tcW w:w="3780" w:type="pct"/>
            <w:tcBorders>
              <w:left w:val="none" w:sz="0" w:space="0" w:color="auto"/>
            </w:tcBorders>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eastAsia="Calibri" w:hAnsi="Gautami" w:cs="Gautami"/>
                <w:sz w:val="16"/>
                <w:szCs w:val="16"/>
              </w:rPr>
              <w:t xml:space="preserve">Words or numerical values inputted into the </w:t>
            </w:r>
            <w:r w:rsidRPr="003B40E2">
              <w:rPr>
                <w:rFonts w:ascii="Gautami" w:eastAsia="Calibri" w:hAnsi="Gautami" w:cs="Gautami"/>
                <w:i/>
                <w:sz w:val="16"/>
                <w:szCs w:val="16"/>
              </w:rPr>
              <w:t>Regulatory Templates</w:t>
            </w: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DA05A7" w:rsidRDefault="00AE5FBA" w:rsidP="00BC2EA4">
            <w:pPr>
              <w:rPr>
                <w:rFonts w:ascii="Gautami" w:hAnsi="Gautami" w:cs="Gautami"/>
                <w:b w:val="0"/>
                <w:sz w:val="16"/>
                <w:szCs w:val="16"/>
              </w:rPr>
            </w:pPr>
            <w:r w:rsidRPr="00DA05A7">
              <w:rPr>
                <w:rFonts w:ascii="Gautami" w:eastAsia="Calibri" w:hAnsi="Gautami" w:cs="Gautami"/>
                <w:sz w:val="16"/>
                <w:szCs w:val="16"/>
              </w:rPr>
              <w:t xml:space="preserve">Definitions specific to </w:t>
            </w:r>
            <w:r w:rsidRPr="00DA05A7">
              <w:rPr>
                <w:rFonts w:ascii="Gautami" w:eastAsia="Calibri" w:hAnsi="Gautami" w:cs="Gautami"/>
                <w:i/>
                <w:sz w:val="16"/>
                <w:szCs w:val="16"/>
              </w:rPr>
              <w:t>regulatory template</w:t>
            </w:r>
            <w:r w:rsidRPr="00DA05A7">
              <w:rPr>
                <w:rFonts w:ascii="Gautami" w:eastAsia="Calibri" w:hAnsi="Gautami" w:cs="Gautami"/>
                <w:sz w:val="16"/>
                <w:szCs w:val="16"/>
              </w:rPr>
              <w:t xml:space="preserve"> 2.5 NON NETWORK</w:t>
            </w:r>
          </w:p>
        </w:tc>
        <w:tc>
          <w:tcPr>
            <w:tcW w:w="3783" w:type="pct"/>
          </w:tcPr>
          <w:p w:rsidR="00AE5FBA" w:rsidRPr="002F25FF" w:rsidRDefault="00AE5FBA" w:rsidP="00BC2EA4">
            <w:pPr>
              <w:ind w:left="849" w:hanging="283"/>
              <w:cnfStyle w:val="100000000000" w:firstRow="1" w:lastRow="0" w:firstColumn="0" w:lastColumn="0" w:oddVBand="0" w:evenVBand="0" w:oddHBand="0" w:evenHBand="0" w:firstRowFirstColumn="0" w:firstRowLastColumn="0" w:lastRowFirstColumn="0" w:lastRowLastColumn="0"/>
              <w:rPr>
                <w:rFonts w:ascii="Gautami" w:hAnsi="Gautami" w:cs="Gautami"/>
                <w:b w:val="0"/>
                <w:sz w:val="16"/>
                <w:szCs w:val="16"/>
              </w:rPr>
            </w:pPr>
            <w:r w:rsidRPr="002F25FF">
              <w:rPr>
                <w:rFonts w:ascii="Gautami" w:hAnsi="Gautami" w:cs="Gautami"/>
                <w:sz w:val="16"/>
                <w:szCs w:val="16"/>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Car</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Cars are </w:t>
            </w:r>
            <w:r w:rsidRPr="003B40E2">
              <w:rPr>
                <w:rFonts w:ascii="Gautami" w:eastAsia="Calibri" w:hAnsi="Gautami" w:cs="Gautami"/>
                <w:i/>
                <w:sz w:val="16"/>
                <w:szCs w:val="16"/>
              </w:rPr>
              <w:t xml:space="preserve">Motor </w:t>
            </w:r>
            <w:proofErr w:type="gramStart"/>
            <w:r w:rsidRPr="003B40E2">
              <w:rPr>
                <w:rFonts w:ascii="Gautami" w:eastAsia="Calibri" w:hAnsi="Gautami" w:cs="Gautami"/>
                <w:i/>
                <w:sz w:val="16"/>
                <w:szCs w:val="16"/>
              </w:rPr>
              <w:t>Vehicles</w:t>
            </w:r>
            <w:r w:rsidRPr="003B40E2">
              <w:rPr>
                <w:rFonts w:ascii="Gautami" w:eastAsia="Calibri" w:hAnsi="Gautami" w:cs="Gautami"/>
                <w:sz w:val="16"/>
                <w:szCs w:val="16"/>
              </w:rPr>
              <w:t xml:space="preserve">  other</w:t>
            </w:r>
            <w:proofErr w:type="gramEnd"/>
            <w:r w:rsidRPr="003B40E2">
              <w:rPr>
                <w:rFonts w:ascii="Gautami" w:eastAsia="Calibri" w:hAnsi="Gautami" w:cs="Gautami"/>
                <w:sz w:val="16"/>
                <w:szCs w:val="16"/>
              </w:rPr>
              <w:t xml:space="preserve"> than those that comply with the definition of Light commercial vehicle, Heavy commercial vehicle, Elevated work platform (LCV), or Elevated work platform (HCV) .</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Elevated Work Platform (HCV)</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Elevated work platforms (HCV) are </w:t>
            </w:r>
            <w:r w:rsidRPr="003B40E2">
              <w:rPr>
                <w:rFonts w:ascii="Gautami" w:eastAsia="Calibri" w:hAnsi="Gautami" w:cs="Gautami"/>
                <w:i/>
                <w:sz w:val="16"/>
                <w:szCs w:val="16"/>
              </w:rPr>
              <w:t>Motor Vehicles</w:t>
            </w:r>
            <w:r w:rsidRPr="003B40E2">
              <w:rPr>
                <w:rFonts w:ascii="Gautami" w:eastAsia="Calibri" w:hAnsi="Gautami" w:cs="Gautami"/>
                <w:sz w:val="16"/>
                <w:szCs w:val="16"/>
              </w:rPr>
              <w:t xml:space="preserve"> that have permanently attached elevating work platforms that would be HCVs but for the exclusion of elevated work platforms from the definition of HCV.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Elevated Work Platform (LCV)</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Elevated work platforms (LCV) are </w:t>
            </w:r>
            <w:r w:rsidRPr="003B40E2">
              <w:rPr>
                <w:rFonts w:ascii="Gautami" w:eastAsia="Calibri" w:hAnsi="Gautami" w:cs="Gautami"/>
                <w:i/>
                <w:sz w:val="16"/>
                <w:szCs w:val="16"/>
              </w:rPr>
              <w:t>Motor Vehicles</w:t>
            </w:r>
            <w:r w:rsidRPr="003B40E2">
              <w:rPr>
                <w:rFonts w:ascii="Gautami" w:eastAsia="Calibri" w:hAnsi="Gautami" w:cs="Gautami"/>
                <w:sz w:val="16"/>
                <w:szCs w:val="16"/>
              </w:rPr>
              <w:t xml:space="preserve"> that have permanently attached elevating work platforms that are not Elevated work platform (HCV).  </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Heavy Commercial Vehicle </w:t>
            </w:r>
            <w:r w:rsidRPr="003B40E2">
              <w:rPr>
                <w:rFonts w:ascii="Gautami" w:eastAsia="Calibri" w:hAnsi="Gautami" w:cs="Gautami"/>
                <w:b w:val="0"/>
                <w:i/>
                <w:sz w:val="16"/>
                <w:szCs w:val="16"/>
              </w:rPr>
              <w:lastRenderedPageBreak/>
              <w:t>(HCV)</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lastRenderedPageBreak/>
              <w:t xml:space="preserve">Heavy commercial vehicles (HCVs) are </w:t>
            </w:r>
            <w:r w:rsidRPr="003B40E2">
              <w:rPr>
                <w:rFonts w:ascii="Gautami" w:eastAsia="Calibri" w:hAnsi="Gautami" w:cs="Gautami"/>
                <w:i/>
                <w:sz w:val="16"/>
                <w:szCs w:val="16"/>
              </w:rPr>
              <w:t>Motor Vehicles</w:t>
            </w:r>
            <w:r w:rsidRPr="003B40E2">
              <w:rPr>
                <w:rFonts w:ascii="Gautami" w:eastAsia="Calibri" w:hAnsi="Gautami" w:cs="Gautami"/>
                <w:sz w:val="16"/>
                <w:szCs w:val="16"/>
              </w:rPr>
              <w:t xml:space="preserve"> that are registered for use on public </w:t>
            </w:r>
            <w:r w:rsidRPr="003B40E2">
              <w:rPr>
                <w:rFonts w:ascii="Gautami" w:eastAsia="Calibri" w:hAnsi="Gautami" w:cs="Gautami"/>
                <w:sz w:val="16"/>
                <w:szCs w:val="16"/>
              </w:rPr>
              <w:lastRenderedPageBreak/>
              <w:t>roads excluding Elevated Work Platform (HCV)s that:</w:t>
            </w:r>
          </w:p>
          <w:p w:rsidR="00AE5FBA" w:rsidRPr="003B40E2" w:rsidRDefault="00AE5FBA" w:rsidP="003B40E2">
            <w:pPr>
              <w:pStyle w:val="ListParagraph"/>
              <w:numPr>
                <w:ilvl w:val="0"/>
                <w:numId w:val="38"/>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have a gross vehicle mass greater than 4.5 tonnes; or</w:t>
            </w:r>
          </w:p>
          <w:p w:rsidR="00AE5FBA" w:rsidRPr="003B40E2" w:rsidRDefault="00AE5FBA" w:rsidP="003B40E2">
            <w:pPr>
              <w:pStyle w:val="ListParagraph"/>
              <w:numPr>
                <w:ilvl w:val="0"/>
                <w:numId w:val="38"/>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are articulated Vehicles; or</w:t>
            </w:r>
          </w:p>
          <w:p w:rsidR="00AE5FBA" w:rsidRPr="003B40E2" w:rsidRDefault="00AE5FBA" w:rsidP="003B40E2">
            <w:pPr>
              <w:pStyle w:val="ListParagraph"/>
              <w:numPr>
                <w:ilvl w:val="0"/>
                <w:numId w:val="38"/>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roofErr w:type="gramStart"/>
            <w:r w:rsidRPr="003B40E2">
              <w:rPr>
                <w:rFonts w:ascii="Gautami" w:hAnsi="Gautami" w:cs="Gautami"/>
                <w:sz w:val="16"/>
                <w:szCs w:val="16"/>
              </w:rPr>
              <w:t>are</w:t>
            </w:r>
            <w:proofErr w:type="gramEnd"/>
            <w:r w:rsidRPr="003B40E2">
              <w:rPr>
                <w:rFonts w:ascii="Gautami" w:hAnsi="Gautami" w:cs="Gautami"/>
                <w:sz w:val="16"/>
                <w:szCs w:val="16"/>
              </w:rPr>
              <w:t xml:space="preserve"> buses with a gross vehicle mass exceeding 4.5 tonnes.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Light Commercial Vehicle (LCV)</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Light commercial vehicles (LCVs) are Motor Vehicles that are registered for use on public roads excluding elevated work platforms that: </w:t>
            </w:r>
          </w:p>
          <w:p w:rsidR="00AE5FBA" w:rsidRPr="003B40E2" w:rsidRDefault="00AE5FBA" w:rsidP="003B40E2">
            <w:pPr>
              <w:pStyle w:val="ListParagraph"/>
              <w:numPr>
                <w:ilvl w:val="0"/>
                <w:numId w:val="36"/>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are rigid trucks or load carrying vans or utilities having a gross vehicle mass greater than 1.5 tonnes but not exceeding 4.5 tonnes; or </w:t>
            </w:r>
          </w:p>
          <w:p w:rsidR="00AE5FBA" w:rsidRPr="003B40E2" w:rsidRDefault="00AE5FBA" w:rsidP="003B40E2">
            <w:pPr>
              <w:pStyle w:val="ListParagraph"/>
              <w:numPr>
                <w:ilvl w:val="0"/>
                <w:numId w:val="36"/>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have cab-chassis construction, and a gross vehicle mass greater than 1.5 tonnes but not exceeding 4.5 tonnes; or</w:t>
            </w:r>
          </w:p>
          <w:p w:rsidR="00AE5FBA" w:rsidRPr="003B40E2" w:rsidRDefault="00AE5FBA" w:rsidP="003B40E2">
            <w:pPr>
              <w:pStyle w:val="ListParagraph"/>
              <w:numPr>
                <w:ilvl w:val="0"/>
                <w:numId w:val="36"/>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3B40E2">
              <w:rPr>
                <w:rFonts w:ascii="Gautami" w:hAnsi="Gautami" w:cs="Gautami"/>
                <w:sz w:val="16"/>
                <w:szCs w:val="16"/>
              </w:rPr>
              <w:t>are</w:t>
            </w:r>
            <w:proofErr w:type="gramEnd"/>
            <w:r w:rsidRPr="003B40E2">
              <w:rPr>
                <w:rFonts w:ascii="Gautami" w:hAnsi="Gautami" w:cs="Gautami"/>
                <w:sz w:val="16"/>
                <w:szCs w:val="16"/>
              </w:rPr>
              <w:t xml:space="preserve"> buses with a gross vehicle mass not exceeding 4.5 tonnes.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Motor Vehicle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Is any motor vehicle registered for use on public roads excluding motor vehicles not generally moved large distances on public roads under their own power (e.g. excluding tractors, forklifts, backhoes, bobcats and any other road registered mobile plant).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Motor Vehicles Expenditure</w:t>
            </w:r>
          </w:p>
        </w:tc>
        <w:tc>
          <w:tcPr>
            <w:tcW w:w="3783" w:type="pct"/>
          </w:tcPr>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3B40E2">
              <w:rPr>
                <w:rFonts w:cs="Gautami"/>
                <w:color w:val="000000" w:themeColor="text1"/>
                <w:szCs w:val="16"/>
              </w:rPr>
              <w:t xml:space="preserve">Motor Vehicle Expenditure is defined as all expenditure directly attributable to </w:t>
            </w:r>
            <w:r w:rsidRPr="009051C2">
              <w:rPr>
                <w:rFonts w:cs="Gautami"/>
                <w:i/>
                <w:color w:val="000000" w:themeColor="text1"/>
                <w:szCs w:val="16"/>
              </w:rPr>
              <w:t>Motor Vehicles</w:t>
            </w:r>
            <w:r w:rsidRPr="003B40E2">
              <w:rPr>
                <w:rFonts w:cs="Gautami"/>
                <w:color w:val="000000" w:themeColor="text1"/>
                <w:szCs w:val="16"/>
              </w:rPr>
              <w:t xml:space="preserve"> including:  purchase, replacement, operation and maintenance of motor vehicles assets registered for use on public roads, excluding mobile plant and equipment. It excludes expenditure on vehicles not generally moved large distances on public roads under their own power. Expenditure on registered vehicles that is not </w:t>
            </w:r>
            <w:r w:rsidRPr="009051C2">
              <w:rPr>
                <w:rFonts w:cs="Gautami"/>
                <w:i/>
                <w:color w:val="000000" w:themeColor="text1"/>
                <w:szCs w:val="16"/>
              </w:rPr>
              <w:t>Motor Vehicles Expenditure</w:t>
            </w:r>
            <w:r w:rsidRPr="003B40E2">
              <w:rPr>
                <w:rFonts w:cs="Gautami"/>
                <w:color w:val="000000" w:themeColor="text1"/>
                <w:szCs w:val="16"/>
              </w:rPr>
              <w:t xml:space="preserve"> for this reason should be reported under the Other Non-network expenditure category include: tractors; forklifts; backhoes; bobcats and any other registered mobile plant.</w:t>
            </w:r>
          </w:p>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3B40E2">
              <w:rPr>
                <w:rFonts w:cs="Gautami"/>
                <w:color w:val="000000" w:themeColor="text1"/>
                <w:szCs w:val="16"/>
              </w:rPr>
              <w:t xml:space="preserve">All </w:t>
            </w:r>
            <w:r w:rsidRPr="009051C2">
              <w:rPr>
                <w:rFonts w:cs="Gautami"/>
                <w:i/>
                <w:color w:val="000000" w:themeColor="text1"/>
                <w:szCs w:val="16"/>
              </w:rPr>
              <w:t>Motor Vehicle Expenditure</w:t>
            </w:r>
            <w:r w:rsidRPr="003B40E2">
              <w:rPr>
                <w:rFonts w:cs="Gautami"/>
                <w:color w:val="000000" w:themeColor="text1"/>
                <w:szCs w:val="16"/>
              </w:rPr>
              <w:t xml:space="preserve"> must be recorded in the Non-Network </w:t>
            </w:r>
            <w:r w:rsidRPr="003B40E2">
              <w:rPr>
                <w:rFonts w:cs="Gautami"/>
                <w:i/>
                <w:color w:val="000000" w:themeColor="text1"/>
                <w:szCs w:val="16"/>
              </w:rPr>
              <w:t>regulatory template</w:t>
            </w:r>
            <w:r w:rsidRPr="003B40E2">
              <w:rPr>
                <w:rFonts w:cs="Gautami"/>
                <w:color w:val="000000" w:themeColor="text1"/>
                <w:szCs w:val="16"/>
              </w:rPr>
              <w:t xml:space="preserve">. </w:t>
            </w:r>
          </w:p>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sidRPr="003B40E2">
              <w:rPr>
                <w:rFonts w:cs="Gautami"/>
                <w:color w:val="000000" w:themeColor="text1"/>
                <w:szCs w:val="16"/>
              </w:rPr>
              <w:t>Sub Categories of Motor Vehicle Expenditure are:</w:t>
            </w:r>
          </w:p>
          <w:p w:rsidR="00AE5FBA" w:rsidRPr="003B40E2" w:rsidRDefault="00AE5FBA" w:rsidP="003B40E2">
            <w:pPr>
              <w:pStyle w:val="AERtabletextleft"/>
              <w:numPr>
                <w:ilvl w:val="0"/>
                <w:numId w:val="5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3B40E2">
              <w:rPr>
                <w:rFonts w:cs="Gautami"/>
                <w:color w:val="000000" w:themeColor="text1"/>
                <w:szCs w:val="16"/>
              </w:rPr>
              <w:t>Motor Vehicle Expenditure – Cars</w:t>
            </w:r>
          </w:p>
          <w:p w:rsidR="00AE5FBA" w:rsidRPr="003B40E2" w:rsidRDefault="00AE5FBA" w:rsidP="003B40E2">
            <w:pPr>
              <w:pStyle w:val="AERtabletextleft"/>
              <w:numPr>
                <w:ilvl w:val="0"/>
                <w:numId w:val="5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3B40E2">
              <w:rPr>
                <w:rFonts w:cs="Gautami"/>
                <w:color w:val="000000" w:themeColor="text1"/>
                <w:szCs w:val="16"/>
              </w:rPr>
              <w:t>Motor Vehicle Expenditure – LCVs</w:t>
            </w:r>
          </w:p>
          <w:p w:rsidR="00AE5FBA" w:rsidRPr="003B40E2" w:rsidRDefault="00AE5FBA" w:rsidP="003B40E2">
            <w:pPr>
              <w:pStyle w:val="AERtabletextleft"/>
              <w:numPr>
                <w:ilvl w:val="0"/>
                <w:numId w:val="5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3B40E2">
              <w:rPr>
                <w:rFonts w:cs="Gautami"/>
                <w:color w:val="000000" w:themeColor="text1"/>
                <w:szCs w:val="16"/>
              </w:rPr>
              <w:t>Motor Vehicle Expenditure – HCVs</w:t>
            </w:r>
          </w:p>
          <w:p w:rsidR="00AE5FBA" w:rsidRPr="003B40E2" w:rsidRDefault="00AE5FBA" w:rsidP="003B40E2">
            <w:pPr>
              <w:pStyle w:val="AERtabletextleft"/>
              <w:numPr>
                <w:ilvl w:val="0"/>
                <w:numId w:val="5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3B40E2">
              <w:rPr>
                <w:rFonts w:cs="Gautami"/>
                <w:color w:val="000000" w:themeColor="text1"/>
                <w:szCs w:val="16"/>
              </w:rPr>
              <w:t>Motor Vehicle Expenditure – Elevated Work Platforms (LCVs)</w:t>
            </w:r>
          </w:p>
          <w:p w:rsidR="00AE5FBA" w:rsidRPr="003B40E2" w:rsidRDefault="00AE5FBA" w:rsidP="003B40E2">
            <w:pPr>
              <w:pStyle w:val="AERtabletextleft"/>
              <w:numPr>
                <w:ilvl w:val="0"/>
                <w:numId w:val="50"/>
              </w:numPr>
              <w:cnfStyle w:val="000000100000" w:firstRow="0" w:lastRow="0" w:firstColumn="0" w:lastColumn="0" w:oddVBand="0" w:evenVBand="0" w:oddHBand="1" w:evenHBand="0" w:firstRowFirstColumn="0" w:firstRowLastColumn="0" w:lastRowFirstColumn="0" w:lastRowLastColumn="0"/>
              <w:rPr>
                <w:rFonts w:cs="Gautami"/>
                <w:color w:val="000000" w:themeColor="text1"/>
                <w:szCs w:val="16"/>
                <w:u w:val="single"/>
              </w:rPr>
            </w:pPr>
            <w:r w:rsidRPr="003B40E2">
              <w:rPr>
                <w:rFonts w:cs="Gautami"/>
                <w:color w:val="000000" w:themeColor="text1"/>
                <w:szCs w:val="16"/>
              </w:rPr>
              <w:t>Motor Vehicle Expenditure – Elevated Work Platforms (HCVs)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cs="Gautami"/>
                <w:b w:val="0"/>
                <w:i/>
                <w:color w:val="000000" w:themeColor="text1"/>
                <w:sz w:val="16"/>
                <w:szCs w:val="16"/>
              </w:rPr>
              <w:t>Motor Vehicle – Descriptor Metric – Average Kilometres Travelled</w:t>
            </w:r>
          </w:p>
        </w:tc>
        <w:tc>
          <w:tcPr>
            <w:tcW w:w="3783" w:type="pct"/>
          </w:tcPr>
          <w:p w:rsidR="00AE5FBA" w:rsidRPr="003B40E2" w:rsidRDefault="00AE5FBA" w:rsidP="003B40E2">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color w:val="000000" w:themeColor="text1"/>
                <w:szCs w:val="16"/>
              </w:rPr>
              <w:t xml:space="preserve">The average kilometres travelled per vehicle in the fleet for that category of vehicle due to </w:t>
            </w:r>
            <w:r w:rsidRPr="000119E4">
              <w:rPr>
                <w:rFonts w:cs="Gautami"/>
                <w:i/>
                <w:color w:val="000000" w:themeColor="text1"/>
                <w:szCs w:val="16"/>
              </w:rPr>
              <w:t>prescribed transmission services</w:t>
            </w:r>
            <w:r>
              <w:rPr>
                <w:rFonts w:cs="Gautami"/>
                <w:i/>
                <w:color w:val="000000" w:themeColor="text1"/>
                <w:szCs w:val="16"/>
              </w:rPr>
              <w:t xml:space="preserve"> work</w:t>
            </w:r>
            <w:r>
              <w:rPr>
                <w:rFonts w:cs="Gautami"/>
                <w:color w:val="000000" w:themeColor="text1"/>
                <w:szCs w:val="16"/>
              </w:rPr>
              <w:t xml:space="preserve">. The vehicle fleet includes all vehicles that have been used for </w:t>
            </w:r>
            <w:r>
              <w:rPr>
                <w:rFonts w:cs="Gautami"/>
                <w:i/>
                <w:color w:val="000000" w:themeColor="text1"/>
                <w:szCs w:val="16"/>
              </w:rPr>
              <w:t xml:space="preserve">prescribed transmission services </w:t>
            </w:r>
            <w:r w:rsidRPr="00A618ED">
              <w:rPr>
                <w:rFonts w:cs="Gautami"/>
                <w:color w:val="000000" w:themeColor="text1"/>
                <w:szCs w:val="16"/>
              </w:rPr>
              <w:t>work (in relation to historic data),</w:t>
            </w:r>
            <w:r>
              <w:rPr>
                <w:rFonts w:cs="Gautami"/>
                <w:i/>
                <w:color w:val="000000" w:themeColor="text1"/>
                <w:szCs w:val="16"/>
              </w:rPr>
              <w:t xml:space="preserve"> </w:t>
            </w:r>
            <w:r>
              <w:rPr>
                <w:rFonts w:cs="Gautami"/>
                <w:color w:val="000000" w:themeColor="text1"/>
                <w:szCs w:val="16"/>
              </w:rPr>
              <w:t xml:space="preserve">or are expected to be are used for </w:t>
            </w:r>
            <w:r>
              <w:rPr>
                <w:rFonts w:cs="Gautami"/>
                <w:i/>
                <w:color w:val="000000" w:themeColor="text1"/>
                <w:szCs w:val="16"/>
              </w:rPr>
              <w:t xml:space="preserve">prescribed transmission </w:t>
            </w:r>
            <w:r w:rsidRPr="00A618ED">
              <w:rPr>
                <w:rFonts w:cs="Gautami"/>
                <w:color w:val="000000" w:themeColor="text1"/>
                <w:szCs w:val="16"/>
              </w:rPr>
              <w:t>work (in relation to forecast data</w:t>
            </w:r>
            <w:r>
              <w:rPr>
                <w:rFonts w:cs="Gautami"/>
                <w:i/>
                <w:color w:val="000000" w:themeColor="text1"/>
                <w:szCs w:val="16"/>
              </w:rPr>
              <w:t>)</w:t>
            </w:r>
            <w:r>
              <w:rPr>
                <w:rFonts w:cs="Gautami"/>
                <w:color w:val="000000" w:themeColor="text1"/>
                <w:szCs w:val="16"/>
              </w:rPr>
              <w:t xml:space="preserve"> for that category of vehicle.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cs="Gautami"/>
                <w:b w:val="0"/>
                <w:i/>
                <w:color w:val="000000" w:themeColor="text1"/>
                <w:sz w:val="16"/>
                <w:szCs w:val="16"/>
              </w:rPr>
              <w:t>Motor Vehicle – Descriptor Metric – Number Purchased</w:t>
            </w:r>
          </w:p>
        </w:tc>
        <w:tc>
          <w:tcPr>
            <w:tcW w:w="3783" w:type="pct"/>
          </w:tcPr>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Pr>
                <w:rFonts w:cs="Gautami"/>
                <w:color w:val="000000" w:themeColor="text1"/>
                <w:szCs w:val="16"/>
              </w:rPr>
              <w:t xml:space="preserve">The number of vehicles in the fleet purchased in that year for that category of vehicle scaled for </w:t>
            </w:r>
            <w:r w:rsidRPr="000119E4">
              <w:rPr>
                <w:rFonts w:cs="Gautami"/>
                <w:i/>
                <w:color w:val="000000" w:themeColor="text1"/>
                <w:szCs w:val="16"/>
              </w:rPr>
              <w:t>prescribed transmission services</w:t>
            </w:r>
            <w:r>
              <w:rPr>
                <w:rFonts w:cs="Gautami"/>
                <w:color w:val="000000" w:themeColor="text1"/>
                <w:szCs w:val="16"/>
              </w:rPr>
              <w:t xml:space="preserve"> use (e.g. a vehicle purchased that is expected to be used 50% of the time for </w:t>
            </w:r>
            <w:r w:rsidRPr="000119E4">
              <w:rPr>
                <w:rFonts w:cs="Gautami"/>
                <w:i/>
                <w:color w:val="000000" w:themeColor="text1"/>
                <w:szCs w:val="16"/>
              </w:rPr>
              <w:t>prescribed transmission services</w:t>
            </w:r>
            <w:r>
              <w:rPr>
                <w:rFonts w:cs="Gautami"/>
                <w:color w:val="000000" w:themeColor="text1"/>
                <w:szCs w:val="16"/>
              </w:rPr>
              <w:t xml:space="preserve"> work would equal 0.5 vehicles). The vehicle fleet includes all vehicles that have been used for </w:t>
            </w:r>
            <w:r>
              <w:rPr>
                <w:rFonts w:cs="Gautami"/>
                <w:i/>
                <w:color w:val="000000" w:themeColor="text1"/>
                <w:szCs w:val="16"/>
              </w:rPr>
              <w:t xml:space="preserve">prescribed transmission services </w:t>
            </w:r>
            <w:r w:rsidRPr="00792A5A">
              <w:rPr>
                <w:rFonts w:cs="Gautami"/>
                <w:color w:val="000000" w:themeColor="text1"/>
                <w:szCs w:val="16"/>
              </w:rPr>
              <w:t>work (in relation to historic data),</w:t>
            </w:r>
            <w:r>
              <w:rPr>
                <w:rFonts w:cs="Gautami"/>
                <w:i/>
                <w:color w:val="000000" w:themeColor="text1"/>
                <w:szCs w:val="16"/>
              </w:rPr>
              <w:t xml:space="preserve"> </w:t>
            </w:r>
            <w:r>
              <w:rPr>
                <w:rFonts w:cs="Gautami"/>
                <w:color w:val="000000" w:themeColor="text1"/>
                <w:szCs w:val="16"/>
              </w:rPr>
              <w:t xml:space="preserve">or are expected to be are used for </w:t>
            </w:r>
            <w:r>
              <w:rPr>
                <w:rFonts w:cs="Gautami"/>
                <w:i/>
                <w:color w:val="000000" w:themeColor="text1"/>
                <w:szCs w:val="16"/>
              </w:rPr>
              <w:t xml:space="preserve">prescribed transmission </w:t>
            </w:r>
            <w:r w:rsidRPr="00792A5A">
              <w:rPr>
                <w:rFonts w:cs="Gautami"/>
                <w:color w:val="000000" w:themeColor="text1"/>
                <w:szCs w:val="16"/>
              </w:rPr>
              <w:t>work (in relation to forecast data</w:t>
            </w:r>
            <w:r>
              <w:rPr>
                <w:rFonts w:cs="Gautami"/>
                <w:i/>
                <w:color w:val="000000" w:themeColor="text1"/>
                <w:szCs w:val="16"/>
              </w:rPr>
              <w:t>)</w:t>
            </w:r>
            <w:r>
              <w:rPr>
                <w:rFonts w:cs="Gautami"/>
                <w:color w:val="000000" w:themeColor="text1"/>
                <w:szCs w:val="16"/>
              </w:rPr>
              <w:t xml:space="preserve"> for that category of vehicle.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9051C2">
            <w:pPr>
              <w:spacing w:before="80" w:after="120"/>
              <w:rPr>
                <w:rFonts w:ascii="Gautami" w:eastAsia="Calibri" w:hAnsi="Gautami" w:cs="Gautami"/>
                <w:b w:val="0"/>
                <w:i/>
                <w:sz w:val="16"/>
                <w:szCs w:val="16"/>
              </w:rPr>
            </w:pPr>
            <w:r w:rsidRPr="00EC4181">
              <w:rPr>
                <w:rFonts w:cs="Gautami"/>
                <w:b w:val="0"/>
                <w:i/>
                <w:color w:val="000000" w:themeColor="text1"/>
                <w:sz w:val="16"/>
                <w:szCs w:val="16"/>
              </w:rPr>
              <w:t xml:space="preserve">Motor Vehicle – Descriptor Metric – Number </w:t>
            </w:r>
            <w:r>
              <w:rPr>
                <w:rFonts w:cs="Gautami"/>
                <w:b w:val="0"/>
                <w:i/>
                <w:color w:val="000000" w:themeColor="text1"/>
                <w:sz w:val="16"/>
                <w:szCs w:val="16"/>
              </w:rPr>
              <w:t>Leased</w:t>
            </w:r>
          </w:p>
        </w:tc>
        <w:tc>
          <w:tcPr>
            <w:tcW w:w="3783" w:type="pct"/>
          </w:tcPr>
          <w:p w:rsidR="00AE5FBA" w:rsidRPr="003B40E2" w:rsidRDefault="00AE5FBA" w:rsidP="003B40E2">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color w:val="000000" w:themeColor="text1"/>
                <w:szCs w:val="16"/>
              </w:rPr>
              <w:t xml:space="preserve">The average number of vehicles leased in the fleet for that year for that category of vehicle scaled for </w:t>
            </w:r>
            <w:r w:rsidRPr="000119E4">
              <w:rPr>
                <w:rFonts w:cs="Gautami"/>
                <w:i/>
                <w:color w:val="000000" w:themeColor="text1"/>
                <w:szCs w:val="16"/>
              </w:rPr>
              <w:t>prescribed transmission services</w:t>
            </w:r>
            <w:r>
              <w:rPr>
                <w:rFonts w:cs="Gautami"/>
                <w:color w:val="000000" w:themeColor="text1"/>
                <w:szCs w:val="16"/>
              </w:rPr>
              <w:t xml:space="preserve"> use (e.g. a vehicle purchased that is expected to be used 50% of the time for </w:t>
            </w:r>
            <w:r w:rsidRPr="000119E4">
              <w:rPr>
                <w:rFonts w:cs="Gautami"/>
                <w:i/>
                <w:color w:val="000000" w:themeColor="text1"/>
                <w:szCs w:val="16"/>
              </w:rPr>
              <w:t>prescribed transmission services</w:t>
            </w:r>
            <w:r>
              <w:rPr>
                <w:rFonts w:cs="Gautami"/>
                <w:color w:val="000000" w:themeColor="text1"/>
                <w:szCs w:val="16"/>
              </w:rPr>
              <w:t xml:space="preserve"> work would equal 0.5 vehicles). The vehicle fleet includes all vehicles that have been used for </w:t>
            </w:r>
            <w:r>
              <w:rPr>
                <w:rFonts w:cs="Gautami"/>
                <w:i/>
                <w:color w:val="000000" w:themeColor="text1"/>
                <w:szCs w:val="16"/>
              </w:rPr>
              <w:t xml:space="preserve">prescribed transmission services </w:t>
            </w:r>
            <w:r w:rsidRPr="00792A5A">
              <w:rPr>
                <w:rFonts w:cs="Gautami"/>
                <w:color w:val="000000" w:themeColor="text1"/>
                <w:szCs w:val="16"/>
              </w:rPr>
              <w:t>work (in relation to historic data),</w:t>
            </w:r>
            <w:r>
              <w:rPr>
                <w:rFonts w:cs="Gautami"/>
                <w:i/>
                <w:color w:val="000000" w:themeColor="text1"/>
                <w:szCs w:val="16"/>
              </w:rPr>
              <w:t xml:space="preserve"> </w:t>
            </w:r>
            <w:r>
              <w:rPr>
                <w:rFonts w:cs="Gautami"/>
                <w:color w:val="000000" w:themeColor="text1"/>
                <w:szCs w:val="16"/>
              </w:rPr>
              <w:t xml:space="preserve">or are expected to be are used for </w:t>
            </w:r>
            <w:r>
              <w:rPr>
                <w:rFonts w:cs="Gautami"/>
                <w:i/>
                <w:color w:val="000000" w:themeColor="text1"/>
                <w:szCs w:val="16"/>
              </w:rPr>
              <w:t xml:space="preserve">prescribed transmission </w:t>
            </w:r>
            <w:r w:rsidRPr="00792A5A">
              <w:rPr>
                <w:rFonts w:cs="Gautami"/>
                <w:color w:val="000000" w:themeColor="text1"/>
                <w:szCs w:val="16"/>
              </w:rPr>
              <w:t>work (in relation to forecast data</w:t>
            </w:r>
            <w:r>
              <w:rPr>
                <w:rFonts w:cs="Gautami"/>
                <w:i/>
                <w:color w:val="000000" w:themeColor="text1"/>
                <w:szCs w:val="16"/>
              </w:rPr>
              <w:t>)</w:t>
            </w:r>
            <w:r>
              <w:rPr>
                <w:rFonts w:cs="Gautami"/>
                <w:color w:val="000000" w:themeColor="text1"/>
                <w:szCs w:val="16"/>
              </w:rPr>
              <w:t xml:space="preserve"> for that category of vehicle.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cs="Gautami"/>
                <w:b w:val="0"/>
                <w:i/>
                <w:color w:val="000000" w:themeColor="text1"/>
                <w:sz w:val="16"/>
                <w:szCs w:val="16"/>
              </w:rPr>
              <w:t>Motor Vehicle – Descriptor Metric – Number in Fleet</w:t>
            </w:r>
          </w:p>
        </w:tc>
        <w:tc>
          <w:tcPr>
            <w:tcW w:w="3783" w:type="pct"/>
          </w:tcPr>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cs="Gautami"/>
                <w:color w:val="000000" w:themeColor="text1"/>
                <w:szCs w:val="16"/>
              </w:rPr>
            </w:pPr>
            <w:r>
              <w:rPr>
                <w:rFonts w:cs="Gautami"/>
                <w:color w:val="000000" w:themeColor="text1"/>
                <w:szCs w:val="16"/>
              </w:rPr>
              <w:t xml:space="preserve">The number in fleet is the average number of vehicles in the fleet in that year for that category of vehicle scaled for </w:t>
            </w:r>
            <w:r w:rsidRPr="000119E4">
              <w:rPr>
                <w:rFonts w:cs="Gautami"/>
                <w:i/>
                <w:color w:val="000000" w:themeColor="text1"/>
                <w:szCs w:val="16"/>
              </w:rPr>
              <w:t>prescribed transmission services</w:t>
            </w:r>
            <w:r>
              <w:rPr>
                <w:rFonts w:cs="Gautami"/>
                <w:color w:val="000000" w:themeColor="text1"/>
                <w:szCs w:val="16"/>
              </w:rPr>
              <w:t xml:space="preserve"> use (e.g. a vehicle in the fleet used 50% of the time for </w:t>
            </w:r>
            <w:r w:rsidRPr="000119E4">
              <w:rPr>
                <w:rFonts w:cs="Gautami"/>
                <w:i/>
                <w:color w:val="000000" w:themeColor="text1"/>
                <w:szCs w:val="16"/>
              </w:rPr>
              <w:t>prescribed transmission services</w:t>
            </w:r>
            <w:r>
              <w:rPr>
                <w:rFonts w:cs="Gautami"/>
                <w:color w:val="000000" w:themeColor="text1"/>
                <w:szCs w:val="16"/>
              </w:rPr>
              <w:t xml:space="preserve"> work would equal 0.50 vehicles). The vehicle fleet includes all vehicles that have been used for </w:t>
            </w:r>
            <w:r>
              <w:rPr>
                <w:rFonts w:cs="Gautami"/>
                <w:i/>
                <w:color w:val="000000" w:themeColor="text1"/>
                <w:szCs w:val="16"/>
              </w:rPr>
              <w:t xml:space="preserve">prescribed transmission services </w:t>
            </w:r>
            <w:r w:rsidRPr="00792A5A">
              <w:rPr>
                <w:rFonts w:cs="Gautami"/>
                <w:color w:val="000000" w:themeColor="text1"/>
                <w:szCs w:val="16"/>
              </w:rPr>
              <w:t>work (in relation to historic data),</w:t>
            </w:r>
            <w:r>
              <w:rPr>
                <w:rFonts w:cs="Gautami"/>
                <w:i/>
                <w:color w:val="000000" w:themeColor="text1"/>
                <w:szCs w:val="16"/>
              </w:rPr>
              <w:t xml:space="preserve"> </w:t>
            </w:r>
            <w:r>
              <w:rPr>
                <w:rFonts w:cs="Gautami"/>
                <w:color w:val="000000" w:themeColor="text1"/>
                <w:szCs w:val="16"/>
              </w:rPr>
              <w:t xml:space="preserve">or are expected to be are used for </w:t>
            </w:r>
            <w:r>
              <w:rPr>
                <w:rFonts w:cs="Gautami"/>
                <w:i/>
                <w:color w:val="000000" w:themeColor="text1"/>
                <w:szCs w:val="16"/>
              </w:rPr>
              <w:t xml:space="preserve">prescribed transmission </w:t>
            </w:r>
            <w:r w:rsidRPr="00792A5A">
              <w:rPr>
                <w:rFonts w:cs="Gautami"/>
                <w:color w:val="000000" w:themeColor="text1"/>
                <w:szCs w:val="16"/>
              </w:rPr>
              <w:t xml:space="preserve">work (in </w:t>
            </w:r>
            <w:r w:rsidRPr="00792A5A">
              <w:rPr>
                <w:rFonts w:cs="Gautami"/>
                <w:color w:val="000000" w:themeColor="text1"/>
                <w:szCs w:val="16"/>
              </w:rPr>
              <w:lastRenderedPageBreak/>
              <w:t>relation to forecast data</w:t>
            </w:r>
            <w:r>
              <w:rPr>
                <w:rFonts w:cs="Gautami"/>
                <w:i/>
                <w:color w:val="000000" w:themeColor="text1"/>
                <w:szCs w:val="16"/>
              </w:rPr>
              <w:t>)</w:t>
            </w:r>
            <w:r>
              <w:rPr>
                <w:rFonts w:cs="Gautami"/>
                <w:color w:val="000000" w:themeColor="text1"/>
                <w:szCs w:val="16"/>
              </w:rPr>
              <w:t xml:space="preserve"> for that category of vehicle.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cs="Gautami"/>
                <w:b w:val="0"/>
                <w:i/>
                <w:color w:val="000000" w:themeColor="text1"/>
                <w:sz w:val="16"/>
                <w:szCs w:val="16"/>
              </w:rPr>
              <w:lastRenderedPageBreak/>
              <w:t>Motor Vehicle – Descriptor Metric – Proportion of total fleet expenditure allocated as regulatory expenditure</w:t>
            </w:r>
          </w:p>
        </w:tc>
        <w:tc>
          <w:tcPr>
            <w:tcW w:w="3783" w:type="pct"/>
          </w:tcPr>
          <w:p w:rsidR="00AE5FBA" w:rsidRPr="003B40E2" w:rsidRDefault="00AE5FBA" w:rsidP="003B40E2">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color w:val="000000" w:themeColor="text1"/>
                <w:szCs w:val="16"/>
              </w:rPr>
              <w:t>The proportion of total fleet expenditure (capex and opex) for that category of vehicle allocated as</w:t>
            </w:r>
            <w:r w:rsidRPr="000119E4">
              <w:rPr>
                <w:rFonts w:cs="Gautami"/>
                <w:i/>
                <w:color w:val="000000" w:themeColor="text1"/>
                <w:szCs w:val="16"/>
              </w:rPr>
              <w:t xml:space="preserve"> prescribed transmission services</w:t>
            </w:r>
            <w:r>
              <w:rPr>
                <w:rFonts w:cs="Gautami"/>
                <w:color w:val="000000" w:themeColor="text1"/>
                <w:szCs w:val="16"/>
              </w:rPr>
              <w:t xml:space="preserve"> expenditure. The vehicle fleet includes all vehicles that have been used for </w:t>
            </w:r>
            <w:r>
              <w:rPr>
                <w:rFonts w:cs="Gautami"/>
                <w:i/>
                <w:color w:val="000000" w:themeColor="text1"/>
                <w:szCs w:val="16"/>
              </w:rPr>
              <w:t xml:space="preserve">prescribed transmission services </w:t>
            </w:r>
            <w:r w:rsidRPr="00792A5A">
              <w:rPr>
                <w:rFonts w:cs="Gautami"/>
                <w:color w:val="000000" w:themeColor="text1"/>
                <w:szCs w:val="16"/>
              </w:rPr>
              <w:t>work (in relation to historic data),</w:t>
            </w:r>
            <w:r>
              <w:rPr>
                <w:rFonts w:cs="Gautami"/>
                <w:i/>
                <w:color w:val="000000" w:themeColor="text1"/>
                <w:szCs w:val="16"/>
              </w:rPr>
              <w:t xml:space="preserve"> </w:t>
            </w:r>
            <w:r>
              <w:rPr>
                <w:rFonts w:cs="Gautami"/>
                <w:color w:val="000000" w:themeColor="text1"/>
                <w:szCs w:val="16"/>
              </w:rPr>
              <w:t xml:space="preserve">or are expected to be are used for </w:t>
            </w:r>
            <w:r>
              <w:rPr>
                <w:rFonts w:cs="Gautami"/>
                <w:i/>
                <w:color w:val="000000" w:themeColor="text1"/>
                <w:szCs w:val="16"/>
              </w:rPr>
              <w:t xml:space="preserve">prescribed transmission </w:t>
            </w:r>
            <w:r w:rsidRPr="00792A5A">
              <w:rPr>
                <w:rFonts w:cs="Gautami"/>
                <w:color w:val="000000" w:themeColor="text1"/>
                <w:szCs w:val="16"/>
              </w:rPr>
              <w:t>work (in relation to forecast data</w:t>
            </w:r>
            <w:r>
              <w:rPr>
                <w:rFonts w:cs="Gautami"/>
                <w:i/>
                <w:color w:val="000000" w:themeColor="text1"/>
                <w:szCs w:val="16"/>
              </w:rPr>
              <w:t>)</w:t>
            </w:r>
            <w:r>
              <w:rPr>
                <w:rFonts w:cs="Gautami"/>
                <w:color w:val="000000" w:themeColor="text1"/>
                <w:szCs w:val="16"/>
              </w:rPr>
              <w:t xml:space="preserve"> for that category of vehicle.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sz w:val="16"/>
                <w:szCs w:val="16"/>
              </w:rPr>
            </w:pPr>
            <w:r w:rsidRPr="003B40E2">
              <w:rPr>
                <w:rFonts w:ascii="Gautami" w:eastAsia="Calibri" w:hAnsi="Gautami" w:cs="Gautami"/>
                <w:b w:val="0"/>
                <w:i/>
                <w:sz w:val="16"/>
                <w:szCs w:val="16"/>
              </w:rPr>
              <w:t>Non-network Buildings and Property Expenditure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hAnsi="Gautami" w:cs="Gautami"/>
                <w:color w:val="000000" w:themeColor="text1"/>
                <w:sz w:val="16"/>
                <w:szCs w:val="16"/>
              </w:rPr>
              <w:t>Expenditure directly attributable to non-network buildings and property assets including: the replacement, installation, operation and maintenance of non-network buildings, fittings and fixtures. It includes expenditure related to real chattels (e.g. interests in land such as a lease) but excludes expenditure related personal chattels (e.g. furniture) that should be reported under Non-network Other expenditure.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Non-network IT &amp; Communications - Non Recurrent Expenditure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IT &amp; Communications - Non Recurrent is all IT &amp; Communications Expenditure that is Non-recurrent Expenditure excluding any expenditure reported under IT &amp; Communications Expenditure - Client Devices Expenditure.</w:t>
            </w:r>
            <w:r w:rsidRPr="003B40E2">
              <w:rPr>
                <w:rFonts w:ascii="Gautami" w:hAnsi="Gautami" w:cs="Gautami"/>
                <w:sz w:val="16"/>
                <w:szCs w:val="16"/>
              </w:rPr>
              <w:t xml:space="preserve">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Non-network IT &amp; Communications Expenditure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Is all non-network expenditure directly attributable to IT and communications assets including replacement, installation, operation, maintenance, licensing, and leasing costs but excluding all costs associated with </w:t>
            </w:r>
            <w:r w:rsidRPr="003B40E2">
              <w:rPr>
                <w:rFonts w:ascii="Gautami" w:eastAsia="Calibri" w:hAnsi="Gautami" w:cs="Gautami"/>
                <w:i/>
                <w:sz w:val="16"/>
                <w:szCs w:val="16"/>
              </w:rPr>
              <w:t>SCADA and Network Control Expenditure</w:t>
            </w:r>
            <w:r w:rsidRPr="003B40E2">
              <w:rPr>
                <w:rFonts w:ascii="Gautami" w:eastAsia="Calibri" w:hAnsi="Gautami" w:cs="Gautami"/>
                <w:sz w:val="16"/>
                <w:szCs w:val="16"/>
              </w:rPr>
              <w:t xml:space="preserve"> that exist beyond gateway devices (routers, bridges </w:t>
            </w:r>
            <w:proofErr w:type="spellStart"/>
            <w:r w:rsidRPr="003B40E2">
              <w:rPr>
                <w:rFonts w:ascii="Gautami" w:eastAsia="Calibri" w:hAnsi="Gautami" w:cs="Gautami"/>
                <w:sz w:val="16"/>
                <w:szCs w:val="16"/>
              </w:rPr>
              <w:t>etc</w:t>
            </w:r>
            <w:proofErr w:type="spellEnd"/>
            <w:r w:rsidRPr="003B40E2">
              <w:rPr>
                <w:rFonts w:ascii="Gautami" w:eastAsia="Calibri" w:hAnsi="Gautami" w:cs="Gautami"/>
                <w:sz w:val="16"/>
                <w:szCs w:val="16"/>
              </w:rPr>
              <w:t>) at corporate offices.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IT &amp; Communications Expenditure includes </w:t>
            </w:r>
          </w:p>
          <w:p w:rsidR="00AE5FBA" w:rsidRPr="003B40E2" w:rsidRDefault="00AE5FBA" w:rsidP="003B40E2">
            <w:pPr>
              <w:pStyle w:val="ListParagraph"/>
              <w:numPr>
                <w:ilvl w:val="0"/>
                <w:numId w:val="3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3B40E2">
              <w:rPr>
                <w:rFonts w:ascii="Gautami" w:hAnsi="Gautami" w:cs="Gautami"/>
                <w:sz w:val="16"/>
                <w:szCs w:val="16"/>
              </w:rPr>
              <w:t>costs</w:t>
            </w:r>
            <w:proofErr w:type="gramEnd"/>
            <w:r w:rsidRPr="003B40E2">
              <w:rPr>
                <w:rFonts w:ascii="Gautami" w:hAnsi="Gautami" w:cs="Gautami"/>
                <w:sz w:val="16"/>
                <w:szCs w:val="16"/>
              </w:rPr>
              <w:t xml:space="preserve"> associated with SCADA and Network Control that exist at the Corporate office side of gateway devices (routers, bridges </w:t>
            </w:r>
            <w:proofErr w:type="spellStart"/>
            <w:r w:rsidRPr="003B40E2">
              <w:rPr>
                <w:rFonts w:ascii="Gautami" w:hAnsi="Gautami" w:cs="Gautami"/>
                <w:sz w:val="16"/>
                <w:szCs w:val="16"/>
              </w:rPr>
              <w:t>etc</w:t>
            </w:r>
            <w:proofErr w:type="spellEnd"/>
            <w:r w:rsidRPr="003B40E2">
              <w:rPr>
                <w:rFonts w:ascii="Gautami" w:hAnsi="Gautami" w:cs="Gautami"/>
                <w:sz w:val="16"/>
                <w:szCs w:val="16"/>
              </w:rPr>
              <w:t>). For example, this would include cost associated with SCADA master systems/control room and directly related equipment</w:t>
            </w:r>
          </w:p>
          <w:p w:rsidR="00AE5FBA" w:rsidRPr="003B40E2" w:rsidRDefault="00AE5FBA" w:rsidP="003B40E2">
            <w:pPr>
              <w:pStyle w:val="ListParagraph"/>
              <w:numPr>
                <w:ilvl w:val="0"/>
                <w:numId w:val="3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IT &amp; Communications Expenditure related to management, dispatching and coordination, etc. of network work crews (e.g. phones, radios etc.). </w:t>
            </w:r>
          </w:p>
          <w:p w:rsidR="00AE5FBA" w:rsidRPr="003B40E2" w:rsidRDefault="00AE5FBA" w:rsidP="003B40E2">
            <w:pPr>
              <w:pStyle w:val="ListParagraph"/>
              <w:numPr>
                <w:ilvl w:val="0"/>
                <w:numId w:val="3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3B40E2">
              <w:rPr>
                <w:rFonts w:ascii="Gautami" w:hAnsi="Gautami" w:cs="Gautami"/>
                <w:sz w:val="16"/>
                <w:szCs w:val="16"/>
              </w:rPr>
              <w:t>any</w:t>
            </w:r>
            <w:proofErr w:type="gramEnd"/>
            <w:r w:rsidRPr="003B40E2">
              <w:rPr>
                <w:rFonts w:ascii="Gautami" w:hAnsi="Gautami" w:cs="Gautami"/>
                <w:sz w:val="16"/>
                <w:szCs w:val="16"/>
              </w:rPr>
              <w:t xml:space="preserve"> common costs shared between the </w:t>
            </w:r>
            <w:r w:rsidRPr="003B40E2">
              <w:rPr>
                <w:rFonts w:ascii="Gautami" w:hAnsi="Gautami" w:cs="Gautami"/>
                <w:i/>
                <w:sz w:val="16"/>
                <w:szCs w:val="16"/>
              </w:rPr>
              <w:t>SCADA and Network Control Expenditure</w:t>
            </w:r>
            <w:r w:rsidRPr="003B40E2">
              <w:rPr>
                <w:rFonts w:ascii="Gautami" w:hAnsi="Gautami" w:cs="Gautami"/>
                <w:sz w:val="16"/>
                <w:szCs w:val="16"/>
              </w:rPr>
              <w:t xml:space="preserve"> and </w:t>
            </w:r>
            <w:r w:rsidRPr="003B40E2">
              <w:rPr>
                <w:rFonts w:ascii="Gautami" w:hAnsi="Gautami" w:cs="Gautami"/>
                <w:i/>
                <w:sz w:val="16"/>
                <w:szCs w:val="16"/>
              </w:rPr>
              <w:t>IT &amp; Communications Expenditure</w:t>
            </w:r>
            <w:r w:rsidRPr="003B40E2">
              <w:rPr>
                <w:rFonts w:ascii="Gautami" w:hAnsi="Gautami" w:cs="Gautami"/>
                <w:sz w:val="16"/>
                <w:szCs w:val="16"/>
              </w:rPr>
              <w:t xml:space="preserve"> categories with no dominant driver related to either of these expenditure categories. For example, a dedicated communications link used for both corporate office communications and network data communications with do dominant driver for incurring the expenditure attributable to either expenditure category should be reported as IT &amp; Communications Expenditure.       </w:t>
            </w:r>
          </w:p>
          <w:p w:rsidR="00AE5FBA" w:rsidRPr="003B40E2" w:rsidRDefault="00AE5FBA" w:rsidP="003B40E2">
            <w:pPr>
              <w:pStyle w:val="ListParagraph"/>
              <w:numPr>
                <w:ilvl w:val="0"/>
                <w:numId w:val="37"/>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3B40E2">
              <w:rPr>
                <w:rFonts w:ascii="Gautami" w:hAnsi="Gautami" w:cs="Gautami"/>
                <w:sz w:val="16"/>
                <w:szCs w:val="16"/>
              </w:rPr>
              <w:t>expenditure</w:t>
            </w:r>
            <w:proofErr w:type="gramEnd"/>
            <w:r w:rsidRPr="003B40E2">
              <w:rPr>
                <w:rFonts w:ascii="Gautami" w:hAnsi="Gautami" w:cs="Gautami"/>
                <w:sz w:val="16"/>
                <w:szCs w:val="16"/>
              </w:rPr>
              <w:t xml:space="preserve"> related to network metering recording and storage at non network sites (i.e. corporate offices/sites).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bCs/>
                <w:sz w:val="16"/>
                <w:szCs w:val="16"/>
                <w:u w:val="single"/>
              </w:rPr>
            </w:pPr>
            <w:r w:rsidRPr="003B40E2">
              <w:rPr>
                <w:rFonts w:ascii="Gautami" w:hAnsi="Gautami" w:cs="Gautami"/>
                <w:sz w:val="16"/>
                <w:szCs w:val="16"/>
              </w:rPr>
              <w:t>Sub categories of Non-network IT&amp; Communications Expenditure are:</w:t>
            </w:r>
          </w:p>
          <w:p w:rsidR="00AE5FBA" w:rsidRPr="003B40E2" w:rsidRDefault="00AE5FBA" w:rsidP="003B40E2">
            <w:pPr>
              <w:pStyle w:val="ListParagraph"/>
              <w:numPr>
                <w:ilvl w:val="0"/>
                <w:numId w:val="37"/>
              </w:numPr>
              <w:spacing w:before="80" w:after="120"/>
              <w:ind w:left="317" w:hanging="317"/>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Client Devices Expenditure</w:t>
            </w:r>
          </w:p>
          <w:p w:rsidR="00AE5FBA" w:rsidRPr="003B40E2" w:rsidRDefault="00AE5FBA" w:rsidP="003B40E2">
            <w:pPr>
              <w:pStyle w:val="ListParagraph"/>
              <w:numPr>
                <w:ilvl w:val="0"/>
                <w:numId w:val="37"/>
              </w:numPr>
              <w:spacing w:before="80" w:after="120"/>
              <w:ind w:left="317" w:hanging="317"/>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Recurrent Expenditure (excluding any client devices expenditure)</w:t>
            </w:r>
          </w:p>
          <w:p w:rsidR="00AE5FBA" w:rsidRPr="003B40E2" w:rsidRDefault="00AE5FBA" w:rsidP="003B40E2">
            <w:pPr>
              <w:pStyle w:val="ListParagraph"/>
              <w:numPr>
                <w:ilvl w:val="0"/>
                <w:numId w:val="37"/>
              </w:numPr>
              <w:spacing w:before="80" w:after="120"/>
              <w:ind w:left="317" w:hanging="317"/>
              <w:jc w:val="left"/>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Non-Recurrent Expenditure (excluding any client devices expenditure)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Non-Network IT &amp; Communications Expenditure - Client Devices Expenditure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Client Devices Expenditure is expenditure related to a hardware device that accesses services made available by a server.   Client Devices Expenditure includes hardware involved in providing desktop computers, laptops, tablets and thin client interfaces and handheld end user computing devices including smart phones, tablets and laptops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Non-network IT &amp; Communications Expenditure - Recurrent Expenditure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Is all </w:t>
            </w:r>
            <w:r w:rsidRPr="003B40E2">
              <w:rPr>
                <w:rFonts w:ascii="Gautami" w:eastAsia="Calibri" w:hAnsi="Gautami" w:cs="Gautami"/>
                <w:i/>
                <w:sz w:val="16"/>
                <w:szCs w:val="16"/>
              </w:rPr>
              <w:t>IT &amp; Communications Expenditure</w:t>
            </w:r>
            <w:r w:rsidRPr="003B40E2">
              <w:rPr>
                <w:rFonts w:ascii="Gautami" w:eastAsia="Calibri" w:hAnsi="Gautami" w:cs="Gautami"/>
                <w:sz w:val="16"/>
                <w:szCs w:val="16"/>
              </w:rPr>
              <w:t xml:space="preserve"> that is </w:t>
            </w:r>
            <w:r w:rsidRPr="003B40E2">
              <w:rPr>
                <w:rFonts w:ascii="Gautami" w:eastAsia="Calibri" w:hAnsi="Gautami" w:cs="Gautami"/>
                <w:i/>
                <w:sz w:val="16"/>
                <w:szCs w:val="16"/>
              </w:rPr>
              <w:t>Recurrent Expenditure</w:t>
            </w:r>
            <w:r w:rsidRPr="003B40E2">
              <w:rPr>
                <w:rFonts w:ascii="Gautami" w:eastAsia="Calibri" w:hAnsi="Gautami" w:cs="Gautami"/>
                <w:sz w:val="16"/>
                <w:szCs w:val="16"/>
              </w:rPr>
              <w:t xml:space="preserve"> excluding any expenditure reported as: </w:t>
            </w:r>
            <w:r w:rsidRPr="003B40E2">
              <w:rPr>
                <w:rFonts w:ascii="Gautami" w:eastAsia="Calibri" w:hAnsi="Gautami" w:cs="Gautami"/>
                <w:i/>
                <w:sz w:val="16"/>
                <w:szCs w:val="16"/>
              </w:rPr>
              <w:t xml:space="preserve">IT &amp; Communications </w:t>
            </w:r>
            <w:proofErr w:type="gramStart"/>
            <w:r w:rsidRPr="003B40E2">
              <w:rPr>
                <w:rFonts w:ascii="Gautami" w:eastAsia="Calibri" w:hAnsi="Gautami" w:cs="Gautami"/>
                <w:i/>
                <w:sz w:val="16"/>
                <w:szCs w:val="16"/>
              </w:rPr>
              <w:t>Expenditure  -</w:t>
            </w:r>
            <w:proofErr w:type="gramEnd"/>
            <w:r w:rsidRPr="003B40E2">
              <w:rPr>
                <w:rFonts w:ascii="Gautami" w:eastAsia="Calibri" w:hAnsi="Gautami" w:cs="Gautami"/>
                <w:i/>
                <w:sz w:val="16"/>
                <w:szCs w:val="16"/>
              </w:rPr>
              <w:t xml:space="preserve"> Client Devices Expenditure</w:t>
            </w:r>
            <w:r w:rsidRPr="003B40E2">
              <w:rPr>
                <w:rFonts w:ascii="Gautami" w:eastAsia="Calibri" w:hAnsi="Gautami" w:cs="Gautami"/>
                <w:sz w:val="16"/>
                <w:szCs w:val="16"/>
              </w:rPr>
              <w:t xml:space="preserve">. </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Non-network IT &amp; Communication </w:t>
            </w:r>
            <w:r>
              <w:rPr>
                <w:rFonts w:ascii="Gautami" w:hAnsi="Gautami" w:cs="Gautami"/>
                <w:b w:val="0"/>
                <w:i/>
                <w:color w:val="000000" w:themeColor="text1"/>
                <w:sz w:val="16"/>
                <w:szCs w:val="16"/>
              </w:rPr>
              <w:t>–</w:t>
            </w:r>
            <w:r w:rsidRPr="003B40E2">
              <w:rPr>
                <w:rFonts w:ascii="Gautami" w:hAnsi="Gautami" w:cs="Gautami"/>
                <w:b w:val="0"/>
                <w:i/>
                <w:color w:val="000000" w:themeColor="text1"/>
                <w:sz w:val="16"/>
                <w:szCs w:val="16"/>
              </w:rPr>
              <w:t xml:space="preserve"> </w:t>
            </w:r>
            <w:r>
              <w:rPr>
                <w:rFonts w:ascii="Gautami" w:hAnsi="Gautami" w:cs="Gautami"/>
                <w:b w:val="0"/>
                <w:i/>
                <w:color w:val="000000" w:themeColor="text1"/>
                <w:sz w:val="16"/>
                <w:szCs w:val="16"/>
              </w:rPr>
              <w:t xml:space="preserve">Descriptor metric - </w:t>
            </w:r>
            <w:r w:rsidRPr="003B40E2">
              <w:rPr>
                <w:rFonts w:ascii="Gautami" w:hAnsi="Gautami" w:cs="Gautami"/>
                <w:b w:val="0"/>
                <w:i/>
                <w:color w:val="000000" w:themeColor="text1"/>
                <w:sz w:val="16"/>
                <w:szCs w:val="16"/>
              </w:rPr>
              <w:t>user numbers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A618ED">
              <w:rPr>
                <w:rFonts w:ascii="Gautami" w:hAnsi="Gautami" w:cs="Gautami"/>
                <w:color w:val="000000" w:themeColor="text1"/>
                <w:sz w:val="16"/>
                <w:szCs w:val="16"/>
              </w:rPr>
              <w:t>Active IT system lo</w:t>
            </w:r>
            <w:r w:rsidRPr="009D63A8">
              <w:rPr>
                <w:rFonts w:ascii="Gautami" w:hAnsi="Gautami" w:cs="Gautami"/>
                <w:color w:val="000000" w:themeColor="text1"/>
                <w:sz w:val="16"/>
                <w:szCs w:val="16"/>
              </w:rPr>
              <w:t xml:space="preserve">g in accounts used for </w:t>
            </w:r>
            <w:r>
              <w:rPr>
                <w:rFonts w:ascii="Gautami" w:hAnsi="Gautami" w:cs="Gautami"/>
                <w:i/>
                <w:color w:val="000000" w:themeColor="text1"/>
                <w:sz w:val="16"/>
                <w:szCs w:val="16"/>
              </w:rPr>
              <w:t>prescribed transmission work</w:t>
            </w:r>
            <w:r>
              <w:rPr>
                <w:rFonts w:ascii="Gautami" w:hAnsi="Gautami" w:cs="Gautami"/>
                <w:color w:val="000000" w:themeColor="text1"/>
                <w:sz w:val="16"/>
                <w:szCs w:val="16"/>
              </w:rPr>
              <w:t xml:space="preserve"> </w:t>
            </w:r>
            <w:r w:rsidRPr="00A618ED">
              <w:rPr>
                <w:rFonts w:ascii="Gautami" w:hAnsi="Gautami" w:cs="Gautami"/>
                <w:color w:val="000000" w:themeColor="text1"/>
                <w:sz w:val="16"/>
                <w:szCs w:val="16"/>
              </w:rPr>
              <w:t xml:space="preserve">scaled for </w:t>
            </w:r>
            <w:r w:rsidRPr="000119E4">
              <w:rPr>
                <w:rFonts w:ascii="Gautami" w:hAnsi="Gautami" w:cs="Gautami"/>
                <w:i/>
                <w:color w:val="000000" w:themeColor="text1"/>
                <w:sz w:val="16"/>
                <w:szCs w:val="16"/>
              </w:rPr>
              <w:t>prescribed transmission services</w:t>
            </w:r>
            <w:r w:rsidRPr="00A618ED">
              <w:rPr>
                <w:rFonts w:ascii="Gautami" w:hAnsi="Gautami" w:cs="Gautami"/>
                <w:color w:val="000000" w:themeColor="text1"/>
                <w:sz w:val="16"/>
                <w:szCs w:val="16"/>
              </w:rPr>
              <w:t xml:space="preserve"> use (i.e. an account used 50% of the time for </w:t>
            </w:r>
            <w:r w:rsidRPr="000119E4">
              <w:rPr>
                <w:rFonts w:ascii="Gautami" w:hAnsi="Gautami" w:cs="Gautami"/>
                <w:i/>
                <w:color w:val="000000" w:themeColor="text1"/>
                <w:sz w:val="16"/>
                <w:szCs w:val="16"/>
              </w:rPr>
              <w:t>prescribed transmission services</w:t>
            </w:r>
            <w:r w:rsidRPr="000129EB">
              <w:rPr>
                <w:rFonts w:ascii="Gautami" w:hAnsi="Gautami" w:cs="Gautami"/>
                <w:color w:val="000000" w:themeColor="text1"/>
                <w:sz w:val="16"/>
                <w:szCs w:val="16"/>
              </w:rPr>
              <w:t xml:space="preserve"> </w:t>
            </w:r>
            <w:r>
              <w:rPr>
                <w:rFonts w:ascii="Gautami" w:hAnsi="Gautami" w:cs="Gautami"/>
                <w:color w:val="000000" w:themeColor="text1"/>
                <w:sz w:val="16"/>
                <w:szCs w:val="16"/>
              </w:rPr>
              <w:t xml:space="preserve">work </w:t>
            </w:r>
            <w:r w:rsidRPr="00A618ED">
              <w:rPr>
                <w:rFonts w:ascii="Gautami" w:hAnsi="Gautami" w:cs="Gautami"/>
                <w:color w:val="000000" w:themeColor="text1"/>
                <w:sz w:val="16"/>
                <w:szCs w:val="16"/>
              </w:rPr>
              <w:t>equals 0.5 active IT log in accounts)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hAnsi="Gautami" w:cs="Gautami"/>
                <w:b w:val="0"/>
                <w:i/>
                <w:color w:val="000000" w:themeColor="text1"/>
                <w:sz w:val="16"/>
                <w:szCs w:val="16"/>
              </w:rPr>
              <w:t xml:space="preserve">Non-network It &amp; Communications – </w:t>
            </w:r>
            <w:r>
              <w:rPr>
                <w:rFonts w:ascii="Gautami" w:hAnsi="Gautami" w:cs="Gautami"/>
                <w:b w:val="0"/>
                <w:i/>
                <w:color w:val="000000" w:themeColor="text1"/>
                <w:sz w:val="16"/>
                <w:szCs w:val="16"/>
              </w:rPr>
              <w:t xml:space="preserve">Descriptor metric - </w:t>
            </w:r>
            <w:r w:rsidRPr="003B40E2">
              <w:rPr>
                <w:rFonts w:ascii="Gautami" w:hAnsi="Gautami" w:cs="Gautami"/>
                <w:b w:val="0"/>
                <w:i/>
                <w:color w:val="000000" w:themeColor="text1"/>
                <w:sz w:val="16"/>
                <w:szCs w:val="16"/>
              </w:rPr>
              <w:t>device numbers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618ED">
              <w:rPr>
                <w:rFonts w:ascii="Gautami" w:hAnsi="Gautami" w:cs="Gautami"/>
                <w:color w:val="000000" w:themeColor="text1"/>
                <w:sz w:val="16"/>
                <w:szCs w:val="16"/>
              </w:rPr>
              <w:t xml:space="preserve">The number of client devices used to </w:t>
            </w:r>
            <w:r w:rsidRPr="009D63A8">
              <w:rPr>
                <w:rFonts w:ascii="Gautami" w:hAnsi="Gautami" w:cs="Gautami"/>
                <w:color w:val="000000" w:themeColor="text1"/>
                <w:sz w:val="16"/>
                <w:szCs w:val="16"/>
              </w:rPr>
              <w:t xml:space="preserve">provide </w:t>
            </w:r>
            <w:r w:rsidRPr="00AF2CCF">
              <w:rPr>
                <w:rFonts w:ascii="Gautami" w:hAnsi="Gautami" w:cs="Gautami"/>
                <w:i/>
                <w:color w:val="000000" w:themeColor="text1"/>
                <w:sz w:val="16"/>
                <w:szCs w:val="16"/>
              </w:rPr>
              <w:t>prescribed transmission services</w:t>
            </w:r>
            <w:r w:rsidRPr="00E23549">
              <w:rPr>
                <w:rFonts w:ascii="Gautami" w:hAnsi="Gautami" w:cs="Gautami"/>
                <w:color w:val="000000" w:themeColor="text1"/>
                <w:sz w:val="16"/>
                <w:szCs w:val="16"/>
              </w:rPr>
              <w:t xml:space="preserve"> </w:t>
            </w:r>
            <w:r w:rsidRPr="00A618ED">
              <w:rPr>
                <w:rFonts w:ascii="Gautami" w:hAnsi="Gautami" w:cs="Gautami"/>
                <w:color w:val="000000" w:themeColor="text1"/>
                <w:sz w:val="16"/>
                <w:szCs w:val="16"/>
              </w:rPr>
              <w:t xml:space="preserve">scaled for </w:t>
            </w:r>
            <w:r w:rsidRPr="000119E4">
              <w:rPr>
                <w:rFonts w:ascii="Gautami" w:hAnsi="Gautami" w:cs="Gautami"/>
                <w:i/>
                <w:color w:val="000000" w:themeColor="text1"/>
                <w:sz w:val="16"/>
                <w:szCs w:val="16"/>
              </w:rPr>
              <w:t>prescribed transmission services</w:t>
            </w:r>
            <w:r w:rsidRPr="00A618ED">
              <w:rPr>
                <w:rFonts w:ascii="Gautami" w:hAnsi="Gautami" w:cs="Gautami"/>
                <w:color w:val="000000" w:themeColor="text1"/>
                <w:sz w:val="16"/>
                <w:szCs w:val="16"/>
              </w:rPr>
              <w:t xml:space="preserve"> use (i.e. a device used 50% of the time for </w:t>
            </w:r>
            <w:r w:rsidRPr="000119E4">
              <w:rPr>
                <w:rFonts w:ascii="Gautami" w:hAnsi="Gautami" w:cs="Gautami"/>
                <w:i/>
                <w:color w:val="000000" w:themeColor="text1"/>
                <w:sz w:val="16"/>
                <w:szCs w:val="16"/>
              </w:rPr>
              <w:t>prescribed transmission services</w:t>
            </w:r>
            <w:r w:rsidRPr="000129EB">
              <w:rPr>
                <w:rFonts w:ascii="Gautami" w:hAnsi="Gautami" w:cs="Gautami"/>
                <w:color w:val="000000" w:themeColor="text1"/>
                <w:sz w:val="16"/>
                <w:szCs w:val="16"/>
              </w:rPr>
              <w:t xml:space="preserve"> </w:t>
            </w:r>
            <w:r>
              <w:rPr>
                <w:rFonts w:ascii="Gautami" w:hAnsi="Gautami" w:cs="Gautami"/>
                <w:color w:val="000000" w:themeColor="text1"/>
                <w:sz w:val="16"/>
                <w:szCs w:val="16"/>
              </w:rPr>
              <w:t xml:space="preserve">work </w:t>
            </w:r>
            <w:r w:rsidRPr="00A618ED">
              <w:rPr>
                <w:rFonts w:ascii="Gautami" w:hAnsi="Gautami" w:cs="Gautami"/>
                <w:color w:val="000000" w:themeColor="text1"/>
                <w:sz w:val="16"/>
                <w:szCs w:val="16"/>
              </w:rPr>
              <w:t>equals 0.5 devices)</w:t>
            </w:r>
            <w:r w:rsidRPr="003B40E2">
              <w:rPr>
                <w:rFonts w:ascii="Gautami" w:hAnsi="Gautami" w:cs="Gautami"/>
                <w:color w:val="000000" w:themeColor="text1"/>
                <w:sz w:val="16"/>
                <w:szCs w:val="16"/>
              </w:rPr>
              <w:t xml:space="preserve">. </w:t>
            </w:r>
            <w:r w:rsidRPr="00A618ED">
              <w:rPr>
                <w:rFonts w:ascii="Gautami" w:hAnsi="Gautami" w:cs="Gautami"/>
                <w:color w:val="000000" w:themeColor="text1"/>
                <w:sz w:val="16"/>
                <w:szCs w:val="16"/>
              </w:rPr>
              <w:t xml:space="preserve"> Client Devices are hardware devices that accesses services made available by a server and may include desktop computers, laptops, </w:t>
            </w:r>
            <w:r w:rsidRPr="00A618ED">
              <w:rPr>
                <w:rFonts w:ascii="Gautami" w:hAnsi="Gautami" w:cs="Gautami"/>
                <w:color w:val="000000" w:themeColor="text1"/>
                <w:sz w:val="16"/>
                <w:szCs w:val="16"/>
              </w:rPr>
              <w:lastRenderedPageBreak/>
              <w:t>tablets and thin client interfaces and handheld end user computing devices including smart phones, tablets and laptops.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hAnsi="Gautami" w:cs="Gautami"/>
                <w:b w:val="0"/>
                <w:i/>
                <w:color w:val="000000" w:themeColor="text1"/>
                <w:sz w:val="16"/>
                <w:szCs w:val="16"/>
              </w:rPr>
            </w:pPr>
            <w:r>
              <w:rPr>
                <w:rFonts w:ascii="Gautami" w:eastAsia="Calibri" w:hAnsi="Gautami" w:cs="Gautami"/>
                <w:b w:val="0"/>
                <w:i/>
                <w:sz w:val="16"/>
                <w:szCs w:val="16"/>
              </w:rPr>
              <w:lastRenderedPageBreak/>
              <w:t xml:space="preserve">Non-network </w:t>
            </w:r>
            <w:r w:rsidRPr="005163B6">
              <w:rPr>
                <w:rFonts w:ascii="Gautami" w:eastAsia="Calibri" w:hAnsi="Gautami" w:cs="Gautami"/>
                <w:b w:val="0"/>
                <w:i/>
                <w:sz w:val="16"/>
                <w:szCs w:val="16"/>
              </w:rPr>
              <w:t>IT &amp; Communications Expenditure – Descriptor Metric – employee numbers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themeColor="text1"/>
                <w:sz w:val="16"/>
                <w:szCs w:val="16"/>
              </w:rPr>
            </w:pPr>
            <w:r w:rsidRPr="00A618ED">
              <w:rPr>
                <w:rFonts w:ascii="Gautami" w:hAnsi="Gautami" w:cs="Gautami"/>
                <w:color w:val="000000" w:themeColor="text1"/>
                <w:sz w:val="16"/>
                <w:szCs w:val="16"/>
              </w:rPr>
              <w:t>The average number of</w:t>
            </w:r>
            <w:r w:rsidRPr="009D63A8">
              <w:rPr>
                <w:rFonts w:ascii="Gautami" w:hAnsi="Gautami" w:cs="Gautami"/>
                <w:color w:val="000000" w:themeColor="text1"/>
                <w:sz w:val="16"/>
                <w:szCs w:val="16"/>
              </w:rPr>
              <w:t xml:space="preserve"> employees engaged in </w:t>
            </w:r>
            <w:r w:rsidRPr="00A618ED">
              <w:rPr>
                <w:rFonts w:ascii="Gautami" w:hAnsi="Gautami" w:cs="Gautami"/>
                <w:i/>
                <w:color w:val="000000" w:themeColor="text1"/>
                <w:sz w:val="16"/>
                <w:szCs w:val="16"/>
              </w:rPr>
              <w:t>prescribed transmission services</w:t>
            </w:r>
            <w:r w:rsidRPr="00A618ED">
              <w:rPr>
                <w:rFonts w:ascii="Gautami" w:hAnsi="Gautami" w:cs="Gautami"/>
                <w:color w:val="000000" w:themeColor="text1"/>
                <w:sz w:val="16"/>
                <w:szCs w:val="16"/>
              </w:rPr>
              <w:t xml:space="preserve"> work over the year scaled for time spent on </w:t>
            </w:r>
            <w:r w:rsidRPr="000119E4">
              <w:rPr>
                <w:rFonts w:ascii="Gautami" w:hAnsi="Gautami" w:cs="Gautami"/>
                <w:i/>
                <w:color w:val="000000" w:themeColor="text1"/>
                <w:sz w:val="16"/>
                <w:szCs w:val="16"/>
              </w:rPr>
              <w:t>prescribed transmission services</w:t>
            </w:r>
            <w:r w:rsidRPr="000129EB">
              <w:rPr>
                <w:rFonts w:ascii="Gautami" w:hAnsi="Gautami" w:cs="Gautami"/>
                <w:color w:val="000000" w:themeColor="text1"/>
                <w:sz w:val="16"/>
                <w:szCs w:val="16"/>
              </w:rPr>
              <w:t xml:space="preserve"> </w:t>
            </w:r>
            <w:r w:rsidRPr="00A618ED">
              <w:rPr>
                <w:rFonts w:ascii="Gautami" w:hAnsi="Gautami" w:cs="Gautami"/>
                <w:color w:val="000000" w:themeColor="text1"/>
                <w:sz w:val="16"/>
                <w:szCs w:val="16"/>
              </w:rPr>
              <w:t xml:space="preserve">work (i.e. an employee spending 50% of their time on </w:t>
            </w:r>
            <w:r w:rsidRPr="000119E4">
              <w:rPr>
                <w:rFonts w:ascii="Gautami" w:hAnsi="Gautami" w:cs="Gautami"/>
                <w:i/>
                <w:color w:val="000000" w:themeColor="text1"/>
                <w:sz w:val="16"/>
                <w:szCs w:val="16"/>
              </w:rPr>
              <w:t>prescribed transmission services</w:t>
            </w:r>
            <w:r w:rsidRPr="000129EB">
              <w:rPr>
                <w:rFonts w:ascii="Gautami" w:hAnsi="Gautami" w:cs="Gautami"/>
                <w:color w:val="000000" w:themeColor="text1"/>
                <w:sz w:val="16"/>
                <w:szCs w:val="16"/>
              </w:rPr>
              <w:t xml:space="preserve"> </w:t>
            </w:r>
            <w:r w:rsidRPr="00A618ED">
              <w:rPr>
                <w:rFonts w:ascii="Gautami" w:hAnsi="Gautami" w:cs="Gautami"/>
                <w:color w:val="000000" w:themeColor="text1"/>
                <w:sz w:val="16"/>
                <w:szCs w:val="16"/>
              </w:rPr>
              <w:t>work equating to 0.5ASLs for the purposes of the labour metrics would be 0.5 employees).  This metric does not include labour engaged under labour hire agreements.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Non-Network Other Expenditure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Is all expenditure directly attributable to the replacement, installation, maintenance and operation of Non-network assets, excluding Motor Vehicle assets, Building and Property assets and IT and Communications assets and includes ·    </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bCs/>
                <w:sz w:val="16"/>
                <w:szCs w:val="16"/>
              </w:rPr>
            </w:pPr>
            <w:r w:rsidRPr="003B40E2">
              <w:rPr>
                <w:rFonts w:ascii="Gautami" w:eastAsia="Calibri" w:hAnsi="Gautami" w:cs="Gautami"/>
                <w:bCs/>
                <w:sz w:val="16"/>
                <w:szCs w:val="16"/>
              </w:rPr>
              <w:t xml:space="preserve">non road registered motor vehicles; non road motor vehicles (e.g. forklifts, boats </w:t>
            </w:r>
            <w:proofErr w:type="spellStart"/>
            <w:r w:rsidRPr="003B40E2">
              <w:rPr>
                <w:rFonts w:ascii="Gautami" w:eastAsia="Calibri" w:hAnsi="Gautami" w:cs="Gautami"/>
                <w:bCs/>
                <w:sz w:val="16"/>
                <w:szCs w:val="16"/>
              </w:rPr>
              <w:t>etc</w:t>
            </w:r>
            <w:proofErr w:type="spellEnd"/>
            <w:r w:rsidRPr="003B40E2">
              <w:rPr>
                <w:rFonts w:ascii="Gautami" w:eastAsia="Calibri" w:hAnsi="Gautami" w:cs="Gautami"/>
                <w:bCs/>
                <w:sz w:val="16"/>
                <w:szCs w:val="16"/>
              </w:rPr>
              <w:t xml:space="preserve">); </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bCs/>
                <w:sz w:val="16"/>
                <w:szCs w:val="16"/>
              </w:rPr>
            </w:pPr>
            <w:r w:rsidRPr="003B40E2">
              <w:rPr>
                <w:rFonts w:ascii="Gautami" w:eastAsia="Calibri" w:hAnsi="Gautami" w:cs="Gautami"/>
                <w:bCs/>
                <w:sz w:val="16"/>
                <w:szCs w:val="16"/>
              </w:rPr>
              <w:t xml:space="preserve">mobile plant and equipment; tools; trailers (road registered or not); </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bCs/>
                <w:sz w:val="16"/>
                <w:szCs w:val="16"/>
              </w:rPr>
            </w:pPr>
            <w:r w:rsidRPr="003B40E2">
              <w:rPr>
                <w:rFonts w:ascii="Gautami" w:eastAsia="Calibri" w:hAnsi="Gautami" w:cs="Gautami"/>
                <w:bCs/>
                <w:sz w:val="16"/>
                <w:szCs w:val="16"/>
              </w:rPr>
              <w:t xml:space="preserve">elevating work platforms not permanently mounted on motor vehicles; and </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bCs/>
                <w:sz w:val="16"/>
                <w:szCs w:val="16"/>
              </w:rPr>
              <w:t>mobile</w:t>
            </w:r>
            <w:proofErr w:type="gramEnd"/>
            <w:r w:rsidRPr="003B40E2">
              <w:rPr>
                <w:rFonts w:ascii="Gautami" w:eastAsia="Calibri" w:hAnsi="Gautami" w:cs="Gautami"/>
                <w:bCs/>
                <w:sz w:val="16"/>
                <w:szCs w:val="16"/>
              </w:rPr>
              <w:t xml:space="preserve"> generators.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Non-recurrent Expenditure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Is all Expenditure that is not </w:t>
            </w:r>
            <w:r w:rsidRPr="003B40E2">
              <w:rPr>
                <w:rFonts w:ascii="Gautami" w:eastAsia="Calibri" w:hAnsi="Gautami" w:cs="Gautami"/>
                <w:i/>
                <w:sz w:val="16"/>
                <w:szCs w:val="16"/>
              </w:rPr>
              <w:t>Recurrent Expenditure</w:t>
            </w:r>
            <w:r w:rsidRPr="003B40E2">
              <w:rPr>
                <w:rFonts w:ascii="Gautami" w:eastAsia="Calibri" w:hAnsi="Gautami" w:cs="Gautami"/>
                <w:sz w:val="16"/>
                <w:szCs w:val="16"/>
              </w:rPr>
              <w:t xml:space="preserve"> in relation to the specific category of </w:t>
            </w:r>
            <w:proofErr w:type="gramStart"/>
            <w:r w:rsidRPr="003B40E2">
              <w:rPr>
                <w:rFonts w:ascii="Gautami" w:eastAsia="Calibri" w:hAnsi="Gautami" w:cs="Gautami"/>
                <w:sz w:val="16"/>
                <w:szCs w:val="16"/>
              </w:rPr>
              <w:t>expenditure.</w:t>
            </w:r>
            <w:proofErr w:type="gramEnd"/>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Recurrent Expenditure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hAnsi="Gautami" w:cs="Gautami"/>
                <w:color w:val="000000" w:themeColor="text1"/>
                <w:sz w:val="16"/>
                <w:szCs w:val="16"/>
              </w:rPr>
              <w:t xml:space="preserve">Recurrent expenditure is expenditure that returns time after time with respect to the particular category of expenditure. Temporally, expenditure that would be expected to be reasonably consistent from regulatory period to regulatory period (taking into account volume and unit cost drivers) would be recurrent expenditure. For example, repex categories with large enough numbers of assets to require consistent replacement from regulatory period to regulatory period (taking into account increases in unit costs and increases in the volumes of assets on the network) would be recurrent expenditure. We would also expect most opex to be recurrent expenditure as it wold be reasonably consistent from regulatory period to regulatory period. Examples of recurrent IT &amp; Communications expenditure may include cyclic replacement of assets and related costs (hardware, software, training etc.). Non-recurrent expenditure is likely to include projects, </w:t>
            </w:r>
            <w:proofErr w:type="gramStart"/>
            <w:r w:rsidRPr="003B40E2">
              <w:rPr>
                <w:rFonts w:ascii="Gautami" w:hAnsi="Gautami" w:cs="Gautami"/>
                <w:color w:val="000000" w:themeColor="text1"/>
                <w:sz w:val="16"/>
                <w:szCs w:val="16"/>
              </w:rPr>
              <w:t>particularly  major</w:t>
            </w:r>
            <w:proofErr w:type="gramEnd"/>
            <w:r w:rsidRPr="003B40E2">
              <w:rPr>
                <w:rFonts w:ascii="Gautami" w:hAnsi="Gautami" w:cs="Gautami"/>
                <w:color w:val="000000" w:themeColor="text1"/>
                <w:sz w:val="16"/>
                <w:szCs w:val="16"/>
              </w:rPr>
              <w:t xml:space="preserve"> projects, that are one off and not ongoing in nature (e.g. major IT or Communications systems upgrades) .</w:t>
            </w: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2F25FF" w:rsidRDefault="00AE5FBA" w:rsidP="00BC2EA4">
            <w:pPr>
              <w:rPr>
                <w:rFonts w:ascii="Gautami" w:eastAsia="Calibri" w:hAnsi="Gautami" w:cs="Gautami"/>
                <w:sz w:val="16"/>
                <w:szCs w:val="16"/>
              </w:rPr>
            </w:pPr>
            <w:r w:rsidRPr="002F25FF">
              <w:rPr>
                <w:rFonts w:ascii="Gautami" w:eastAsia="Calibri" w:hAnsi="Gautami" w:cs="Gautami"/>
                <w:sz w:val="16"/>
                <w:szCs w:val="16"/>
              </w:rPr>
              <w:t xml:space="preserve">Definitions specific to Regulatory Template 4.1 Asset age profile </w:t>
            </w:r>
          </w:p>
        </w:tc>
        <w:tc>
          <w:tcPr>
            <w:tcW w:w="3783" w:type="pct"/>
          </w:tcPr>
          <w:p w:rsidR="00AE5FBA" w:rsidRPr="002F25FF" w:rsidRDefault="00AE5FBA" w:rsidP="00BC2EA4">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25FF">
              <w:rPr>
                <w:rFonts w:ascii="Gautami" w:eastAsia="Calibri" w:hAnsi="Gautami" w:cs="Gautami"/>
                <w:sz w:val="16"/>
                <w:szCs w:val="16"/>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Economic life</w:t>
            </w:r>
          </w:p>
        </w:tc>
        <w:tc>
          <w:tcPr>
            <w:tcW w:w="3783" w:type="pct"/>
          </w:tcPr>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An asset’s economic life is the estimated period after installation of the new asset during which the asset will be capable of delivering the same effective service as it could at its installation date. </w:t>
            </w:r>
          </w:p>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period of effective service needs to consider the life cycle costs between keeping the asset in commission and replacing it with its modern equivalent. </w:t>
            </w:r>
          </w:p>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Life cycle costs of the asset include those associated with the design, implementation, operations, maintenance, renewal and rehabilitation, depreciation and cost of finance. </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Installed assets – quantity currently in commission by year  </w:t>
            </w:r>
          </w:p>
        </w:tc>
        <w:tc>
          <w:tcPr>
            <w:tcW w:w="3783" w:type="pct"/>
          </w:tcPr>
          <w:p w:rsidR="00AE5FBA" w:rsidRPr="003B40E2" w:rsidRDefault="00AE5FBA" w:rsidP="003B40E2">
            <w:pPr>
              <w:pStyle w:val="NoSpacing"/>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number of assets currently in commission and the year they were installed</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Replacement life</w:t>
            </w:r>
          </w:p>
        </w:tc>
        <w:tc>
          <w:tcPr>
            <w:tcW w:w="3783" w:type="pct"/>
          </w:tcPr>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Probability distribution function parameterized by the mean and standard deviation of the expected time to replacement of the assets in the</w:t>
            </w:r>
            <w:r w:rsidRPr="003B40E2">
              <w:t xml:space="preserve"> </w:t>
            </w:r>
            <w:r w:rsidRPr="003B40E2">
              <w:rPr>
                <w:rFonts w:ascii="Gautami" w:eastAsia="Calibri" w:hAnsi="Gautami" w:cs="Gautami"/>
                <w:sz w:val="16"/>
                <w:szCs w:val="16"/>
              </w:rPr>
              <w:t>asset category</w:t>
            </w: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2F25FF" w:rsidRDefault="00AE5FBA" w:rsidP="00BC2EA4">
            <w:pPr>
              <w:rPr>
                <w:rFonts w:ascii="Gautami" w:eastAsia="Calibri" w:hAnsi="Gautami" w:cs="Gautami"/>
                <w:sz w:val="16"/>
                <w:szCs w:val="16"/>
              </w:rPr>
            </w:pPr>
            <w:r w:rsidRPr="002F25FF">
              <w:rPr>
                <w:rFonts w:ascii="Gautami" w:eastAsia="Calibri" w:hAnsi="Gautami" w:cs="Gautami"/>
                <w:sz w:val="16"/>
                <w:szCs w:val="16"/>
              </w:rPr>
              <w:t>Definitions specific to Regulatory Template</w:t>
            </w:r>
            <w:r w:rsidRPr="002F25FF" w:rsidDel="00357487">
              <w:rPr>
                <w:rFonts w:ascii="Gautami" w:eastAsia="Calibri" w:hAnsi="Gautami" w:cs="Gautami"/>
                <w:sz w:val="16"/>
                <w:szCs w:val="16"/>
              </w:rPr>
              <w:t xml:space="preserve"> </w:t>
            </w:r>
            <w:r w:rsidRPr="002F25FF">
              <w:rPr>
                <w:rFonts w:ascii="Gautami" w:eastAsia="Calibri" w:hAnsi="Gautami" w:cs="Gautami"/>
                <w:sz w:val="16"/>
                <w:szCs w:val="16"/>
              </w:rPr>
              <w:t xml:space="preserve">2.2 </w:t>
            </w:r>
            <w:r w:rsidRPr="002F25FF">
              <w:rPr>
                <w:rFonts w:ascii="Gautami" w:eastAsia="Calibri" w:hAnsi="Gautami" w:cs="Gautami"/>
                <w:sz w:val="16"/>
                <w:szCs w:val="16"/>
              </w:rPr>
              <w:lastRenderedPageBreak/>
              <w:t>Repex</w:t>
            </w:r>
          </w:p>
        </w:tc>
        <w:tc>
          <w:tcPr>
            <w:tcW w:w="3783" w:type="pct"/>
          </w:tcPr>
          <w:p w:rsidR="00AE5FBA" w:rsidRPr="002F25FF" w:rsidRDefault="00AE5FBA" w:rsidP="00BC2EA4">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bCs w:val="0"/>
                <w:sz w:val="16"/>
                <w:szCs w:val="16"/>
              </w:rPr>
            </w:pPr>
            <w:r w:rsidRPr="002F25FF">
              <w:rPr>
                <w:rFonts w:ascii="Gautami" w:eastAsia="Calibri" w:hAnsi="Gautami" w:cs="Gautami"/>
                <w:sz w:val="16"/>
                <w:szCs w:val="16"/>
              </w:rPr>
              <w:lastRenderedPageBreak/>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Asset Failures</w:t>
            </w:r>
          </w:p>
        </w:tc>
        <w:tc>
          <w:tcPr>
            <w:tcW w:w="3783" w:type="pct"/>
          </w:tcPr>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failure of an asset to perform its intended function safely and in compliance with jurisdictional regulations, not as a result of external impacts such as:• extreme or atypical weather events; or </w:t>
            </w:r>
          </w:p>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 third party interference, such as traffic accidents and vandalism; or </w:t>
            </w:r>
          </w:p>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 wildlife interference, but only where the wildlife interference directly, clearly and unambiguously influenced asset performance; or </w:t>
            </w:r>
          </w:p>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 </w:t>
            </w:r>
            <w:proofErr w:type="gramStart"/>
            <w:r w:rsidRPr="003B40E2">
              <w:rPr>
                <w:rFonts w:ascii="Gautami" w:eastAsia="Calibri" w:hAnsi="Gautami" w:cs="Gautami"/>
                <w:sz w:val="16"/>
                <w:szCs w:val="16"/>
              </w:rPr>
              <w:t>vegetation</w:t>
            </w:r>
            <w:proofErr w:type="gramEnd"/>
            <w:r w:rsidRPr="003B40E2">
              <w:rPr>
                <w:rFonts w:ascii="Gautami" w:eastAsia="Calibri" w:hAnsi="Gautami" w:cs="Gautami"/>
                <w:sz w:val="16"/>
                <w:szCs w:val="16"/>
              </w:rPr>
              <w:t xml:space="preserve"> interference, but only where the vegetation interference directly, clearly and unambiguously influenced asset performance. </w:t>
            </w:r>
          </w:p>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Excludes planned interruptions.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proofErr w:type="spellStart"/>
            <w:r w:rsidRPr="003B40E2">
              <w:rPr>
                <w:rFonts w:ascii="Gautami" w:eastAsia="Calibri" w:hAnsi="Gautami" w:cs="Gautami"/>
                <w:b w:val="0"/>
                <w:i/>
                <w:sz w:val="16"/>
                <w:szCs w:val="16"/>
              </w:rPr>
              <w:t>MVAr</w:t>
            </w:r>
            <w:proofErr w:type="spellEnd"/>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hAnsi="Gautami" w:cs="Gautami"/>
                <w:sz w:val="16"/>
                <w:szCs w:val="16"/>
              </w:rPr>
              <w:t>Reactive capacity</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Replacement Capital expenditure —‘Repex’</w:t>
            </w:r>
          </w:p>
        </w:tc>
        <w:tc>
          <w:tcPr>
            <w:tcW w:w="3783" w:type="pct"/>
          </w:tcPr>
          <w:p w:rsidR="00AE5FBA" w:rsidRPr="003B40E2" w:rsidRDefault="00AE5FBA" w:rsidP="003B40E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non-demand driven capex to replace an asset with its modern equivalent where the asset has reached the end of its economic life</w:t>
            </w:r>
            <w:proofErr w:type="gramStart"/>
            <w:r w:rsidRPr="003B40E2">
              <w:rPr>
                <w:rFonts w:ascii="Gautami" w:eastAsia="Calibri" w:hAnsi="Gautami" w:cs="Gautami"/>
                <w:sz w:val="16"/>
                <w:szCs w:val="16"/>
              </w:rPr>
              <w:t>..</w:t>
            </w:r>
            <w:proofErr w:type="gramEnd"/>
            <w:r w:rsidRPr="003B40E2">
              <w:rPr>
                <w:rFonts w:ascii="Gautami" w:eastAsia="Calibri" w:hAnsi="Gautami" w:cs="Gautami"/>
                <w:sz w:val="16"/>
                <w:szCs w:val="16"/>
              </w:rPr>
              <w:t xml:space="preserve"> Capex has a primary driver of replacement expenditure if the factor determining the expenditure is the existing asset's inability to efficiently maintain its service performance requirement.</w:t>
            </w: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2F25FF" w:rsidRDefault="00AE5FBA" w:rsidP="00BC2EA4">
            <w:pPr>
              <w:rPr>
                <w:rFonts w:ascii="Gautami" w:eastAsia="Calibri" w:hAnsi="Gautami" w:cs="Gautami"/>
                <w:sz w:val="16"/>
                <w:szCs w:val="16"/>
              </w:rPr>
            </w:pPr>
            <w:r w:rsidRPr="002F25FF">
              <w:rPr>
                <w:rFonts w:ascii="Gautami" w:eastAsia="Calibri" w:hAnsi="Gautami" w:cs="Gautami"/>
                <w:sz w:val="16"/>
                <w:szCs w:val="16"/>
              </w:rPr>
              <w:t>Definitions specific to both Regulatory Template</w:t>
            </w:r>
            <w:r w:rsidRPr="002F25FF" w:rsidDel="00357487">
              <w:rPr>
                <w:rFonts w:ascii="Gautami" w:eastAsia="Calibri" w:hAnsi="Gautami" w:cs="Gautami"/>
                <w:sz w:val="16"/>
                <w:szCs w:val="16"/>
              </w:rPr>
              <w:t xml:space="preserve"> </w:t>
            </w:r>
            <w:r w:rsidRPr="002F25FF">
              <w:rPr>
                <w:rFonts w:ascii="Gautami" w:eastAsia="Calibri" w:hAnsi="Gautami" w:cs="Gautami"/>
                <w:sz w:val="16"/>
                <w:szCs w:val="16"/>
              </w:rPr>
              <w:t>4.1  Asset Age Profile and 2.2 Repex</w:t>
            </w:r>
          </w:p>
        </w:tc>
        <w:tc>
          <w:tcPr>
            <w:tcW w:w="3783" w:type="pct"/>
          </w:tcPr>
          <w:p w:rsidR="00AE5FBA" w:rsidRPr="002F25FF" w:rsidRDefault="00AE5FBA" w:rsidP="00BC2EA4">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25FF">
              <w:rPr>
                <w:rFonts w:ascii="Gautami" w:eastAsia="Calibri" w:hAnsi="Gautami" w:cs="Gautami"/>
                <w:sz w:val="16"/>
                <w:szCs w:val="16"/>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Asset refurbishments/ life extension capex</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non-demand driven capex to restore an asset to its former functionality where the asset has reached the end of its economic life. The works undertaken must result in a material extension in the expected life of the asset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Circuit breaker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 switch that can open under fault current conditions to protect equipment and electrical circuits from damage.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sz w:val="16"/>
                <w:szCs w:val="16"/>
              </w:rPr>
            </w:pPr>
            <w:r w:rsidRPr="003B40E2">
              <w:rPr>
                <w:rFonts w:ascii="Gautami" w:eastAsia="Calibri" w:hAnsi="Gautami" w:cs="Gautami"/>
                <w:b w:val="0"/>
                <w:i/>
                <w:sz w:val="16"/>
                <w:szCs w:val="16"/>
              </w:rPr>
              <w:t>Conductors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These assets have the primary function of transmitting power, above ground, within the transmission network.</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It excludes any assets that are included in any other asset category.</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Current Transformers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sz w:val="16"/>
                <w:szCs w:val="16"/>
              </w:rPr>
              <w:t>transformers</w:t>
            </w:r>
            <w:proofErr w:type="gramEnd"/>
            <w:r w:rsidRPr="003B40E2">
              <w:rPr>
                <w:rFonts w:ascii="Gautami" w:eastAsia="Calibri" w:hAnsi="Gautami" w:cs="Gautami"/>
                <w:sz w:val="16"/>
                <w:szCs w:val="16"/>
              </w:rPr>
              <w:t xml:space="preserve"> used to measure current for protection or measurement purposes.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Gas Insulated Switchgear Unit</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sz w:val="16"/>
                <w:szCs w:val="16"/>
              </w:rPr>
              <w:t>enclosed</w:t>
            </w:r>
            <w:proofErr w:type="gramEnd"/>
            <w:r w:rsidRPr="003B40E2">
              <w:rPr>
                <w:rFonts w:ascii="Gautami" w:eastAsia="Calibri" w:hAnsi="Gautami" w:cs="Gautami"/>
                <w:sz w:val="16"/>
                <w:szCs w:val="16"/>
              </w:rPr>
              <w:t xml:space="preserve"> gas insulated switchgear that may comprise circuit breakers, </w:t>
            </w:r>
            <w:proofErr w:type="spellStart"/>
            <w:r w:rsidRPr="003B40E2">
              <w:rPr>
                <w:rFonts w:ascii="Gautami" w:eastAsia="Calibri" w:hAnsi="Gautami" w:cs="Gautami"/>
                <w:sz w:val="16"/>
                <w:szCs w:val="16"/>
              </w:rPr>
              <w:t>disconnectors</w:t>
            </w:r>
            <w:proofErr w:type="spellEnd"/>
            <w:r w:rsidRPr="003B40E2">
              <w:rPr>
                <w:rFonts w:ascii="Gautami" w:eastAsia="Calibri" w:hAnsi="Gautami" w:cs="Gautami"/>
                <w:sz w:val="16"/>
                <w:szCs w:val="16"/>
              </w:rPr>
              <w:t>, isolators, and other gas insulated components.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Isolators/</w:t>
            </w:r>
            <w:proofErr w:type="spellStart"/>
            <w:r w:rsidRPr="003B40E2">
              <w:rPr>
                <w:rFonts w:ascii="Gautami" w:eastAsia="Calibri" w:hAnsi="Gautami" w:cs="Gautami"/>
                <w:b w:val="0"/>
                <w:i/>
                <w:sz w:val="16"/>
                <w:szCs w:val="16"/>
              </w:rPr>
              <w:t>disconnectors</w:t>
            </w:r>
            <w:proofErr w:type="spellEnd"/>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sz w:val="16"/>
                <w:szCs w:val="16"/>
              </w:rPr>
              <w:t>switches</w:t>
            </w:r>
            <w:proofErr w:type="gramEnd"/>
            <w:r w:rsidRPr="003B40E2">
              <w:rPr>
                <w:rFonts w:ascii="Gautami" w:eastAsia="Calibri" w:hAnsi="Gautami" w:cs="Gautami"/>
                <w:sz w:val="16"/>
                <w:szCs w:val="16"/>
              </w:rPr>
              <w:t xml:space="preserve"> used to de-energise and isolate equipment or portions to the electrical network to allow service or maintenance to be undertaken.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Multiple circuit configuration</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 multiple circuit configuration is a transmission line that includes more than one electrical circuit.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bCs w:val="0"/>
                <w:i/>
                <w:sz w:val="16"/>
                <w:szCs w:val="16"/>
              </w:rPr>
            </w:pPr>
            <w:r w:rsidRPr="003B40E2">
              <w:rPr>
                <w:rFonts w:ascii="Gautami" w:eastAsia="Calibri" w:hAnsi="Gautami" w:cs="Gautami"/>
                <w:b w:val="0"/>
                <w:i/>
                <w:sz w:val="16"/>
                <w:szCs w:val="16"/>
              </w:rPr>
              <w:t>SCADA and Network Control and Protection systems replacement</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Replacement expenditure associated with SCADA and network control hardware, software and associated IT systems. Includes replacement of protection and control systems and communication systems. This excludes all costs associated with SCADA and Network Control Expenditure that exist within gateway devices (routers, bridges etc.) at corporate offices. Protection systems 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Single circuit configuration</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 single circuit configuration is a transmission line that has one set of conductors that are operated as a single electrical circuit. However, for the purposes of this definition, where a line has been constructed as a multi-circuit line but operates as a single circuit line, it should be included as a multi-circuit line.</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sz w:val="16"/>
                <w:szCs w:val="16"/>
              </w:rPr>
            </w:pPr>
            <w:r w:rsidRPr="003B40E2">
              <w:rPr>
                <w:rFonts w:ascii="Gautami" w:eastAsia="Calibri" w:hAnsi="Gautami" w:cs="Gautami"/>
                <w:b w:val="0"/>
                <w:i/>
                <w:sz w:val="16"/>
                <w:szCs w:val="16"/>
              </w:rPr>
              <w:lastRenderedPageBreak/>
              <w:t>Substation power transformers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These are assets used to transform between voltage levels within segments of the network.</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This includes all its components such as the cooling systems and tap changing equipment.</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It excludes any assets that are included in any other asset group.</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For the avoidance of doubt, this does not include instrument transformers as defined in the National Electricity Rules</w:t>
            </w:r>
            <w:r w:rsidRPr="003B40E2">
              <w:rPr>
                <w:rFonts w:ascii="Gautami" w:hAnsi="Gautami" w:cs="Gautami"/>
                <w:sz w:val="16"/>
                <w:szCs w:val="16"/>
              </w:rPr>
              <w:t>.</w:t>
            </w:r>
            <w:r w:rsidRPr="003B40E2">
              <w:rPr>
                <w:rFonts w:ascii="Gautami" w:eastAsia="Calibri" w:hAnsi="Gautami" w:cs="Gautami"/>
                <w:sz w:val="16"/>
                <w:szCs w:val="16"/>
              </w:rPr>
              <w:t xml:space="preserve">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sz w:val="16"/>
                <w:szCs w:val="16"/>
              </w:rPr>
            </w:pPr>
            <w:r w:rsidRPr="003B40E2">
              <w:rPr>
                <w:rFonts w:ascii="Gautami" w:eastAsia="Calibri" w:hAnsi="Gautami" w:cs="Gautami"/>
                <w:b w:val="0"/>
                <w:i/>
                <w:sz w:val="16"/>
                <w:szCs w:val="16"/>
              </w:rPr>
              <w:t>Substation reactive plant</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These are assets used to support the transfer of real power across the network.</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This includes reactors, synchronous condensers, shunt capacitors, static </w:t>
            </w:r>
            <w:proofErr w:type="spellStart"/>
            <w:r w:rsidRPr="003B40E2">
              <w:rPr>
                <w:rFonts w:ascii="Gautami" w:eastAsia="Calibri" w:hAnsi="Gautami" w:cs="Gautami"/>
                <w:sz w:val="16"/>
                <w:szCs w:val="16"/>
              </w:rPr>
              <w:t>VAr</w:t>
            </w:r>
            <w:proofErr w:type="spellEnd"/>
            <w:r w:rsidRPr="003B40E2">
              <w:rPr>
                <w:rFonts w:ascii="Gautami" w:eastAsia="Calibri" w:hAnsi="Gautami" w:cs="Gautami"/>
                <w:sz w:val="16"/>
                <w:szCs w:val="16"/>
              </w:rPr>
              <w:t xml:space="preserve"> compensators, </w:t>
            </w:r>
            <w:proofErr w:type="gramStart"/>
            <w:r w:rsidRPr="003B40E2">
              <w:rPr>
                <w:rFonts w:ascii="Gautami" w:eastAsia="Calibri" w:hAnsi="Gautami" w:cs="Gautami"/>
                <w:sz w:val="16"/>
                <w:szCs w:val="16"/>
              </w:rPr>
              <w:t>dynamic</w:t>
            </w:r>
            <w:proofErr w:type="gramEnd"/>
            <w:r w:rsidRPr="003B40E2">
              <w:rPr>
                <w:rFonts w:ascii="Gautami" w:eastAsia="Calibri" w:hAnsi="Gautami" w:cs="Gautami"/>
                <w:sz w:val="16"/>
                <w:szCs w:val="16"/>
              </w:rPr>
              <w:t xml:space="preserve"> </w:t>
            </w:r>
            <w:proofErr w:type="spellStart"/>
            <w:r w:rsidRPr="003B40E2">
              <w:rPr>
                <w:rFonts w:ascii="Gautami" w:eastAsia="Calibri" w:hAnsi="Gautami" w:cs="Gautami"/>
                <w:sz w:val="16"/>
                <w:szCs w:val="16"/>
              </w:rPr>
              <w:t>VAr</w:t>
            </w:r>
            <w:proofErr w:type="spellEnd"/>
            <w:r w:rsidRPr="003B40E2">
              <w:rPr>
                <w:rFonts w:ascii="Gautami" w:eastAsia="Calibri" w:hAnsi="Gautami" w:cs="Gautami"/>
                <w:sz w:val="16"/>
                <w:szCs w:val="16"/>
              </w:rPr>
              <w:t xml:space="preserve"> compensators.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It excludes any assets that are included in any other asset group.</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sz w:val="16"/>
                <w:szCs w:val="16"/>
              </w:rPr>
            </w:pPr>
            <w:r w:rsidRPr="003B40E2">
              <w:rPr>
                <w:rFonts w:ascii="Gautami" w:eastAsia="Calibri" w:hAnsi="Gautami" w:cs="Gautami"/>
                <w:b w:val="0"/>
                <w:i/>
                <w:sz w:val="16"/>
                <w:szCs w:val="16"/>
              </w:rPr>
              <w:t xml:space="preserve">Substation </w:t>
            </w:r>
            <w:proofErr w:type="spellStart"/>
            <w:r w:rsidRPr="003B40E2">
              <w:rPr>
                <w:rFonts w:ascii="Gautami" w:eastAsia="Calibri" w:hAnsi="Gautami" w:cs="Gautami"/>
                <w:b w:val="0"/>
                <w:i/>
                <w:sz w:val="16"/>
                <w:szCs w:val="16"/>
              </w:rPr>
              <w:t>switchbays</w:t>
            </w:r>
            <w:proofErr w:type="spellEnd"/>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These are all assets used to provide switching within the substation and includes disconnect switches, circuit breakers, current transformers, voltage transformers and associated busbars and steelwork.</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It excludes any assets that are included in any other asset group.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SVCs (Static VAR compensators)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Has the meaning prescribed in the National Electricity </w:t>
            </w:r>
            <w:proofErr w:type="gramStart"/>
            <w:r w:rsidRPr="003B40E2">
              <w:rPr>
                <w:rFonts w:ascii="Gautami" w:eastAsia="Calibri" w:hAnsi="Gautami" w:cs="Gautami"/>
                <w:sz w:val="16"/>
                <w:szCs w:val="16"/>
              </w:rPr>
              <w:t>Rules.</w:t>
            </w:r>
            <w:proofErr w:type="gramEnd"/>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sz w:val="16"/>
                <w:szCs w:val="16"/>
              </w:rPr>
            </w:pPr>
            <w:r w:rsidRPr="003B40E2">
              <w:rPr>
                <w:rFonts w:ascii="Gautami" w:eastAsia="Calibri" w:hAnsi="Gautami" w:cs="Gautami"/>
                <w:b w:val="0"/>
                <w:i/>
                <w:sz w:val="16"/>
                <w:szCs w:val="16"/>
              </w:rPr>
              <w:t>Transmission cables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These assets have the primary function of transmitting power, below ground, between segments of the network.</w:t>
            </w:r>
          </w:p>
          <w:p w:rsidR="00AE5FBA" w:rsidRPr="003B40E2" w:rsidRDefault="00AE5FBA" w:rsidP="003B40E2">
            <w:pPr>
              <w:pStyle w:val="Default"/>
              <w:spacing w:before="80" w:after="120" w:line="288" w:lineRule="auto"/>
              <w:cnfStyle w:val="000000010000" w:firstRow="0" w:lastRow="0" w:firstColumn="0" w:lastColumn="0" w:oddVBand="0" w:evenVBand="0" w:oddHBand="0" w:evenHBand="1" w:firstRowFirstColumn="0" w:firstRowLastColumn="0" w:lastRowFirstColumn="0" w:lastRowLastColumn="0"/>
              <w:rPr>
                <w:rFonts w:ascii="Gautami" w:hAnsi="Gautami" w:cs="Gautami"/>
                <w:i/>
                <w:color w:val="auto"/>
                <w:sz w:val="16"/>
                <w:szCs w:val="20"/>
              </w:rPr>
            </w:pPr>
            <w:r w:rsidRPr="003B40E2">
              <w:rPr>
                <w:rFonts w:ascii="Gautami" w:eastAsia="Calibri" w:hAnsi="Gautami" w:cs="Gautami"/>
                <w:sz w:val="16"/>
                <w:szCs w:val="16"/>
              </w:rPr>
              <w:t xml:space="preserve">This includes the material primarily used to transmit the power and </w:t>
            </w:r>
            <w:r w:rsidRPr="003B40E2">
              <w:rPr>
                <w:rFonts w:ascii="Gautami" w:hAnsi="Gautami" w:cs="Gautami"/>
                <w:i/>
                <w:color w:val="auto"/>
                <w:sz w:val="16"/>
                <w:szCs w:val="20"/>
              </w:rPr>
              <w:t>cable ends, joints, terminations and associated hardware and equipment (e.g. surge diverters, etc.), cable tunnels, ducts, pipes, pits and pillars.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It excludes any assets that are included in any other asset group.</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Transmission towers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These are vertically oriented assets that provide load bearing structural support for conductors or other lines assets. This also includes associated transmission tower support structures, insulators, earthing, footings, where these are replaced in conjunction with a transmission tower replacement project. It excludes any assets that are included in any other asset group.</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Transmission Tower Support Structures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These are horizontally oriented structures and their components that provide support for conductors or other line assets to be located on a transmission tower and provide adequate clearances. This expenditure relates to that which TNSPs incur when transmission tower support structures are replaced independently of the transmission tower they are located on. This includes tower section, arms, insulators, earthing It excludes any assets that are included in any other asset group.</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Voltage Transformers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sz w:val="16"/>
                <w:szCs w:val="16"/>
              </w:rPr>
              <w:t>transformers</w:t>
            </w:r>
            <w:proofErr w:type="gramEnd"/>
            <w:r w:rsidRPr="003B40E2">
              <w:rPr>
                <w:rFonts w:ascii="Gautami" w:eastAsia="Calibri" w:hAnsi="Gautami" w:cs="Gautami"/>
                <w:sz w:val="16"/>
                <w:szCs w:val="16"/>
              </w:rPr>
              <w:t xml:space="preserve"> used to measure voltage levels for protection or measurement purposes.</w:t>
            </w: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2F25FF" w:rsidRDefault="00AE5FBA">
            <w:pPr>
              <w:rPr>
                <w:rFonts w:ascii="Gautami" w:eastAsia="Calibri" w:hAnsi="Gautami" w:cs="Gautami"/>
                <w:b w:val="0"/>
                <w:bCs w:val="0"/>
                <w:color w:val="auto"/>
                <w:sz w:val="16"/>
                <w:szCs w:val="16"/>
                <w:lang w:eastAsia="en-US"/>
              </w:rPr>
            </w:pPr>
            <w:r w:rsidRPr="002F25FF">
              <w:rPr>
                <w:rFonts w:ascii="Gautami" w:eastAsia="Calibri" w:hAnsi="Gautami" w:cs="Gautami"/>
                <w:sz w:val="16"/>
                <w:szCs w:val="16"/>
              </w:rPr>
              <w:t>Definitions specific to Regulatory Template</w:t>
            </w:r>
            <w:r w:rsidRPr="002F25FF" w:rsidDel="00357487">
              <w:rPr>
                <w:rFonts w:ascii="Gautami" w:eastAsia="Calibri" w:hAnsi="Gautami" w:cs="Gautami"/>
                <w:sz w:val="16"/>
                <w:szCs w:val="16"/>
              </w:rPr>
              <w:t xml:space="preserve"> </w:t>
            </w:r>
            <w:r w:rsidRPr="002F25FF">
              <w:rPr>
                <w:rFonts w:ascii="Gautami" w:eastAsia="Calibri" w:hAnsi="Gautami" w:cs="Gautami"/>
                <w:sz w:val="16"/>
                <w:szCs w:val="16"/>
              </w:rPr>
              <w:t xml:space="preserve">2.3 </w:t>
            </w:r>
            <w:proofErr w:type="spellStart"/>
            <w:r>
              <w:rPr>
                <w:rFonts w:ascii="Gautami" w:eastAsia="Calibri" w:hAnsi="Gautami" w:cs="Gautami"/>
                <w:sz w:val="16"/>
                <w:szCs w:val="16"/>
              </w:rPr>
              <w:t>A</w:t>
            </w:r>
            <w:r w:rsidRPr="002F25FF">
              <w:rPr>
                <w:rFonts w:ascii="Gautami" w:eastAsia="Calibri" w:hAnsi="Gautami" w:cs="Gautami"/>
                <w:sz w:val="16"/>
                <w:szCs w:val="16"/>
              </w:rPr>
              <w:t>ugex</w:t>
            </w:r>
            <w:proofErr w:type="spellEnd"/>
            <w:r w:rsidRPr="002F25FF">
              <w:rPr>
                <w:rFonts w:ascii="Gautami" w:eastAsia="Calibri" w:hAnsi="Gautami" w:cs="Gautami"/>
                <w:sz w:val="16"/>
                <w:szCs w:val="16"/>
              </w:rPr>
              <w:t xml:space="preserve"> project data</w:t>
            </w:r>
          </w:p>
        </w:tc>
        <w:tc>
          <w:tcPr>
            <w:tcW w:w="3783" w:type="pct"/>
          </w:tcPr>
          <w:p w:rsidR="00AE5FBA" w:rsidRPr="002F25FF" w:rsidRDefault="00AE5FBA" w:rsidP="00BC2EA4">
            <w:pPr>
              <w:ind w:left="849" w:hanging="283"/>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25FF">
              <w:rPr>
                <w:rFonts w:ascii="Gautami" w:eastAsia="Calibri" w:hAnsi="Gautami" w:cs="Gautami"/>
                <w:sz w:val="16"/>
                <w:szCs w:val="16"/>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Augmentation</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Has the meaning prescribed in the National Electricity Rules, and also includes work relating to improving the quality of the </w:t>
            </w:r>
            <w:r w:rsidRPr="00AF2CCF">
              <w:rPr>
                <w:rFonts w:ascii="Gautami" w:eastAsia="Calibri" w:hAnsi="Gautami" w:cs="Gautami"/>
                <w:i/>
                <w:sz w:val="16"/>
                <w:szCs w:val="16"/>
              </w:rPr>
              <w:t>network</w:t>
            </w:r>
            <w:r w:rsidRPr="003B40E2">
              <w:rPr>
                <w:rFonts w:ascii="Gautami" w:eastAsia="Calibri" w:hAnsi="Gautami" w:cs="Gautami"/>
                <w:sz w:val="16"/>
                <w:szCs w:val="16"/>
              </w:rPr>
              <w:t>, for example, to meet regulatory obligations.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ascii="Gautami" w:eastAsia="Calibri" w:hAnsi="Gautami" w:cs="Gautami"/>
                <w:b w:val="0"/>
                <w:i/>
                <w:sz w:val="16"/>
                <w:szCs w:val="16"/>
              </w:rPr>
              <w:t>Auxiliary transformer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87333C">
              <w:rPr>
                <w:rFonts w:ascii="Gautami" w:eastAsia="Calibri" w:hAnsi="Gautami" w:cs="Gautami"/>
                <w:sz w:val="16"/>
                <w:szCs w:val="16"/>
              </w:rPr>
              <w:t xml:space="preserve">A </w:t>
            </w:r>
            <w:r w:rsidRPr="005A0DCF">
              <w:rPr>
                <w:rFonts w:ascii="Gautami" w:eastAsia="Calibri" w:hAnsi="Gautami" w:cs="Gautami"/>
                <w:i/>
                <w:sz w:val="16"/>
                <w:szCs w:val="16"/>
              </w:rPr>
              <w:t>transformer</w:t>
            </w:r>
            <w:r w:rsidRPr="0087333C">
              <w:rPr>
                <w:rFonts w:ascii="Gautami" w:eastAsia="Calibri" w:hAnsi="Gautami" w:cs="Gautami"/>
                <w:sz w:val="16"/>
                <w:szCs w:val="16"/>
              </w:rPr>
              <w:t xml:space="preserve"> installed normally within a </w:t>
            </w:r>
            <w:r w:rsidRPr="005A0DCF">
              <w:rPr>
                <w:rFonts w:ascii="Gautami" w:eastAsia="Calibri" w:hAnsi="Gautami" w:cs="Gautami"/>
                <w:i/>
                <w:sz w:val="16"/>
                <w:szCs w:val="16"/>
              </w:rPr>
              <w:t>substation</w:t>
            </w:r>
            <w:r w:rsidRPr="0087333C">
              <w:rPr>
                <w:rFonts w:ascii="Gautami" w:eastAsia="Calibri" w:hAnsi="Gautami" w:cs="Gautami"/>
                <w:sz w:val="16"/>
                <w:szCs w:val="16"/>
              </w:rPr>
              <w:t xml:space="preserve"> to provide power supply to </w:t>
            </w:r>
            <w:r w:rsidRPr="005A0DCF">
              <w:rPr>
                <w:rFonts w:ascii="Gautami" w:eastAsia="Calibri" w:hAnsi="Gautami" w:cs="Gautami"/>
                <w:i/>
                <w:sz w:val="16"/>
                <w:szCs w:val="16"/>
              </w:rPr>
              <w:t>substation</w:t>
            </w:r>
            <w:r w:rsidRPr="0087333C">
              <w:rPr>
                <w:rFonts w:ascii="Gautami" w:eastAsia="Calibri" w:hAnsi="Gautami" w:cs="Gautami"/>
                <w:sz w:val="16"/>
                <w:szCs w:val="16"/>
              </w:rPr>
              <w:t xml:space="preserve"> auxiliaries, such as controls, motors, and communication facilities.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Cable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These assets have the primary function of transmitting power, below ground, between segments of the </w:t>
            </w:r>
            <w:r w:rsidRPr="00AF2CCF">
              <w:rPr>
                <w:rFonts w:ascii="Gautami" w:eastAsia="Calibri" w:hAnsi="Gautami" w:cs="Gautami"/>
                <w:i/>
                <w:sz w:val="16"/>
                <w:szCs w:val="16"/>
              </w:rPr>
              <w:t>network</w:t>
            </w:r>
            <w:r w:rsidRPr="003B40E2">
              <w:rPr>
                <w:rFonts w:ascii="Gautami" w:eastAsia="Calibri" w:hAnsi="Gautami" w:cs="Gautami"/>
                <w:sz w:val="16"/>
                <w:szCs w:val="16"/>
              </w:rPr>
              <w: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This includes the material primarily used to transmit the power and any insulation or housing this material requires.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lastRenderedPageBreak/>
              <w:t>It excludes any assets that are included in any other asset category.</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Circuit line length</w:t>
            </w:r>
          </w:p>
        </w:tc>
        <w:tc>
          <w:tcPr>
            <w:tcW w:w="3783" w:type="pct"/>
          </w:tcPr>
          <w:p w:rsidR="00AE5FBA" w:rsidRPr="003B40E2" w:rsidRDefault="00AE5FBA" w:rsidP="00A122C6">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aggregate length in kilometres of</w:t>
            </w:r>
            <w:r>
              <w:rPr>
                <w:rFonts w:ascii="Gautami" w:eastAsia="Calibri" w:hAnsi="Gautami" w:cs="Gautami"/>
                <w:sz w:val="16"/>
                <w:szCs w:val="16"/>
              </w:rPr>
              <w:t xml:space="preserve"> </w:t>
            </w:r>
            <w:r w:rsidRPr="00E34849">
              <w:rPr>
                <w:rFonts w:ascii="Gautami" w:hAnsi="Gautami" w:cs="Gautami"/>
                <w:noProof/>
                <w:color w:val="000000" w:themeColor="text1"/>
                <w:sz w:val="16"/>
                <w:szCs w:val="16"/>
              </w:rPr>
              <w:t>transmission</w:t>
            </w:r>
            <w:r w:rsidRPr="003B40E2">
              <w:rPr>
                <w:rFonts w:ascii="Gautami" w:eastAsia="Calibri" w:hAnsi="Gautami" w:cs="Gautami"/>
                <w:sz w:val="16"/>
                <w:szCs w:val="16"/>
              </w:rPr>
              <w:t xml:space="preserve"> </w:t>
            </w:r>
            <w:r w:rsidRPr="00AF2CCF">
              <w:rPr>
                <w:rFonts w:ascii="Gautami" w:eastAsia="Calibri" w:hAnsi="Gautami" w:cs="Gautami"/>
                <w:i/>
                <w:sz w:val="16"/>
                <w:szCs w:val="16"/>
              </w:rPr>
              <w:t>lines</w:t>
            </w:r>
            <w:r>
              <w:rPr>
                <w:rFonts w:ascii="Gautami" w:eastAsia="Calibri" w:hAnsi="Gautami" w:cs="Gautami"/>
                <w:sz w:val="16"/>
                <w:szCs w:val="16"/>
              </w:rPr>
              <w:t xml:space="preserve"> and </w:t>
            </w:r>
            <w:r w:rsidRPr="00AF2CCF">
              <w:rPr>
                <w:rFonts w:ascii="Gautami" w:eastAsia="Calibri" w:hAnsi="Gautami" w:cs="Gautami"/>
                <w:i/>
                <w:sz w:val="16"/>
                <w:szCs w:val="16"/>
              </w:rPr>
              <w:t>cables</w:t>
            </w:r>
            <w:r w:rsidRPr="003B40E2">
              <w:rPr>
                <w:rFonts w:ascii="Gautami" w:eastAsia="Calibri" w:hAnsi="Gautami" w:cs="Gautami"/>
                <w:sz w:val="16"/>
                <w:szCs w:val="16"/>
              </w:rPr>
              <w:t>, measured as the aggregate length of all circuits irrespective of how many circuits exist in a single span.</w:t>
            </w:r>
            <w:r w:rsidRPr="003B40E2">
              <w:rPr>
                <w:rFonts w:ascii="Gautami" w:hAnsi="Gautami" w:cs="Gautami"/>
                <w:sz w:val="16"/>
                <w:szCs w:val="16"/>
              </w:rPr>
              <w:t xml:space="preserve"> </w:t>
            </w:r>
            <w:r w:rsidRPr="003B40E2">
              <w:rPr>
                <w:rFonts w:ascii="Gautami" w:eastAsia="Calibri" w:hAnsi="Gautami" w:cs="Gautami"/>
                <w:sz w:val="16"/>
                <w:szCs w:val="16"/>
              </w:rPr>
              <w:t>Length does not take into account vertical components such as sag.</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Civil works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construction and/or installation of the infrastructure which will house or provide supporting foundations for electrical cables and equipment. It includes buildings, earthworks, foundations, access roads, as well as support structures not included in any other category.</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Easement</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All rights to enjoyment over property not registered to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 and includes, without limitation, rights to access and maintain land, build and maintain assets on land and </w:t>
            </w:r>
            <w:proofErr w:type="spellStart"/>
            <w:r w:rsidRPr="003B40E2">
              <w:rPr>
                <w:rFonts w:ascii="Gautami" w:eastAsia="Calibri" w:hAnsi="Gautami" w:cs="Gautami"/>
                <w:sz w:val="16"/>
                <w:szCs w:val="16"/>
              </w:rPr>
              <w:t>wayleaves</w:t>
            </w:r>
            <w:proofErr w:type="spellEnd"/>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Line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These assets have the primary function of transmitting power, above ground, within the </w:t>
            </w:r>
            <w:r w:rsidRPr="00E34849">
              <w:rPr>
                <w:rFonts w:ascii="Gautami" w:hAnsi="Gautami" w:cs="Gautami"/>
                <w:noProof/>
                <w:color w:val="000000" w:themeColor="text1"/>
                <w:sz w:val="16"/>
                <w:szCs w:val="16"/>
              </w:rPr>
              <w:t>transmission</w:t>
            </w:r>
            <w:r w:rsidRPr="003B40E2">
              <w:rPr>
                <w:rFonts w:ascii="Gautami" w:eastAsia="Calibri" w:hAnsi="Gautami" w:cs="Gautami"/>
                <w:sz w:val="16"/>
                <w:szCs w:val="16"/>
              </w:rPr>
              <w:t xml:space="preserve"> </w:t>
            </w:r>
            <w:r w:rsidRPr="00AF2CCF">
              <w:rPr>
                <w:rFonts w:ascii="Gautami" w:eastAsia="Calibri" w:hAnsi="Gautami" w:cs="Gautami"/>
                <w:i/>
                <w:sz w:val="16"/>
                <w:szCs w:val="16"/>
              </w:rPr>
              <w:t>network</w:t>
            </w:r>
            <w:r w:rsidRPr="003B40E2">
              <w:rPr>
                <w:rFonts w:ascii="Gautami" w:eastAsia="Calibri" w:hAnsi="Gautami" w:cs="Gautami"/>
                <w:sz w:val="16"/>
                <w:szCs w:val="16"/>
              </w:rPr>
              <w: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It excludes any assets that are included in any other asset category.</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N-1 emergency (for lines</w:t>
            </w:r>
            <w:r>
              <w:rPr>
                <w:rFonts w:ascii="Gautami" w:eastAsia="Calibri" w:hAnsi="Gautami" w:cs="Gautami"/>
                <w:b w:val="0"/>
                <w:i/>
                <w:sz w:val="16"/>
                <w:szCs w:val="16"/>
              </w:rPr>
              <w:t xml:space="preserve"> cables</w:t>
            </w:r>
            <w:r w:rsidRPr="003B40E2">
              <w:rPr>
                <w:rFonts w:ascii="Gautami" w:eastAsia="Calibri" w:hAnsi="Gautami" w:cs="Gautami"/>
                <w:b w:val="0"/>
                <w:i/>
                <w:sz w:val="16"/>
                <w:szCs w:val="16"/>
              </w:rPr>
              <w:t>)</w:t>
            </w:r>
          </w:p>
        </w:tc>
        <w:tc>
          <w:tcPr>
            <w:tcW w:w="3783" w:type="pct"/>
          </w:tcPr>
          <w:p w:rsidR="00AE5FBA" w:rsidRPr="003B40E2" w:rsidRDefault="00AE5FBA" w:rsidP="00AB27B6">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maximum peak load for a given load cycle that a line can supply for up to 15 minutes</w:t>
            </w:r>
            <w:r>
              <w:rPr>
                <w:rFonts w:ascii="Gautami" w:eastAsia="Calibri" w:hAnsi="Gautami" w:cs="Gautami"/>
                <w:sz w:val="16"/>
                <w:szCs w:val="16"/>
              </w:rPr>
              <w:t xml:space="preserve"> </w:t>
            </w:r>
            <w:r w:rsidRPr="00AB27B6">
              <w:rPr>
                <w:rFonts w:ascii="Gautami" w:eastAsia="Calibri" w:hAnsi="Gautami" w:cs="Gautami"/>
                <w:sz w:val="16"/>
                <w:szCs w:val="16"/>
              </w:rPr>
              <w:t>under a single contingency emergency condition</w:t>
            </w:r>
            <w:r w:rsidRPr="003B40E2">
              <w:rPr>
                <w:rFonts w:ascii="Gautami" w:eastAsia="Calibri" w:hAnsi="Gautami" w:cs="Gautami"/>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N-1 emergency (for substations)</w:t>
            </w:r>
          </w:p>
        </w:tc>
        <w:tc>
          <w:tcPr>
            <w:tcW w:w="3783" w:type="pct"/>
          </w:tcPr>
          <w:p w:rsidR="00AE5FBA" w:rsidRPr="003B40E2" w:rsidRDefault="00AE5FBA" w:rsidP="00AB27B6">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maximum peak load for a given load cycle that a substation can supply for up to two hours</w:t>
            </w:r>
            <w:r>
              <w:rPr>
                <w:rFonts w:ascii="Gautami" w:eastAsia="Calibri" w:hAnsi="Gautami" w:cs="Gautami"/>
                <w:sz w:val="16"/>
                <w:szCs w:val="16"/>
              </w:rPr>
              <w:t xml:space="preserve"> </w:t>
            </w:r>
            <w:r w:rsidRPr="00AB27B6">
              <w:rPr>
                <w:rFonts w:ascii="Gautami" w:eastAsia="Calibri" w:hAnsi="Gautami" w:cs="Gautami"/>
                <w:sz w:val="16"/>
                <w:szCs w:val="16"/>
              </w:rPr>
              <w:t>under a single contingency emergency condition</w:t>
            </w:r>
            <w:r w:rsidRPr="003B40E2">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Network</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AF2CCF" w:rsidRDefault="00AE5FBA" w:rsidP="003B40E2">
            <w:pPr>
              <w:spacing w:before="80" w:after="120"/>
              <w:rPr>
                <w:rFonts w:ascii="Gautami" w:eastAsia="Calibri" w:hAnsi="Gautami" w:cs="Gautami"/>
                <w:b w:val="0"/>
                <w:i/>
                <w:sz w:val="16"/>
                <w:szCs w:val="16"/>
              </w:rPr>
            </w:pPr>
            <w:r w:rsidRPr="00E91516">
              <w:rPr>
                <w:rFonts w:ascii="Gautami" w:eastAsia="Calibri" w:hAnsi="Gautami" w:cs="Gautami"/>
                <w:i/>
                <w:sz w:val="16"/>
                <w:szCs w:val="16"/>
              </w:rPr>
              <w:t>Normal cyclic rating</w:t>
            </w:r>
          </w:p>
        </w:tc>
        <w:tc>
          <w:tcPr>
            <w:tcW w:w="3783" w:type="pct"/>
          </w:tcPr>
          <w:p w:rsidR="00AE5FBA" w:rsidRPr="003B40E2" w:rsidRDefault="00AE5FBA" w:rsidP="00AB27B6">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F2CCF">
              <w:rPr>
                <w:rFonts w:ascii="Gautami" w:eastAsia="Calibri" w:hAnsi="Gautami" w:cs="Gautami"/>
                <w:sz w:val="16"/>
                <w:szCs w:val="16"/>
              </w:rPr>
              <w:t xml:space="preserve">The maximum peak loading based on a given </w:t>
            </w:r>
            <w:r w:rsidRPr="0016130B">
              <w:rPr>
                <w:rFonts w:ascii="Gautami" w:eastAsia="Calibri" w:hAnsi="Gautami" w:cs="Gautami"/>
                <w:sz w:val="16"/>
                <w:szCs w:val="16"/>
              </w:rPr>
              <w:t xml:space="preserve">daily </w:t>
            </w:r>
            <w:r w:rsidRPr="00AF2CCF">
              <w:rPr>
                <w:rFonts w:ascii="Gautami" w:eastAsia="Calibri" w:hAnsi="Gautami" w:cs="Gautami"/>
                <w:sz w:val="16"/>
                <w:szCs w:val="16"/>
              </w:rPr>
              <w:t xml:space="preserve">load cycle that an asset or element of the </w:t>
            </w:r>
            <w:r w:rsidRPr="00AF2CCF">
              <w:rPr>
                <w:rFonts w:ascii="Gautami" w:eastAsia="Calibri" w:hAnsi="Gautami" w:cs="Gautami"/>
                <w:i/>
                <w:sz w:val="16"/>
                <w:szCs w:val="16"/>
              </w:rPr>
              <w:t>network</w:t>
            </w:r>
            <w:r w:rsidRPr="00AF2CCF">
              <w:rPr>
                <w:rFonts w:ascii="Gautami" w:eastAsia="Calibri" w:hAnsi="Gautami" w:cs="Gautami"/>
                <w:sz w:val="16"/>
                <w:szCs w:val="16"/>
              </w:rPr>
              <w:t xml:space="preserve"> can supply each day of its life under normal conditions resulting in a normal rate of wear. </w:t>
            </w:r>
            <w:r w:rsidRPr="00E34849">
              <w:rPr>
                <w:rFonts w:ascii="Gautami" w:eastAsia="Calibri" w:hAnsi="Gautami" w:cs="Gautami"/>
                <w:noProof/>
                <w:sz w:val="16"/>
                <w:szCs w:val="16"/>
              </w:rPr>
              <w:t>TNSP</w:t>
            </w:r>
            <w:r w:rsidRPr="00AF2CCF">
              <w:rPr>
                <w:rFonts w:ascii="Gautami" w:eastAsia="Calibri" w:hAnsi="Gautami" w:cs="Gautami"/>
                <w:sz w:val="16"/>
                <w:szCs w:val="16"/>
              </w:rPr>
              <w:t xml:space="preserve"> must provide its definition(s) of ‘normal conditions’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Normal cyclic rating (for substations)</w:t>
            </w:r>
          </w:p>
        </w:tc>
        <w:tc>
          <w:tcPr>
            <w:tcW w:w="3783" w:type="pct"/>
          </w:tcPr>
          <w:p w:rsidR="00AE5FBA" w:rsidRPr="003B40E2" w:rsidRDefault="00AE5FBA" w:rsidP="00AB27B6">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maximum peak loading based on a given daily load cycle that a </w:t>
            </w:r>
            <w:r w:rsidRPr="00AF2CCF">
              <w:rPr>
                <w:rFonts w:ascii="Gautami" w:eastAsia="Calibri" w:hAnsi="Gautami" w:cs="Gautami"/>
                <w:i/>
                <w:sz w:val="16"/>
                <w:szCs w:val="16"/>
              </w:rPr>
              <w:t>substation</w:t>
            </w:r>
            <w:r w:rsidRPr="003B40E2">
              <w:rPr>
                <w:rFonts w:ascii="Gautami" w:eastAsia="Calibri" w:hAnsi="Gautami" w:cs="Gautami"/>
                <w:sz w:val="16"/>
                <w:szCs w:val="16"/>
              </w:rPr>
              <w:t xml:space="preserve"> can supply each day of its life under normal conditions resulting in a normal rate of wear.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 must provide its definition(s) of ‘normal conditions’.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OLTC</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On load tap changer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Project close</w:t>
            </w:r>
          </w:p>
        </w:tc>
        <w:tc>
          <w:tcPr>
            <w:tcW w:w="3783" w:type="pct"/>
          </w:tcPr>
          <w:p w:rsidR="00AE5FBA" w:rsidRPr="005C38AF"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AF2CCF">
              <w:rPr>
                <w:rFonts w:ascii="Gautami" w:eastAsia="Calibri" w:hAnsi="Gautami" w:cs="Gautami"/>
                <w:bCs/>
                <w:sz w:val="16"/>
                <w:szCs w:val="16"/>
              </w:rPr>
              <w:t>When the project account(s) are closed off at the completion of the project.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Reactive plant</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Reactor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Route line length</w:t>
            </w:r>
          </w:p>
        </w:tc>
        <w:tc>
          <w:tcPr>
            <w:tcW w:w="3783" w:type="pct"/>
          </w:tcPr>
          <w:p w:rsidR="00AE5FBA" w:rsidRPr="003B40E2" w:rsidRDefault="00AE5FBA" w:rsidP="00727084">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aggregate length in kilometres of </w:t>
            </w:r>
            <w:r w:rsidRPr="00E34849">
              <w:rPr>
                <w:rFonts w:ascii="Gautami" w:hAnsi="Gautami" w:cs="Gautami"/>
                <w:noProof/>
                <w:color w:val="000000" w:themeColor="text1"/>
                <w:sz w:val="16"/>
                <w:szCs w:val="16"/>
              </w:rPr>
              <w:t>transmission</w:t>
            </w:r>
            <w:r>
              <w:rPr>
                <w:rFonts w:ascii="Gautami" w:eastAsia="Calibri" w:hAnsi="Gautami" w:cs="Gautami"/>
                <w:sz w:val="16"/>
                <w:szCs w:val="16"/>
              </w:rPr>
              <w:t xml:space="preserve"> </w:t>
            </w:r>
            <w:r w:rsidRPr="00AF2CCF">
              <w:rPr>
                <w:rFonts w:ascii="Gautami" w:eastAsia="Calibri" w:hAnsi="Gautami" w:cs="Gautami"/>
                <w:i/>
                <w:sz w:val="16"/>
                <w:szCs w:val="16"/>
              </w:rPr>
              <w:t>lines</w:t>
            </w:r>
            <w:r>
              <w:rPr>
                <w:rFonts w:ascii="Gautami" w:eastAsia="Calibri" w:hAnsi="Gautami" w:cs="Gautami"/>
                <w:sz w:val="16"/>
                <w:szCs w:val="16"/>
              </w:rPr>
              <w:t xml:space="preserve"> (and </w:t>
            </w:r>
            <w:r w:rsidRPr="00AF2CCF">
              <w:rPr>
                <w:rFonts w:ascii="Gautami" w:eastAsia="Calibri" w:hAnsi="Gautami" w:cs="Gautami"/>
                <w:i/>
                <w:sz w:val="16"/>
                <w:szCs w:val="16"/>
              </w:rPr>
              <w:t>cables</w:t>
            </w:r>
            <w:r>
              <w:rPr>
                <w:rFonts w:ascii="Gautami" w:eastAsia="Calibri" w:hAnsi="Gautami" w:cs="Gautami"/>
                <w:sz w:val="16"/>
                <w:szCs w:val="16"/>
              </w:rPr>
              <w:t>)</w:t>
            </w:r>
            <w:r w:rsidRPr="003B40E2">
              <w:rPr>
                <w:rFonts w:ascii="Gautami" w:eastAsia="Calibri" w:hAnsi="Gautami" w:cs="Gautami"/>
                <w:sz w:val="16"/>
                <w:szCs w:val="16"/>
              </w:rPr>
              <w:t xml:space="preserve">, measured as the length of each span between </w:t>
            </w:r>
            <w:r w:rsidRPr="00AF2CCF">
              <w:rPr>
                <w:rFonts w:ascii="Gautami" w:eastAsia="Calibri" w:hAnsi="Gautami" w:cs="Gautami"/>
                <w:i/>
                <w:sz w:val="16"/>
                <w:szCs w:val="16"/>
              </w:rPr>
              <w:t>towers/poles</w:t>
            </w:r>
            <w:r w:rsidRPr="003B40E2">
              <w:rPr>
                <w:rFonts w:ascii="Gautami" w:eastAsia="Calibri" w:hAnsi="Gautami" w:cs="Gautami"/>
                <w:sz w:val="16"/>
                <w:szCs w:val="16"/>
              </w:rPr>
              <w:t>, and where the length of each span is considered only once irrespective of how may circuits it contains. Length does not take into account vertical components such as sag.</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Static VAR compensator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Substation</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As a guide, assets included within a </w:t>
            </w:r>
            <w:r w:rsidRPr="00AF2CCF">
              <w:rPr>
                <w:rFonts w:ascii="Gautami" w:eastAsia="Calibri" w:hAnsi="Gautami" w:cs="Gautami"/>
                <w:i/>
                <w:sz w:val="16"/>
                <w:szCs w:val="16"/>
              </w:rPr>
              <w:t>substation</w:t>
            </w:r>
            <w:r w:rsidRPr="003B40E2">
              <w:rPr>
                <w:rFonts w:ascii="Gautami" w:eastAsia="Calibri" w:hAnsi="Gautami" w:cs="Gautami"/>
                <w:sz w:val="16"/>
                <w:szCs w:val="16"/>
              </w:rPr>
              <w:t xml:space="preserve"> include all equipment, buildings, structures, </w:t>
            </w:r>
            <w:r w:rsidRPr="00AF2CCF">
              <w:rPr>
                <w:rFonts w:ascii="Gautami" w:eastAsia="Calibri" w:hAnsi="Gautami" w:cs="Gautami"/>
                <w:i/>
                <w:sz w:val="16"/>
                <w:szCs w:val="16"/>
              </w:rPr>
              <w:t>civil works</w:t>
            </w:r>
            <w:r w:rsidRPr="003B40E2">
              <w:rPr>
                <w:rFonts w:ascii="Gautami" w:eastAsia="Calibri" w:hAnsi="Gautami" w:cs="Gautami"/>
                <w:sz w:val="16"/>
                <w:szCs w:val="16"/>
              </w:rPr>
              <w:t xml:space="preserve"> and other assets that are located permanently within the </w:t>
            </w:r>
            <w:r w:rsidRPr="00AF2CCF">
              <w:rPr>
                <w:rFonts w:ascii="Gautami" w:eastAsia="Calibri" w:hAnsi="Gautami" w:cs="Gautami"/>
                <w:i/>
                <w:sz w:val="16"/>
                <w:szCs w:val="16"/>
              </w:rPr>
              <w:t>substation</w:t>
            </w:r>
            <w:r w:rsidRPr="003B40E2">
              <w:rPr>
                <w:rFonts w:ascii="Gautami" w:eastAsia="Calibri" w:hAnsi="Gautami" w:cs="Gautami"/>
                <w:sz w:val="16"/>
                <w:szCs w:val="16"/>
              </w:rPr>
              <w:t xml:space="preserve"> boundary fence; but excluding the landing spans of incoming or outgoing overhead </w:t>
            </w:r>
            <w:r w:rsidRPr="00AF2CCF">
              <w:rPr>
                <w:rFonts w:ascii="Gautami" w:eastAsia="Calibri" w:hAnsi="Gautami" w:cs="Gautami"/>
                <w:i/>
                <w:sz w:val="16"/>
                <w:szCs w:val="16"/>
              </w:rPr>
              <w:t>lines</w:t>
            </w:r>
            <w:r w:rsidRPr="003B40E2">
              <w:rPr>
                <w:rFonts w:ascii="Gautami" w:eastAsia="Calibri" w:hAnsi="Gautami" w:cs="Gautami"/>
                <w:sz w:val="16"/>
                <w:szCs w:val="16"/>
              </w:rPr>
              <w:t>, and excluding incoming or outgoing cables and associated cable terminations (cables includes all power, communications and control cables).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Switchgear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These are assets used to control, protect and isolate segments of the </w:t>
            </w:r>
            <w:r w:rsidRPr="00AF2CCF">
              <w:rPr>
                <w:rFonts w:ascii="Gautami" w:eastAsia="Calibri" w:hAnsi="Gautami" w:cs="Gautami"/>
                <w:i/>
                <w:sz w:val="16"/>
                <w:szCs w:val="16"/>
              </w:rPr>
              <w:t>network</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This includes disconnect switches, fuses, circuit breakers, reclosers, sectionalises, etc.</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It excludes any pole mounted assets that are included in any other asset category.</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Switching station</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 station that connects to multiple circuits but does not contain a transformer.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ascii="Gautami" w:eastAsia="Calibri" w:hAnsi="Gautami" w:cs="Gautami"/>
                <w:b w:val="0"/>
                <w:i/>
                <w:sz w:val="16"/>
                <w:szCs w:val="16"/>
              </w:rPr>
              <w:lastRenderedPageBreak/>
              <w:t>Thermal rating (for lines and cables)</w:t>
            </w:r>
          </w:p>
        </w:tc>
        <w:tc>
          <w:tcPr>
            <w:tcW w:w="3783" w:type="pct"/>
          </w:tcPr>
          <w:p w:rsidR="00AE5FBA" w:rsidRPr="003B40E2" w:rsidRDefault="00AE5FBA" w:rsidP="00AB27B6">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EF6A07">
              <w:rPr>
                <w:rFonts w:ascii="Gautami" w:eastAsia="Calibri" w:hAnsi="Gautami" w:cs="Gautami"/>
                <w:sz w:val="16"/>
                <w:szCs w:val="16"/>
              </w:rPr>
              <w:t xml:space="preserve">The maximum rating assigned to a </w:t>
            </w:r>
            <w:r w:rsidRPr="00AF2CCF">
              <w:rPr>
                <w:rFonts w:ascii="Gautami" w:eastAsia="Calibri" w:hAnsi="Gautami" w:cs="Gautami"/>
                <w:i/>
                <w:sz w:val="16"/>
                <w:szCs w:val="16"/>
              </w:rPr>
              <w:t>line</w:t>
            </w:r>
            <w:r w:rsidRPr="00EF6A07">
              <w:rPr>
                <w:rFonts w:ascii="Gautami" w:eastAsia="Calibri" w:hAnsi="Gautami" w:cs="Gautami"/>
                <w:sz w:val="16"/>
                <w:szCs w:val="16"/>
              </w:rPr>
              <w:t xml:space="preserve"> </w:t>
            </w:r>
            <w:r>
              <w:rPr>
                <w:rFonts w:ascii="Gautami" w:eastAsia="Calibri" w:hAnsi="Gautami" w:cs="Gautami"/>
                <w:sz w:val="16"/>
                <w:szCs w:val="16"/>
              </w:rPr>
              <w:t xml:space="preserve">or </w:t>
            </w:r>
            <w:r w:rsidRPr="00AF2CCF">
              <w:rPr>
                <w:rFonts w:ascii="Gautami" w:eastAsia="Calibri" w:hAnsi="Gautami" w:cs="Gautami"/>
                <w:i/>
                <w:sz w:val="16"/>
                <w:szCs w:val="16"/>
              </w:rPr>
              <w:t>cable</w:t>
            </w:r>
            <w:r>
              <w:rPr>
                <w:rFonts w:ascii="Gautami" w:eastAsia="Calibri" w:hAnsi="Gautami" w:cs="Gautami"/>
                <w:sz w:val="16"/>
                <w:szCs w:val="16"/>
              </w:rPr>
              <w:t xml:space="preserve"> </w:t>
            </w:r>
            <w:r w:rsidRPr="00EF6A07">
              <w:rPr>
                <w:rFonts w:ascii="Gautami" w:eastAsia="Calibri" w:hAnsi="Gautami" w:cs="Gautami"/>
                <w:sz w:val="16"/>
                <w:szCs w:val="16"/>
              </w:rPr>
              <w:t xml:space="preserve">under normal operational conditions, that is, resulting in a normal life expectancy. </w:t>
            </w:r>
            <w:r w:rsidRPr="00E34849">
              <w:rPr>
                <w:rFonts w:ascii="Gautami" w:eastAsia="Calibri" w:hAnsi="Gautami" w:cs="Gautami"/>
                <w:noProof/>
                <w:sz w:val="16"/>
                <w:szCs w:val="16"/>
              </w:rPr>
              <w:t>TNSP</w:t>
            </w:r>
            <w:r w:rsidRPr="00EF6A07">
              <w:rPr>
                <w:rFonts w:ascii="Gautami" w:eastAsia="Calibri" w:hAnsi="Gautami" w:cs="Gautami"/>
                <w:sz w:val="16"/>
                <w:szCs w:val="16"/>
              </w:rPr>
              <w:t xml:space="preserve"> must provide its definitions of ‘normal operational conditions’.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Towers/Poles (including structures)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Structures that provide support for overhead </w:t>
            </w:r>
            <w:r w:rsidRPr="00AF2CCF">
              <w:rPr>
                <w:rFonts w:ascii="Gautami" w:eastAsia="Calibri" w:hAnsi="Gautami" w:cs="Gautami"/>
                <w:i/>
                <w:sz w:val="16"/>
                <w:szCs w:val="16"/>
              </w:rPr>
              <w:t>lines</w:t>
            </w:r>
            <w:r w:rsidRPr="003B40E2">
              <w:rPr>
                <w:rFonts w:ascii="Gautami" w:eastAsia="Calibri" w:hAnsi="Gautami" w:cs="Gautami"/>
                <w:sz w:val="16"/>
                <w:szCs w:val="16"/>
              </w:rPr>
              <w:t xml:space="preserve">, </w:t>
            </w:r>
            <w:r w:rsidRPr="00AF2CCF">
              <w:rPr>
                <w:rFonts w:ascii="Gautami" w:eastAsia="Calibri" w:hAnsi="Gautami" w:cs="Gautami"/>
                <w:i/>
                <w:sz w:val="16"/>
                <w:szCs w:val="16"/>
              </w:rPr>
              <w:t>transformers</w:t>
            </w:r>
            <w:r w:rsidRPr="003B40E2">
              <w:rPr>
                <w:rFonts w:ascii="Gautami" w:eastAsia="Calibri" w:hAnsi="Gautami" w:cs="Gautami"/>
                <w:sz w:val="16"/>
                <w:szCs w:val="16"/>
              </w:rPr>
              <w:t xml:space="preserve"> and other </w:t>
            </w:r>
            <w:r w:rsidRPr="00AF2CCF">
              <w:rPr>
                <w:rFonts w:ascii="Gautami" w:eastAsia="Calibri" w:hAnsi="Gautami" w:cs="Gautami"/>
                <w:i/>
                <w:sz w:val="16"/>
                <w:szCs w:val="16"/>
              </w:rPr>
              <w:t>lines</w:t>
            </w:r>
            <w:r w:rsidRPr="003B40E2">
              <w:rPr>
                <w:rFonts w:ascii="Gautami" w:eastAsia="Calibri" w:hAnsi="Gautami" w:cs="Gautami"/>
                <w:sz w:val="16"/>
                <w:szCs w:val="16"/>
              </w:rPr>
              <w:t xml:space="preserve"> assets.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Transformer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These are assets used to transform between </w:t>
            </w:r>
            <w:r w:rsidRPr="00AF2CCF">
              <w:rPr>
                <w:rFonts w:ascii="Gautami" w:eastAsia="Calibri" w:hAnsi="Gautami" w:cs="Gautami"/>
                <w:i/>
                <w:sz w:val="16"/>
                <w:szCs w:val="16"/>
              </w:rPr>
              <w:t>voltage</w:t>
            </w:r>
            <w:r w:rsidRPr="003B40E2">
              <w:rPr>
                <w:rFonts w:ascii="Gautami" w:eastAsia="Calibri" w:hAnsi="Gautami" w:cs="Gautami"/>
                <w:sz w:val="16"/>
                <w:szCs w:val="16"/>
              </w:rPr>
              <w:t xml:space="preserve"> levels within the </w:t>
            </w:r>
            <w:r w:rsidRPr="00AF2CCF">
              <w:rPr>
                <w:rFonts w:ascii="Gautami" w:eastAsia="Calibri" w:hAnsi="Gautami" w:cs="Gautami"/>
                <w:i/>
                <w:sz w:val="16"/>
                <w:szCs w:val="16"/>
              </w:rPr>
              <w:t>network</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This includes all its components such as the cooling systems and tap changing equipment (where installed).</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It excludes any pole mounted assets that are included in any other asset category. </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For the avoidance of doubt, this does not include instrument transformers as defined in the National Electricity Rules.</w:t>
            </w:r>
            <w:r>
              <w:rPr>
                <w:rFonts w:ascii="Gautami" w:eastAsia="Calibri" w:hAnsi="Gautami" w:cs="Gautami"/>
                <w:sz w:val="16"/>
                <w:szCs w:val="16"/>
              </w:rPr>
              <w:t xml:space="preserve"> </w:t>
            </w:r>
            <w:r w:rsidRPr="0087333C">
              <w:rPr>
                <w:rFonts w:ascii="Gautami" w:eastAsia="Calibri" w:hAnsi="Gautami" w:cs="Gautami"/>
                <w:sz w:val="16"/>
                <w:szCs w:val="16"/>
              </w:rPr>
              <w:t xml:space="preserve">It also does not include </w:t>
            </w:r>
            <w:r w:rsidRPr="00AF2CCF">
              <w:rPr>
                <w:rFonts w:ascii="Gautami" w:eastAsia="Calibri" w:hAnsi="Gautami" w:cs="Gautami"/>
                <w:i/>
                <w:sz w:val="16"/>
                <w:szCs w:val="16"/>
              </w:rPr>
              <w:t>auxiliary transformers</w:t>
            </w:r>
            <w:r w:rsidRPr="0087333C">
              <w:rPr>
                <w:rFonts w:ascii="Gautami" w:eastAsia="Calibri" w:hAnsi="Gautami" w:cs="Gautami"/>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Transmission line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Has the meaning prescribed in the National Electricity </w:t>
            </w:r>
            <w:proofErr w:type="gramStart"/>
            <w:r w:rsidRPr="003B40E2">
              <w:rPr>
                <w:rFonts w:ascii="Gautami" w:eastAsia="Calibri" w:hAnsi="Gautami" w:cs="Gautami"/>
                <w:sz w:val="16"/>
                <w:szCs w:val="16"/>
              </w:rPr>
              <w:t>Rules.</w:t>
            </w:r>
            <w:proofErr w:type="gramEnd"/>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5A0DCF">
              <w:rPr>
                <w:rFonts w:ascii="Gautami" w:eastAsia="Calibri" w:hAnsi="Gautami" w:cs="Gautami"/>
                <w:b w:val="0"/>
                <w:i/>
                <w:sz w:val="16"/>
                <w:szCs w:val="16"/>
              </w:rPr>
              <w:t>Voltage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Has the meaning prescribed in the National Electricity </w:t>
            </w:r>
            <w:proofErr w:type="gramStart"/>
            <w:r w:rsidRPr="005A79F8">
              <w:rPr>
                <w:rFonts w:ascii="Gautami" w:eastAsia="Calibri" w:hAnsi="Gautami" w:cs="Gautami"/>
                <w:sz w:val="16"/>
                <w:szCs w:val="16"/>
              </w:rPr>
              <w:t>Rules.</w:t>
            </w:r>
            <w:proofErr w:type="gramEnd"/>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2F0E36" w:rsidRDefault="00AE5FBA" w:rsidP="00BC2EA4">
            <w:pPr>
              <w:rPr>
                <w:rFonts w:ascii="Gautami" w:eastAsia="Calibri" w:hAnsi="Gautami" w:cs="Gautami"/>
                <w:sz w:val="16"/>
                <w:szCs w:val="16"/>
              </w:rPr>
            </w:pPr>
            <w:r w:rsidRPr="002F0E36">
              <w:rPr>
                <w:rFonts w:ascii="Gautami" w:eastAsia="Calibri" w:hAnsi="Gautami" w:cs="Gautami"/>
                <w:sz w:val="16"/>
                <w:szCs w:val="16"/>
              </w:rPr>
              <w:t xml:space="preserve">Definitions specific to </w:t>
            </w:r>
            <w:r w:rsidRPr="002F0E36">
              <w:rPr>
                <w:rFonts w:ascii="Gautami" w:eastAsia="Calibri" w:hAnsi="Gautami" w:cs="Gautami"/>
                <w:i/>
                <w:sz w:val="16"/>
                <w:szCs w:val="16"/>
              </w:rPr>
              <w:t>regulatory template</w:t>
            </w:r>
            <w:r w:rsidRPr="002F0E36" w:rsidDel="00357487">
              <w:rPr>
                <w:rFonts w:ascii="Gautami" w:eastAsia="Calibri" w:hAnsi="Gautami" w:cs="Gautami"/>
                <w:sz w:val="16"/>
                <w:szCs w:val="16"/>
              </w:rPr>
              <w:t xml:space="preserve"> </w:t>
            </w:r>
            <w:r w:rsidRPr="002F0E36">
              <w:rPr>
                <w:rFonts w:ascii="Gautami" w:eastAsia="Calibri" w:hAnsi="Gautami" w:cs="Gautami"/>
                <w:sz w:val="16"/>
                <w:szCs w:val="16"/>
              </w:rPr>
              <w:t>4.2 MD – Network level</w:t>
            </w:r>
          </w:p>
        </w:tc>
        <w:tc>
          <w:tcPr>
            <w:tcW w:w="3783" w:type="pct"/>
          </w:tcPr>
          <w:p w:rsidR="00AE5FBA" w:rsidRPr="002F0E36" w:rsidRDefault="00AE5FBA" w:rsidP="00BC2EA4">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b w:val="0"/>
                <w:sz w:val="16"/>
                <w:szCs w:val="16"/>
              </w:rPr>
            </w:pPr>
            <w:r w:rsidRPr="002F0E36">
              <w:rPr>
                <w:rFonts w:ascii="Gautami" w:eastAsia="Calibri" w:hAnsi="Gautami" w:cs="Gautami"/>
                <w:sz w:val="16"/>
                <w:szCs w:val="16"/>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Block load</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An identified step change in demand, either positive or negative, attributable to a specific project or customer.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Coincidence factor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ratio of demand at a </w:t>
            </w:r>
            <w:r w:rsidRPr="00AF2CCF">
              <w:rPr>
                <w:rFonts w:ascii="Gautami" w:eastAsia="Calibri" w:hAnsi="Gautami" w:cs="Gautami"/>
                <w:i/>
                <w:sz w:val="16"/>
                <w:szCs w:val="16"/>
              </w:rPr>
              <w:t>network</w:t>
            </w:r>
            <w:r w:rsidRPr="003B40E2">
              <w:rPr>
                <w:rFonts w:ascii="Gautami" w:eastAsia="Calibri" w:hAnsi="Gautami" w:cs="Gautami"/>
                <w:sz w:val="16"/>
                <w:szCs w:val="16"/>
              </w:rPr>
              <w:t xml:space="preserve"> segment at the time of system wide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to demand at the same network segment at its maximum. A </w:t>
            </w:r>
            <w:r w:rsidRPr="00AF2CCF">
              <w:rPr>
                <w:rFonts w:ascii="Gautami" w:eastAsia="Calibri" w:hAnsi="Gautami" w:cs="Gautami"/>
                <w:i/>
                <w:sz w:val="16"/>
                <w:szCs w:val="16"/>
              </w:rPr>
              <w:t>coincidence factor</w:t>
            </w:r>
            <w:r w:rsidRPr="003B40E2">
              <w:rPr>
                <w:rFonts w:ascii="Gautami" w:eastAsia="Calibri" w:hAnsi="Gautami" w:cs="Gautami"/>
                <w:sz w:val="16"/>
                <w:szCs w:val="16"/>
              </w:rPr>
              <w:t xml:space="preserve"> can take a value between 0 and 1.</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Coincident maximum demand</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load on the</w:t>
            </w:r>
            <w:r w:rsidRPr="00AF2CCF">
              <w:rPr>
                <w:rFonts w:ascii="Gautami" w:eastAsia="Calibri" w:hAnsi="Gautami" w:cs="Gautami"/>
                <w:i/>
                <w:sz w:val="16"/>
                <w:szCs w:val="16"/>
              </w:rPr>
              <w:t xml:space="preserve"> connection point</w:t>
            </w:r>
            <w:r w:rsidRPr="003B40E2">
              <w:rPr>
                <w:rFonts w:ascii="Gautami" w:eastAsia="Calibri" w:hAnsi="Gautami" w:cs="Gautami"/>
                <w:sz w:val="16"/>
                <w:szCs w:val="16"/>
              </w:rPr>
              <w:t xml:space="preserve">, or other spatial level, at the time during which the </w:t>
            </w:r>
            <w:r w:rsidRPr="00AF2CCF">
              <w:rPr>
                <w:rFonts w:ascii="Gautami" w:eastAsia="Calibri" w:hAnsi="Gautami" w:cs="Gautami"/>
                <w:i/>
                <w:sz w:val="16"/>
                <w:szCs w:val="16"/>
              </w:rPr>
              <w:t>network</w:t>
            </w:r>
            <w:r w:rsidRPr="003B40E2">
              <w:rPr>
                <w:rFonts w:ascii="Gautami" w:eastAsia="Calibri" w:hAnsi="Gautami" w:cs="Gautami"/>
                <w:sz w:val="16"/>
                <w:szCs w:val="16"/>
              </w:rPr>
              <w:t xml:space="preserve"> was experiencing its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for the relevant regulatory year.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Connection point</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Delivered demand</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F2CCF">
              <w:rPr>
                <w:rFonts w:ascii="Gautami" w:eastAsia="Calibri" w:hAnsi="Gautami" w:cs="Gautami"/>
                <w:i/>
                <w:sz w:val="16"/>
                <w:szCs w:val="16"/>
              </w:rPr>
              <w:t>Native demand</w:t>
            </w:r>
            <w:r w:rsidRPr="003B40E2">
              <w:rPr>
                <w:rFonts w:ascii="Gautami" w:eastAsia="Calibri" w:hAnsi="Gautami" w:cs="Gautami"/>
                <w:sz w:val="16"/>
                <w:szCs w:val="16"/>
              </w:rPr>
              <w:t xml:space="preserve"> minus generation by </w:t>
            </w:r>
            <w:r w:rsidRPr="00AF2CCF">
              <w:rPr>
                <w:rFonts w:ascii="Gautami" w:eastAsia="Calibri" w:hAnsi="Gautami" w:cs="Gautami"/>
                <w:i/>
                <w:sz w:val="16"/>
                <w:szCs w:val="16"/>
              </w:rPr>
              <w:t>non-scheduled embedded generators</w:t>
            </w:r>
            <w:r w:rsidRPr="003B40E2">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5A0DCF">
              <w:rPr>
                <w:rFonts w:ascii="Gautami" w:eastAsia="Calibri" w:hAnsi="Gautami" w:cs="Gautami"/>
                <w:b w:val="0"/>
                <w:i/>
                <w:sz w:val="16"/>
                <w:szCs w:val="16"/>
              </w:rPr>
              <w:t>Embedded generation</w:t>
            </w:r>
          </w:p>
        </w:tc>
        <w:tc>
          <w:tcPr>
            <w:tcW w:w="3783" w:type="pct"/>
          </w:tcPr>
          <w:p w:rsidR="00AE5FBA" w:rsidRPr="00BF690B"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i/>
                <w:sz w:val="16"/>
                <w:szCs w:val="16"/>
              </w:rPr>
            </w:pPr>
            <w:r w:rsidRPr="005A0DCF">
              <w:rPr>
                <w:rFonts w:ascii="Gautami" w:eastAsia="Calibri" w:hAnsi="Gautami" w:cs="Gautami"/>
                <w:bCs/>
                <w:sz w:val="16"/>
                <w:szCs w:val="16"/>
              </w:rPr>
              <w:t>See ‘</w:t>
            </w:r>
            <w:r w:rsidRPr="005A0DCF">
              <w:rPr>
                <w:rFonts w:ascii="Gautami" w:eastAsia="Calibri" w:hAnsi="Gautami" w:cs="Gautami"/>
                <w:bCs/>
                <w:i/>
                <w:sz w:val="16"/>
                <w:szCs w:val="16"/>
              </w:rPr>
              <w:t>embedded generator</w:t>
            </w:r>
            <w:r w:rsidRPr="005A0DCF">
              <w:rPr>
                <w:rFonts w:ascii="Gautami" w:eastAsia="Calibri" w:hAnsi="Gautami" w:cs="Gautami"/>
                <w:bCs/>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5A0DCF">
              <w:rPr>
                <w:rFonts w:ascii="Gautami" w:eastAsia="Calibri" w:hAnsi="Gautami" w:cs="Gautami"/>
                <w:b w:val="0"/>
                <w:i/>
                <w:sz w:val="16"/>
                <w:szCs w:val="16"/>
              </w:rPr>
              <w:t>Embedded generator</w:t>
            </w:r>
          </w:p>
        </w:tc>
        <w:tc>
          <w:tcPr>
            <w:tcW w:w="3783" w:type="pct"/>
          </w:tcPr>
          <w:p w:rsidR="00AE5FBA" w:rsidRPr="00BF690B"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i/>
                <w:sz w:val="16"/>
                <w:szCs w:val="16"/>
              </w:rPr>
            </w:pPr>
            <w:r w:rsidRPr="005A0DCF">
              <w:rPr>
                <w:rFonts w:ascii="Gautami" w:eastAsia="Calibri" w:hAnsi="Gautami" w:cs="Gautami"/>
                <w:sz w:val="16"/>
                <w:szCs w:val="16"/>
              </w:rPr>
              <w:t xml:space="preserve">Has the meaning prescribed in the National Electricity </w:t>
            </w:r>
            <w:proofErr w:type="gramStart"/>
            <w:r w:rsidRPr="005A0DCF">
              <w:rPr>
                <w:rFonts w:ascii="Gautami" w:eastAsia="Calibri" w:hAnsi="Gautami" w:cs="Gautami"/>
                <w:sz w:val="16"/>
                <w:szCs w:val="16"/>
              </w:rPr>
              <w:t>Rules.</w:t>
            </w:r>
            <w:proofErr w:type="gramEnd"/>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Maximum demand</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Has the meaning prescribed in the National Electricity </w:t>
            </w:r>
            <w:proofErr w:type="gramStart"/>
            <w:r w:rsidRPr="003B40E2">
              <w:rPr>
                <w:rFonts w:ascii="Gautami" w:eastAsia="Calibri" w:hAnsi="Gautami" w:cs="Gautami"/>
                <w:sz w:val="16"/>
                <w:szCs w:val="16"/>
              </w:rPr>
              <w:t>Rules.</w:t>
            </w:r>
            <w:proofErr w:type="gramEnd"/>
            <w:r w:rsidRPr="003B40E2">
              <w:rPr>
                <w:rFonts w:ascii="Gautami" w:eastAsia="Calibri" w:hAnsi="Gautami" w:cs="Gautami"/>
                <w:sz w:val="16"/>
                <w:szCs w:val="16"/>
              </w:rPr>
              <w:t xml:space="preserve"> </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Note: this RIN sets out the specific types of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information we require to perform our obligations under the NER. For the avoidance of doubt,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refers to 30 minute demand unless otherwise indicated.</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Native demand</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sum of generation by </w:t>
            </w:r>
            <w:r w:rsidRPr="005A0DCF">
              <w:rPr>
                <w:rFonts w:ascii="Gautami" w:eastAsia="Calibri" w:hAnsi="Gautami" w:cs="Gautami"/>
                <w:i/>
                <w:sz w:val="16"/>
                <w:szCs w:val="16"/>
              </w:rPr>
              <w:t>scheduled</w:t>
            </w:r>
            <w:r>
              <w:rPr>
                <w:rFonts w:ascii="Gautami" w:eastAsia="Calibri" w:hAnsi="Gautami" w:cs="Gautami"/>
                <w:sz w:val="16"/>
                <w:szCs w:val="16"/>
              </w:rPr>
              <w:t>,</w:t>
            </w:r>
            <w:r w:rsidRPr="005A79F8">
              <w:rPr>
                <w:rFonts w:ascii="Gautami" w:eastAsia="Calibri" w:hAnsi="Gautami" w:cs="Gautami"/>
                <w:sz w:val="16"/>
                <w:szCs w:val="16"/>
              </w:rPr>
              <w:t xml:space="preserve"> </w:t>
            </w:r>
            <w:r w:rsidRPr="005A0DCF">
              <w:rPr>
                <w:rFonts w:ascii="Gautami" w:eastAsia="Calibri" w:hAnsi="Gautami" w:cs="Gautami"/>
                <w:i/>
                <w:sz w:val="16"/>
                <w:szCs w:val="16"/>
              </w:rPr>
              <w:t>semi-scheduled</w:t>
            </w:r>
            <w:r>
              <w:rPr>
                <w:rFonts w:ascii="Gautami" w:eastAsia="Calibri" w:hAnsi="Gautami" w:cs="Gautami"/>
                <w:sz w:val="16"/>
                <w:szCs w:val="16"/>
              </w:rPr>
              <w:t>,</w:t>
            </w:r>
            <w:r w:rsidRPr="005A79F8">
              <w:rPr>
                <w:rFonts w:ascii="Gautami" w:eastAsia="Calibri" w:hAnsi="Gautami" w:cs="Gautami"/>
                <w:sz w:val="16"/>
                <w:szCs w:val="16"/>
              </w:rPr>
              <w:t xml:space="preserve"> and </w:t>
            </w:r>
            <w:r w:rsidRPr="005A0DCF">
              <w:rPr>
                <w:rFonts w:ascii="Gautami" w:eastAsia="Calibri" w:hAnsi="Gautami" w:cs="Gautami"/>
                <w:i/>
                <w:sz w:val="16"/>
                <w:szCs w:val="16"/>
              </w:rPr>
              <w:t>non-scheduled</w:t>
            </w:r>
            <w:r w:rsidRPr="005A79F8">
              <w:rPr>
                <w:rFonts w:ascii="Gautami" w:eastAsia="Calibri" w:hAnsi="Gautami" w:cs="Gautami"/>
                <w:sz w:val="16"/>
                <w:szCs w:val="16"/>
              </w:rPr>
              <w:t xml:space="preserve"> </w:t>
            </w:r>
            <w:r>
              <w:rPr>
                <w:rFonts w:ascii="Gautami" w:eastAsia="Calibri" w:hAnsi="Gautami" w:cs="Gautami"/>
                <w:i/>
                <w:sz w:val="16"/>
                <w:szCs w:val="16"/>
              </w:rPr>
              <w:t>embedded generation</w:t>
            </w:r>
            <w:r w:rsidRPr="005A79F8">
              <w:rPr>
                <w:rFonts w:ascii="Gautami" w:eastAsia="Calibri" w:hAnsi="Gautami" w:cs="Gautami"/>
                <w:sz w:val="16"/>
                <w:szCs w:val="16"/>
              </w:rPr>
              <w:t xml:space="preserve"> and net interconnector flows into the network, accounting for transmission losses</w:t>
            </w:r>
            <w:r w:rsidRPr="003B40E2">
              <w:rPr>
                <w:rFonts w:ascii="Gautami" w:eastAsia="Calibri" w:hAnsi="Gautami" w:cs="Gautami"/>
                <w:sz w:val="16"/>
                <w:szCs w:val="16"/>
              </w:rPr>
              <w:t xml:space="preserve">. </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293606">
              <w:rPr>
                <w:rFonts w:ascii="Gautami" w:eastAsia="Calibri" w:hAnsi="Gautami" w:cs="Gautami"/>
                <w:b w:val="0"/>
                <w:i/>
                <w:sz w:val="16"/>
                <w:szCs w:val="16"/>
              </w:rPr>
              <w:t>Network</w:t>
            </w:r>
          </w:p>
        </w:tc>
        <w:tc>
          <w:tcPr>
            <w:tcW w:w="3783" w:type="pct"/>
          </w:tcPr>
          <w:p w:rsidR="00AE5FBA" w:rsidRPr="005A79F8"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Has the meaning prescribed in the National Electricity </w:t>
            </w:r>
            <w:proofErr w:type="gramStart"/>
            <w:r w:rsidRPr="005A79F8">
              <w:rPr>
                <w:rFonts w:ascii="Gautami" w:eastAsia="Calibri" w:hAnsi="Gautami" w:cs="Gautami"/>
                <w:sz w:val="16"/>
                <w:szCs w:val="16"/>
              </w:rPr>
              <w:t>Rules</w:t>
            </w:r>
            <w:r>
              <w:rPr>
                <w:rFonts w:ascii="Gautami" w:eastAsia="Calibri" w:hAnsi="Gautami" w:cs="Gautami"/>
                <w:sz w:val="16"/>
                <w:szCs w:val="16"/>
              </w:rPr>
              <w:t>.</w:t>
            </w:r>
            <w:proofErr w:type="gramEnd"/>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0F5DEF">
              <w:rPr>
                <w:rFonts w:ascii="Gautami" w:eastAsia="Calibri" w:hAnsi="Gautami" w:cs="Gautami"/>
                <w:b w:val="0"/>
                <w:i/>
                <w:sz w:val="16"/>
                <w:szCs w:val="16"/>
              </w:rPr>
              <w:t xml:space="preserve">Probability of </w:t>
            </w:r>
            <w:proofErr w:type="spellStart"/>
            <w:r w:rsidRPr="000F5DEF">
              <w:rPr>
                <w:rFonts w:ascii="Gautami" w:eastAsia="Calibri" w:hAnsi="Gautami" w:cs="Gautami"/>
                <w:b w:val="0"/>
                <w:i/>
                <w:sz w:val="16"/>
                <w:szCs w:val="16"/>
              </w:rPr>
              <w:t>exceedance</w:t>
            </w:r>
            <w:proofErr w:type="spellEnd"/>
            <w:r w:rsidRPr="000F5DEF">
              <w:rPr>
                <w:rFonts w:ascii="Gautami" w:eastAsia="Calibri" w:hAnsi="Gautami" w:cs="Gautami"/>
                <w:b w:val="0"/>
                <w:i/>
                <w:sz w:val="16"/>
                <w:szCs w:val="16"/>
              </w:rPr>
              <w:t xml:space="preserve"> (</w:t>
            </w:r>
            <w:proofErr w:type="spellStart"/>
            <w:r w:rsidRPr="000F5DEF">
              <w:rPr>
                <w:rFonts w:ascii="Gautami" w:eastAsia="Calibri" w:hAnsi="Gautami" w:cs="Gautami"/>
                <w:b w:val="0"/>
                <w:i/>
                <w:sz w:val="16"/>
                <w:szCs w:val="16"/>
              </w:rPr>
              <w:t>PoE</w:t>
            </w:r>
            <w:proofErr w:type="spellEnd"/>
            <w:r w:rsidRPr="000F5DEF">
              <w:rPr>
                <w:rFonts w:ascii="Gautami" w:eastAsia="Calibri" w:hAnsi="Gautami" w:cs="Gautami"/>
                <w:b w:val="0"/>
                <w:i/>
                <w:sz w:val="16"/>
                <w:szCs w:val="16"/>
              </w:rPr>
              <w:t>)</w:t>
            </w:r>
          </w:p>
        </w:tc>
        <w:tc>
          <w:tcPr>
            <w:tcW w:w="3783" w:type="pct"/>
          </w:tcPr>
          <w:p w:rsidR="00AE5FBA" w:rsidRPr="005A79F8" w:rsidRDefault="00AE5FBA" w:rsidP="00BF690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Typically, actual </w:t>
            </w:r>
            <w:r w:rsidRPr="005A0DCF">
              <w:rPr>
                <w:rFonts w:ascii="Gautami" w:eastAsia="Calibri" w:hAnsi="Gautami" w:cs="Gautami"/>
                <w:i/>
                <w:sz w:val="16"/>
                <w:szCs w:val="16"/>
              </w:rPr>
              <w:t>maximum demand</w:t>
            </w:r>
            <w:r w:rsidRPr="005A79F8">
              <w:rPr>
                <w:rFonts w:ascii="Gautami" w:eastAsia="Calibri" w:hAnsi="Gautami" w:cs="Gautami"/>
                <w:sz w:val="16"/>
                <w:szCs w:val="16"/>
              </w:rPr>
              <w:t xml:space="preserve"> is standardised to either, or both, of 10 per cent and 50 per cent </w:t>
            </w:r>
            <w:proofErr w:type="spellStart"/>
            <w:r w:rsidRPr="005A0DCF">
              <w:rPr>
                <w:rFonts w:ascii="Gautami" w:eastAsia="Calibri" w:hAnsi="Gautami" w:cs="Gautami"/>
                <w:i/>
                <w:sz w:val="16"/>
                <w:szCs w:val="16"/>
              </w:rPr>
              <w:t>PoE</w:t>
            </w:r>
            <w:proofErr w:type="spellEnd"/>
            <w:r w:rsidRPr="005A79F8">
              <w:rPr>
                <w:rFonts w:ascii="Gautami" w:eastAsia="Calibri" w:hAnsi="Gautami" w:cs="Gautami"/>
                <w:sz w:val="16"/>
                <w:szCs w:val="16"/>
              </w:rPr>
              <w:t xml:space="preserve"> levels.</w:t>
            </w:r>
          </w:p>
          <w:p w:rsidR="00AE5FBA" w:rsidRPr="005A79F8" w:rsidRDefault="00AE5FBA" w:rsidP="00BF690B">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50 (10) </w:t>
            </w:r>
            <w:proofErr w:type="spellStart"/>
            <w:r w:rsidRPr="005A0DCF">
              <w:rPr>
                <w:rFonts w:ascii="Gautami" w:eastAsia="Calibri" w:hAnsi="Gautami" w:cs="Gautami"/>
                <w:i/>
                <w:sz w:val="16"/>
                <w:szCs w:val="16"/>
              </w:rPr>
              <w:t>PoE</w:t>
            </w:r>
            <w:proofErr w:type="spellEnd"/>
            <w:r w:rsidRPr="005A79F8">
              <w:rPr>
                <w:rFonts w:ascii="Gautami" w:eastAsia="Calibri" w:hAnsi="Gautami" w:cs="Gautami"/>
                <w:sz w:val="16"/>
                <w:szCs w:val="16"/>
              </w:rPr>
              <w:t xml:space="preserve"> demand level is the level of </w:t>
            </w:r>
            <w:r w:rsidRPr="005A0DCF">
              <w:rPr>
                <w:rFonts w:ascii="Gautami" w:eastAsia="Calibri" w:hAnsi="Gautami" w:cs="Gautami"/>
                <w:i/>
                <w:sz w:val="16"/>
                <w:szCs w:val="16"/>
              </w:rPr>
              <w:t>maximum demand</w:t>
            </w:r>
            <w:r w:rsidRPr="005A79F8">
              <w:rPr>
                <w:rFonts w:ascii="Gautami" w:eastAsia="Calibri" w:hAnsi="Gautami" w:cs="Gautami"/>
                <w:sz w:val="16"/>
                <w:szCs w:val="16"/>
              </w:rPr>
              <w:t xml:space="preserve"> that, on average, would be exceeded in 50 per cent (10 per cent) of seasons. It can be thought of as the </w:t>
            </w:r>
            <w:r w:rsidRPr="005A0DCF">
              <w:rPr>
                <w:rFonts w:ascii="Gautami" w:eastAsia="Calibri" w:hAnsi="Gautami" w:cs="Gautami"/>
                <w:i/>
                <w:sz w:val="16"/>
                <w:szCs w:val="16"/>
              </w:rPr>
              <w:t>maximum demand</w:t>
            </w:r>
            <w:r w:rsidRPr="005A79F8">
              <w:rPr>
                <w:rFonts w:ascii="Gautami" w:eastAsia="Calibri" w:hAnsi="Gautami" w:cs="Gautami"/>
                <w:sz w:val="16"/>
                <w:szCs w:val="16"/>
              </w:rPr>
              <w:t xml:space="preserve"> that would be observed or exceeded once every two (ten) years on average.</w:t>
            </w:r>
          </w:p>
          <w:p w:rsidR="00AE5FBA" w:rsidRPr="005A79F8"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key driver of variability in demand is usually </w:t>
            </w:r>
            <w:proofErr w:type="gramStart"/>
            <w:r w:rsidRPr="005A79F8">
              <w:rPr>
                <w:rFonts w:ascii="Gautami" w:eastAsia="Calibri" w:hAnsi="Gautami" w:cs="Gautami"/>
                <w:sz w:val="16"/>
                <w:szCs w:val="16"/>
              </w:rPr>
              <w:t>weather</w:t>
            </w:r>
            <w:proofErr w:type="gramEnd"/>
            <w:r w:rsidRPr="005A79F8">
              <w:rPr>
                <w:rFonts w:ascii="Gautami" w:eastAsia="Calibri" w:hAnsi="Gautami" w:cs="Gautami"/>
                <w:sz w:val="16"/>
                <w:szCs w:val="16"/>
              </w:rPr>
              <w:t xml:space="preserve">. However this is not always the case </w:t>
            </w:r>
            <w:r w:rsidRPr="005A79F8">
              <w:rPr>
                <w:rFonts w:ascii="Gautami" w:eastAsia="Calibri" w:hAnsi="Gautami" w:cs="Gautami"/>
                <w:sz w:val="16"/>
                <w:szCs w:val="16"/>
              </w:rPr>
              <w:lastRenderedPageBreak/>
              <w:t xml:space="preserve">and the concept of </w:t>
            </w:r>
            <w:proofErr w:type="spellStart"/>
            <w:r w:rsidRPr="005A79F8">
              <w:rPr>
                <w:rFonts w:ascii="Gautami" w:eastAsia="Calibri" w:hAnsi="Gautami" w:cs="Gautami"/>
                <w:sz w:val="16"/>
                <w:szCs w:val="16"/>
              </w:rPr>
              <w:t>P</w:t>
            </w:r>
            <w:r>
              <w:rPr>
                <w:rFonts w:ascii="Gautami" w:eastAsia="Calibri" w:hAnsi="Gautami" w:cs="Gautami"/>
                <w:sz w:val="16"/>
                <w:szCs w:val="16"/>
              </w:rPr>
              <w:t>o</w:t>
            </w:r>
            <w:r w:rsidRPr="005A79F8">
              <w:rPr>
                <w:rFonts w:ascii="Gautami" w:eastAsia="Calibri" w:hAnsi="Gautami" w:cs="Gautami"/>
                <w:sz w:val="16"/>
                <w:szCs w:val="16"/>
              </w:rPr>
              <w:t>E</w:t>
            </w:r>
            <w:proofErr w:type="spellEnd"/>
            <w:r w:rsidRPr="005A79F8">
              <w:rPr>
                <w:rFonts w:ascii="Gautami" w:eastAsia="Calibri" w:hAnsi="Gautami" w:cs="Gautami"/>
                <w:sz w:val="16"/>
                <w:szCs w:val="16"/>
              </w:rPr>
              <w:t xml:space="preserve"> is not necessarily tied directly to weather.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0F5DEF">
              <w:rPr>
                <w:rFonts w:ascii="Gautami" w:eastAsia="Calibri" w:hAnsi="Gautami" w:cs="Gautami"/>
                <w:b w:val="0"/>
                <w:i/>
                <w:sz w:val="16"/>
                <w:szCs w:val="16"/>
              </w:rPr>
              <w:lastRenderedPageBreak/>
              <w:t>Summer peaking</w:t>
            </w:r>
          </w:p>
        </w:tc>
        <w:tc>
          <w:tcPr>
            <w:tcW w:w="3783" w:type="pct"/>
          </w:tcPr>
          <w:p w:rsidR="00AE5FBA" w:rsidRPr="005A79F8"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0DCF">
              <w:rPr>
                <w:rFonts w:ascii="Gautami" w:eastAsia="Calibri" w:hAnsi="Gautami" w:cs="Gautami"/>
                <w:i/>
                <w:sz w:val="16"/>
                <w:szCs w:val="16"/>
              </w:rPr>
              <w:t>Maximum demand</w:t>
            </w:r>
            <w:r w:rsidRPr="005A79F8">
              <w:rPr>
                <w:rFonts w:ascii="Gautami" w:eastAsia="Calibri" w:hAnsi="Gautami" w:cs="Gautami"/>
                <w:sz w:val="16"/>
                <w:szCs w:val="16"/>
              </w:rPr>
              <w:t xml:space="preserve"> experienced over the period 1 October to 31 March.</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0F5DEF">
              <w:rPr>
                <w:rFonts w:ascii="Gautami" w:eastAsia="Calibri" w:hAnsi="Gautami" w:cs="Gautami"/>
                <w:b w:val="0"/>
                <w:i/>
                <w:sz w:val="16"/>
                <w:szCs w:val="16"/>
              </w:rPr>
              <w:t>Weather correction</w:t>
            </w:r>
          </w:p>
        </w:tc>
        <w:tc>
          <w:tcPr>
            <w:tcW w:w="3783" w:type="pct"/>
          </w:tcPr>
          <w:p w:rsidR="00AE5FBA" w:rsidRPr="005A79F8"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The removal of the impact of temperature fluctuations so as to derive a </w:t>
            </w:r>
            <w:r w:rsidRPr="005A0DCF">
              <w:rPr>
                <w:rFonts w:ascii="Gautami" w:eastAsia="Calibri" w:hAnsi="Gautami" w:cs="Gautami"/>
                <w:i/>
                <w:sz w:val="16"/>
                <w:szCs w:val="16"/>
              </w:rPr>
              <w:t>maximum demand</w:t>
            </w:r>
            <w:r w:rsidRPr="005A79F8">
              <w:rPr>
                <w:rFonts w:ascii="Gautami" w:eastAsia="Calibri" w:hAnsi="Gautami" w:cs="Gautami"/>
                <w:sz w:val="16"/>
                <w:szCs w:val="16"/>
              </w:rPr>
              <w:t xml:space="preserve"> measure corrected to a </w:t>
            </w:r>
            <w:r w:rsidRPr="005A0DCF">
              <w:rPr>
                <w:rFonts w:ascii="Gautami" w:eastAsia="Calibri" w:hAnsi="Gautami" w:cs="Gautami"/>
                <w:i/>
                <w:sz w:val="16"/>
                <w:szCs w:val="16"/>
              </w:rPr>
              <w:t xml:space="preserve">probability of </w:t>
            </w:r>
            <w:proofErr w:type="spellStart"/>
            <w:r w:rsidRPr="005A0DCF">
              <w:rPr>
                <w:rFonts w:ascii="Gautami" w:eastAsia="Calibri" w:hAnsi="Gautami" w:cs="Gautami"/>
                <w:i/>
                <w:sz w:val="16"/>
                <w:szCs w:val="16"/>
              </w:rPr>
              <w:t>exceedance</w:t>
            </w:r>
            <w:proofErr w:type="spellEnd"/>
            <w:r w:rsidRPr="005A0DCF">
              <w:rPr>
                <w:rFonts w:ascii="Gautami" w:eastAsia="Calibri" w:hAnsi="Gautami" w:cs="Gautami"/>
                <w:i/>
                <w:sz w:val="16"/>
                <w:szCs w:val="16"/>
              </w:rPr>
              <w:t xml:space="preserve"> (</w:t>
            </w:r>
            <w:proofErr w:type="spellStart"/>
            <w:r w:rsidRPr="005A0DCF">
              <w:rPr>
                <w:rFonts w:ascii="Gautami" w:eastAsia="Calibri" w:hAnsi="Gautami" w:cs="Gautami"/>
                <w:i/>
                <w:sz w:val="16"/>
                <w:szCs w:val="16"/>
              </w:rPr>
              <w:t>PoE</w:t>
            </w:r>
            <w:proofErr w:type="spellEnd"/>
            <w:r w:rsidRPr="005A0DCF">
              <w:rPr>
                <w:rFonts w:ascii="Gautami" w:eastAsia="Calibri" w:hAnsi="Gautami" w:cs="Gautami"/>
                <w:i/>
                <w:sz w:val="16"/>
                <w:szCs w:val="16"/>
              </w:rPr>
              <w:t>)</w:t>
            </w:r>
            <w:r w:rsidRPr="005A79F8">
              <w:rPr>
                <w:rFonts w:ascii="Gautami" w:eastAsia="Calibri" w:hAnsi="Gautami" w:cs="Gautami"/>
                <w:sz w:val="16"/>
                <w:szCs w:val="16"/>
              </w:rPr>
              <w:t xml:space="preserve">, usually 50% </w:t>
            </w:r>
            <w:proofErr w:type="spellStart"/>
            <w:r w:rsidRPr="005A79F8">
              <w:rPr>
                <w:rFonts w:ascii="Gautami" w:eastAsia="Calibri" w:hAnsi="Gautami" w:cs="Gautami"/>
                <w:sz w:val="16"/>
                <w:szCs w:val="16"/>
              </w:rPr>
              <w:t>PoE</w:t>
            </w:r>
            <w:proofErr w:type="spellEnd"/>
            <w:r w:rsidRPr="005A79F8">
              <w:rPr>
                <w:rFonts w:ascii="Gautami" w:eastAsia="Calibri" w:hAnsi="Gautami" w:cs="Gautami"/>
                <w:sz w:val="16"/>
                <w:szCs w:val="16"/>
              </w:rPr>
              <w:t xml:space="preserve"> and/or 10% </w:t>
            </w:r>
            <w:proofErr w:type="spellStart"/>
            <w:r w:rsidRPr="005A79F8">
              <w:rPr>
                <w:rFonts w:ascii="Gautami" w:eastAsia="Calibri" w:hAnsi="Gautami" w:cs="Gautami"/>
                <w:sz w:val="16"/>
                <w:szCs w:val="16"/>
              </w:rPr>
              <w:t>PoE</w:t>
            </w:r>
            <w:proofErr w:type="spellEnd"/>
            <w:r w:rsidRPr="005A79F8">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0F5DEF">
              <w:rPr>
                <w:rFonts w:ascii="Gautami" w:eastAsia="Calibri" w:hAnsi="Gautami" w:cs="Gautami"/>
                <w:b w:val="0"/>
                <w:i/>
                <w:sz w:val="16"/>
                <w:szCs w:val="16"/>
              </w:rPr>
              <w:t>Winter peaking</w:t>
            </w:r>
          </w:p>
        </w:tc>
        <w:tc>
          <w:tcPr>
            <w:tcW w:w="3783" w:type="pct"/>
          </w:tcPr>
          <w:p w:rsidR="00AE5FBA" w:rsidRPr="005A79F8"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0DCF">
              <w:rPr>
                <w:rFonts w:ascii="Gautami" w:eastAsia="Calibri" w:hAnsi="Gautami" w:cs="Gautami"/>
                <w:i/>
                <w:sz w:val="16"/>
                <w:szCs w:val="16"/>
              </w:rPr>
              <w:t>Maximum demand</w:t>
            </w:r>
            <w:r w:rsidRPr="005A79F8">
              <w:rPr>
                <w:rFonts w:ascii="Gautami" w:eastAsia="Calibri" w:hAnsi="Gautami" w:cs="Gautami"/>
                <w:sz w:val="16"/>
                <w:szCs w:val="16"/>
              </w:rPr>
              <w:t xml:space="preserve"> experienced over the period 1 April to 30 September.</w:t>
            </w: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DA05A7" w:rsidRDefault="00AE5FBA" w:rsidP="00BC2EA4">
            <w:pPr>
              <w:pStyle w:val="AERtabletextleft"/>
              <w:rPr>
                <w:rFonts w:eastAsia="Calibri"/>
                <w:b w:val="0"/>
              </w:rPr>
            </w:pPr>
            <w:r w:rsidRPr="00DA05A7">
              <w:rPr>
                <w:rFonts w:eastAsia="Calibri"/>
              </w:rPr>
              <w:t>Definitions specific to Regulatory Template</w:t>
            </w:r>
            <w:r w:rsidRPr="00DA05A7" w:rsidDel="00357487">
              <w:rPr>
                <w:rFonts w:eastAsia="Calibri"/>
              </w:rPr>
              <w:t xml:space="preserve"> </w:t>
            </w:r>
            <w:r w:rsidRPr="00DA05A7">
              <w:rPr>
                <w:rFonts w:eastAsia="Calibri"/>
              </w:rPr>
              <w:t>4.3 MD and utilisation - Spatial</w:t>
            </w:r>
          </w:p>
        </w:tc>
        <w:tc>
          <w:tcPr>
            <w:tcW w:w="3783" w:type="pct"/>
          </w:tcPr>
          <w:p w:rsidR="00AE5FBA" w:rsidRPr="005A79F8" w:rsidRDefault="00AE5FBA" w:rsidP="00BC2EA4">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r w:rsidRPr="005A79F8">
              <w:rPr>
                <w:rFonts w:eastAsia="Calibri"/>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293606">
              <w:rPr>
                <w:rFonts w:ascii="Gautami" w:eastAsia="Calibri" w:hAnsi="Gautami" w:cs="Gautami"/>
                <w:b w:val="0"/>
                <w:i/>
                <w:sz w:val="16"/>
                <w:szCs w:val="16"/>
              </w:rPr>
              <w:t>Embedded generation</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293606">
              <w:rPr>
                <w:rFonts w:ascii="Gautami" w:eastAsia="Calibri" w:hAnsi="Gautami" w:cs="Gautami"/>
                <w:bCs/>
                <w:sz w:val="16"/>
                <w:szCs w:val="16"/>
              </w:rPr>
              <w:t>See ‘</w:t>
            </w:r>
            <w:r w:rsidRPr="00293606">
              <w:rPr>
                <w:rFonts w:ascii="Gautami" w:eastAsia="Calibri" w:hAnsi="Gautami" w:cs="Gautami"/>
                <w:bCs/>
                <w:i/>
                <w:sz w:val="16"/>
                <w:szCs w:val="16"/>
              </w:rPr>
              <w:t>embedded generator</w:t>
            </w:r>
            <w:r w:rsidRPr="00293606">
              <w:rPr>
                <w:rFonts w:ascii="Gautami" w:eastAsia="Calibri" w:hAnsi="Gautami" w:cs="Gautami"/>
                <w:bCs/>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Embedded generator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Maximum demand</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Has the meaning prescribed in the National Electricity </w:t>
            </w:r>
            <w:proofErr w:type="gramStart"/>
            <w:r w:rsidRPr="003B40E2">
              <w:rPr>
                <w:rFonts w:ascii="Gautami" w:eastAsia="Calibri" w:hAnsi="Gautami" w:cs="Gautami"/>
                <w:sz w:val="16"/>
                <w:szCs w:val="16"/>
              </w:rPr>
              <w:t>Rules.</w:t>
            </w:r>
            <w:proofErr w:type="gramEnd"/>
            <w:r w:rsidRPr="003B40E2">
              <w:rPr>
                <w:rFonts w:ascii="Gautami" w:eastAsia="Calibri" w:hAnsi="Gautami" w:cs="Gautami"/>
                <w:sz w:val="16"/>
                <w:szCs w:val="16"/>
              </w:rPr>
              <w:t xml:space="preserve"> </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Note: this RIN sets out the specific types of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information we require to perform our obligations under the NER. For the avoidance of doubt,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refers to 30 minute demand unless otherwise indicated.</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MVA</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Mega volt ampere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MW</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Megawatt.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293606">
              <w:rPr>
                <w:rFonts w:ascii="Gautami" w:eastAsia="Calibri" w:hAnsi="Gautami" w:cs="Gautami"/>
                <w:b w:val="0"/>
                <w:i/>
                <w:sz w:val="16"/>
                <w:szCs w:val="16"/>
              </w:rPr>
              <w:t>Network</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Network coincident maximum demand</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load on the </w:t>
            </w:r>
            <w:r w:rsidRPr="00AF2CCF">
              <w:rPr>
                <w:rFonts w:ascii="Gautami" w:eastAsia="Calibri" w:hAnsi="Gautami" w:cs="Gautami"/>
                <w:i/>
                <w:sz w:val="16"/>
                <w:szCs w:val="16"/>
              </w:rPr>
              <w:t>network</w:t>
            </w:r>
            <w:r w:rsidRPr="003B40E2">
              <w:rPr>
                <w:rFonts w:ascii="Gautami" w:eastAsia="Calibri" w:hAnsi="Gautami" w:cs="Gautami"/>
                <w:sz w:val="16"/>
                <w:szCs w:val="16"/>
              </w:rPr>
              <w:t xml:space="preserve"> at the time during which the network was experiencing its maximum demand for the relevant regulatory year.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Non-coincident maximum demand</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load on the </w:t>
            </w:r>
            <w:r w:rsidRPr="00AF2CCF">
              <w:rPr>
                <w:rFonts w:ascii="Gautami" w:eastAsia="Calibri" w:hAnsi="Gautami" w:cs="Gautami"/>
                <w:i/>
                <w:sz w:val="16"/>
                <w:szCs w:val="16"/>
              </w:rPr>
              <w:t>connection point</w:t>
            </w:r>
            <w:r w:rsidRPr="003B40E2">
              <w:rPr>
                <w:rFonts w:ascii="Gautami" w:eastAsia="Calibri" w:hAnsi="Gautami" w:cs="Gautami"/>
                <w:sz w:val="16"/>
                <w:szCs w:val="16"/>
              </w:rPr>
              <w:t xml:space="preserve">, or other spatial level, at the time during which the relevant </w:t>
            </w:r>
            <w:r w:rsidRPr="00AF2CCF">
              <w:rPr>
                <w:rFonts w:ascii="Gautami" w:eastAsia="Calibri" w:hAnsi="Gautami" w:cs="Gautami"/>
                <w:i/>
                <w:sz w:val="16"/>
                <w:szCs w:val="16"/>
              </w:rPr>
              <w:t>connection point</w:t>
            </w:r>
            <w:r w:rsidRPr="003B40E2">
              <w:rPr>
                <w:rFonts w:ascii="Gautami" w:eastAsia="Calibri" w:hAnsi="Gautami" w:cs="Gautami"/>
                <w:sz w:val="16"/>
                <w:szCs w:val="16"/>
              </w:rPr>
              <w:t xml:space="preserve">, or spatial level, was experiencing its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for the relevant regulatory year.</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Non-scheduled generator</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8019E">
              <w:rPr>
                <w:rFonts w:ascii="Gautami" w:eastAsia="Calibri" w:hAnsi="Gautami" w:cs="Gautami"/>
                <w:b w:val="0"/>
                <w:i/>
                <w:sz w:val="16"/>
                <w:szCs w:val="16"/>
              </w:rPr>
              <w:t>Normal cyclic rating</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8019E">
              <w:rPr>
                <w:rFonts w:ascii="Gautami" w:eastAsia="Calibri" w:hAnsi="Gautami" w:cs="Gautami"/>
                <w:sz w:val="16"/>
                <w:szCs w:val="16"/>
              </w:rPr>
              <w:t xml:space="preserve">The </w:t>
            </w:r>
            <w:r w:rsidRPr="00AF2CCF">
              <w:rPr>
                <w:rFonts w:ascii="Gautami" w:eastAsia="Calibri" w:hAnsi="Gautami" w:cs="Gautami"/>
                <w:sz w:val="16"/>
                <w:szCs w:val="16"/>
              </w:rPr>
              <w:t>maximum peak</w:t>
            </w:r>
            <w:r w:rsidRPr="0038019E">
              <w:rPr>
                <w:rFonts w:ascii="Gautami" w:eastAsia="Calibri" w:hAnsi="Gautami" w:cs="Gautami"/>
                <w:sz w:val="16"/>
                <w:szCs w:val="16"/>
              </w:rPr>
              <w:t xml:space="preserve"> loading based on a given daily load cycle that an asset or element of the </w:t>
            </w:r>
            <w:r w:rsidRPr="005A0DCF">
              <w:rPr>
                <w:rFonts w:ascii="Gautami" w:eastAsia="Calibri" w:hAnsi="Gautami" w:cs="Gautami"/>
                <w:i/>
                <w:sz w:val="16"/>
                <w:szCs w:val="16"/>
              </w:rPr>
              <w:t>network</w:t>
            </w:r>
            <w:r w:rsidRPr="0038019E">
              <w:rPr>
                <w:rFonts w:ascii="Gautami" w:eastAsia="Calibri" w:hAnsi="Gautami" w:cs="Gautami"/>
                <w:sz w:val="16"/>
                <w:szCs w:val="16"/>
              </w:rPr>
              <w:t xml:space="preserve"> can supply each day of its life under normal conditions resulting in a normal rate of wear. </w:t>
            </w:r>
            <w:r w:rsidRPr="00E34849">
              <w:rPr>
                <w:rFonts w:ascii="Gautami" w:eastAsia="Calibri" w:hAnsi="Gautami" w:cs="Gautami"/>
                <w:noProof/>
                <w:sz w:val="16"/>
                <w:szCs w:val="16"/>
              </w:rPr>
              <w:t>TNSP</w:t>
            </w:r>
            <w:r w:rsidRPr="0038019E">
              <w:rPr>
                <w:rFonts w:ascii="Gautami" w:eastAsia="Calibri" w:hAnsi="Gautami" w:cs="Gautami"/>
                <w:sz w:val="16"/>
                <w:szCs w:val="16"/>
              </w:rPr>
              <w:t xml:space="preserve"> must provide its definition(s) of ‘normal conditions’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Power factor</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ratio of demand in MW to demand in MVA.</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 xml:space="preserve">Probability of </w:t>
            </w:r>
            <w:proofErr w:type="spellStart"/>
            <w:r w:rsidRPr="003B40E2">
              <w:rPr>
                <w:rFonts w:ascii="Gautami" w:eastAsia="Calibri" w:hAnsi="Gautami" w:cs="Gautami"/>
                <w:b w:val="0"/>
                <w:i/>
                <w:sz w:val="16"/>
                <w:szCs w:val="16"/>
              </w:rPr>
              <w:t>exceedance</w:t>
            </w:r>
            <w:proofErr w:type="spellEnd"/>
            <w:r w:rsidRPr="003B40E2">
              <w:rPr>
                <w:rFonts w:ascii="Gautami" w:eastAsia="Calibri" w:hAnsi="Gautami" w:cs="Gautami"/>
                <w:b w:val="0"/>
                <w:i/>
                <w:sz w:val="16"/>
                <w:szCs w:val="16"/>
              </w:rPr>
              <w:t xml:space="preserve"> (</w:t>
            </w:r>
            <w:proofErr w:type="spellStart"/>
            <w:r w:rsidRPr="003B40E2">
              <w:rPr>
                <w:rFonts w:ascii="Gautami" w:eastAsia="Calibri" w:hAnsi="Gautami" w:cs="Gautami"/>
                <w:b w:val="0"/>
                <w:i/>
                <w:sz w:val="16"/>
                <w:szCs w:val="16"/>
              </w:rPr>
              <w:t>PoE</w:t>
            </w:r>
            <w:proofErr w:type="spellEnd"/>
            <w:r w:rsidRPr="003B40E2">
              <w:rPr>
                <w:rFonts w:ascii="Gautami" w:eastAsia="Calibri" w:hAnsi="Gautami" w:cs="Gautami"/>
                <w:b w:val="0"/>
                <w:i/>
                <w:sz w:val="16"/>
                <w:szCs w:val="16"/>
              </w:rPr>
              <w:t>)</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Typically, actual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is standardised to either, or both, of 10 per cent and 50 per cent </w:t>
            </w:r>
            <w:proofErr w:type="spellStart"/>
            <w:r w:rsidRPr="00AF2CCF">
              <w:rPr>
                <w:rFonts w:ascii="Gautami" w:eastAsia="Calibri" w:hAnsi="Gautami" w:cs="Gautami"/>
                <w:i/>
                <w:sz w:val="16"/>
                <w:szCs w:val="16"/>
              </w:rPr>
              <w:t>PoE</w:t>
            </w:r>
            <w:proofErr w:type="spellEnd"/>
            <w:r w:rsidRPr="003B40E2">
              <w:rPr>
                <w:rFonts w:ascii="Gautami" w:eastAsia="Calibri" w:hAnsi="Gautami" w:cs="Gautami"/>
                <w:sz w:val="16"/>
                <w:szCs w:val="16"/>
              </w:rPr>
              <w:t xml:space="preserve"> levels.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50 (10) </w:t>
            </w:r>
            <w:proofErr w:type="spellStart"/>
            <w:r w:rsidRPr="00AF2CCF">
              <w:rPr>
                <w:rFonts w:ascii="Gautami" w:eastAsia="Calibri" w:hAnsi="Gautami" w:cs="Gautami"/>
                <w:i/>
                <w:sz w:val="16"/>
                <w:szCs w:val="16"/>
              </w:rPr>
              <w:t>PoE</w:t>
            </w:r>
            <w:proofErr w:type="spellEnd"/>
            <w:r w:rsidRPr="003B40E2">
              <w:rPr>
                <w:rFonts w:ascii="Gautami" w:eastAsia="Calibri" w:hAnsi="Gautami" w:cs="Gautami"/>
                <w:sz w:val="16"/>
                <w:szCs w:val="16"/>
              </w:rPr>
              <w:t xml:space="preserve"> demand level is the level of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that, on average, would be exceeded in 50 per cent (10 per cent) of seasons. It can be thought of as the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that would be observed or exceeded once every two (ten) years on average.</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key driver of variability in demand is usually </w:t>
            </w:r>
            <w:proofErr w:type="gramStart"/>
            <w:r w:rsidRPr="003B40E2">
              <w:rPr>
                <w:rFonts w:ascii="Gautami" w:eastAsia="Calibri" w:hAnsi="Gautami" w:cs="Gautami"/>
                <w:sz w:val="16"/>
                <w:szCs w:val="16"/>
              </w:rPr>
              <w:t>weather</w:t>
            </w:r>
            <w:proofErr w:type="gramEnd"/>
            <w:r w:rsidRPr="003B40E2">
              <w:rPr>
                <w:rFonts w:ascii="Gautami" w:eastAsia="Calibri" w:hAnsi="Gautami" w:cs="Gautami"/>
                <w:sz w:val="16"/>
                <w:szCs w:val="16"/>
              </w:rPr>
              <w:t>. However this is not always the case and the concept of POE is not necessarily tied directly to weather.</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Raw data</w:t>
            </w:r>
          </w:p>
        </w:tc>
        <w:tc>
          <w:tcPr>
            <w:tcW w:w="3783" w:type="pct"/>
          </w:tcPr>
          <w:p w:rsidR="00AE5FBA" w:rsidRPr="003B40E2" w:rsidRDefault="00AE5FBA" w:rsidP="00CF06E5">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 xml:space="preserve">Refers to </w:t>
            </w:r>
            <w:r>
              <w:rPr>
                <w:rFonts w:ascii="Gautami" w:eastAsia="Calibri" w:hAnsi="Gautami" w:cs="Gautami"/>
                <w:sz w:val="16"/>
                <w:szCs w:val="16"/>
              </w:rPr>
              <w:t>demand</w:t>
            </w:r>
            <w:r w:rsidRPr="005A79F8">
              <w:rPr>
                <w:rFonts w:ascii="Gautami" w:eastAsia="Calibri" w:hAnsi="Gautami" w:cs="Gautami"/>
                <w:sz w:val="16"/>
                <w:szCs w:val="16"/>
              </w:rPr>
              <w:t xml:space="preserve"> without </w:t>
            </w:r>
            <w:r w:rsidRPr="005A0DCF">
              <w:rPr>
                <w:rFonts w:ascii="Gautami" w:eastAsia="Calibri" w:hAnsi="Gautami" w:cs="Gautami"/>
                <w:i/>
                <w:sz w:val="16"/>
                <w:szCs w:val="16"/>
              </w:rPr>
              <w:t>weather correction</w:t>
            </w:r>
            <w:r w:rsidRPr="005A79F8">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Raw adjusted maximum demand</w:t>
            </w:r>
          </w:p>
        </w:tc>
        <w:tc>
          <w:tcPr>
            <w:tcW w:w="3783" w:type="pct"/>
          </w:tcPr>
          <w:p w:rsidR="00AE5FBA" w:rsidRPr="00ED339A" w:rsidRDefault="00AE5FBA" w:rsidP="00CF06E5">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sidRPr="005A0DCF">
              <w:rPr>
                <w:rFonts w:cs="Gautami"/>
                <w:i/>
                <w:color w:val="000000" w:themeColor="text1"/>
                <w:szCs w:val="16"/>
              </w:rPr>
              <w:t>Raw unadjusted maximum demand</w:t>
            </w:r>
            <w:r w:rsidRPr="00ED339A">
              <w:rPr>
                <w:rFonts w:cs="Gautami"/>
                <w:color w:val="000000" w:themeColor="text1"/>
                <w:szCs w:val="16"/>
              </w:rPr>
              <w:t xml:space="preserve"> that is adjusted to system normal conditions. </w:t>
            </w:r>
            <w:r w:rsidRPr="00E34849">
              <w:rPr>
                <w:rFonts w:cs="Gautami"/>
                <w:noProof/>
                <w:color w:val="000000" w:themeColor="text1"/>
                <w:szCs w:val="16"/>
              </w:rPr>
              <w:t>TNSP</w:t>
            </w:r>
            <w:r w:rsidRPr="00ED339A">
              <w:rPr>
                <w:rFonts w:cs="Gautami"/>
                <w:color w:val="000000" w:themeColor="text1"/>
                <w:szCs w:val="16"/>
              </w:rPr>
              <w:t xml:space="preserve"> must adjust to system normal conditions by accounting for (temporary) </w:t>
            </w:r>
            <w:r w:rsidRPr="005A0DCF">
              <w:rPr>
                <w:rFonts w:cs="Gautami"/>
                <w:i/>
                <w:color w:val="000000" w:themeColor="text1"/>
                <w:szCs w:val="16"/>
              </w:rPr>
              <w:t>switching</w:t>
            </w:r>
            <w:r>
              <w:rPr>
                <w:rFonts w:cs="Gautami"/>
                <w:color w:val="000000" w:themeColor="text1"/>
                <w:szCs w:val="16"/>
              </w:rPr>
              <w:t xml:space="preserve"> relevant to the </w:t>
            </w:r>
            <w:r w:rsidRPr="005A0DCF">
              <w:rPr>
                <w:rFonts w:cs="Gautami"/>
                <w:i/>
                <w:color w:val="000000" w:themeColor="text1"/>
                <w:szCs w:val="16"/>
              </w:rPr>
              <w:t>network</w:t>
            </w:r>
            <w:r>
              <w:rPr>
                <w:rFonts w:cs="Gautami"/>
                <w:color w:val="000000" w:themeColor="text1"/>
                <w:szCs w:val="16"/>
              </w:rPr>
              <w:t xml:space="preserve"> segment,</w:t>
            </w:r>
            <w:r w:rsidRPr="0028507D">
              <w:rPr>
                <w:rFonts w:cs="Gautami"/>
                <w:color w:val="000000" w:themeColor="text1"/>
                <w:szCs w:val="16"/>
              </w:rPr>
              <w:t xml:space="preserve"> and for temporary load changes from major customers (such as temporary closure of major industrial customers)</w:t>
            </w:r>
            <w:r w:rsidRPr="00ED339A">
              <w:rPr>
                <w:rFonts w:cs="Gautami"/>
                <w:color w:val="000000" w:themeColor="text1"/>
                <w:szCs w:val="16"/>
              </w:rPr>
              <w:t xml:space="preserve">. </w:t>
            </w:r>
            <w:r w:rsidRPr="00E34849">
              <w:rPr>
                <w:rFonts w:cs="Gautami"/>
                <w:noProof/>
                <w:color w:val="000000" w:themeColor="text1"/>
                <w:szCs w:val="16"/>
              </w:rPr>
              <w:t>TNSP</w:t>
            </w:r>
            <w:r w:rsidRPr="00ED339A">
              <w:rPr>
                <w:rFonts w:cs="Gautami"/>
                <w:color w:val="000000" w:themeColor="text1"/>
                <w:szCs w:val="16"/>
              </w:rPr>
              <w:t xml:space="preserve"> must not adjust </w:t>
            </w:r>
            <w:r w:rsidRPr="005A0DCF">
              <w:rPr>
                <w:rFonts w:cs="Gautami"/>
                <w:i/>
                <w:color w:val="000000" w:themeColor="text1"/>
                <w:szCs w:val="16"/>
              </w:rPr>
              <w:t>maximum demand</w:t>
            </w:r>
            <w:r w:rsidRPr="00ED339A">
              <w:rPr>
                <w:rFonts w:cs="Gautami"/>
                <w:color w:val="000000" w:themeColor="text1"/>
                <w:szCs w:val="16"/>
              </w:rPr>
              <w:t xml:space="preserve"> data for </w:t>
            </w:r>
            <w:r w:rsidRPr="00ED339A">
              <w:rPr>
                <w:rFonts w:cs="Gautami"/>
                <w:color w:val="000000" w:themeColor="text1"/>
                <w:szCs w:val="16"/>
              </w:rPr>
              <w:lastRenderedPageBreak/>
              <w:t xml:space="preserve">(permanent) </w:t>
            </w:r>
            <w:r w:rsidRPr="005A0DCF">
              <w:rPr>
                <w:rFonts w:cs="Gautami"/>
                <w:i/>
                <w:color w:val="000000" w:themeColor="text1"/>
                <w:szCs w:val="16"/>
              </w:rPr>
              <w:t>transfers</w:t>
            </w:r>
            <w:r w:rsidRPr="00ED339A">
              <w:rPr>
                <w:rFonts w:cs="Gautami"/>
                <w:color w:val="000000" w:themeColor="text1"/>
                <w:szCs w:val="16"/>
              </w:rPr>
              <w:t xml:space="preserve">, </w:t>
            </w:r>
            <w:r w:rsidRPr="005A0DCF">
              <w:rPr>
                <w:rFonts w:cs="Gautami"/>
                <w:i/>
                <w:color w:val="000000" w:themeColor="text1"/>
                <w:szCs w:val="16"/>
              </w:rPr>
              <w:t>block loads</w:t>
            </w:r>
            <w:r w:rsidRPr="00ED339A">
              <w:rPr>
                <w:rFonts w:cs="Gautami"/>
                <w:color w:val="000000" w:themeColor="text1"/>
                <w:szCs w:val="16"/>
              </w:rPr>
              <w:t xml:space="preserve"> or </w:t>
            </w:r>
            <w:r w:rsidRPr="005A0DCF">
              <w:rPr>
                <w:rFonts w:cs="Gautami"/>
                <w:i/>
                <w:color w:val="000000" w:themeColor="text1"/>
                <w:szCs w:val="16"/>
              </w:rPr>
              <w:t>embedded generation</w:t>
            </w:r>
            <w:r w:rsidRPr="00ED339A">
              <w:rPr>
                <w:rFonts w:cs="Gautami"/>
                <w:color w:val="000000" w:themeColor="text1"/>
                <w:szCs w:val="16"/>
              </w:rPr>
              <w:t>.</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i/>
                <w:sz w:val="16"/>
                <w:szCs w:val="16"/>
              </w:rPr>
            </w:pPr>
            <w:r w:rsidRPr="00CF06E5">
              <w:rPr>
                <w:rFonts w:cs="Gautami"/>
                <w:color w:val="000000" w:themeColor="text1"/>
                <w:szCs w:val="16"/>
              </w:rPr>
              <w:t xml:space="preserve">The term, ‘raw’, refers to demand data that has not undergone </w:t>
            </w:r>
            <w:r w:rsidRPr="00CF06E5">
              <w:rPr>
                <w:rFonts w:cs="Gautami"/>
                <w:i/>
                <w:color w:val="000000" w:themeColor="text1"/>
                <w:szCs w:val="16"/>
              </w:rPr>
              <w:t>weather correction</w:t>
            </w:r>
            <w:r w:rsidRPr="00ED339A">
              <w:rPr>
                <w:rFonts w:cs="Gautami"/>
                <w:color w:val="000000" w:themeColor="text1"/>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Raw unadjusted maximum demand</w:t>
            </w:r>
          </w:p>
        </w:tc>
        <w:tc>
          <w:tcPr>
            <w:tcW w:w="3783" w:type="pct"/>
          </w:tcPr>
          <w:p w:rsidR="00AE5FBA" w:rsidRPr="00AF2CCF" w:rsidRDefault="00AE5FBA" w:rsidP="003B40E2">
            <w:pPr>
              <w:pStyle w:val="AERtabletextleft"/>
              <w:cnfStyle w:val="000000100000" w:firstRow="0" w:lastRow="0" w:firstColumn="0" w:lastColumn="0" w:oddVBand="0" w:evenVBand="0" w:oddHBand="1" w:evenHBand="0" w:firstRowFirstColumn="0" w:firstRowLastColumn="0" w:lastRowFirstColumn="0" w:lastRowLastColumn="0"/>
              <w:rPr>
                <w:rFonts w:eastAsia="Calibri" w:cs="Gautami"/>
                <w:bCs/>
                <w:szCs w:val="16"/>
              </w:rPr>
            </w:pPr>
            <w:r w:rsidRPr="00AF2CCF">
              <w:rPr>
                <w:rFonts w:eastAsia="Calibri" w:cs="Gautami"/>
                <w:bCs/>
                <w:szCs w:val="16"/>
              </w:rPr>
              <w:t>Actual</w:t>
            </w:r>
            <w:r w:rsidRPr="00CF06E5">
              <w:rPr>
                <w:rFonts w:eastAsia="Calibri" w:cs="Gautami"/>
                <w:bCs/>
                <w:i/>
                <w:szCs w:val="16"/>
              </w:rPr>
              <w:t xml:space="preserve"> maximum demand</w:t>
            </w:r>
            <w:r w:rsidRPr="00AF2CCF">
              <w:rPr>
                <w:rFonts w:eastAsia="Calibri" w:cs="Gautami"/>
                <w:bCs/>
                <w:szCs w:val="16"/>
              </w:rPr>
              <w:t xml:space="preserve"> as measured by </w:t>
            </w:r>
            <w:r w:rsidRPr="00E34849">
              <w:rPr>
                <w:rFonts w:eastAsia="Calibri" w:cs="Gautami"/>
                <w:bCs/>
                <w:noProof/>
                <w:szCs w:val="16"/>
              </w:rPr>
              <w:t>TNSP</w:t>
            </w:r>
            <w:r w:rsidRPr="00AF2CCF">
              <w:rPr>
                <w:rFonts w:eastAsia="Calibri" w:cs="Gautami"/>
                <w:bCs/>
                <w:szCs w:val="16"/>
              </w:rPr>
              <w:t xml:space="preserve"> at the specified </w:t>
            </w:r>
            <w:r w:rsidRPr="00CF06E5">
              <w:rPr>
                <w:rFonts w:eastAsia="Calibri" w:cs="Gautami"/>
                <w:bCs/>
                <w:i/>
                <w:szCs w:val="16"/>
              </w:rPr>
              <w:t>network</w:t>
            </w:r>
            <w:r w:rsidRPr="00AF2CCF">
              <w:rPr>
                <w:rFonts w:eastAsia="Calibri" w:cs="Gautami"/>
                <w:bCs/>
                <w:szCs w:val="16"/>
              </w:rPr>
              <w:t xml:space="preserve"> segment. This must not include any adjustments for factors such as </w:t>
            </w:r>
            <w:r w:rsidRPr="00CF06E5">
              <w:rPr>
                <w:rFonts w:eastAsia="Calibri" w:cs="Gautami"/>
                <w:bCs/>
                <w:i/>
                <w:szCs w:val="16"/>
              </w:rPr>
              <w:t>switching</w:t>
            </w:r>
            <w:r w:rsidRPr="00AF2CCF">
              <w:rPr>
                <w:rFonts w:eastAsia="Calibri" w:cs="Gautami"/>
                <w:bCs/>
                <w:szCs w:val="16"/>
              </w:rPr>
              <w:t xml:space="preserve">, temporary load changes from major customers, </w:t>
            </w:r>
            <w:r w:rsidRPr="00CF06E5">
              <w:rPr>
                <w:rFonts w:eastAsia="Calibri" w:cs="Gautami"/>
                <w:bCs/>
                <w:i/>
                <w:szCs w:val="16"/>
              </w:rPr>
              <w:t>transfers</w:t>
            </w:r>
            <w:r w:rsidRPr="00AF2CCF">
              <w:rPr>
                <w:rFonts w:eastAsia="Calibri" w:cs="Gautami"/>
                <w:bCs/>
                <w:szCs w:val="16"/>
              </w:rPr>
              <w:t xml:space="preserve">, </w:t>
            </w:r>
            <w:r w:rsidRPr="00CF06E5">
              <w:rPr>
                <w:rFonts w:eastAsia="Calibri" w:cs="Gautami"/>
                <w:bCs/>
                <w:i/>
                <w:szCs w:val="16"/>
              </w:rPr>
              <w:t>block loads</w:t>
            </w:r>
            <w:r w:rsidRPr="00AF2CCF">
              <w:rPr>
                <w:rFonts w:eastAsia="Calibri" w:cs="Gautami"/>
                <w:bCs/>
                <w:szCs w:val="16"/>
              </w:rPr>
              <w:t xml:space="preserve"> or </w:t>
            </w:r>
            <w:r w:rsidRPr="00CF06E5">
              <w:rPr>
                <w:rFonts w:eastAsia="Calibri" w:cs="Gautami"/>
                <w:bCs/>
                <w:i/>
                <w:szCs w:val="16"/>
              </w:rPr>
              <w:t>embedded generation</w:t>
            </w:r>
            <w:r w:rsidRPr="00AF2CCF">
              <w:rPr>
                <w:rFonts w:eastAsia="Calibri" w:cs="Gautami"/>
                <w:bCs/>
                <w:szCs w:val="16"/>
              </w:rPr>
              <w: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bCs/>
                <w:i/>
                <w:sz w:val="16"/>
                <w:szCs w:val="16"/>
              </w:rPr>
            </w:pPr>
            <w:r w:rsidRPr="00AF2CCF">
              <w:rPr>
                <w:rFonts w:ascii="Gautami" w:eastAsia="Calibri" w:hAnsi="Gautami" w:cs="Gautami"/>
                <w:bCs/>
                <w:sz w:val="16"/>
                <w:szCs w:val="16"/>
              </w:rPr>
              <w:t xml:space="preserve">The term, ‘raw’, refers to demand data that has not undergone </w:t>
            </w:r>
            <w:r w:rsidRPr="00CF06E5">
              <w:rPr>
                <w:rFonts w:ascii="Gautami" w:eastAsia="Calibri" w:hAnsi="Gautami" w:cs="Gautami"/>
                <w:bCs/>
                <w:i/>
                <w:sz w:val="16"/>
                <w:szCs w:val="16"/>
              </w:rPr>
              <w:t>weather correction</w:t>
            </w:r>
            <w:r w:rsidRPr="00AF2CCF">
              <w:rPr>
                <w:rFonts w:ascii="Gautami" w:eastAsia="Calibri" w:hAnsi="Gautami" w:cs="Gautami"/>
                <w:bCs/>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Scheduled generator</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Semi-scheduled generator</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Has the meaning prescribed in the National Electricity Rules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Summer peaking</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experienced over the period 1 October to 31 March.</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Switching</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Temporary changes in </w:t>
            </w:r>
            <w:r w:rsidRPr="00AF2CCF">
              <w:rPr>
                <w:rFonts w:ascii="Gautami" w:eastAsia="Calibri" w:hAnsi="Gautami" w:cs="Gautami"/>
                <w:i/>
                <w:sz w:val="16"/>
                <w:szCs w:val="16"/>
              </w:rPr>
              <w:t>network</w:t>
            </w:r>
            <w:r w:rsidRPr="003B40E2">
              <w:rPr>
                <w:rFonts w:ascii="Gautami" w:eastAsia="Calibri" w:hAnsi="Gautami" w:cs="Gautami"/>
                <w:sz w:val="16"/>
                <w:szCs w:val="16"/>
              </w:rPr>
              <w:t xml:space="preserve"> configuration and restoration made by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 for operational reasons.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Transfers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Permanent (or indefinite) changes in </w:t>
            </w:r>
            <w:r w:rsidRPr="00AF2CCF">
              <w:rPr>
                <w:rFonts w:ascii="Gautami" w:eastAsia="Calibri" w:hAnsi="Gautami" w:cs="Gautami"/>
                <w:i/>
                <w:sz w:val="16"/>
                <w:szCs w:val="16"/>
              </w:rPr>
              <w:t>network</w:t>
            </w:r>
            <w:r w:rsidRPr="003B40E2">
              <w:rPr>
                <w:rFonts w:ascii="Gautami" w:eastAsia="Calibri" w:hAnsi="Gautami" w:cs="Gautami"/>
                <w:sz w:val="16"/>
                <w:szCs w:val="16"/>
              </w:rPr>
              <w:t xml:space="preserve"> configuration made by </w:t>
            </w:r>
            <w:r w:rsidRPr="00E34849">
              <w:rPr>
                <w:rFonts w:ascii="Gautami" w:eastAsia="Calibri" w:hAnsi="Gautami" w:cs="Gautami"/>
                <w:noProof/>
                <w:sz w:val="16"/>
                <w:szCs w:val="16"/>
              </w:rPr>
              <w:t>TNSP</w:t>
            </w:r>
            <w:r>
              <w:rPr>
                <w:rFonts w:ascii="Gautami" w:eastAsia="Calibri" w:hAnsi="Gautami" w:cs="Gautami"/>
                <w:sz w:val="16"/>
                <w:szCs w:val="16"/>
              </w:rPr>
              <w:t xml:space="preserve"> </w:t>
            </w:r>
            <w:r w:rsidRPr="003B40E2">
              <w:rPr>
                <w:rFonts w:ascii="Gautami" w:eastAsia="Calibri" w:hAnsi="Gautami" w:cs="Gautami"/>
                <w:sz w:val="16"/>
                <w:szCs w:val="16"/>
              </w:rPr>
              <w:t>usually to manage demand growth.</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Weather correction</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removal of the impact of temperature fluctuations so as to derive a </w:t>
            </w: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measure corrected to a </w:t>
            </w:r>
            <w:r w:rsidRPr="00AF2CCF">
              <w:rPr>
                <w:rFonts w:ascii="Gautami" w:eastAsia="Calibri" w:hAnsi="Gautami" w:cs="Gautami"/>
                <w:i/>
                <w:sz w:val="16"/>
                <w:szCs w:val="16"/>
              </w:rPr>
              <w:t xml:space="preserve">probability of </w:t>
            </w:r>
            <w:proofErr w:type="spellStart"/>
            <w:r w:rsidRPr="00AF2CCF">
              <w:rPr>
                <w:rFonts w:ascii="Gautami" w:eastAsia="Calibri" w:hAnsi="Gautami" w:cs="Gautami"/>
                <w:i/>
                <w:sz w:val="16"/>
                <w:szCs w:val="16"/>
              </w:rPr>
              <w:t>exceedance</w:t>
            </w:r>
            <w:proofErr w:type="spellEnd"/>
            <w:r w:rsidRPr="00AF2CCF">
              <w:rPr>
                <w:rFonts w:ascii="Gautami" w:eastAsia="Calibri" w:hAnsi="Gautami" w:cs="Gautami"/>
                <w:i/>
                <w:sz w:val="16"/>
                <w:szCs w:val="16"/>
              </w:rPr>
              <w:t xml:space="preserve"> (</w:t>
            </w:r>
            <w:proofErr w:type="spellStart"/>
            <w:r w:rsidRPr="00AF2CCF">
              <w:rPr>
                <w:rFonts w:ascii="Gautami" w:eastAsia="Calibri" w:hAnsi="Gautami" w:cs="Gautami"/>
                <w:i/>
                <w:sz w:val="16"/>
                <w:szCs w:val="16"/>
              </w:rPr>
              <w:t>PoE</w:t>
            </w:r>
            <w:proofErr w:type="spellEnd"/>
            <w:r w:rsidRPr="00AF2CCF">
              <w:rPr>
                <w:rFonts w:ascii="Gautami" w:eastAsia="Calibri" w:hAnsi="Gautami" w:cs="Gautami"/>
                <w:i/>
                <w:sz w:val="16"/>
                <w:szCs w:val="16"/>
              </w:rPr>
              <w:t>)</w:t>
            </w:r>
            <w:r w:rsidRPr="003B40E2">
              <w:rPr>
                <w:rFonts w:ascii="Gautami" w:eastAsia="Calibri" w:hAnsi="Gautami" w:cs="Gautami"/>
                <w:sz w:val="16"/>
                <w:szCs w:val="16"/>
              </w:rPr>
              <w:t xml:space="preserve">, usually 50% </w:t>
            </w:r>
            <w:proofErr w:type="spellStart"/>
            <w:r w:rsidRPr="00AF2CCF">
              <w:rPr>
                <w:rFonts w:ascii="Gautami" w:eastAsia="Calibri" w:hAnsi="Gautami" w:cs="Gautami"/>
                <w:i/>
                <w:sz w:val="16"/>
                <w:szCs w:val="16"/>
              </w:rPr>
              <w:t>PoE</w:t>
            </w:r>
            <w:proofErr w:type="spellEnd"/>
            <w:r w:rsidRPr="003B40E2">
              <w:rPr>
                <w:rFonts w:ascii="Gautami" w:eastAsia="Calibri" w:hAnsi="Gautami" w:cs="Gautami"/>
                <w:sz w:val="16"/>
                <w:szCs w:val="16"/>
              </w:rPr>
              <w:t xml:space="preserve"> and/or 10% </w:t>
            </w:r>
            <w:proofErr w:type="spellStart"/>
            <w:r w:rsidRPr="00AF2CCF">
              <w:rPr>
                <w:rFonts w:ascii="Gautami" w:eastAsia="Calibri" w:hAnsi="Gautami" w:cs="Gautami"/>
                <w:i/>
                <w:sz w:val="16"/>
                <w:szCs w:val="16"/>
              </w:rPr>
              <w:t>PoE</w:t>
            </w:r>
            <w:proofErr w:type="spellEnd"/>
            <w:r w:rsidRPr="003B40E2">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Winter peaking</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AF2CCF">
              <w:rPr>
                <w:rFonts w:ascii="Gautami" w:eastAsia="Calibri" w:hAnsi="Gautami" w:cs="Gautami"/>
                <w:i/>
                <w:sz w:val="16"/>
                <w:szCs w:val="16"/>
              </w:rPr>
              <w:t>Maximum demand</w:t>
            </w:r>
            <w:r w:rsidRPr="003B40E2">
              <w:rPr>
                <w:rFonts w:ascii="Gautami" w:eastAsia="Calibri" w:hAnsi="Gautami" w:cs="Gautami"/>
                <w:sz w:val="16"/>
                <w:szCs w:val="16"/>
              </w:rPr>
              <w:t xml:space="preserve"> experienced over the period 1 April to 30 September.</w:t>
            </w: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0F5DEF" w:rsidRDefault="00AE5FBA" w:rsidP="00BC2EA4">
            <w:pPr>
              <w:pStyle w:val="AERtabletextleft"/>
              <w:rPr>
                <w:rFonts w:eastAsia="Calibri"/>
              </w:rPr>
            </w:pPr>
            <w:r w:rsidRPr="000F5DEF">
              <w:rPr>
                <w:rFonts w:eastAsia="Calibri"/>
              </w:rPr>
              <w:t>Definitions specific to Regulatory Template</w:t>
            </w:r>
            <w:r w:rsidRPr="000F5DEF" w:rsidDel="00357487">
              <w:rPr>
                <w:rFonts w:eastAsia="Calibri"/>
              </w:rPr>
              <w:t xml:space="preserve"> </w:t>
            </w:r>
            <w:r w:rsidRPr="000F5DEF">
              <w:rPr>
                <w:rFonts w:eastAsia="Calibri"/>
              </w:rPr>
              <w:t>2.7 MAINTENANCE</w:t>
            </w:r>
          </w:p>
        </w:tc>
        <w:tc>
          <w:tcPr>
            <w:tcW w:w="3783" w:type="pct"/>
          </w:tcPr>
          <w:p w:rsidR="00AE5FBA" w:rsidRPr="000F5DEF" w:rsidRDefault="00AE5FBA" w:rsidP="00BC2EA4">
            <w:pPr>
              <w:pStyle w:val="AERtabletextleft"/>
              <w:cnfStyle w:val="100000000000" w:firstRow="1" w:lastRow="0" w:firstColumn="0" w:lastColumn="0" w:oddVBand="0" w:evenVBand="0" w:oddHBand="0" w:evenHBand="0" w:firstRowFirstColumn="0" w:firstRowLastColumn="0" w:lastRowFirstColumn="0" w:lastRowLastColumn="0"/>
              <w:rPr>
                <w:rFonts w:eastAsia="Calibri"/>
                <w:b w:val="0"/>
              </w:rPr>
            </w:pPr>
            <w:r w:rsidRPr="000F5DEF">
              <w:rPr>
                <w:rFonts w:eastAsia="Calibri"/>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Access track</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A path that enables vehicular or foot access to a </w:t>
            </w:r>
            <w:r w:rsidRPr="00E34849">
              <w:rPr>
                <w:rFonts w:ascii="Gautami" w:hAnsi="Gautami" w:cs="Gautami"/>
                <w:noProof/>
                <w:color w:val="000000" w:themeColor="text1"/>
                <w:sz w:val="16"/>
                <w:szCs w:val="16"/>
              </w:rPr>
              <w:t>transmission</w:t>
            </w:r>
            <w:r w:rsidRPr="003B40E2">
              <w:rPr>
                <w:rFonts w:ascii="Gautami" w:hAnsi="Gautami" w:cs="Gautami"/>
                <w:color w:val="000000" w:themeColor="text1"/>
                <w:sz w:val="16"/>
                <w:szCs w:val="16"/>
              </w:rPr>
              <w:t xml:space="preserve"> </w:t>
            </w:r>
            <w:r w:rsidRPr="003B40E2">
              <w:rPr>
                <w:rFonts w:ascii="Gautami" w:eastAsia="Calibri" w:hAnsi="Gautami" w:cs="Gautami"/>
                <w:sz w:val="16"/>
                <w:szCs w:val="16"/>
              </w:rPr>
              <w:t xml:space="preserve">assets. Where applicable this includes associated pavement, drainage, security (e.g. gates, fences) and animal control devices (e.g. cattle grid). For the purposes of this definition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 must have a responsibility for the maintenance of the access track and the form of tenure, or lack of tenure, over the maintenance access track is not relevant.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Access track maintenance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Costs of activities to maintain an </w:t>
            </w:r>
            <w:r w:rsidRPr="003B40E2">
              <w:rPr>
                <w:rFonts w:ascii="Gautami" w:eastAsia="Calibri" w:hAnsi="Gautami" w:cs="Gautami"/>
                <w:i/>
                <w:sz w:val="16"/>
                <w:szCs w:val="16"/>
              </w:rPr>
              <w:t>access track</w:t>
            </w:r>
            <w:r w:rsidRPr="003B40E2">
              <w:rPr>
                <w:rFonts w:ascii="Gautami" w:eastAsia="Calibri" w:hAnsi="Gautami" w:cs="Gautami"/>
                <w:sz w:val="16"/>
                <w:szCs w:val="16"/>
              </w:rPr>
              <w:t>, including inspecting, surveying, auditing, altering, reconfiguring costs or</w:t>
            </w:r>
            <w:r w:rsidRPr="003B40E2">
              <w:rPr>
                <w:rFonts w:ascii="Gautami" w:eastAsia="Calibri" w:hAnsi="Gautami" w:cs="Gautami"/>
                <w:i/>
                <w:sz w:val="16"/>
                <w:szCs w:val="16"/>
              </w:rPr>
              <w:t xml:space="preserve"> vegetation management </w:t>
            </w:r>
            <w:r w:rsidRPr="003B40E2">
              <w:rPr>
                <w:rFonts w:ascii="Gautami" w:eastAsia="Calibri" w:hAnsi="Gautami" w:cs="Gautami"/>
                <w:sz w:val="16"/>
                <w:szCs w:val="16"/>
              </w:rPr>
              <w:t>costs</w:t>
            </w:r>
            <w:r w:rsidRPr="003B40E2">
              <w:rPr>
                <w:rFonts w:ascii="Gautami" w:eastAsia="Calibri" w:hAnsi="Gautami" w:cs="Gautami"/>
                <w:i/>
                <w:sz w:val="16"/>
                <w:szCs w:val="16"/>
              </w:rPr>
              <w:t xml:space="preserve"> </w:t>
            </w:r>
            <w:r w:rsidRPr="003B40E2">
              <w:rPr>
                <w:rFonts w:ascii="Gautami" w:eastAsia="Calibri" w:hAnsi="Gautami" w:cs="Gautami"/>
                <w:sz w:val="16"/>
                <w:szCs w:val="16"/>
              </w:rPr>
              <w:t>not involving capital expenditure.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924EF7" w:rsidRDefault="00AE5FBA" w:rsidP="003B40E2">
            <w:pPr>
              <w:spacing w:before="80" w:after="120"/>
              <w:rPr>
                <w:rFonts w:ascii="Gautami" w:eastAsia="Calibri" w:hAnsi="Gautami" w:cs="Gautami"/>
                <w:b w:val="0"/>
                <w:i/>
                <w:sz w:val="16"/>
                <w:szCs w:val="16"/>
              </w:rPr>
            </w:pPr>
            <w:r w:rsidRPr="00924EF7">
              <w:rPr>
                <w:rFonts w:ascii="Gautami" w:eastAsia="Calibri" w:hAnsi="Gautami" w:cs="Gautami"/>
                <w:b w:val="0"/>
                <w:i/>
                <w:sz w:val="16"/>
                <w:szCs w:val="16"/>
              </w:rPr>
              <w:t>Inspection cycle</w:t>
            </w:r>
          </w:p>
        </w:tc>
        <w:tc>
          <w:tcPr>
            <w:tcW w:w="3783" w:type="pct"/>
          </w:tcPr>
          <w:p w:rsidR="00AE5FBA" w:rsidRPr="00924EF7"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924EF7">
              <w:rPr>
                <w:rFonts w:ascii="Gautami" w:hAnsi="Gautami" w:cs="Gautami"/>
                <w:sz w:val="16"/>
                <w:szCs w:val="16"/>
              </w:rPr>
              <w:t>The planned or actual duration between two consecutive inspections of an asset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ascii="Gautami" w:eastAsia="Calibri" w:hAnsi="Gautami" w:cs="Gautami"/>
                <w:b w:val="0"/>
                <w:i/>
                <w:sz w:val="16"/>
                <w:szCs w:val="16"/>
              </w:rPr>
              <w:t>Maintenance</w:t>
            </w:r>
          </w:p>
        </w:tc>
        <w:tc>
          <w:tcPr>
            <w:tcW w:w="3783" w:type="pct"/>
          </w:tcPr>
          <w:p w:rsidR="00AE5FBA" w:rsidRDefault="00AE5FBA" w:rsidP="00924EF7">
            <w:pPr>
              <w:pStyle w:val="AERtabletextleft"/>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Pr>
                <w:rFonts w:cs="Gautami"/>
                <w:color w:val="000000" w:themeColor="text1"/>
                <w:szCs w:val="16"/>
              </w:rPr>
              <w:t xml:space="preserve">Operational repairs and maintenance of the transmission system, including testing, investigation, validation and correction costs not involving capital expenditure. </w:t>
            </w:r>
          </w:p>
          <w:p w:rsidR="00AE5FBA" w:rsidRPr="003B40E2" w:rsidRDefault="00AE5FBA" w:rsidP="00924EF7">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EC4181" w:rsidRDefault="00AE5FBA" w:rsidP="003B40E2">
            <w:pPr>
              <w:spacing w:before="80" w:after="120"/>
              <w:rPr>
                <w:rFonts w:ascii="Gautami" w:eastAsia="Calibri" w:hAnsi="Gautami" w:cs="Gautami"/>
                <w:b w:val="0"/>
                <w:i/>
                <w:sz w:val="16"/>
                <w:szCs w:val="16"/>
              </w:rPr>
            </w:pPr>
            <w:r w:rsidRPr="00EC4181">
              <w:rPr>
                <w:rFonts w:ascii="Gautami" w:eastAsia="Calibri" w:hAnsi="Gautami" w:cs="Gautami"/>
                <w:b w:val="0"/>
                <w:i/>
                <w:sz w:val="16"/>
                <w:szCs w:val="16"/>
              </w:rPr>
              <w:t>Maintenance cycle</w:t>
            </w:r>
          </w:p>
        </w:tc>
        <w:tc>
          <w:tcPr>
            <w:tcW w:w="3783" w:type="pct"/>
          </w:tcPr>
          <w:p w:rsidR="00AE5FBA" w:rsidRPr="00924EF7"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AF2CCF">
              <w:rPr>
                <w:rFonts w:ascii="Gautami" w:hAnsi="Gautami" w:cs="Gautami"/>
                <w:color w:val="000000" w:themeColor="text1"/>
                <w:sz w:val="16"/>
                <w:szCs w:val="16"/>
              </w:rPr>
              <w:t>The planned or actual duration between two consecutive maintenance works on an asset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Non-routine maintenance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Costs (opex) of activities predominantly directed at managing asset condition or rectifying defects. The timing of these activities depends on asset condition and decisions on when to maintain or replace the asset, which may vary over time and across NSPs.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Activities to maintain asset condition and/or to maintain the capacity of the transmission system to transmit electricity, and where the activities are not routine in nature.</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non-routine activities may be undertaken in a discriminate manner for individual assets.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Includes emergency response.</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Excludes routine asset maintenance activities.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lastRenderedPageBreak/>
              <w:t>Excludes activities that are designed to increase or improve the capacity of the transmission system to transmit electricity, except where the increase or improvement is incidental to the maintenance of the transmission system.</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Excludes asset removal, asset replacement, new asset installation, and vegetation management.</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May include:</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activities to inspect, survey, audit, test, repair, alter, or reconfigure assets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 functional and intrusive testing of assets, including spares and equipment; </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color w:val="000000"/>
                <w:sz w:val="16"/>
                <w:szCs w:val="16"/>
              </w:rPr>
              <w:t>Includes load monitoring and switching activities attributable to non-routine asset maintenance.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pStyle w:val="AERtabletextleft"/>
              <w:rPr>
                <w:rFonts w:eastAsia="Calibri"/>
                <w:b w:val="0"/>
                <w:i/>
              </w:rPr>
            </w:pPr>
            <w:r w:rsidRPr="003B40E2">
              <w:rPr>
                <w:rFonts w:eastAsia="Calibri"/>
                <w:b w:val="0"/>
                <w:i/>
              </w:rPr>
              <w:lastRenderedPageBreak/>
              <w:t>Protection system</w:t>
            </w:r>
            <w:r w:rsidRPr="003B40E2">
              <w:rPr>
                <w:rFonts w:eastAsia="Calibri"/>
                <w:b w:val="0"/>
                <w:i/>
              </w:rPr>
              <w:tab/>
            </w:r>
          </w:p>
        </w:tc>
        <w:tc>
          <w:tcPr>
            <w:tcW w:w="3783" w:type="pct"/>
          </w:tcPr>
          <w:p w:rsidR="00AE5FBA" w:rsidRPr="003B40E2" w:rsidRDefault="00AE5FBA" w:rsidP="003B40E2">
            <w:pPr>
              <w:pStyle w:val="AERtabletextleft"/>
              <w:cnfStyle w:val="000000100000" w:firstRow="0" w:lastRow="0" w:firstColumn="0" w:lastColumn="0" w:oddVBand="0" w:evenVBand="0" w:oddHBand="1" w:evenHBand="0" w:firstRowFirstColumn="0" w:firstRowLastColumn="0" w:lastRowFirstColumn="0" w:lastRowLastColumn="0"/>
            </w:pPr>
            <w:r w:rsidRPr="003B40E2">
              <w:t>Has the meaning prescribed in the National Electricity Rules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Routine maintenance</w:t>
            </w:r>
          </w:p>
          <w:p w:rsidR="00AE5FBA" w:rsidRPr="003B40E2" w:rsidRDefault="00AE5FBA" w:rsidP="003B40E2">
            <w:pPr>
              <w:tabs>
                <w:tab w:val="num" w:pos="0"/>
              </w:tabs>
              <w:spacing w:before="80" w:after="120"/>
              <w:ind w:left="849" w:hanging="283"/>
              <w:rPr>
                <w:rFonts w:ascii="Gautami" w:hAnsi="Gautami" w:cs="Gautami"/>
                <w:b w:val="0"/>
                <w:sz w:val="16"/>
                <w:szCs w:val="16"/>
              </w:rPr>
            </w:pP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Costs (opex) of recurrent/programmed activities undertaken to maintain assets, performed regardless of the condition of the asset. Costs of activities predominantly directed at discovering information on asset condition, and often undertaken at intervals that can be predicted.</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Activities to maintain asset condition and/or to maintain the capacity of the transmission system to transmit electricity, and where the activities are:</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routine in nature; and</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indiscriminately carried out for a pre-defined set of assets; and</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proofErr w:type="gramStart"/>
            <w:r w:rsidRPr="003B40E2">
              <w:rPr>
                <w:rFonts w:ascii="Gautami" w:hAnsi="Gautami" w:cs="Gautami"/>
                <w:color w:val="000000"/>
                <w:sz w:val="16"/>
                <w:szCs w:val="16"/>
              </w:rPr>
              <w:t>scheduled</w:t>
            </w:r>
            <w:proofErr w:type="gramEnd"/>
            <w:r w:rsidRPr="003B40E2">
              <w:rPr>
                <w:rFonts w:ascii="Gautami" w:hAnsi="Gautami" w:cs="Gautami"/>
                <w:color w:val="000000"/>
                <w:sz w:val="16"/>
                <w:szCs w:val="16"/>
              </w:rPr>
              <w:t xml:space="preserve"> to occur at pre-defined intervals.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 xml:space="preserve">May include activities to </w:t>
            </w:r>
            <w:proofErr w:type="gramStart"/>
            <w:r w:rsidRPr="003B40E2">
              <w:rPr>
                <w:rFonts w:ascii="Gautami" w:hAnsi="Gautami" w:cs="Gautami"/>
                <w:color w:val="000000"/>
                <w:sz w:val="16"/>
                <w:szCs w:val="16"/>
              </w:rPr>
              <w:t>inspect,</w:t>
            </w:r>
            <w:proofErr w:type="gramEnd"/>
            <w:r w:rsidRPr="003B40E2">
              <w:rPr>
                <w:rFonts w:ascii="Gautami" w:hAnsi="Gautami" w:cs="Gautami"/>
                <w:color w:val="000000"/>
                <w:sz w:val="16"/>
                <w:szCs w:val="16"/>
              </w:rPr>
              <w:t xml:space="preserve"> survey, audit, test, repair, alter, or reconfigure assets.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A pre-defined interval may be based on the number of times the asset has operated, or any other measure, if the future timing of the maintenance based on the measure can be predicted with a reasonable level of certainty.</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Excludes activities that are designed to increase or improve the capacity of the transmission system to transmit electricity, except where the increase or improvement is incidental to the maintenance of the transmission system.</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Excludes asset removal, asset replacement, new asset installation, vegetation management, and emergency response.</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May include:</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 xml:space="preserve">functional and intrusive testing of assets, including spares and equipment; </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 xml:space="preserve">helicopter, vehicle, and foot patrols, including negotiation of landowner access; </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asset surveys;</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 xml:space="preserve">environmental testing; </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painting of network assets;</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re-</w:t>
            </w:r>
            <w:proofErr w:type="spellStart"/>
            <w:r w:rsidRPr="003B40E2">
              <w:rPr>
                <w:rFonts w:ascii="Gautami" w:hAnsi="Gautami" w:cs="Gautami"/>
                <w:color w:val="000000"/>
                <w:sz w:val="16"/>
                <w:szCs w:val="16"/>
              </w:rPr>
              <w:t>conductoring</w:t>
            </w:r>
            <w:proofErr w:type="spellEnd"/>
            <w:r w:rsidRPr="003B40E2">
              <w:rPr>
                <w:rFonts w:ascii="Gautami" w:hAnsi="Gautami" w:cs="Gautami"/>
                <w:color w:val="000000"/>
                <w:sz w:val="16"/>
                <w:szCs w:val="16"/>
              </w:rPr>
              <w:t xml:space="preserve"> lines </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 xml:space="preserve">indoor and outdoor maintenance of substations including lawn mowing, weed control, fencing ; </w:t>
            </w:r>
          </w:p>
          <w:p w:rsidR="00AE5FBA" w:rsidRPr="003B40E2" w:rsidRDefault="00AE5FBA" w:rsidP="003B40E2">
            <w:pPr>
              <w:numPr>
                <w:ilvl w:val="0"/>
                <w:numId w:val="43"/>
              </w:numPr>
              <w:spacing w:before="80" w:after="120"/>
              <w:jc w:val="left"/>
              <w:cnfStyle w:val="000000010000" w:firstRow="0" w:lastRow="0" w:firstColumn="0" w:lastColumn="0" w:oddVBand="0" w:evenVBand="0" w:oddHBand="0" w:evenHBand="1"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maintenance of access tracks including lawn mowing, weed control, and maintenance of security structures;</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color w:val="000000"/>
                <w:sz w:val="16"/>
                <w:szCs w:val="16"/>
              </w:rPr>
              <w:t>Includes load monitoring and switching activities attributable to routine asset maintenance.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SCADA &amp; Communication systems</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Includes all assets that are used to manage, transmit, receive or carry data or voice traffic for the purposes of managing, monitoring or controlling the transmission network.</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These assets include all equipment used primarily for communications around the network or from network devices to corporate systems and vice versa (e.g. communications to and from equipment and SCADA devices).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Substations</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'Substation' has the meaning prescribed in the National Electricity Rules.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Transmission lines</w:t>
            </w:r>
          </w:p>
        </w:tc>
        <w:tc>
          <w:tcPr>
            <w:tcW w:w="3783" w:type="pct"/>
          </w:tcPr>
          <w:p w:rsidR="00AE5FBA" w:rsidRPr="003B40E2" w:rsidRDefault="00AE5FBA" w:rsidP="003B40E2">
            <w:pPr>
              <w:tabs>
                <w:tab w:val="num" w:pos="0"/>
              </w:tabs>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'Transmission line' has the meaning prescribed in the National Electricity Rules.</w:t>
            </w:r>
          </w:p>
        </w:tc>
      </w:tr>
    </w:tbl>
    <w:p w:rsidR="00AE5FBA" w:rsidRDefault="00AE5FBA" w:rsidP="0052182B"/>
    <w:tbl>
      <w:tblPr>
        <w:tblStyle w:val="MediumShading1-Accent1"/>
        <w:tblW w:w="4966" w:type="pct"/>
        <w:tblLook w:val="04A0" w:firstRow="1" w:lastRow="0" w:firstColumn="1" w:lastColumn="0" w:noHBand="0" w:noVBand="1"/>
      </w:tblPr>
      <w:tblGrid>
        <w:gridCol w:w="2196"/>
        <w:gridCol w:w="6983"/>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AE5FBA" w:rsidRPr="00FA0B26" w:rsidRDefault="00AE5FBA" w:rsidP="00BC2EA4">
            <w:pPr>
              <w:rPr>
                <w:rFonts w:ascii="Gautami" w:eastAsia="Calibri" w:hAnsi="Gautami" w:cs="Gautami"/>
                <w:sz w:val="16"/>
                <w:szCs w:val="16"/>
              </w:rPr>
            </w:pPr>
            <w:r w:rsidRPr="00FA0B26">
              <w:rPr>
                <w:rFonts w:ascii="Gautami" w:eastAsia="Calibri" w:hAnsi="Gautami" w:cs="Gautami"/>
                <w:sz w:val="16"/>
                <w:szCs w:val="16"/>
              </w:rPr>
              <w:t>Definition</w:t>
            </w:r>
            <w:r>
              <w:rPr>
                <w:rFonts w:ascii="Gautami" w:eastAsia="Calibri" w:hAnsi="Gautami" w:cs="Gautami"/>
                <w:sz w:val="16"/>
                <w:szCs w:val="16"/>
              </w:rPr>
              <w:t>s specific to</w:t>
            </w:r>
            <w:r w:rsidRPr="00FA0B26">
              <w:rPr>
                <w:rFonts w:ascii="Gautami" w:eastAsia="Calibri" w:hAnsi="Gautami" w:cs="Gautami"/>
                <w:sz w:val="16"/>
                <w:szCs w:val="16"/>
              </w:rPr>
              <w:t xml:space="preserve"> </w:t>
            </w:r>
            <w:r w:rsidRPr="00F36E81">
              <w:rPr>
                <w:rFonts w:ascii="Gautami" w:eastAsia="Calibri" w:hAnsi="Gautami" w:cs="Gautami"/>
                <w:i/>
                <w:sz w:val="16"/>
                <w:szCs w:val="16"/>
              </w:rPr>
              <w:t>regulatory template</w:t>
            </w:r>
            <w:r w:rsidRPr="00FA0B26" w:rsidDel="00357487">
              <w:rPr>
                <w:rFonts w:ascii="Gautami" w:eastAsia="Calibri" w:hAnsi="Gautami" w:cs="Gautami"/>
                <w:sz w:val="16"/>
                <w:szCs w:val="16"/>
              </w:rPr>
              <w:t xml:space="preserve"> </w:t>
            </w:r>
            <w:r>
              <w:rPr>
                <w:rFonts w:ascii="Gautami" w:eastAsia="Calibri" w:hAnsi="Gautami" w:cs="Gautami"/>
                <w:sz w:val="16"/>
                <w:szCs w:val="16"/>
              </w:rPr>
              <w:t>2.4</w:t>
            </w:r>
            <w:r w:rsidRPr="00FA0B26">
              <w:rPr>
                <w:rFonts w:ascii="Gautami" w:eastAsia="Calibri" w:hAnsi="Gautami" w:cs="Gautami"/>
                <w:sz w:val="16"/>
                <w:szCs w:val="16"/>
              </w:rPr>
              <w:t xml:space="preserve"> connections</w:t>
            </w:r>
          </w:p>
        </w:tc>
        <w:tc>
          <w:tcPr>
            <w:tcW w:w="3804" w:type="pct"/>
          </w:tcPr>
          <w:p w:rsidR="00AE5FBA" w:rsidRPr="004308E0" w:rsidRDefault="00AE5FBA" w:rsidP="00BC2EA4">
            <w:pPr>
              <w:cnfStyle w:val="100000000000" w:firstRow="1" w:lastRow="0" w:firstColumn="0" w:lastColumn="0" w:oddVBand="0" w:evenVBand="0" w:oddHBand="0" w:evenHBand="0" w:firstRowFirstColumn="0" w:firstRowLastColumn="0" w:lastRowFirstColumn="0" w:lastRowLastColumn="0"/>
              <w:rPr>
                <w:rFonts w:ascii="Gautami" w:eastAsia="Calibri" w:hAnsi="Gautami" w:cs="Gautami"/>
                <w:sz w:val="16"/>
                <w:szCs w:val="16"/>
              </w:rPr>
            </w:pPr>
            <w:r w:rsidRPr="002F3D0C">
              <w:rPr>
                <w:rFonts w:ascii="Gautami" w:eastAsia="Calibri" w:hAnsi="Gautami" w:cs="Gautami"/>
                <w:sz w:val="16"/>
                <w:szCs w:val="16"/>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AE5FBA" w:rsidRPr="00EC4181" w:rsidRDefault="00AE5FBA" w:rsidP="00BC2EA4">
            <w:pPr>
              <w:rPr>
                <w:rFonts w:ascii="Gautami" w:eastAsia="Calibri" w:hAnsi="Gautami" w:cs="Gautami"/>
                <w:b w:val="0"/>
                <w:i/>
                <w:sz w:val="16"/>
                <w:szCs w:val="16"/>
              </w:rPr>
            </w:pPr>
            <w:r w:rsidRPr="00EC4181">
              <w:rPr>
                <w:rFonts w:ascii="Gautami" w:eastAsia="Calibri" w:hAnsi="Gautami" w:cs="Gautami"/>
                <w:b w:val="0"/>
                <w:i/>
                <w:sz w:val="16"/>
                <w:szCs w:val="16"/>
              </w:rPr>
              <w:t>Connection rating (MVA)</w:t>
            </w:r>
          </w:p>
        </w:tc>
        <w:tc>
          <w:tcPr>
            <w:tcW w:w="3804" w:type="pct"/>
          </w:tcPr>
          <w:p w:rsidR="00AE5FBA" w:rsidRPr="005A79F8" w:rsidRDefault="00AE5FBA" w:rsidP="00BC2EA4">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Normal cyclic rating.</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AE5FBA" w:rsidRPr="00EC4181" w:rsidRDefault="00AE5FBA" w:rsidP="00BC2EA4">
            <w:pPr>
              <w:rPr>
                <w:rFonts w:ascii="Gautami" w:eastAsia="Calibri" w:hAnsi="Gautami" w:cs="Gautami"/>
                <w:b w:val="0"/>
                <w:i/>
                <w:sz w:val="16"/>
                <w:szCs w:val="16"/>
              </w:rPr>
            </w:pPr>
            <w:r w:rsidRPr="00EC4181">
              <w:rPr>
                <w:rFonts w:ascii="Gautami" w:eastAsia="Calibri" w:hAnsi="Gautami" w:cs="Gautami"/>
                <w:b w:val="0"/>
                <w:i/>
                <w:sz w:val="16"/>
                <w:szCs w:val="16"/>
              </w:rPr>
              <w:t>Connection voltage (KV)</w:t>
            </w:r>
          </w:p>
        </w:tc>
        <w:tc>
          <w:tcPr>
            <w:tcW w:w="3804" w:type="pct"/>
          </w:tcPr>
          <w:p w:rsidR="00AE5FBA" w:rsidRPr="005A79F8" w:rsidRDefault="00AE5FBA" w:rsidP="00BC2EA4">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5A79F8">
              <w:rPr>
                <w:rFonts w:ascii="Gautami" w:eastAsia="Calibri" w:hAnsi="Gautami" w:cs="Gautami"/>
                <w:sz w:val="16"/>
                <w:szCs w:val="16"/>
              </w:rPr>
              <w:t>Nominal voltage.</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pct"/>
          </w:tcPr>
          <w:p w:rsidR="00AE5FBA" w:rsidRPr="00EC4181" w:rsidRDefault="00AE5FBA" w:rsidP="00BC2EA4">
            <w:pPr>
              <w:rPr>
                <w:rFonts w:ascii="Gautami" w:eastAsia="Calibri" w:hAnsi="Gautami" w:cs="Gautami"/>
                <w:b w:val="0"/>
                <w:i/>
                <w:sz w:val="16"/>
                <w:szCs w:val="16"/>
              </w:rPr>
            </w:pPr>
            <w:r w:rsidRPr="00EC4181">
              <w:rPr>
                <w:rFonts w:ascii="Gautami" w:eastAsia="Calibri" w:hAnsi="Gautami" w:cs="Gautami"/>
                <w:b w:val="0"/>
                <w:i/>
                <w:sz w:val="16"/>
                <w:szCs w:val="16"/>
              </w:rPr>
              <w:t>Prescribed connection services</w:t>
            </w:r>
          </w:p>
        </w:tc>
        <w:tc>
          <w:tcPr>
            <w:tcW w:w="3804" w:type="pct"/>
          </w:tcPr>
          <w:p w:rsidR="00AE5FBA" w:rsidRPr="00822FD5" w:rsidDel="007E4AD0" w:rsidRDefault="00AE5FBA" w:rsidP="00BC2EA4">
            <w:pPr>
              <w:cnfStyle w:val="000000100000" w:firstRow="0" w:lastRow="0" w:firstColumn="0" w:lastColumn="0" w:oddVBand="0" w:evenVBand="0" w:oddHBand="1" w:evenHBand="0" w:firstRowFirstColumn="0" w:firstRowLastColumn="0" w:lastRowFirstColumn="0" w:lastRowLastColumn="0"/>
            </w:pPr>
            <w:r>
              <w:rPr>
                <w:rFonts w:ascii="Gautami" w:hAnsi="Gautami" w:cs="Gautami"/>
                <w:sz w:val="16"/>
                <w:szCs w:val="16"/>
              </w:rPr>
              <w:t>As prescribed in the National Electricity Rules.</w:t>
            </w:r>
          </w:p>
        </w:tc>
      </w:tr>
    </w:tbl>
    <w:p w:rsidR="00AE5FBA" w:rsidRDefault="00AE5FBA" w:rsidP="0052182B"/>
    <w:tbl>
      <w:tblPr>
        <w:tblStyle w:val="MediumShading1-Accent1"/>
        <w:tblW w:w="4966" w:type="pct"/>
        <w:tblLook w:val="04A0" w:firstRow="1" w:lastRow="0" w:firstColumn="1" w:lastColumn="0" w:noHBand="0" w:noVBand="1"/>
      </w:tblPr>
      <w:tblGrid>
        <w:gridCol w:w="2234"/>
        <w:gridCol w:w="4960"/>
        <w:gridCol w:w="327"/>
        <w:gridCol w:w="1658"/>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DA05A7" w:rsidRDefault="00AE5FBA" w:rsidP="00BC2EA4">
            <w:pPr>
              <w:pStyle w:val="AERtabletextleft"/>
              <w:rPr>
                <w:rFonts w:eastAsia="Calibri"/>
                <w:b w:val="0"/>
              </w:rPr>
            </w:pPr>
            <w:r w:rsidRPr="00DA05A7">
              <w:rPr>
                <w:rFonts w:eastAsia="Calibri"/>
              </w:rPr>
              <w:t>Definitions specific to Regulatory Template</w:t>
            </w:r>
            <w:r w:rsidRPr="00DA05A7" w:rsidDel="00357487">
              <w:rPr>
                <w:rFonts w:eastAsia="Calibri"/>
              </w:rPr>
              <w:t xml:space="preserve"> </w:t>
            </w:r>
            <w:r w:rsidRPr="00DA05A7">
              <w:rPr>
                <w:rFonts w:eastAsia="Calibri"/>
              </w:rPr>
              <w:t>2.8 OVERHEADS</w:t>
            </w:r>
          </w:p>
        </w:tc>
        <w:tc>
          <w:tcPr>
            <w:tcW w:w="2702" w:type="pct"/>
          </w:tcPr>
          <w:p w:rsidR="00AE5FBA" w:rsidRPr="005A79F8" w:rsidRDefault="00AE5FBA" w:rsidP="00BC2EA4">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r w:rsidRPr="005A79F8">
              <w:rPr>
                <w:rFonts w:eastAsia="Calibri"/>
              </w:rPr>
              <w:t>Definition</w:t>
            </w:r>
          </w:p>
        </w:tc>
        <w:tc>
          <w:tcPr>
            <w:tcW w:w="1081" w:type="pct"/>
            <w:gridSpan w:val="2"/>
          </w:tcPr>
          <w:p w:rsidR="00AE5FBA" w:rsidRPr="005A79F8" w:rsidRDefault="00AE5FBA" w:rsidP="00BC2EA4">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Asset Management Support</w:t>
            </w:r>
          </w:p>
        </w:tc>
        <w:tc>
          <w:tcPr>
            <w:tcW w:w="2702"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Expenditure on operational activities and services associated with managing and developing the transmission network, and supporting the strategic development of the network, but not directly attributable to maintaining or operating the network, and includes the costs related to the following functions:</w:t>
            </w:r>
          </w:p>
          <w:p w:rsidR="00AE5FBA" w:rsidRPr="003B40E2" w:rsidRDefault="00AE5FBA" w:rsidP="003B40E2">
            <w:pPr>
              <w:pStyle w:val="ListParagraph"/>
              <w:numPr>
                <w:ilvl w:val="0"/>
                <w:numId w:val="48"/>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maintaining asset strategies and plans, and technical standards</w:t>
            </w:r>
          </w:p>
          <w:p w:rsidR="00AE5FBA" w:rsidRPr="003B40E2" w:rsidRDefault="00AE5FBA" w:rsidP="003B40E2">
            <w:pPr>
              <w:pStyle w:val="ListParagraph"/>
              <w:numPr>
                <w:ilvl w:val="0"/>
                <w:numId w:val="48"/>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project initiation</w:t>
            </w:r>
          </w:p>
          <w:p w:rsidR="00AE5FBA" w:rsidRPr="003B40E2" w:rsidRDefault="00AE5FBA" w:rsidP="003B40E2">
            <w:pPr>
              <w:pStyle w:val="ListParagraph"/>
              <w:numPr>
                <w:ilvl w:val="0"/>
                <w:numId w:val="48"/>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grid planning</w:t>
            </w:r>
          </w:p>
          <w:p w:rsidR="00AE5FBA" w:rsidRPr="003B40E2" w:rsidRDefault="00AE5FBA" w:rsidP="003B40E2">
            <w:pPr>
              <w:pStyle w:val="ListParagraph"/>
              <w:numPr>
                <w:ilvl w:val="0"/>
                <w:numId w:val="48"/>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system modelling and planning</w:t>
            </w:r>
          </w:p>
          <w:p w:rsidR="00AE5FBA" w:rsidRPr="003B40E2" w:rsidRDefault="00AE5FBA" w:rsidP="003B40E2">
            <w:pPr>
              <w:pStyle w:val="ListParagraph"/>
              <w:numPr>
                <w:ilvl w:val="0"/>
                <w:numId w:val="48"/>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network support</w:t>
            </w:r>
          </w:p>
          <w:p w:rsidR="00AE5FBA" w:rsidRPr="003B40E2" w:rsidRDefault="00AE5FBA" w:rsidP="003B40E2">
            <w:pPr>
              <w:pStyle w:val="ListParagraph"/>
              <w:numPr>
                <w:ilvl w:val="0"/>
                <w:numId w:val="48"/>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network customer support/management</w:t>
            </w:r>
            <w:r>
              <w:rPr>
                <w:rFonts w:ascii="Gautami" w:hAnsi="Gautami" w:cs="Gautami"/>
                <w:color w:val="000000"/>
                <w:sz w:val="16"/>
                <w:szCs w:val="16"/>
              </w:rPr>
              <w:t>, including customer support and billing</w:t>
            </w:r>
          </w:p>
          <w:p w:rsidR="00AE5FBA" w:rsidRPr="003B40E2" w:rsidRDefault="00AE5FBA" w:rsidP="003B40E2">
            <w:pPr>
              <w:pStyle w:val="ListParagraph"/>
              <w:numPr>
                <w:ilvl w:val="0"/>
                <w:numId w:val="48"/>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000000"/>
                <w:sz w:val="16"/>
                <w:szCs w:val="16"/>
              </w:rPr>
            </w:pPr>
            <w:r w:rsidRPr="003B40E2">
              <w:rPr>
                <w:rFonts w:ascii="Gautami" w:hAnsi="Gautami" w:cs="Gautami"/>
                <w:color w:val="000000"/>
                <w:sz w:val="16"/>
                <w:szCs w:val="16"/>
              </w:rPr>
              <w:t>property management</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color w:val="000000"/>
                <w:sz w:val="16"/>
                <w:szCs w:val="16"/>
              </w:rPr>
              <w:t>Administration of the asset management information system.</w:t>
            </w:r>
          </w:p>
        </w:tc>
        <w:tc>
          <w:tcPr>
            <w:tcW w:w="1081" w:type="pct"/>
            <w:gridSpan w:val="2"/>
          </w:tcPr>
          <w:p w:rsidR="00AE5FBA" w:rsidRPr="005A79F8" w:rsidDel="007E4AD0" w:rsidRDefault="00AE5FBA" w:rsidP="00BC2EA4">
            <w:pPr>
              <w:tabs>
                <w:tab w:val="num" w:pos="0"/>
              </w:tabs>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Corporate Overhead</w:t>
            </w:r>
          </w:p>
        </w:tc>
        <w:tc>
          <w:tcPr>
            <w:tcW w:w="2880" w:type="pct"/>
            <w:gridSpan w:val="2"/>
          </w:tcPr>
          <w:p w:rsidR="00AE5FBA" w:rsidRPr="003B40E2" w:rsidRDefault="00AE5FBA" w:rsidP="003B40E2">
            <w:pPr>
              <w:numPr>
                <w:ilvl w:val="0"/>
                <w:numId w:val="29"/>
              </w:num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i/>
                <w:sz w:val="16"/>
                <w:szCs w:val="16"/>
              </w:rPr>
              <w:t>Corporate Overhead</w:t>
            </w:r>
            <w:r w:rsidRPr="003B40E2">
              <w:rPr>
                <w:rFonts w:ascii="Gautami" w:hAnsi="Gautami" w:cs="Gautami"/>
                <w:sz w:val="16"/>
                <w:szCs w:val="16"/>
              </w:rPr>
              <w:t xml:space="preserve"> costs refer to the provision of corporate support and management services by the corporate office that cannot be directly identified with specific operational activity.</w:t>
            </w:r>
          </w:p>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Includes:</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All corporate departments – Office of the CEO, Legal, Finance, Human Resources, Regulatory, etc.</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Taxes</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Rates</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Self-insurance</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Insurance</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Property management</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Debt raising cost</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Equity raising cost</w:t>
            </w:r>
          </w:p>
          <w:p w:rsidR="00AE5FBA"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N</w:t>
            </w:r>
            <w:r w:rsidRPr="003B40E2">
              <w:rPr>
                <w:rFonts w:ascii="Gautami" w:hAnsi="Gautami" w:cs="Gautami"/>
                <w:sz w:val="16"/>
                <w:szCs w:val="16"/>
              </w:rPr>
              <w:t>on-network alternatives to augmentation</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lastRenderedPageBreak/>
              <w:t>Regulatory support</w:t>
            </w:r>
          </w:p>
          <w:p w:rsidR="00AE5FBA"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Corporate support</w:t>
            </w:r>
          </w:p>
          <w:p w:rsidR="00AE5FBA" w:rsidRPr="003B40E2" w:rsidRDefault="00AE5FBA" w:rsidP="003B40E2">
            <w:pPr>
              <w:pStyle w:val="ListParagraph"/>
              <w:numPr>
                <w:ilvl w:val="0"/>
                <w:numId w:val="42"/>
              </w:numPr>
              <w:spacing w:before="80" w:after="120"/>
              <w:contextualSpacing w:val="0"/>
              <w:jc w:val="left"/>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 xml:space="preserve">IT </w:t>
            </w:r>
            <w:proofErr w:type="gramStart"/>
            <w:r>
              <w:rPr>
                <w:rFonts w:ascii="Gautami" w:hAnsi="Gautami" w:cs="Gautami"/>
                <w:sz w:val="16"/>
                <w:szCs w:val="16"/>
              </w:rPr>
              <w:t>support</w:t>
            </w:r>
            <w:proofErr w:type="gramEnd"/>
            <w:r w:rsidRPr="003B40E2">
              <w:rPr>
                <w:rFonts w:ascii="Gautami" w:hAnsi="Gautami" w:cs="Gautami"/>
                <w:sz w:val="16"/>
                <w:szCs w:val="16"/>
              </w:rPr>
              <w:t>.</w:t>
            </w:r>
          </w:p>
          <w:p w:rsidR="00AE5FBA" w:rsidRPr="003B40E2" w:rsidRDefault="00AE5FBA" w:rsidP="003B40E2">
            <w:pPr>
              <w:numPr>
                <w:ilvl w:val="0"/>
                <w:numId w:val="40"/>
              </w:num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c>
          <w:tcPr>
            <w:tcW w:w="903" w:type="pct"/>
          </w:tcPr>
          <w:p w:rsidR="00AE5FBA" w:rsidRPr="005A79F8" w:rsidRDefault="00AE5FBA" w:rsidP="00BC2EA4">
            <w:pPr>
              <w:tabs>
                <w:tab w:val="num" w:pos="0"/>
              </w:tabs>
              <w:ind w:left="849" w:hanging="283"/>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Maintenance Support</w:t>
            </w:r>
          </w:p>
        </w:tc>
        <w:tc>
          <w:tcPr>
            <w:tcW w:w="2702"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Expenditure on activities and services that directly support field maintenance activities but are not directly attributable to working on an item of plant or equipment, and includes the costs of:</w:t>
            </w:r>
          </w:p>
          <w:p w:rsidR="00AE5FBA" w:rsidRPr="003B40E2" w:rsidRDefault="00AE5FBA" w:rsidP="003B40E2">
            <w:pPr>
              <w:pStyle w:val="ListParagraph"/>
              <w:numPr>
                <w:ilvl w:val="0"/>
                <w:numId w:val="49"/>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managing field-based maintenance teams</w:t>
            </w:r>
          </w:p>
          <w:p w:rsidR="00AE5FBA" w:rsidRPr="003B40E2" w:rsidRDefault="00AE5FBA" w:rsidP="003B40E2">
            <w:pPr>
              <w:pStyle w:val="ListParagraph"/>
              <w:numPr>
                <w:ilvl w:val="0"/>
                <w:numId w:val="49"/>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managing field operating and maintenance contracts</w:t>
            </w:r>
          </w:p>
          <w:p w:rsidR="00AE5FBA" w:rsidRPr="003B40E2" w:rsidRDefault="00AE5FBA" w:rsidP="003B40E2">
            <w:pPr>
              <w:pStyle w:val="ListParagraph"/>
              <w:numPr>
                <w:ilvl w:val="0"/>
                <w:numId w:val="49"/>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field support</w:t>
            </w:r>
          </w:p>
          <w:p w:rsidR="00AE5FBA" w:rsidRPr="003B40E2" w:rsidRDefault="00AE5FBA" w:rsidP="003B40E2">
            <w:pPr>
              <w:pStyle w:val="ListParagraph"/>
              <w:numPr>
                <w:ilvl w:val="0"/>
                <w:numId w:val="49"/>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asset condition monitoring/analysis (including performing fault diagnosis and response management, and auditing network configurations)</w:t>
            </w:r>
          </w:p>
          <w:p w:rsidR="00AE5FBA" w:rsidRPr="003B40E2" w:rsidRDefault="00AE5FBA" w:rsidP="003B40E2">
            <w:pPr>
              <w:pStyle w:val="ListParagraph"/>
              <w:numPr>
                <w:ilvl w:val="0"/>
                <w:numId w:val="49"/>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environment and safety management</w:t>
            </w:r>
          </w:p>
          <w:p w:rsidR="00AE5FBA" w:rsidRPr="003B40E2" w:rsidRDefault="00AE5FBA" w:rsidP="003B40E2">
            <w:pPr>
              <w:pStyle w:val="ListParagraph"/>
              <w:numPr>
                <w:ilvl w:val="0"/>
                <w:numId w:val="49"/>
              </w:numPr>
              <w:autoSpaceDE w:val="0"/>
              <w:autoSpaceDN w:val="0"/>
              <w:adjustRightInd w:val="0"/>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works planning and coordination</w:t>
            </w:r>
          </w:p>
          <w:p w:rsidR="00AE5FBA" w:rsidRPr="003B40E2" w:rsidRDefault="00AE5FBA" w:rsidP="003B40E2">
            <w:pPr>
              <w:pStyle w:val="ListParagraph"/>
              <w:numPr>
                <w:ilvl w:val="0"/>
                <w:numId w:val="49"/>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running business processes and systems that directly support the field maintenance activities, such as geospatial information systems, maintenance management systems and maintenance field tools, and</w:t>
            </w:r>
          </w:p>
          <w:p w:rsidR="00AE5FBA" w:rsidRPr="003B40E2" w:rsidRDefault="00AE5FBA" w:rsidP="003B40E2">
            <w:pPr>
              <w:pStyle w:val="ListParagraph"/>
              <w:numPr>
                <w:ilvl w:val="0"/>
                <w:numId w:val="49"/>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roofErr w:type="gramStart"/>
            <w:r w:rsidRPr="003B40E2">
              <w:rPr>
                <w:rFonts w:ascii="Gautami" w:hAnsi="Gautami" w:cs="Gautami"/>
                <w:sz w:val="16"/>
                <w:szCs w:val="16"/>
              </w:rPr>
              <w:t>direct</w:t>
            </w:r>
            <w:proofErr w:type="gramEnd"/>
            <w:r w:rsidRPr="003B40E2">
              <w:rPr>
                <w:rFonts w:ascii="Gautami" w:hAnsi="Gautami" w:cs="Gautami"/>
                <w:sz w:val="16"/>
                <w:szCs w:val="16"/>
              </w:rPr>
              <w:t xml:space="preserve"> charges associated with owning and managing assets, such as land taxes, water charges, electricity bills, council rates, and permits. </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Excludes:</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If not directly attributable to field maintenance, the costs (in whole or in part) of fleet and logistics &amp; supply management, which should be reported in </w:t>
            </w:r>
            <w:r w:rsidRPr="003B40E2">
              <w:rPr>
                <w:rFonts w:ascii="Gautami" w:hAnsi="Gautami" w:cs="Gautami"/>
                <w:i/>
                <w:sz w:val="16"/>
                <w:szCs w:val="16"/>
              </w:rPr>
              <w:t>Corporate Overhead.</w:t>
            </w:r>
          </w:p>
        </w:tc>
        <w:tc>
          <w:tcPr>
            <w:tcW w:w="1081" w:type="pct"/>
            <w:gridSpan w:val="2"/>
          </w:tcPr>
          <w:p w:rsidR="00AE5FBA" w:rsidRPr="005A79F8" w:rsidDel="007E4AD0" w:rsidRDefault="00AE5FBA" w:rsidP="00BC2EA4">
            <w:pPr>
              <w:tabs>
                <w:tab w:val="num" w:pos="0"/>
              </w:tabs>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Network Monitoring &amp; Control</w:t>
            </w:r>
          </w:p>
        </w:tc>
        <w:tc>
          <w:tcPr>
            <w:tcW w:w="2702" w:type="pct"/>
          </w:tcPr>
          <w:p w:rsidR="00AE5FBA" w:rsidRPr="003B40E2" w:rsidRDefault="00AE5FBA" w:rsidP="003B40E2">
            <w:pPr>
              <w:numPr>
                <w:ilvl w:val="0"/>
                <w:numId w:val="29"/>
              </w:num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i/>
                <w:sz w:val="16"/>
                <w:szCs w:val="16"/>
              </w:rPr>
            </w:pPr>
            <w:r w:rsidRPr="003B40E2">
              <w:rPr>
                <w:rFonts w:ascii="Gautami" w:hAnsi="Gautami" w:cs="Gautami"/>
                <w:sz w:val="16"/>
                <w:szCs w:val="16"/>
              </w:rPr>
              <w:t>Expenditure associated with activities in operating and monitoring assets in the field and the control centre, and includes the costs associated with:</w:t>
            </w:r>
          </w:p>
          <w:p w:rsidR="00AE5FBA" w:rsidRPr="003B40E2" w:rsidRDefault="00AE5FBA" w:rsidP="003B40E2">
            <w:pPr>
              <w:pStyle w:val="Bullets"/>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real-time control room functions (network operation, coordination and switching)</w:t>
            </w:r>
          </w:p>
          <w:p w:rsidR="00AE5FBA" w:rsidRPr="003B40E2" w:rsidRDefault="00AE5FBA" w:rsidP="003B40E2">
            <w:pPr>
              <w:pStyle w:val="Bullets"/>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off-line system security support</w:t>
            </w:r>
          </w:p>
          <w:p w:rsidR="00AE5FBA" w:rsidRPr="003B40E2" w:rsidRDefault="00AE5FBA" w:rsidP="003B40E2">
            <w:pPr>
              <w:pStyle w:val="Bullets"/>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technical/IT support for SCADA and other network operation systems</w:t>
            </w:r>
          </w:p>
          <w:p w:rsidR="00AE5FBA" w:rsidRPr="003B40E2" w:rsidRDefault="00AE5FBA" w:rsidP="003B40E2">
            <w:pPr>
              <w:pStyle w:val="Bullets"/>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managing the energy management system</w:t>
            </w:r>
          </w:p>
          <w:p w:rsidR="00AE5FBA" w:rsidRPr="003B40E2" w:rsidRDefault="00AE5FBA" w:rsidP="003B40E2">
            <w:pPr>
              <w:pStyle w:val="Bullets"/>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training</w:t>
            </w:r>
          </w:p>
          <w:p w:rsidR="00AE5FBA" w:rsidRPr="003B40E2" w:rsidRDefault="00AE5FBA" w:rsidP="003B40E2">
            <w:pPr>
              <w:pStyle w:val="Bullets"/>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sidRPr="003B40E2">
              <w:rPr>
                <w:rFonts w:ascii="Gautami" w:hAnsi="Gautami" w:cs="Gautami"/>
                <w:sz w:val="16"/>
                <w:szCs w:val="16"/>
              </w:rPr>
              <w:t>OH&amp;S</w:t>
            </w:r>
            <w:r>
              <w:rPr>
                <w:rFonts w:ascii="Gautami" w:hAnsi="Gautami" w:cs="Gautami"/>
                <w:sz w:val="16"/>
                <w:szCs w:val="16"/>
              </w:rPr>
              <w:t>.</w:t>
            </w:r>
          </w:p>
          <w:p w:rsidR="00AE5FBA" w:rsidRPr="003B40E2" w:rsidRDefault="00AE5FBA" w:rsidP="003B40E2">
            <w:pPr>
              <w:pStyle w:val="Bullets"/>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i/>
                <w:sz w:val="16"/>
                <w:szCs w:val="16"/>
              </w:rPr>
            </w:pPr>
          </w:p>
        </w:tc>
        <w:tc>
          <w:tcPr>
            <w:tcW w:w="1081" w:type="pct"/>
            <w:gridSpan w:val="2"/>
          </w:tcPr>
          <w:p w:rsidR="00AE5FBA" w:rsidRPr="005A79F8" w:rsidDel="007E4AD0" w:rsidRDefault="00AE5FBA" w:rsidP="00BC2EA4">
            <w:pPr>
              <w:tabs>
                <w:tab w:val="num" w:pos="0"/>
              </w:tabs>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Network Overhead</w:t>
            </w:r>
          </w:p>
        </w:tc>
        <w:tc>
          <w:tcPr>
            <w:tcW w:w="2702" w:type="pct"/>
          </w:tcPr>
          <w:p w:rsidR="00AE5FBA" w:rsidRPr="003B40E2" w:rsidRDefault="00AE5FBA" w:rsidP="003B40E2">
            <w:pPr>
              <w:numPr>
                <w:ilvl w:val="0"/>
                <w:numId w:val="29"/>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i/>
                <w:sz w:val="16"/>
                <w:szCs w:val="16"/>
              </w:rPr>
              <w:t>Network Overhead</w:t>
            </w:r>
            <w:r w:rsidRPr="003B40E2">
              <w:rPr>
                <w:rFonts w:ascii="Gautami" w:hAnsi="Gautami" w:cs="Gautami"/>
                <w:sz w:val="16"/>
                <w:szCs w:val="16"/>
              </w:rPr>
              <w:t xml:space="preserve"> costs refer to the provision of management services and other related operational, network planning, asset management and compliance functions that cannot be directly associated with any specific operational activity (such as routine maintenance, vegetation management, etc.).</w:t>
            </w:r>
          </w:p>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hAnsi="Gautami" w:cs="Gautami"/>
                <w:sz w:val="16"/>
                <w:szCs w:val="16"/>
              </w:rPr>
              <w:t xml:space="preserve">For transmission NSPs, </w:t>
            </w:r>
            <w:r w:rsidRPr="003B40E2">
              <w:rPr>
                <w:rFonts w:ascii="Gautami" w:hAnsi="Gautami" w:cs="Gautami"/>
                <w:i/>
                <w:sz w:val="16"/>
                <w:szCs w:val="16"/>
              </w:rPr>
              <w:t>Network Overhead</w:t>
            </w:r>
            <w:r w:rsidRPr="003B40E2">
              <w:rPr>
                <w:rFonts w:ascii="Gautami" w:hAnsi="Gautami" w:cs="Gautami"/>
                <w:sz w:val="16"/>
                <w:szCs w:val="16"/>
              </w:rPr>
              <w:t xml:space="preserve"> is the sum of expenditure for </w:t>
            </w:r>
            <w:r w:rsidRPr="003B40E2">
              <w:rPr>
                <w:rFonts w:ascii="Gautami" w:hAnsi="Gautami" w:cs="Gautami"/>
                <w:i/>
                <w:sz w:val="16"/>
                <w:szCs w:val="16"/>
              </w:rPr>
              <w:t>Maintenance Support</w:t>
            </w:r>
            <w:r w:rsidRPr="003B40E2">
              <w:rPr>
                <w:rFonts w:ascii="Gautami" w:hAnsi="Gautami" w:cs="Gautami"/>
                <w:sz w:val="16"/>
                <w:szCs w:val="16"/>
              </w:rPr>
              <w:t xml:space="preserve">, </w:t>
            </w:r>
            <w:r w:rsidRPr="003B40E2">
              <w:rPr>
                <w:rFonts w:ascii="Gautami" w:hAnsi="Gautami" w:cs="Gautami"/>
                <w:i/>
                <w:sz w:val="16"/>
                <w:szCs w:val="16"/>
              </w:rPr>
              <w:t>Network Monitoring &amp; Control</w:t>
            </w:r>
            <w:r w:rsidRPr="003B40E2">
              <w:rPr>
                <w:rFonts w:ascii="Gautami" w:hAnsi="Gautami" w:cs="Gautami"/>
                <w:sz w:val="16"/>
                <w:szCs w:val="16"/>
              </w:rPr>
              <w:t xml:space="preserve">, and </w:t>
            </w:r>
            <w:r w:rsidRPr="003B40E2">
              <w:rPr>
                <w:rFonts w:ascii="Gautami" w:hAnsi="Gautami" w:cs="Gautami"/>
                <w:i/>
                <w:sz w:val="16"/>
                <w:szCs w:val="16"/>
              </w:rPr>
              <w:t>Asset Management Support</w:t>
            </w:r>
            <w:r w:rsidRPr="003B40E2">
              <w:rPr>
                <w:rFonts w:ascii="Gautami" w:hAnsi="Gautami" w:cs="Gautami"/>
                <w:sz w:val="16"/>
                <w:szCs w:val="16"/>
              </w:rPr>
              <w:t>.</w:t>
            </w:r>
          </w:p>
        </w:tc>
        <w:tc>
          <w:tcPr>
            <w:tcW w:w="1081" w:type="pct"/>
            <w:gridSpan w:val="2"/>
          </w:tcPr>
          <w:p w:rsidR="00AE5FBA" w:rsidRPr="005A79F8" w:rsidDel="007E4AD0" w:rsidRDefault="00AE5FBA" w:rsidP="00BC2EA4">
            <w:pPr>
              <w:tabs>
                <w:tab w:val="num" w:pos="0"/>
              </w:tabs>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Pr>
                <w:rFonts w:ascii="Gautami" w:eastAsia="Calibri" w:hAnsi="Gautami" w:cs="Gautami"/>
                <w:b w:val="0"/>
                <w:i/>
                <w:sz w:val="16"/>
                <w:szCs w:val="16"/>
              </w:rPr>
              <w:t>Overhead</w:t>
            </w:r>
          </w:p>
        </w:tc>
        <w:tc>
          <w:tcPr>
            <w:tcW w:w="2702" w:type="pct"/>
          </w:tcPr>
          <w:p w:rsidR="00AE5FBA" w:rsidRPr="001316ED" w:rsidRDefault="00AE5FBA" w:rsidP="008F1626">
            <w:pPr>
              <w:numPr>
                <w:ilvl w:val="0"/>
                <w:numId w:val="29"/>
              </w:numPr>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r>
              <w:rPr>
                <w:rFonts w:ascii="Gautami" w:hAnsi="Gautami" w:cs="Gautami"/>
                <w:sz w:val="16"/>
                <w:szCs w:val="16"/>
              </w:rPr>
              <w:t>E</w:t>
            </w:r>
            <w:r w:rsidRPr="001316ED">
              <w:rPr>
                <w:rFonts w:ascii="Gautami" w:hAnsi="Gautami" w:cs="Gautami"/>
                <w:sz w:val="16"/>
                <w:szCs w:val="16"/>
              </w:rPr>
              <w:t>xpenditure that cannot be directly attributed to a work activity, project or work order. Consists of labour, materials, contract costs and other costs. Overheads can also be referred to as ‘shared costs’</w:t>
            </w:r>
            <w:r>
              <w:rPr>
                <w:rFonts w:ascii="Gautami" w:hAnsi="Gautami" w:cs="Gautami"/>
                <w:sz w:val="16"/>
                <w:szCs w:val="16"/>
              </w:rPr>
              <w:t xml:space="preserve"> </w:t>
            </w:r>
            <w:r w:rsidRPr="001316ED">
              <w:rPr>
                <w:rFonts w:ascii="Gautami" w:hAnsi="Gautami" w:cs="Gautami"/>
                <w:sz w:val="16"/>
                <w:szCs w:val="16"/>
              </w:rPr>
              <w:t>(e.g. in the NSPs’ Cost Allocation Method documents).</w:t>
            </w:r>
          </w:p>
          <w:p w:rsidR="00AE5FBA" w:rsidRPr="001316ED" w:rsidRDefault="00AE5FBA" w:rsidP="008F1626">
            <w:pPr>
              <w:pStyle w:val="AERtabletextleft"/>
              <w:numPr>
                <w:ilvl w:val="0"/>
                <w:numId w:val="29"/>
              </w:numPr>
              <w:cnfStyle w:val="000000010000" w:firstRow="0" w:lastRow="0" w:firstColumn="0" w:lastColumn="0" w:oddVBand="0" w:evenVBand="0" w:oddHBand="0" w:evenHBand="1" w:firstRowFirstColumn="0" w:firstRowLastColumn="0" w:lastRowFirstColumn="0" w:lastRowLastColumn="0"/>
              <w:rPr>
                <w:rFonts w:cs="Gautami"/>
                <w:color w:val="000000" w:themeColor="text1"/>
                <w:szCs w:val="16"/>
              </w:rPr>
            </w:pPr>
            <w:r w:rsidRPr="001316ED">
              <w:rPr>
                <w:rFonts w:cs="Gautami"/>
              </w:rPr>
              <w:lastRenderedPageBreak/>
              <w:t xml:space="preserve">In category analysis RINs and templates, overheads are disaggregated as </w:t>
            </w:r>
            <w:r w:rsidRPr="001316ED">
              <w:rPr>
                <w:rFonts w:cs="Gautami"/>
                <w:i/>
              </w:rPr>
              <w:t>Network Overheads</w:t>
            </w:r>
            <w:r w:rsidRPr="001316ED">
              <w:rPr>
                <w:rFonts w:cs="Gautami"/>
              </w:rPr>
              <w:t xml:space="preserve"> and </w:t>
            </w:r>
            <w:r w:rsidRPr="001316ED">
              <w:rPr>
                <w:rFonts w:cs="Gautami"/>
                <w:i/>
              </w:rPr>
              <w:t>Corporate Overheads</w:t>
            </w:r>
            <w:r w:rsidRPr="001316ED">
              <w:rPr>
                <w:rFonts w:cs="Gautami"/>
              </w:rPr>
              <w:t>.</w:t>
            </w:r>
          </w:p>
          <w:p w:rsidR="00AE5FBA" w:rsidRPr="003B40E2" w:rsidRDefault="00AE5FBA" w:rsidP="008F1626">
            <w:pPr>
              <w:numPr>
                <w:ilvl w:val="0"/>
                <w:numId w:val="29"/>
              </w:numPr>
              <w:spacing w:before="80" w:after="120"/>
              <w:cnfStyle w:val="000000010000" w:firstRow="0" w:lastRow="0" w:firstColumn="0" w:lastColumn="0" w:oddVBand="0" w:evenVBand="0" w:oddHBand="0" w:evenHBand="1" w:firstRowFirstColumn="0" w:firstRowLastColumn="0" w:lastRowFirstColumn="0" w:lastRowLastColumn="0"/>
              <w:rPr>
                <w:rFonts w:ascii="Gautami" w:hAnsi="Gautami" w:cs="Gautami"/>
                <w:i/>
                <w:sz w:val="16"/>
                <w:szCs w:val="16"/>
              </w:rPr>
            </w:pPr>
          </w:p>
        </w:tc>
        <w:tc>
          <w:tcPr>
            <w:tcW w:w="1081" w:type="pct"/>
            <w:gridSpan w:val="2"/>
          </w:tcPr>
          <w:p w:rsidR="00AE5FBA" w:rsidRPr="005A79F8" w:rsidDel="007E4AD0" w:rsidRDefault="00AE5FBA" w:rsidP="00BC2EA4">
            <w:pPr>
              <w:tabs>
                <w:tab w:val="num" w:pos="0"/>
              </w:tabs>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rPr>
            </w:pPr>
          </w:p>
        </w:tc>
      </w:tr>
    </w:tbl>
    <w:p w:rsidR="00AE5FBA" w:rsidRDefault="00AE5FBA" w:rsidP="0052182B"/>
    <w:tbl>
      <w:tblPr>
        <w:tblStyle w:val="MediumShading1-Accent1"/>
        <w:tblW w:w="4966" w:type="pct"/>
        <w:tblLook w:val="04A0" w:firstRow="1" w:lastRow="0" w:firstColumn="1" w:lastColumn="0" w:noHBand="0" w:noVBand="1"/>
      </w:tblPr>
      <w:tblGrid>
        <w:gridCol w:w="2234"/>
        <w:gridCol w:w="6945"/>
      </w:tblGrid>
      <w:tr w:rsidR="00AE5FBA" w:rsidRPr="005A79F8" w:rsidTr="00BC2E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F36E81" w:rsidRDefault="00AE5FBA" w:rsidP="00647BA4">
            <w:pPr>
              <w:pStyle w:val="AERtabletextleft"/>
              <w:rPr>
                <w:rFonts w:eastAsia="Calibri"/>
              </w:rPr>
            </w:pPr>
            <w:r w:rsidRPr="00F36E81">
              <w:rPr>
                <w:rFonts w:eastAsia="Calibri"/>
              </w:rPr>
              <w:t>Definitions specific to Regulatory Template 2.</w:t>
            </w:r>
            <w:r>
              <w:rPr>
                <w:rFonts w:eastAsia="Calibri"/>
              </w:rPr>
              <w:t>6</w:t>
            </w:r>
            <w:r w:rsidRPr="00F36E81">
              <w:rPr>
                <w:rFonts w:eastAsia="Calibri"/>
              </w:rPr>
              <w:t xml:space="preserve"> Vegetation management</w:t>
            </w:r>
          </w:p>
        </w:tc>
        <w:tc>
          <w:tcPr>
            <w:tcW w:w="3783" w:type="pct"/>
          </w:tcPr>
          <w:p w:rsidR="00AE5FBA" w:rsidRPr="002F3D0C" w:rsidRDefault="00AE5FBA" w:rsidP="00BC2EA4">
            <w:pPr>
              <w:pStyle w:val="AERtabletextleft"/>
              <w:cnfStyle w:val="100000000000" w:firstRow="1" w:lastRow="0" w:firstColumn="0" w:lastColumn="0" w:oddVBand="0" w:evenVBand="0" w:oddHBand="0" w:evenHBand="0" w:firstRowFirstColumn="0" w:firstRowLastColumn="0" w:lastRowFirstColumn="0" w:lastRowLastColumn="0"/>
              <w:rPr>
                <w:rFonts w:eastAsia="Calibri"/>
              </w:rPr>
            </w:pPr>
            <w:r w:rsidRPr="002F3D0C">
              <w:rPr>
                <w:rFonts w:eastAsia="Calibri"/>
              </w:rPr>
              <w:t>Definition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Audit</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Auditing of </w:t>
            </w:r>
            <w:r w:rsidRPr="003B40E2">
              <w:rPr>
                <w:rFonts w:ascii="Gautami" w:eastAsia="Calibri" w:hAnsi="Gautami" w:cs="Gautami"/>
                <w:i/>
                <w:sz w:val="16"/>
                <w:szCs w:val="16"/>
              </w:rPr>
              <w:t>vegetation management</w:t>
            </w:r>
            <w:r w:rsidRPr="003B40E2">
              <w:rPr>
                <w:rFonts w:ascii="Gautami" w:eastAsia="Calibri" w:hAnsi="Gautami" w:cs="Gautami"/>
                <w:sz w:val="16"/>
                <w:szCs w:val="16"/>
              </w:rPr>
              <w:t xml:space="preserve"> activities (e.g. </w:t>
            </w:r>
            <w:r w:rsidRPr="00AF2CCF">
              <w:rPr>
                <w:rFonts w:ascii="Gautami" w:eastAsia="Calibri" w:hAnsi="Gautami" w:cs="Gautami"/>
                <w:i/>
                <w:sz w:val="16"/>
                <w:szCs w:val="16"/>
              </w:rPr>
              <w:t>tree trimming</w:t>
            </w:r>
            <w:r w:rsidRPr="003B40E2">
              <w:rPr>
                <w:rFonts w:ascii="Gautami" w:eastAsia="Calibri" w:hAnsi="Gautami" w:cs="Gautami"/>
                <w:sz w:val="16"/>
                <w:szCs w:val="16"/>
              </w:rPr>
              <w:t xml:space="preserve">, tree removal, herbicide application, etc.) following vegetation maintenance works in order to confirm the quality and/or extent of the </w:t>
            </w:r>
            <w:r w:rsidRPr="003B40E2">
              <w:rPr>
                <w:rFonts w:ascii="Gautami" w:eastAsia="Calibri" w:hAnsi="Gautami" w:cs="Gautami"/>
                <w:i/>
                <w:sz w:val="16"/>
                <w:szCs w:val="16"/>
              </w:rPr>
              <w:t>vegetation management</w:t>
            </w:r>
            <w:r w:rsidRPr="003B40E2">
              <w:rPr>
                <w:rFonts w:ascii="Gautami" w:eastAsia="Calibri" w:hAnsi="Gautami" w:cs="Gautami"/>
                <w:sz w:val="16"/>
                <w:szCs w:val="16"/>
              </w:rPr>
              <w:t xml:space="preserve"> activities undertaken.</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Average number of trees per maintenance span</w:t>
            </w:r>
          </w:p>
        </w:tc>
        <w:tc>
          <w:tcPr>
            <w:tcW w:w="3783" w:type="pct"/>
          </w:tcPr>
          <w:p w:rsidR="00AE5FBA" w:rsidRPr="003B40E2" w:rsidRDefault="00AE5FBA" w:rsidP="00647BA4">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estimated average of the number of trees wit</w:t>
            </w:r>
            <w:r>
              <w:rPr>
                <w:rFonts w:ascii="Gautami" w:eastAsia="Calibri" w:hAnsi="Gautami" w:cs="Gautami"/>
                <w:sz w:val="16"/>
                <w:szCs w:val="16"/>
              </w:rPr>
              <w:t xml:space="preserve">hin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’s vegetation </w:t>
            </w:r>
            <w:r w:rsidRPr="003B40E2">
              <w:rPr>
                <w:rFonts w:ascii="Gautami" w:eastAsia="Calibri" w:hAnsi="Gautami" w:cs="Gautami"/>
                <w:i/>
                <w:sz w:val="16"/>
                <w:szCs w:val="16"/>
              </w:rPr>
              <w:t>maintenance spans</w:t>
            </w:r>
            <w:r w:rsidRPr="003B40E2">
              <w:rPr>
                <w:rFonts w:ascii="Gautami" w:eastAsia="Calibri" w:hAnsi="Gautami" w:cs="Gautami"/>
                <w:sz w:val="16"/>
                <w:szCs w:val="16"/>
              </w:rPr>
              <w:t xml:space="preserve">. This includes only trees that require active </w:t>
            </w:r>
            <w:r w:rsidRPr="003B40E2">
              <w:rPr>
                <w:rFonts w:ascii="Gautami" w:eastAsia="Calibri" w:hAnsi="Gautami" w:cs="Gautami"/>
                <w:i/>
                <w:sz w:val="16"/>
                <w:szCs w:val="16"/>
              </w:rPr>
              <w:t>vegetation management</w:t>
            </w:r>
            <w:r w:rsidRPr="003B40E2">
              <w:rPr>
                <w:rFonts w:ascii="Gautami" w:eastAsia="Calibri" w:hAnsi="Gautami" w:cs="Gautami"/>
                <w:sz w:val="16"/>
                <w:szCs w:val="16"/>
              </w:rPr>
              <w:t xml:space="preserve"> to meet its vegetation obligations</w:t>
            </w:r>
            <w:r>
              <w:rPr>
                <w:rFonts w:ascii="Gautami" w:eastAsia="Calibri" w:hAnsi="Gautami" w:cs="Gautami"/>
                <w:sz w:val="16"/>
                <w:szCs w:val="16"/>
              </w:rPr>
              <w:t xml:space="preserve"> </w:t>
            </w:r>
            <w:r w:rsidRPr="00647BA4">
              <w:rPr>
                <w:rFonts w:ascii="Gautami" w:eastAsia="Calibri" w:hAnsi="Gautami" w:cs="Gautami"/>
                <w:sz w:val="16"/>
                <w:szCs w:val="16"/>
              </w:rPr>
              <w:t>(it excludes trees that are only inspected)</w:t>
            </w:r>
            <w:r w:rsidRPr="003B40E2">
              <w:rPr>
                <w:rFonts w:ascii="Gautami" w:eastAsia="Calibri" w:hAnsi="Gautami" w:cs="Gautami"/>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i/>
                <w:sz w:val="16"/>
                <w:szCs w:val="16"/>
              </w:rPr>
            </w:pPr>
            <w:r w:rsidRPr="00E71D31">
              <w:rPr>
                <w:rFonts w:ascii="Gautami" w:eastAsia="Calibri" w:hAnsi="Gautami" w:cs="Gautami"/>
                <w:b w:val="0"/>
                <w:i/>
                <w:sz w:val="16"/>
                <w:szCs w:val="16"/>
              </w:rPr>
              <w:t>Contractor liaison</w:t>
            </w:r>
          </w:p>
        </w:tc>
        <w:tc>
          <w:tcPr>
            <w:tcW w:w="3783" w:type="pct"/>
          </w:tcPr>
          <w:p w:rsidR="00AE5FBA" w:rsidRPr="003B40E2" w:rsidRDefault="00AE5FBA" w:rsidP="00647BA4">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E71D31">
              <w:rPr>
                <w:rFonts w:ascii="Gautami" w:eastAsia="Calibri" w:hAnsi="Gautami" w:cs="Gautami"/>
                <w:sz w:val="16"/>
                <w:szCs w:val="16"/>
              </w:rPr>
              <w:t xml:space="preserve">Day-to-day liaison with and management of the contractors involved in undertaking </w:t>
            </w:r>
            <w:r w:rsidRPr="00E71D31">
              <w:rPr>
                <w:rFonts w:ascii="Gautami" w:eastAsia="Calibri" w:hAnsi="Gautami" w:cs="Gautami"/>
                <w:i/>
                <w:sz w:val="16"/>
                <w:szCs w:val="16"/>
              </w:rPr>
              <w:t>vegetation management</w:t>
            </w:r>
            <w:r w:rsidRPr="00E71D31">
              <w:rPr>
                <w:rFonts w:ascii="Gautami" w:eastAsia="Calibri" w:hAnsi="Gautami" w:cs="Gautami"/>
                <w:sz w:val="16"/>
                <w:szCs w:val="16"/>
              </w:rPr>
              <w:t xml:space="preserve"> work on behalf of </w:t>
            </w:r>
            <w:r w:rsidRPr="00E34849">
              <w:rPr>
                <w:rFonts w:ascii="Gautami" w:eastAsia="Calibri" w:hAnsi="Gautami" w:cs="Gautami"/>
                <w:noProof/>
                <w:sz w:val="16"/>
                <w:szCs w:val="16"/>
              </w:rPr>
              <w:t>TNSP</w:t>
            </w:r>
            <w:r w:rsidRPr="00E71D31">
              <w:rPr>
                <w:rFonts w:ascii="Gautami" w:eastAsia="Calibri" w:hAnsi="Gautami" w:cs="Gautami"/>
                <w:sz w:val="16"/>
                <w:szCs w:val="16"/>
              </w:rPr>
              <w:t xml:space="preserve">. This includes but is not limited to the management of work invoices, assigning work to contractors and the review of audits. This excludes actual </w:t>
            </w:r>
            <w:r w:rsidRPr="00E71D31">
              <w:rPr>
                <w:rFonts w:ascii="Gautami" w:eastAsia="Calibri" w:hAnsi="Gautami" w:cs="Gautami"/>
                <w:i/>
                <w:sz w:val="16"/>
                <w:szCs w:val="16"/>
              </w:rPr>
              <w:t>audit</w:t>
            </w:r>
            <w:r w:rsidRPr="00E71D31">
              <w:rPr>
                <w:rFonts w:ascii="Gautami" w:eastAsia="Calibri" w:hAnsi="Gautami" w:cs="Gautami"/>
                <w:sz w:val="16"/>
                <w:szCs w:val="16"/>
              </w:rPr>
              <w:t xml:space="preserve"> work undertaken.</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Cutting cycle</w:t>
            </w:r>
          </w:p>
        </w:tc>
        <w:tc>
          <w:tcPr>
            <w:tcW w:w="3783" w:type="pct"/>
          </w:tcPr>
          <w:p w:rsidR="00AE5FBA" w:rsidRPr="003B40E2" w:rsidRDefault="00AE5FBA" w:rsidP="003B40E2">
            <w:pPr>
              <w:tabs>
                <w:tab w:val="num" w:pos="0"/>
              </w:tabs>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average planned number of years (including fractions of years) between which cyclic vegetation maintenance is performed within </w:t>
            </w:r>
            <w:r w:rsidRPr="003B40E2">
              <w:rPr>
                <w:rFonts w:ascii="Gautami" w:eastAsia="Calibri" w:hAnsi="Gautami" w:cs="Gautami"/>
                <w:i/>
                <w:sz w:val="16"/>
                <w:szCs w:val="16"/>
              </w:rPr>
              <w:t>vegetation management zones</w:t>
            </w:r>
            <w:r w:rsidRPr="003B40E2">
              <w:rPr>
                <w:rFonts w:ascii="Gautami" w:eastAsia="Calibri" w:hAnsi="Gautami" w:cs="Gautami"/>
                <w:sz w:val="16"/>
                <w:szCs w:val="16"/>
              </w:rPr>
              <w:t>.</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Defect</w:t>
            </w:r>
          </w:p>
        </w:tc>
        <w:tc>
          <w:tcPr>
            <w:tcW w:w="3783" w:type="pct"/>
          </w:tcPr>
          <w:p w:rsidR="00AE5FBA" w:rsidRPr="003B40E2" w:rsidRDefault="00AE5FBA" w:rsidP="003B40E2">
            <w:pPr>
              <w:tabs>
                <w:tab w:val="num" w:pos="0"/>
              </w:tabs>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A </w:t>
            </w:r>
            <w:r w:rsidRPr="003B40E2">
              <w:rPr>
                <w:rFonts w:ascii="Gautami" w:eastAsia="Calibri" w:hAnsi="Gautami" w:cs="Gautami"/>
                <w:i/>
                <w:sz w:val="16"/>
                <w:szCs w:val="16"/>
              </w:rPr>
              <w:t>defect</w:t>
            </w:r>
            <w:r w:rsidRPr="003B40E2">
              <w:rPr>
                <w:rFonts w:ascii="Gautami" w:eastAsia="Calibri" w:hAnsi="Gautami" w:cs="Gautami"/>
                <w:sz w:val="16"/>
                <w:szCs w:val="16"/>
              </w:rPr>
              <w:t xml:space="preserve"> is any recorded incidence of noncompliance with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’s vegetation clearance standard. This also includes vegetation outside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’s standard clearance zone that is recognised as hazardous vegetation and which would normally be reported as requiring management under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’s </w:t>
            </w:r>
            <w:r w:rsidRPr="003B40E2">
              <w:rPr>
                <w:rFonts w:ascii="Gautami" w:eastAsia="Calibri" w:hAnsi="Gautami" w:cs="Gautami"/>
                <w:i/>
                <w:sz w:val="16"/>
                <w:szCs w:val="16"/>
              </w:rPr>
              <w:t>inspection</w:t>
            </w:r>
            <w:r w:rsidRPr="003B40E2">
              <w:rPr>
                <w:rFonts w:ascii="Gautami" w:eastAsia="Calibri" w:hAnsi="Gautami" w:cs="Gautami"/>
                <w:sz w:val="16"/>
                <w:szCs w:val="16"/>
              </w:rPr>
              <w:t xml:space="preserve"> practices.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Inspection</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Inspections only for the purpose of identifying of trees or other vegetation that require trimming or removal. This includes vegetation scoping works, the use of </w:t>
            </w:r>
            <w:proofErr w:type="spellStart"/>
            <w:r w:rsidRPr="00AF2CCF">
              <w:rPr>
                <w:rFonts w:ascii="Gautami" w:eastAsia="Calibri" w:hAnsi="Gautami" w:cs="Gautami"/>
                <w:i/>
                <w:sz w:val="16"/>
                <w:szCs w:val="16"/>
              </w:rPr>
              <w:t>LiDAR</w:t>
            </w:r>
            <w:proofErr w:type="spellEnd"/>
            <w:r w:rsidRPr="003B40E2">
              <w:rPr>
                <w:rFonts w:ascii="Gautami" w:eastAsia="Calibri" w:hAnsi="Gautami" w:cs="Gautami"/>
                <w:sz w:val="16"/>
                <w:szCs w:val="16"/>
              </w:rPr>
              <w:t>, aerial and other forms of inspection.</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proofErr w:type="spellStart"/>
            <w:r w:rsidRPr="003B40E2">
              <w:rPr>
                <w:rFonts w:ascii="Gautami" w:eastAsia="Calibri" w:hAnsi="Gautami" w:cs="Gautami"/>
                <w:b w:val="0"/>
                <w:i/>
                <w:sz w:val="16"/>
                <w:szCs w:val="16"/>
              </w:rPr>
              <w:t>LiDAR</w:t>
            </w:r>
            <w:proofErr w:type="spellEnd"/>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Light detection and ranging</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Maintenance span</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A span within </w:t>
            </w:r>
            <w:r w:rsidRPr="00E34849">
              <w:rPr>
                <w:rFonts w:ascii="Gautami" w:eastAsia="Calibri" w:hAnsi="Gautami" w:cs="Gautami"/>
                <w:noProof/>
                <w:sz w:val="16"/>
                <w:szCs w:val="16"/>
              </w:rPr>
              <w:t>TNSP</w:t>
            </w:r>
            <w:r w:rsidRPr="003B40E2">
              <w:rPr>
                <w:rFonts w:ascii="Gautami" w:eastAsia="Calibri" w:hAnsi="Gautami" w:cs="Gautami"/>
                <w:sz w:val="16"/>
                <w:szCs w:val="16"/>
              </w:rPr>
              <w:t xml:space="preserve">’s network that is subject to active </w:t>
            </w:r>
            <w:r w:rsidRPr="003B40E2">
              <w:rPr>
                <w:rFonts w:ascii="Gautami" w:eastAsia="Calibri" w:hAnsi="Gautami" w:cs="Gautami"/>
                <w:i/>
                <w:sz w:val="16"/>
                <w:szCs w:val="16"/>
              </w:rPr>
              <w:t>vegetation management</w:t>
            </w:r>
            <w:r w:rsidRPr="003B40E2">
              <w:rPr>
                <w:rFonts w:ascii="Gautami" w:eastAsia="Calibri" w:hAnsi="Gautami" w:cs="Gautami"/>
                <w:sz w:val="16"/>
                <w:szCs w:val="16"/>
              </w:rPr>
              <w:t xml:space="preserve"> practices in the relevant year. Active </w:t>
            </w:r>
            <w:r w:rsidRPr="003B40E2">
              <w:rPr>
                <w:rFonts w:ascii="Gautami" w:eastAsia="Calibri" w:hAnsi="Gautami" w:cs="Gautami"/>
                <w:i/>
                <w:sz w:val="16"/>
                <w:szCs w:val="16"/>
              </w:rPr>
              <w:t>vegetation management</w:t>
            </w:r>
            <w:r w:rsidRPr="003B40E2">
              <w:rPr>
                <w:rFonts w:ascii="Gautami" w:eastAsia="Calibri" w:hAnsi="Gautami" w:cs="Gautami"/>
                <w:sz w:val="16"/>
                <w:szCs w:val="16"/>
              </w:rPr>
              <w:t xml:space="preserve"> practices do not include </w:t>
            </w:r>
            <w:r w:rsidRPr="003B40E2">
              <w:rPr>
                <w:rFonts w:ascii="Gautami" w:eastAsia="Calibri" w:hAnsi="Gautami" w:cs="Gautami"/>
                <w:i/>
                <w:sz w:val="16"/>
                <w:szCs w:val="16"/>
              </w:rPr>
              <w:t>inspection</w:t>
            </w:r>
            <w:r w:rsidRPr="003B40E2">
              <w:rPr>
                <w:rFonts w:ascii="Gautami" w:eastAsia="Calibri" w:hAnsi="Gautami" w:cs="Gautami"/>
                <w:sz w:val="16"/>
                <w:szCs w:val="16"/>
              </w:rPr>
              <w:t xml:space="preserve"> of vegetation </w:t>
            </w:r>
            <w:r w:rsidRPr="003B40E2">
              <w:rPr>
                <w:rFonts w:ascii="Gautami" w:eastAsia="Calibri" w:hAnsi="Gautami" w:cs="Gautami"/>
                <w:i/>
                <w:sz w:val="16"/>
                <w:szCs w:val="16"/>
              </w:rPr>
              <w:t>maintenance spans</w:t>
            </w:r>
            <w:r w:rsidRPr="003B40E2">
              <w:rPr>
                <w:rFonts w:ascii="Gautami" w:eastAsia="Calibri" w:hAnsi="Gautami" w:cs="Gautami"/>
                <w:sz w:val="16"/>
                <w:szCs w:val="16"/>
              </w:rPr>
              <w:t>.</w:t>
            </w:r>
            <w:r w:rsidRPr="003B40E2">
              <w:rPr>
                <w:rFonts w:ascii="Gautami" w:hAnsi="Gautami" w:cs="Gautami"/>
                <w:color w:val="000000"/>
                <w:sz w:val="16"/>
                <w:szCs w:val="16"/>
              </w:rPr>
              <w:t xml:space="preserve">  </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Tree</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For the purposes of </w:t>
            </w:r>
            <w:r w:rsidRPr="008E1520">
              <w:rPr>
                <w:rFonts w:ascii="Gautami" w:eastAsia="Calibri" w:hAnsi="Gautami" w:cs="Gautami"/>
                <w:sz w:val="16"/>
                <w:szCs w:val="16"/>
              </w:rPr>
              <w:t xml:space="preserve">calculating the </w:t>
            </w:r>
            <w:r w:rsidRPr="00AF2CCF">
              <w:rPr>
                <w:rFonts w:ascii="Gautami" w:eastAsia="Calibri" w:hAnsi="Gautami" w:cs="Gautami"/>
                <w:i/>
                <w:sz w:val="16"/>
                <w:szCs w:val="16"/>
              </w:rPr>
              <w:t>average number of trees per maintenance span</w:t>
            </w:r>
            <w:r>
              <w:rPr>
                <w:rFonts w:ascii="Gautami" w:eastAsia="Calibri" w:hAnsi="Gautami" w:cs="Gautami"/>
                <w:sz w:val="16"/>
                <w:szCs w:val="16"/>
              </w:rPr>
              <w:t xml:space="preserve"> </w:t>
            </w:r>
            <w:r w:rsidRPr="003B40E2">
              <w:rPr>
                <w:rFonts w:ascii="Gautami" w:eastAsia="Calibri" w:hAnsi="Gautami" w:cs="Gautami"/>
                <w:sz w:val="16"/>
                <w:szCs w:val="16"/>
              </w:rPr>
              <w:t>a tree is a perennial plant (of any species including shrubs) that is:</w:t>
            </w:r>
          </w:p>
          <w:p w:rsidR="00AE5FBA" w:rsidRPr="003B40E2" w:rsidRDefault="00AE5FBA" w:rsidP="003B40E2">
            <w:pPr>
              <w:pStyle w:val="ListParagraph"/>
              <w:numPr>
                <w:ilvl w:val="0"/>
                <w:numId w:val="51"/>
              </w:num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equal to or greater in height than 3 metres (measured from the ground) in the relevant reporting period; and </w:t>
            </w:r>
          </w:p>
          <w:p w:rsidR="00AE5FBA" w:rsidRPr="003B40E2" w:rsidRDefault="00AE5FBA" w:rsidP="003B40E2">
            <w:pPr>
              <w:pStyle w:val="ListParagraph"/>
              <w:numPr>
                <w:ilvl w:val="0"/>
                <w:numId w:val="51"/>
              </w:num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sz w:val="16"/>
                <w:szCs w:val="16"/>
              </w:rPr>
              <w:t>of</w:t>
            </w:r>
            <w:proofErr w:type="gramEnd"/>
            <w:r w:rsidRPr="003B40E2">
              <w:rPr>
                <w:rFonts w:ascii="Gautami" w:eastAsia="Calibri" w:hAnsi="Gautami" w:cs="Gautami"/>
                <w:sz w:val="16"/>
                <w:szCs w:val="16"/>
              </w:rPr>
              <w:t xml:space="preserve"> a species which could grow to a height such that it may impinge on the vegetation clearance space of power lines.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Tree trimming</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The activity of cutting back trees or other vegetation to remove dead or living parts so as to prevent parts of the tree or vegetation from growing into, falling onto, or blowing onto electricity assets.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Unplanned vegetation events</w:t>
            </w:r>
          </w:p>
        </w:tc>
        <w:tc>
          <w:tcPr>
            <w:tcW w:w="3783" w:type="pct"/>
          </w:tcPr>
          <w:p w:rsidR="00AE5FBA" w:rsidRPr="003B40E2" w:rsidRDefault="00AE5FBA" w:rsidP="00170B4B">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sz w:val="16"/>
                <w:szCs w:val="16"/>
              </w:rPr>
            </w:pPr>
            <w:r w:rsidRPr="003B40E2">
              <w:rPr>
                <w:rFonts w:ascii="Gautami" w:eastAsia="Calibri" w:hAnsi="Gautami" w:cs="Gautami"/>
                <w:sz w:val="16"/>
                <w:szCs w:val="16"/>
              </w:rPr>
              <w:t xml:space="preserve">System outages and </w:t>
            </w:r>
            <w:r w:rsidRPr="003B40E2">
              <w:rPr>
                <w:rFonts w:ascii="Gautami" w:eastAsia="Calibri" w:hAnsi="Gautami" w:cs="Gautami"/>
                <w:i/>
                <w:sz w:val="16"/>
                <w:szCs w:val="16"/>
              </w:rPr>
              <w:t>fire starts</w:t>
            </w:r>
            <w:r w:rsidRPr="003B40E2">
              <w:rPr>
                <w:rFonts w:ascii="Gautami" w:eastAsia="Calibri" w:hAnsi="Gautami" w:cs="Gautami"/>
                <w:sz w:val="16"/>
                <w:szCs w:val="16"/>
              </w:rPr>
              <w:t xml:space="preserve"> caused by either </w:t>
            </w:r>
            <w:r w:rsidRPr="003B40E2">
              <w:rPr>
                <w:rFonts w:ascii="Gautami" w:eastAsia="Calibri" w:hAnsi="Gautami" w:cs="Gautami"/>
                <w:i/>
                <w:sz w:val="16"/>
                <w:szCs w:val="16"/>
              </w:rPr>
              <w:t>vegetation grow-ins</w:t>
            </w:r>
            <w:r>
              <w:rPr>
                <w:rFonts w:ascii="Gautami" w:eastAsia="Calibri" w:hAnsi="Gautami" w:cs="Gautami"/>
                <w:sz w:val="16"/>
                <w:szCs w:val="16"/>
              </w:rPr>
              <w:t xml:space="preserve"> or </w:t>
            </w:r>
            <w:r w:rsidRPr="003B40E2">
              <w:rPr>
                <w:rFonts w:ascii="Gautami" w:eastAsia="Calibri" w:hAnsi="Gautami" w:cs="Gautami"/>
                <w:i/>
                <w:sz w:val="16"/>
                <w:szCs w:val="16"/>
              </w:rPr>
              <w:t>vegetation blow-in</w:t>
            </w:r>
            <w:r>
              <w:rPr>
                <w:rFonts w:ascii="Gautami" w:eastAsia="Calibri" w:hAnsi="Gautami" w:cs="Gautami"/>
                <w:i/>
                <w:sz w:val="16"/>
                <w:szCs w:val="16"/>
              </w:rPr>
              <w:t>s/fall-ins</w:t>
            </w:r>
            <w:r w:rsidRPr="003B40E2">
              <w:rPr>
                <w:rFonts w:ascii="Gautami" w:eastAsia="Calibri" w:hAnsi="Gautami" w:cs="Gautami"/>
                <w:sz w:val="16"/>
                <w:szCs w:val="16"/>
              </w:rPr>
              <w:t>.</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Vegetation blow-in</w:t>
            </w:r>
            <w:r>
              <w:rPr>
                <w:rFonts w:ascii="Gautami" w:eastAsia="Calibri" w:hAnsi="Gautami" w:cs="Gautami"/>
                <w:b w:val="0"/>
                <w:i/>
                <w:sz w:val="16"/>
                <w:szCs w:val="16"/>
              </w:rPr>
              <w:t>/fall-in</w:t>
            </w:r>
          </w:p>
        </w:tc>
        <w:tc>
          <w:tcPr>
            <w:tcW w:w="3783" w:type="pct"/>
          </w:tcPr>
          <w:p w:rsidR="00AE5FBA" w:rsidRPr="00170B4B" w:rsidRDefault="00AE5FBA" w:rsidP="00170B4B">
            <w:pPr>
              <w:pStyle w:val="AERtabletextleft"/>
              <w:cnfStyle w:val="000000010000" w:firstRow="0" w:lastRow="0" w:firstColumn="0" w:lastColumn="0" w:oddVBand="0" w:evenVBand="0" w:oddHBand="0" w:evenHBand="1" w:firstRowFirstColumn="0" w:firstRowLastColumn="0" w:lastRowFirstColumn="0" w:lastRowLastColumn="0"/>
              <w:rPr>
                <w:rFonts w:eastAsia="Calibri" w:cs="Gautami"/>
                <w:szCs w:val="16"/>
              </w:rPr>
            </w:pPr>
            <w:r w:rsidRPr="00170B4B">
              <w:rPr>
                <w:rFonts w:eastAsia="Calibri" w:cs="Gautami"/>
                <w:szCs w:val="16"/>
              </w:rPr>
              <w:t>An interruption to supply caused by vegetation blowing onto or falling onto network assets. For example wind born branches lodging across the phases of an overhead line, or an adjacent tree falling onto overhead lines.</w:t>
            </w:r>
          </w:p>
          <w:p w:rsidR="00AE5FBA" w:rsidRPr="003B40E2" w:rsidRDefault="00AE5FBA" w:rsidP="00170B4B">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170B4B">
              <w:rPr>
                <w:rFonts w:ascii="Gautami" w:eastAsia="Calibri" w:hAnsi="Gautami" w:cs="Gautami"/>
                <w:sz w:val="16"/>
                <w:szCs w:val="16"/>
              </w:rPr>
              <w:t xml:space="preserve">These interruptions to supply may be the responsibility of </w:t>
            </w:r>
            <w:r w:rsidRPr="00E34849">
              <w:rPr>
                <w:rFonts w:ascii="Gautami" w:eastAsia="Calibri" w:hAnsi="Gautami" w:cs="Gautami"/>
                <w:noProof/>
                <w:sz w:val="16"/>
                <w:szCs w:val="16"/>
              </w:rPr>
              <w:t>TNSP</w:t>
            </w:r>
            <w:r w:rsidRPr="00170B4B">
              <w:rPr>
                <w:rFonts w:ascii="Gautami" w:eastAsia="Calibri" w:hAnsi="Gautami" w:cs="Gautami"/>
                <w:sz w:val="16"/>
                <w:szCs w:val="16"/>
              </w:rPr>
              <w:t xml:space="preserve"> or other responsible parties such as municipal councils or private land owners.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lastRenderedPageBreak/>
              <w:t>Vegetation corridor</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 tract of land along which vegetation is maintained in order to form a passageway along the route of a power line or lines (e.g. a shared corridor) that is free of vegetation encroachment into the asset clearance space. This does not include portions of the corridor where no managed vegetation exists (e.g. grassland or heathland) or where vegetation is not managed (e.g. deep gullies/valleys were no vegetation management is undertaken). For clarity, the form of tenure, or lack of tenure, over the corridor are not relevant to the existence of a vegetation corridor.</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Vegetation grow-in</w:t>
            </w:r>
          </w:p>
        </w:tc>
        <w:tc>
          <w:tcPr>
            <w:tcW w:w="3783" w:type="pct"/>
          </w:tcPr>
          <w:p w:rsidR="00AE5FBA" w:rsidRPr="00170B4B" w:rsidRDefault="00AE5FBA" w:rsidP="00170B4B">
            <w:pPr>
              <w:pStyle w:val="AERtabletextleft"/>
              <w:cnfStyle w:val="000000010000" w:firstRow="0" w:lastRow="0" w:firstColumn="0" w:lastColumn="0" w:oddVBand="0" w:evenVBand="0" w:oddHBand="0" w:evenHBand="1" w:firstRowFirstColumn="0" w:firstRowLastColumn="0" w:lastRowFirstColumn="0" w:lastRowLastColumn="0"/>
              <w:rPr>
                <w:rFonts w:eastAsia="Calibri" w:cs="Gautami"/>
                <w:szCs w:val="16"/>
              </w:rPr>
            </w:pPr>
            <w:r w:rsidRPr="00170B4B">
              <w:rPr>
                <w:rFonts w:eastAsia="Calibri" w:cs="Gautami"/>
                <w:szCs w:val="16"/>
              </w:rPr>
              <w:t>An interruption to supply caused by vegetation growing into network assets. For example a tree branch contacting overhead lines.</w:t>
            </w:r>
          </w:p>
          <w:p w:rsidR="00AE5FBA" w:rsidRPr="003B40E2" w:rsidRDefault="00AE5FBA" w:rsidP="00170B4B">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170B4B">
              <w:rPr>
                <w:rFonts w:ascii="Gautami" w:eastAsia="Calibri" w:hAnsi="Gautami" w:cs="Gautami"/>
                <w:sz w:val="16"/>
                <w:szCs w:val="16"/>
              </w:rPr>
              <w:t xml:space="preserve">These interruptions to supply may be the responsibility of </w:t>
            </w:r>
            <w:r w:rsidRPr="00E34849">
              <w:rPr>
                <w:rFonts w:ascii="Gautami" w:eastAsia="Calibri" w:hAnsi="Gautami" w:cs="Gautami"/>
                <w:noProof/>
                <w:sz w:val="16"/>
                <w:szCs w:val="16"/>
              </w:rPr>
              <w:t>TNSP</w:t>
            </w:r>
            <w:r w:rsidRPr="00170B4B">
              <w:rPr>
                <w:rFonts w:ascii="Gautami" w:eastAsia="Calibri" w:hAnsi="Gautami" w:cs="Gautami"/>
                <w:sz w:val="16"/>
                <w:szCs w:val="16"/>
              </w:rPr>
              <w:t xml:space="preserve"> or other responsible parties such as municipal councils or private land owners.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Vegetation management</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Pr>
                <w:rFonts w:ascii="Gautami" w:eastAsia="Calibri" w:hAnsi="Gautami" w:cs="Gautami"/>
                <w:sz w:val="16"/>
                <w:szCs w:val="16"/>
              </w:rPr>
              <w:t>A</w:t>
            </w:r>
            <w:r w:rsidRPr="003B40E2">
              <w:rPr>
                <w:rFonts w:ascii="Gautami" w:eastAsia="Calibri" w:hAnsi="Gautami" w:cs="Gautami"/>
                <w:sz w:val="16"/>
                <w:szCs w:val="16"/>
              </w:rPr>
              <w:t>ctivities that:</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are primarily directed at removing, altering, or managing vegetation to maintain safe or regulated clearances from distribution or transmission assets; and</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are not emergency or fault related activities; and</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are not initiated by a request from a distribution or transmission customer, excluding customers that are network service providers; and</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are not activities for which expenditure could be attributed to the AER expenditure category 'Augmentation, replacement, or non-routine maintenance activities triggered by a changed regulatory obligation or requirement'; and</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sz w:val="16"/>
                <w:szCs w:val="16"/>
              </w:rPr>
              <w:t>are</w:t>
            </w:r>
            <w:proofErr w:type="gramEnd"/>
            <w:r w:rsidRPr="003B40E2">
              <w:rPr>
                <w:rFonts w:ascii="Gautami" w:eastAsia="Calibri" w:hAnsi="Gautami" w:cs="Gautami"/>
                <w:sz w:val="16"/>
                <w:szCs w:val="16"/>
              </w:rPr>
              <w:t xml:space="preserve"> not activities for which expenditure could be attributed to the AER expenditure category 'Augmentation, replacement, or non-routine maintenance activities triggered by a changed internal standard'.</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proofErr w:type="gramStart"/>
            <w:r w:rsidRPr="003B40E2">
              <w:rPr>
                <w:rFonts w:ascii="Gautami" w:eastAsia="Calibri" w:hAnsi="Gautami" w:cs="Gautami"/>
                <w:sz w:val="16"/>
                <w:szCs w:val="16"/>
              </w:rPr>
              <w:t>include</w:t>
            </w:r>
            <w:proofErr w:type="gramEnd"/>
            <w:r w:rsidRPr="003B40E2">
              <w:rPr>
                <w:rFonts w:ascii="Gautami" w:eastAsia="Calibri" w:hAnsi="Gautami" w:cs="Gautami"/>
                <w:sz w:val="16"/>
                <w:szCs w:val="16"/>
              </w:rPr>
              <w:t xml:space="preserve"> tree cutting, undergrowth control, root management, waste disposal, use of herbicide and growth retardants, and encouragement of low-growth vegetation to prevent the establishment of high-growth vegetation.</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includes:</w:t>
            </w:r>
          </w:p>
          <w:p w:rsidR="00AE5FBA" w:rsidRPr="003B40E2" w:rsidRDefault="00AE5FBA" w:rsidP="003B40E2">
            <w:pPr>
              <w:numPr>
                <w:ilvl w:val="1"/>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pre-cutting/trimming inspections; and</w:t>
            </w:r>
          </w:p>
          <w:p w:rsidR="00AE5FBA" w:rsidRPr="003B40E2" w:rsidRDefault="00AE5FBA" w:rsidP="003B40E2">
            <w:pPr>
              <w:numPr>
                <w:ilvl w:val="1"/>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inspections of vegetation to ensure that activities have been undertaken appropriately; and</w:t>
            </w:r>
          </w:p>
          <w:p w:rsidR="00AE5FBA" w:rsidRPr="003B40E2" w:rsidRDefault="00AE5FBA" w:rsidP="003B40E2">
            <w:pPr>
              <w:numPr>
                <w:ilvl w:val="1"/>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liaison with affected residents and landowners including the issue of trim/cut notices, and follow up calls on notices; and</w:t>
            </w:r>
          </w:p>
          <w:p w:rsidR="00AE5FBA" w:rsidRPr="003B40E2" w:rsidRDefault="00AE5FBA" w:rsidP="003B40E2">
            <w:pPr>
              <w:numPr>
                <w:ilvl w:val="1"/>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operational support such as any temporary generation used during the activity; and</w:t>
            </w:r>
          </w:p>
          <w:p w:rsidR="00AE5FBA" w:rsidRPr="003B40E2" w:rsidRDefault="00AE5FBA" w:rsidP="003B40E2">
            <w:pPr>
              <w:numPr>
                <w:ilvl w:val="0"/>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does not include: </w:t>
            </w:r>
          </w:p>
          <w:p w:rsidR="00AE5FBA" w:rsidRPr="003B40E2" w:rsidRDefault="00AE5FBA" w:rsidP="003B40E2">
            <w:pPr>
              <w:numPr>
                <w:ilvl w:val="1"/>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US"/>
              </w:rPr>
            </w:pPr>
            <w:r w:rsidRPr="003B40E2">
              <w:rPr>
                <w:rFonts w:ascii="Gautami" w:eastAsia="Calibri" w:hAnsi="Gautami" w:cs="Gautami"/>
                <w:sz w:val="16"/>
                <w:szCs w:val="16"/>
              </w:rPr>
              <w:t xml:space="preserve">such items as "beautification" works, </w:t>
            </w:r>
            <w:proofErr w:type="spellStart"/>
            <w:r w:rsidRPr="003B40E2">
              <w:rPr>
                <w:rFonts w:ascii="Gautami" w:eastAsia="Calibri" w:hAnsi="Gautami" w:cs="Gautami"/>
                <w:sz w:val="16"/>
                <w:szCs w:val="16"/>
              </w:rPr>
              <w:t>lawnmowing</w:t>
            </w:r>
            <w:proofErr w:type="spellEnd"/>
            <w:r w:rsidRPr="003B40E2">
              <w:rPr>
                <w:rFonts w:ascii="Gautami" w:eastAsia="Calibri" w:hAnsi="Gautami" w:cs="Gautami"/>
                <w:sz w:val="16"/>
                <w:szCs w:val="16"/>
              </w:rPr>
              <w:t xml:space="preserve"> e.g. from natures strips, or office gardens, interior plant and aesthetic vegetation works; and</w:t>
            </w:r>
          </w:p>
          <w:p w:rsidR="00AE5FBA" w:rsidRPr="003B40E2" w:rsidRDefault="00AE5FBA" w:rsidP="008E1520">
            <w:pPr>
              <w:numPr>
                <w:ilvl w:val="1"/>
                <w:numId w:val="34"/>
              </w:numPr>
              <w:spacing w:before="80" w:after="120"/>
              <w:contextualSpacing/>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US"/>
              </w:rPr>
            </w:pPr>
            <w:proofErr w:type="gramStart"/>
            <w:r w:rsidRPr="003B40E2">
              <w:rPr>
                <w:rFonts w:ascii="Gautami" w:eastAsia="Calibri" w:hAnsi="Gautami" w:cs="Gautami"/>
                <w:sz w:val="16"/>
                <w:szCs w:val="16"/>
              </w:rPr>
              <w:t>any</w:t>
            </w:r>
            <w:proofErr w:type="gramEnd"/>
            <w:r w:rsidRPr="003B40E2">
              <w:rPr>
                <w:rFonts w:ascii="Gautami" w:eastAsia="Calibri" w:hAnsi="Gautami" w:cs="Gautami"/>
                <w:sz w:val="16"/>
                <w:szCs w:val="16"/>
              </w:rPr>
              <w:t xml:space="preserve"> work done in proximity to non-</w:t>
            </w:r>
            <w:r>
              <w:rPr>
                <w:rFonts w:ascii="Gautami" w:eastAsia="Calibri" w:hAnsi="Gautami" w:cs="Gautami"/>
                <w:i/>
                <w:sz w:val="16"/>
                <w:szCs w:val="16"/>
              </w:rPr>
              <w:t>n</w:t>
            </w:r>
            <w:r w:rsidRPr="003B40E2">
              <w:rPr>
                <w:rFonts w:ascii="Gautami" w:eastAsia="Calibri" w:hAnsi="Gautami" w:cs="Gautami"/>
                <w:i/>
                <w:sz w:val="16"/>
                <w:szCs w:val="16"/>
              </w:rPr>
              <w:t>etwork</w:t>
            </w:r>
            <w:r w:rsidRPr="003B40E2">
              <w:rPr>
                <w:rFonts w:ascii="Gautami" w:eastAsia="Calibri" w:hAnsi="Gautami" w:cs="Gautami"/>
                <w:sz w:val="16"/>
                <w:szCs w:val="16"/>
              </w:rPr>
              <w:t xml:space="preserve"> assets.</w:t>
            </w:r>
          </w:p>
        </w:tc>
      </w:tr>
      <w:tr w:rsidR="00AE5FBA" w:rsidRPr="005A79F8" w:rsidTr="00BC2E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Vegetation management zone</w:t>
            </w:r>
          </w:p>
        </w:tc>
        <w:tc>
          <w:tcPr>
            <w:tcW w:w="3783" w:type="pct"/>
          </w:tcPr>
          <w:p w:rsidR="00AE5FBA" w:rsidRPr="003B40E2" w:rsidRDefault="00AE5FBA" w:rsidP="003B40E2">
            <w:pPr>
              <w:spacing w:before="80" w:after="120"/>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A segment of the transmission network distinguished from other vegetation management segments by material differences in recognised cost drivers.</w:t>
            </w:r>
          </w:p>
        </w:tc>
      </w:tr>
      <w:tr w:rsidR="00AE5FBA" w:rsidRPr="005A79F8" w:rsidTr="00BC2E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pct"/>
          </w:tcPr>
          <w:p w:rsidR="00AE5FBA" w:rsidRPr="003B40E2" w:rsidRDefault="00AE5FBA" w:rsidP="003B40E2">
            <w:pPr>
              <w:spacing w:before="80" w:after="120"/>
              <w:rPr>
                <w:rFonts w:ascii="Gautami" w:eastAsia="Calibri" w:hAnsi="Gautami" w:cs="Gautami"/>
                <w:b w:val="0"/>
                <w:i/>
                <w:sz w:val="16"/>
                <w:szCs w:val="16"/>
              </w:rPr>
            </w:pPr>
            <w:r w:rsidRPr="003B40E2">
              <w:rPr>
                <w:rFonts w:ascii="Gautami" w:eastAsia="Calibri" w:hAnsi="Gautami" w:cs="Gautami"/>
                <w:b w:val="0"/>
                <w:i/>
                <w:sz w:val="16"/>
                <w:szCs w:val="16"/>
              </w:rPr>
              <w:t>Width of vegetation corridor</w:t>
            </w:r>
          </w:p>
        </w:tc>
        <w:tc>
          <w:tcPr>
            <w:tcW w:w="3783" w:type="pct"/>
          </w:tcPr>
          <w:p w:rsidR="00AE5FBA" w:rsidRPr="003B40E2" w:rsidRDefault="00AE5FBA" w:rsidP="003B40E2">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rPr>
            </w:pPr>
            <w:r w:rsidRPr="003B40E2">
              <w:rPr>
                <w:rFonts w:ascii="Gautami" w:eastAsia="Calibri" w:hAnsi="Gautami" w:cs="Gautami"/>
                <w:sz w:val="16"/>
                <w:szCs w:val="16"/>
              </w:rPr>
              <w:t xml:space="preserve">The total width of a </w:t>
            </w:r>
            <w:r w:rsidRPr="003B40E2">
              <w:rPr>
                <w:rFonts w:ascii="Gautami" w:eastAsia="Calibri" w:hAnsi="Gautami" w:cs="Gautami"/>
                <w:i/>
                <w:sz w:val="16"/>
                <w:szCs w:val="16"/>
              </w:rPr>
              <w:t>vegetation corridor</w:t>
            </w:r>
            <w:r w:rsidRPr="003B40E2">
              <w:rPr>
                <w:rFonts w:ascii="Gautami" w:eastAsia="Calibri" w:hAnsi="Gautami" w:cs="Gautami"/>
                <w:sz w:val="16"/>
                <w:szCs w:val="16"/>
              </w:rPr>
              <w:t>. For clarity, the total width refers to the entire width of the tract of land along which vegetation is maintained.</w:t>
            </w:r>
          </w:p>
        </w:tc>
      </w:tr>
    </w:tbl>
    <w:p w:rsidR="00AE5FBA" w:rsidRDefault="00AE5FBA" w:rsidP="0052182B"/>
    <w:p w:rsidR="00AE5FBA" w:rsidRPr="00571E84" w:rsidRDefault="00AE5FBA" w:rsidP="0052182B"/>
    <w:p w:rsidR="00AE5FBA" w:rsidRDefault="00AE5FBA" w:rsidP="0052182B">
      <w:pPr>
        <w:sectPr w:rsidR="00AE5FBA" w:rsidSect="005D24BF">
          <w:footerReference w:type="default" r:id="rId17"/>
          <w:type w:val="continuous"/>
          <w:pgSz w:w="11906" w:h="16838"/>
          <w:pgMar w:top="1440" w:right="1440" w:bottom="1440" w:left="1440" w:header="708" w:footer="708" w:gutter="0"/>
          <w:pgNumType w:start="1"/>
          <w:cols w:space="708"/>
          <w:docGrid w:linePitch="360"/>
        </w:sectPr>
      </w:pPr>
    </w:p>
    <w:p w:rsidR="00AE5FBA" w:rsidRPr="0052182B" w:rsidRDefault="00AE5FBA" w:rsidP="0052182B"/>
    <w:sectPr w:rsidR="00AE5FBA" w:rsidRPr="0052182B" w:rsidSect="00AE5FBA">
      <w:footerReference w:type="default" r:id="rId18"/>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FBA" w:rsidRDefault="00AE5FBA" w:rsidP="00694201">
      <w:pPr>
        <w:spacing w:after="0" w:line="240" w:lineRule="auto"/>
      </w:pPr>
      <w:r>
        <w:separator/>
      </w:r>
    </w:p>
    <w:p w:rsidR="00AE5FBA" w:rsidRDefault="00AE5FBA"/>
  </w:endnote>
  <w:endnote w:type="continuationSeparator" w:id="0">
    <w:p w:rsidR="00AE5FBA" w:rsidRDefault="00AE5FBA" w:rsidP="00694201">
      <w:pPr>
        <w:spacing w:after="0" w:line="240" w:lineRule="auto"/>
      </w:pPr>
      <w:r>
        <w:continuationSeparator/>
      </w:r>
    </w:p>
    <w:p w:rsidR="00AE5FBA" w:rsidRDefault="00AE5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FBA" w:rsidRDefault="00AE5F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62177397"/>
      <w:docPartObj>
        <w:docPartGallery w:val="Page Numbers (Bottom of Page)"/>
        <w:docPartUnique/>
      </w:docPartObj>
    </w:sdtPr>
    <w:sdtEndPr>
      <w:rPr>
        <w:noProof/>
      </w:rPr>
    </w:sdtEndPr>
    <w:sdtContent>
      <w:p w:rsidR="00AE5FBA" w:rsidRPr="005D24BF" w:rsidRDefault="00AE5FBA"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7535BB">
          <w:rPr>
            <w:rFonts w:cs="Arial"/>
            <w:noProof/>
          </w:rPr>
          <w:t>1</w:t>
        </w:r>
        <w:r w:rsidRPr="004A32FF">
          <w:rPr>
            <w:rFonts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730850"/>
      <w:docPartObj>
        <w:docPartGallery w:val="Page Numbers (Bottom of Page)"/>
        <w:docPartUnique/>
      </w:docPartObj>
    </w:sdtPr>
    <w:sdtEndPr>
      <w:rPr>
        <w:noProof/>
      </w:rPr>
    </w:sdtEndPr>
    <w:sdtContent>
      <w:p w:rsidR="009051C2" w:rsidRPr="005D24BF" w:rsidRDefault="009051C2"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AE5FBA">
          <w:rPr>
            <w:rFonts w:cs="Arial"/>
            <w:noProof/>
          </w:rPr>
          <w:t>1</w:t>
        </w:r>
        <w:r w:rsidRPr="004A32FF">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FBA" w:rsidRDefault="00AE5FBA" w:rsidP="00694201">
      <w:pPr>
        <w:spacing w:after="0" w:line="240" w:lineRule="auto"/>
      </w:pPr>
      <w:r>
        <w:separator/>
      </w:r>
    </w:p>
    <w:p w:rsidR="00AE5FBA" w:rsidRDefault="00AE5FBA"/>
  </w:footnote>
  <w:footnote w:type="continuationSeparator" w:id="0">
    <w:p w:rsidR="00AE5FBA" w:rsidRDefault="00AE5FBA" w:rsidP="00694201">
      <w:pPr>
        <w:spacing w:after="0" w:line="240" w:lineRule="auto"/>
      </w:pPr>
      <w:r>
        <w:continuationSeparator/>
      </w:r>
    </w:p>
    <w:p w:rsidR="00AE5FBA" w:rsidRDefault="00AE5FB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627"/>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5216BFB"/>
    <w:multiLevelType w:val="multilevel"/>
    <w:tmpl w:val="CF569FE4"/>
    <w:lvl w:ilvl="0">
      <w:start w:val="1"/>
      <w:numFmt w:val="none"/>
      <w:lvlText w:val=""/>
      <w:lvlJc w:val="left"/>
      <w:pPr>
        <w:ind w:left="0" w:firstLine="0"/>
      </w:pPr>
      <w:rPr>
        <w:rFonts w:hint="default"/>
      </w:rPr>
    </w:lvl>
    <w:lvl w:ilvl="1">
      <w:start w:val="1"/>
      <w:numFmt w:val="decimal"/>
      <w:pStyle w:val="Numberstyle"/>
      <w:lvlText w:val="(%2)"/>
      <w:lvlJc w:val="left"/>
      <w:pPr>
        <w:tabs>
          <w:tab w:val="num" w:pos="720"/>
        </w:tabs>
        <w:ind w:left="720"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
    <w:nsid w:val="05F65076"/>
    <w:multiLevelType w:val="hybridMultilevel"/>
    <w:tmpl w:val="1514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1634C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4">
    <w:nsid w:val="074D388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901C9B"/>
    <w:multiLevelType w:val="hybridMultilevel"/>
    <w:tmpl w:val="DBD4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FB4B45"/>
    <w:multiLevelType w:val="hybridMultilevel"/>
    <w:tmpl w:val="A372B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94119"/>
    <w:multiLevelType w:val="hybridMultilevel"/>
    <w:tmpl w:val="59302272"/>
    <w:lvl w:ilvl="0" w:tplc="8E3E8D3E">
      <w:start w:val="1"/>
      <w:numFmt w:val="bullet"/>
      <w:pStyle w:val="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2C393A"/>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9">
    <w:nsid w:val="19E81983"/>
    <w:multiLevelType w:val="hybridMultilevel"/>
    <w:tmpl w:val="13E47D76"/>
    <w:lvl w:ilvl="0" w:tplc="39BC70BA">
      <w:start w:val="31"/>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B442FC9"/>
    <w:multiLevelType w:val="hybridMultilevel"/>
    <w:tmpl w:val="E21C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2A46C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2">
    <w:nsid w:val="1F333247"/>
    <w:multiLevelType w:val="hybridMultilevel"/>
    <w:tmpl w:val="32843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B93D2D"/>
    <w:multiLevelType w:val="hybridMultilevel"/>
    <w:tmpl w:val="3E826D42"/>
    <w:lvl w:ilvl="0" w:tplc="BDD425C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5381D6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5">
    <w:nsid w:val="27CB59C7"/>
    <w:multiLevelType w:val="hybridMultilevel"/>
    <w:tmpl w:val="FB86D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7">
    <w:nsid w:val="2BDD7720"/>
    <w:multiLevelType w:val="hybridMultilevel"/>
    <w:tmpl w:val="9358F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C672D1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9">
    <w:nsid w:val="2CB67B86"/>
    <w:multiLevelType w:val="hybridMultilevel"/>
    <w:tmpl w:val="54141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D19492F"/>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1C34AC"/>
    <w:multiLevelType w:val="hybridMultilevel"/>
    <w:tmpl w:val="D016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5D0BD1"/>
    <w:multiLevelType w:val="hybridMultilevel"/>
    <w:tmpl w:val="06E03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55127D1"/>
    <w:multiLevelType w:val="multilevel"/>
    <w:tmpl w:val="D458B1E0"/>
    <w:lvl w:ilvl="0">
      <w:start w:val="1"/>
      <w:numFmt w:val="none"/>
      <w:pStyle w:val="Heading1"/>
      <w:lvlText w:val="%1"/>
      <w:lvlJc w:val="left"/>
      <w:pPr>
        <w:tabs>
          <w:tab w:val="num" w:pos="0"/>
        </w:tabs>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Numberlist1"/>
      <w:lvlText w:val="%2.%3"/>
      <w:lvlJc w:val="left"/>
      <w:pPr>
        <w:tabs>
          <w:tab w:val="num" w:pos="567"/>
        </w:tabs>
        <w:ind w:left="567" w:hanging="567"/>
      </w:pPr>
      <w:rPr>
        <w:rFonts w:hint="default"/>
        <w:i w:val="0"/>
      </w:rPr>
    </w:lvl>
    <w:lvl w:ilvl="3">
      <w:start w:val="1"/>
      <w:numFmt w:val="lowerLetter"/>
      <w:pStyle w:val="Numberlist2"/>
      <w:lvlText w:val="(%4)"/>
      <w:lvlJc w:val="left"/>
      <w:pPr>
        <w:tabs>
          <w:tab w:val="num" w:pos="1560"/>
        </w:tabs>
        <w:ind w:left="1560" w:hanging="567"/>
      </w:pPr>
      <w:rPr>
        <w:rFonts w:hint="default"/>
        <w:i w:val="0"/>
      </w:rPr>
    </w:lvl>
    <w:lvl w:ilvl="4">
      <w:start w:val="1"/>
      <w:numFmt w:val="lowerRoman"/>
      <w:pStyle w:val="Numberlist3"/>
      <w:lvlText w:val="(%5)"/>
      <w:lvlJc w:val="left"/>
      <w:pPr>
        <w:tabs>
          <w:tab w:val="num" w:pos="1701"/>
        </w:tabs>
        <w:ind w:left="1701" w:hanging="567"/>
      </w:pPr>
      <w:rPr>
        <w:rFonts w:hint="default"/>
      </w:rPr>
    </w:lvl>
    <w:lvl w:ilvl="5">
      <w:start w:val="1"/>
      <w:numFmt w:val="upperLetter"/>
      <w:pStyle w:val="Numberlist4"/>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Restart w:val="0"/>
      <w:lvlText w:val="%7"/>
      <w:lvlJc w:val="left"/>
      <w:pPr>
        <w:ind w:left="0" w:firstLine="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right"/>
      <w:pPr>
        <w:ind w:left="6480" w:hanging="180"/>
      </w:pPr>
      <w:rPr>
        <w:rFonts w:hint="default"/>
      </w:rPr>
    </w:lvl>
  </w:abstractNum>
  <w:abstractNum w:abstractNumId="25">
    <w:nsid w:val="3684122B"/>
    <w:multiLevelType w:val="hybridMultilevel"/>
    <w:tmpl w:val="77E8A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7351A92"/>
    <w:multiLevelType w:val="hybridMultilevel"/>
    <w:tmpl w:val="0E567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F7768D7"/>
    <w:multiLevelType w:val="hybridMultilevel"/>
    <w:tmpl w:val="9274F0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423D4DB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5DE21AD"/>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1">
    <w:nsid w:val="476F404B"/>
    <w:multiLevelType w:val="hybridMultilevel"/>
    <w:tmpl w:val="21B48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4B8E5294"/>
    <w:multiLevelType w:val="hybridMultilevel"/>
    <w:tmpl w:val="8680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D185348"/>
    <w:multiLevelType w:val="hybridMultilevel"/>
    <w:tmpl w:val="59EAB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DBD0A60"/>
    <w:multiLevelType w:val="hybridMultilevel"/>
    <w:tmpl w:val="90C09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DFE44D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6">
    <w:nsid w:val="4F147B90"/>
    <w:multiLevelType w:val="hybridMultilevel"/>
    <w:tmpl w:val="2DE89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05E5C43"/>
    <w:multiLevelType w:val="hybridMultilevel"/>
    <w:tmpl w:val="3572B572"/>
    <w:lvl w:ilvl="0" w:tplc="0C09000F">
      <w:start w:val="1"/>
      <w:numFmt w:val="decimal"/>
      <w:lvlText w:val="%1."/>
      <w:lvlJc w:val="left"/>
      <w:pPr>
        <w:ind w:left="782" w:hanging="360"/>
      </w:pPr>
    </w:lvl>
    <w:lvl w:ilvl="1" w:tplc="0C090019">
      <w:start w:val="1"/>
      <w:numFmt w:val="lowerLetter"/>
      <w:lvlText w:val="%2."/>
      <w:lvlJc w:val="left"/>
      <w:pPr>
        <w:ind w:left="1502" w:hanging="360"/>
      </w:pPr>
    </w:lvl>
    <w:lvl w:ilvl="2" w:tplc="0C09001B">
      <w:start w:val="1"/>
      <w:numFmt w:val="lowerRoman"/>
      <w:lvlText w:val="%3."/>
      <w:lvlJc w:val="right"/>
      <w:pPr>
        <w:ind w:left="2222" w:hanging="180"/>
      </w:pPr>
    </w:lvl>
    <w:lvl w:ilvl="3" w:tplc="0C09000F">
      <w:start w:val="1"/>
      <w:numFmt w:val="decimal"/>
      <w:lvlText w:val="%4."/>
      <w:lvlJc w:val="left"/>
      <w:pPr>
        <w:ind w:left="2942" w:hanging="360"/>
      </w:pPr>
    </w:lvl>
    <w:lvl w:ilvl="4" w:tplc="0C090019">
      <w:start w:val="1"/>
      <w:numFmt w:val="lowerLetter"/>
      <w:lvlText w:val="%5."/>
      <w:lvlJc w:val="left"/>
      <w:pPr>
        <w:ind w:left="3662" w:hanging="360"/>
      </w:pPr>
    </w:lvl>
    <w:lvl w:ilvl="5" w:tplc="0C09001B">
      <w:start w:val="1"/>
      <w:numFmt w:val="lowerRoman"/>
      <w:lvlText w:val="%6."/>
      <w:lvlJc w:val="right"/>
      <w:pPr>
        <w:ind w:left="4382" w:hanging="180"/>
      </w:pPr>
    </w:lvl>
    <w:lvl w:ilvl="6" w:tplc="0C09000F">
      <w:start w:val="1"/>
      <w:numFmt w:val="decimal"/>
      <w:lvlText w:val="%7."/>
      <w:lvlJc w:val="left"/>
      <w:pPr>
        <w:ind w:left="5102" w:hanging="360"/>
      </w:pPr>
    </w:lvl>
    <w:lvl w:ilvl="7" w:tplc="0C090019">
      <w:start w:val="1"/>
      <w:numFmt w:val="lowerLetter"/>
      <w:lvlText w:val="%8."/>
      <w:lvlJc w:val="left"/>
      <w:pPr>
        <w:ind w:left="5822" w:hanging="360"/>
      </w:pPr>
    </w:lvl>
    <w:lvl w:ilvl="8" w:tplc="0C09001B">
      <w:start w:val="1"/>
      <w:numFmt w:val="lowerRoman"/>
      <w:lvlText w:val="%9."/>
      <w:lvlJc w:val="right"/>
      <w:pPr>
        <w:ind w:left="6542" w:hanging="180"/>
      </w:pPr>
    </w:lvl>
  </w:abstractNum>
  <w:abstractNum w:abstractNumId="38">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1B42CB1"/>
    <w:multiLevelType w:val="hybridMultilevel"/>
    <w:tmpl w:val="5BECF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57D55CFC"/>
    <w:multiLevelType w:val="hybridMultilevel"/>
    <w:tmpl w:val="D682C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nsid w:val="581145CF"/>
    <w:multiLevelType w:val="hybridMultilevel"/>
    <w:tmpl w:val="40E2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B4417FC"/>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C712DEE"/>
    <w:multiLevelType w:val="hybridMultilevel"/>
    <w:tmpl w:val="814C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61776C19"/>
    <w:multiLevelType w:val="hybridMultilevel"/>
    <w:tmpl w:val="98046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61F40B5F"/>
    <w:multiLevelType w:val="hybridMultilevel"/>
    <w:tmpl w:val="AD34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3632738"/>
    <w:multiLevelType w:val="hybridMultilevel"/>
    <w:tmpl w:val="6CA8D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66C323A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676554F0"/>
    <w:multiLevelType w:val="multilevel"/>
    <w:tmpl w:val="6C5ECC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nsid w:val="6E017900"/>
    <w:multiLevelType w:val="hybridMultilevel"/>
    <w:tmpl w:val="9C9C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13600D6"/>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52">
    <w:nsid w:val="73CE79A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53">
    <w:nsid w:val="76155EB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68E0A6A"/>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7345C22"/>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56">
    <w:nsid w:val="79DA7806"/>
    <w:multiLevelType w:val="multilevel"/>
    <w:tmpl w:val="699C048E"/>
    <w:lvl w:ilvl="0">
      <w:start w:val="1"/>
      <w:numFmt w:val="none"/>
      <w:pStyle w:val="AERbodytext"/>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7E3624A8"/>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7F4258E1"/>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7"/>
  </w:num>
  <w:num w:numId="4">
    <w:abstractNumId w:val="16"/>
  </w:num>
  <w:num w:numId="5">
    <w:abstractNumId w:val="14"/>
  </w:num>
  <w:num w:numId="6">
    <w:abstractNumId w:val="17"/>
  </w:num>
  <w:num w:numId="7">
    <w:abstractNumId w:val="42"/>
  </w:num>
  <w:num w:numId="8">
    <w:abstractNumId w:val="52"/>
  </w:num>
  <w:num w:numId="9">
    <w:abstractNumId w:val="58"/>
  </w:num>
  <w:num w:numId="10">
    <w:abstractNumId w:val="30"/>
  </w:num>
  <w:num w:numId="11">
    <w:abstractNumId w:val="35"/>
  </w:num>
  <w:num w:numId="12">
    <w:abstractNumId w:val="55"/>
  </w:num>
  <w:num w:numId="13">
    <w:abstractNumId w:val="3"/>
  </w:num>
  <w:num w:numId="14">
    <w:abstractNumId w:val="53"/>
  </w:num>
  <w:num w:numId="15">
    <w:abstractNumId w:val="20"/>
  </w:num>
  <w:num w:numId="16">
    <w:abstractNumId w:val="8"/>
  </w:num>
  <w:num w:numId="17">
    <w:abstractNumId w:val="11"/>
  </w:num>
  <w:num w:numId="18">
    <w:abstractNumId w:val="51"/>
  </w:num>
  <w:num w:numId="19">
    <w:abstractNumId w:val="18"/>
  </w:num>
  <w:num w:numId="20">
    <w:abstractNumId w:val="54"/>
  </w:num>
  <w:num w:numId="21">
    <w:abstractNumId w:val="48"/>
  </w:num>
  <w:num w:numId="22">
    <w:abstractNumId w:val="24"/>
  </w:num>
  <w:num w:numId="23">
    <w:abstractNumId w:val="1"/>
  </w:num>
  <w:num w:numId="24">
    <w:abstractNumId w:val="36"/>
  </w:num>
  <w:num w:numId="25">
    <w:abstractNumId w:val="19"/>
  </w:num>
  <w:num w:numId="26">
    <w:abstractNumId w:val="46"/>
  </w:num>
  <w:num w:numId="27">
    <w:abstractNumId w:val="26"/>
  </w:num>
  <w:num w:numId="28">
    <w:abstractNumId w:val="57"/>
  </w:num>
  <w:num w:numId="29">
    <w:abstractNumId w:val="38"/>
  </w:num>
  <w:num w:numId="30">
    <w:abstractNumId w:val="27"/>
  </w:num>
  <w:num w:numId="31">
    <w:abstractNumId w:val="56"/>
  </w:num>
  <w:num w:numId="32">
    <w:abstractNumId w:val="29"/>
  </w:num>
  <w:num w:numId="33">
    <w:abstractNumId w:val="4"/>
  </w:num>
  <w:num w:numId="34">
    <w:abstractNumId w:val="28"/>
  </w:num>
  <w:num w:numId="35">
    <w:abstractNumId w:val="10"/>
  </w:num>
  <w:num w:numId="36">
    <w:abstractNumId w:val="40"/>
  </w:num>
  <w:num w:numId="37">
    <w:abstractNumId w:val="31"/>
  </w:num>
  <w:num w:numId="38">
    <w:abstractNumId w:val="33"/>
  </w:num>
  <w:num w:numId="39">
    <w:abstractNumId w:val="23"/>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12"/>
  </w:num>
  <w:num w:numId="43">
    <w:abstractNumId w:val="39"/>
  </w:num>
  <w:num w:numId="44">
    <w:abstractNumId w:val="6"/>
  </w:num>
  <w:num w:numId="45">
    <w:abstractNumId w:val="44"/>
  </w:num>
  <w:num w:numId="46">
    <w:abstractNumId w:val="13"/>
  </w:num>
  <w:num w:numId="47">
    <w:abstractNumId w:val="50"/>
  </w:num>
  <w:num w:numId="48">
    <w:abstractNumId w:val="32"/>
  </w:num>
  <w:num w:numId="49">
    <w:abstractNumId w:val="2"/>
  </w:num>
  <w:num w:numId="50">
    <w:abstractNumId w:val="22"/>
  </w:num>
  <w:num w:numId="51">
    <w:abstractNumId w:val="5"/>
  </w:num>
  <w:num w:numId="52">
    <w:abstractNumId w:val="37"/>
  </w:num>
  <w:num w:numId="53">
    <w:abstractNumId w:val="34"/>
  </w:num>
  <w:num w:numId="54">
    <w:abstractNumId w:val="25"/>
  </w:num>
  <w:num w:numId="55">
    <w:abstractNumId w:val="43"/>
  </w:num>
  <w:num w:numId="56">
    <w:abstractNumId w:val="49"/>
  </w:num>
  <w:num w:numId="57">
    <w:abstractNumId w:val="45"/>
  </w:num>
  <w:num w:numId="58">
    <w:abstractNumId w:val="41"/>
  </w:num>
  <w:num w:numId="59">
    <w:abstractNumId w:val="24"/>
  </w:num>
  <w:num w:numId="60">
    <w:abstractNumId w:val="24"/>
  </w:num>
  <w:num w:numId="61">
    <w:abstractNumId w:val="21"/>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ahyne\Final CA RIN - Material for Web\AER final category analysis RIN - transmission network service providers.docx"/>
  </w:docVars>
  <w:rsids>
    <w:rsidRoot w:val="00A47160"/>
    <w:rsid w:val="00001489"/>
    <w:rsid w:val="00001A4D"/>
    <w:rsid w:val="0000395F"/>
    <w:rsid w:val="00025D42"/>
    <w:rsid w:val="000262A6"/>
    <w:rsid w:val="000266C5"/>
    <w:rsid w:val="00031B55"/>
    <w:rsid w:val="0003480F"/>
    <w:rsid w:val="00034B9C"/>
    <w:rsid w:val="00036AB8"/>
    <w:rsid w:val="00047ABB"/>
    <w:rsid w:val="0005336F"/>
    <w:rsid w:val="00055587"/>
    <w:rsid w:val="000574D0"/>
    <w:rsid w:val="00057A90"/>
    <w:rsid w:val="00061391"/>
    <w:rsid w:val="00061C82"/>
    <w:rsid w:val="00062AAB"/>
    <w:rsid w:val="00066D04"/>
    <w:rsid w:val="00066F78"/>
    <w:rsid w:val="00067A61"/>
    <w:rsid w:val="00082B59"/>
    <w:rsid w:val="000830EE"/>
    <w:rsid w:val="000836A2"/>
    <w:rsid w:val="00087F03"/>
    <w:rsid w:val="00090EB3"/>
    <w:rsid w:val="00094C7A"/>
    <w:rsid w:val="00096486"/>
    <w:rsid w:val="000964FC"/>
    <w:rsid w:val="000974CE"/>
    <w:rsid w:val="00097A12"/>
    <w:rsid w:val="000B3A86"/>
    <w:rsid w:val="000C6558"/>
    <w:rsid w:val="000D55D4"/>
    <w:rsid w:val="000E1A02"/>
    <w:rsid w:val="000E32A8"/>
    <w:rsid w:val="000E399C"/>
    <w:rsid w:val="000E5FC6"/>
    <w:rsid w:val="000F2A25"/>
    <w:rsid w:val="000F58AA"/>
    <w:rsid w:val="00113387"/>
    <w:rsid w:val="0011345A"/>
    <w:rsid w:val="0011582B"/>
    <w:rsid w:val="0012711F"/>
    <w:rsid w:val="00132CA7"/>
    <w:rsid w:val="00141940"/>
    <w:rsid w:val="0014239F"/>
    <w:rsid w:val="00142E51"/>
    <w:rsid w:val="001467D0"/>
    <w:rsid w:val="00147138"/>
    <w:rsid w:val="00147853"/>
    <w:rsid w:val="00164C1C"/>
    <w:rsid w:val="00166978"/>
    <w:rsid w:val="00170B4B"/>
    <w:rsid w:val="001714DB"/>
    <w:rsid w:val="001773F7"/>
    <w:rsid w:val="001846FA"/>
    <w:rsid w:val="0019364E"/>
    <w:rsid w:val="001A5185"/>
    <w:rsid w:val="001A56C7"/>
    <w:rsid w:val="001B07BD"/>
    <w:rsid w:val="001B0CC1"/>
    <w:rsid w:val="001B14F9"/>
    <w:rsid w:val="001B4DB3"/>
    <w:rsid w:val="001C5AD9"/>
    <w:rsid w:val="001C5BB0"/>
    <w:rsid w:val="001C612B"/>
    <w:rsid w:val="001C7754"/>
    <w:rsid w:val="001D2302"/>
    <w:rsid w:val="001E2BE3"/>
    <w:rsid w:val="001E3974"/>
    <w:rsid w:val="001E6EE1"/>
    <w:rsid w:val="001F254A"/>
    <w:rsid w:val="001F333A"/>
    <w:rsid w:val="001F388E"/>
    <w:rsid w:val="001F5C65"/>
    <w:rsid w:val="00205EFD"/>
    <w:rsid w:val="00215A4F"/>
    <w:rsid w:val="002175B6"/>
    <w:rsid w:val="00217FCD"/>
    <w:rsid w:val="00220870"/>
    <w:rsid w:val="00221AD2"/>
    <w:rsid w:val="00234FC0"/>
    <w:rsid w:val="00235C04"/>
    <w:rsid w:val="00237111"/>
    <w:rsid w:val="00245EC0"/>
    <w:rsid w:val="0025166F"/>
    <w:rsid w:val="002532F6"/>
    <w:rsid w:val="00257404"/>
    <w:rsid w:val="00263D67"/>
    <w:rsid w:val="002670A6"/>
    <w:rsid w:val="002725FA"/>
    <w:rsid w:val="00276A40"/>
    <w:rsid w:val="00290A37"/>
    <w:rsid w:val="00290B85"/>
    <w:rsid w:val="00290E7E"/>
    <w:rsid w:val="00293B4E"/>
    <w:rsid w:val="0029622F"/>
    <w:rsid w:val="00297319"/>
    <w:rsid w:val="002A061C"/>
    <w:rsid w:val="002A20BF"/>
    <w:rsid w:val="002D018A"/>
    <w:rsid w:val="002D02DC"/>
    <w:rsid w:val="002D5010"/>
    <w:rsid w:val="002E2A6E"/>
    <w:rsid w:val="002F4EF2"/>
    <w:rsid w:val="002F7616"/>
    <w:rsid w:val="002F7945"/>
    <w:rsid w:val="002F7B1D"/>
    <w:rsid w:val="00302E86"/>
    <w:rsid w:val="00304300"/>
    <w:rsid w:val="00306BBE"/>
    <w:rsid w:val="00313808"/>
    <w:rsid w:val="00320939"/>
    <w:rsid w:val="00322D17"/>
    <w:rsid w:val="00324B90"/>
    <w:rsid w:val="0032768F"/>
    <w:rsid w:val="00332CBA"/>
    <w:rsid w:val="0033401E"/>
    <w:rsid w:val="00337ED9"/>
    <w:rsid w:val="00340F1C"/>
    <w:rsid w:val="0034320C"/>
    <w:rsid w:val="00344F5A"/>
    <w:rsid w:val="0034692B"/>
    <w:rsid w:val="00346A0B"/>
    <w:rsid w:val="003500A6"/>
    <w:rsid w:val="003504C0"/>
    <w:rsid w:val="00354080"/>
    <w:rsid w:val="0036205C"/>
    <w:rsid w:val="00373FE8"/>
    <w:rsid w:val="00385261"/>
    <w:rsid w:val="003861D6"/>
    <w:rsid w:val="00386EF8"/>
    <w:rsid w:val="00391B9F"/>
    <w:rsid w:val="00392A96"/>
    <w:rsid w:val="00392DE7"/>
    <w:rsid w:val="00394DD6"/>
    <w:rsid w:val="003A31F2"/>
    <w:rsid w:val="003B18C7"/>
    <w:rsid w:val="003B22C8"/>
    <w:rsid w:val="003B40E2"/>
    <w:rsid w:val="003C0A3C"/>
    <w:rsid w:val="003E0E29"/>
    <w:rsid w:val="003E204A"/>
    <w:rsid w:val="003E2FFD"/>
    <w:rsid w:val="003E3B7A"/>
    <w:rsid w:val="003F31E8"/>
    <w:rsid w:val="003F45B1"/>
    <w:rsid w:val="00404D06"/>
    <w:rsid w:val="00422928"/>
    <w:rsid w:val="004244D3"/>
    <w:rsid w:val="00427846"/>
    <w:rsid w:val="00452E13"/>
    <w:rsid w:val="004557CE"/>
    <w:rsid w:val="00462BA8"/>
    <w:rsid w:val="00466393"/>
    <w:rsid w:val="00484999"/>
    <w:rsid w:val="00493772"/>
    <w:rsid w:val="004948A5"/>
    <w:rsid w:val="00497653"/>
    <w:rsid w:val="004A0EF6"/>
    <w:rsid w:val="004B02B0"/>
    <w:rsid w:val="004B4FAA"/>
    <w:rsid w:val="004B6A28"/>
    <w:rsid w:val="004C2C68"/>
    <w:rsid w:val="004E2662"/>
    <w:rsid w:val="004E69E3"/>
    <w:rsid w:val="004F03DD"/>
    <w:rsid w:val="00502179"/>
    <w:rsid w:val="00512423"/>
    <w:rsid w:val="00515288"/>
    <w:rsid w:val="00520E44"/>
    <w:rsid w:val="0052182B"/>
    <w:rsid w:val="005224E9"/>
    <w:rsid w:val="00523704"/>
    <w:rsid w:val="005379A9"/>
    <w:rsid w:val="00543084"/>
    <w:rsid w:val="0054752D"/>
    <w:rsid w:val="00547738"/>
    <w:rsid w:val="005572BF"/>
    <w:rsid w:val="0056033D"/>
    <w:rsid w:val="0056233D"/>
    <w:rsid w:val="00571E84"/>
    <w:rsid w:val="0057377F"/>
    <w:rsid w:val="0057648D"/>
    <w:rsid w:val="00587FEE"/>
    <w:rsid w:val="00597D80"/>
    <w:rsid w:val="005A6C0B"/>
    <w:rsid w:val="005B39FC"/>
    <w:rsid w:val="005B4DD3"/>
    <w:rsid w:val="005B580A"/>
    <w:rsid w:val="005B68A7"/>
    <w:rsid w:val="005C128E"/>
    <w:rsid w:val="005C187D"/>
    <w:rsid w:val="005C38AF"/>
    <w:rsid w:val="005C3DF8"/>
    <w:rsid w:val="005C6CCF"/>
    <w:rsid w:val="005C6FE1"/>
    <w:rsid w:val="005D06B5"/>
    <w:rsid w:val="005D24BF"/>
    <w:rsid w:val="005D486A"/>
    <w:rsid w:val="005D5561"/>
    <w:rsid w:val="005F04D0"/>
    <w:rsid w:val="005F1B4C"/>
    <w:rsid w:val="005F2DEE"/>
    <w:rsid w:val="00602687"/>
    <w:rsid w:val="00603EC8"/>
    <w:rsid w:val="006156CA"/>
    <w:rsid w:val="00621028"/>
    <w:rsid w:val="00621776"/>
    <w:rsid w:val="00622225"/>
    <w:rsid w:val="00623842"/>
    <w:rsid w:val="00623A52"/>
    <w:rsid w:val="0062631D"/>
    <w:rsid w:val="00640655"/>
    <w:rsid w:val="00647BA4"/>
    <w:rsid w:val="006532E1"/>
    <w:rsid w:val="00663B8E"/>
    <w:rsid w:val="006643C7"/>
    <w:rsid w:val="00672F3F"/>
    <w:rsid w:val="00675020"/>
    <w:rsid w:val="00677A32"/>
    <w:rsid w:val="00677A77"/>
    <w:rsid w:val="0068164B"/>
    <w:rsid w:val="00681ADC"/>
    <w:rsid w:val="00690317"/>
    <w:rsid w:val="006911AF"/>
    <w:rsid w:val="00694201"/>
    <w:rsid w:val="00696387"/>
    <w:rsid w:val="006A18E9"/>
    <w:rsid w:val="006A5886"/>
    <w:rsid w:val="006A6F7D"/>
    <w:rsid w:val="006B0ADF"/>
    <w:rsid w:val="006B785B"/>
    <w:rsid w:val="006C03AC"/>
    <w:rsid w:val="006F20AA"/>
    <w:rsid w:val="006F7D7D"/>
    <w:rsid w:val="00704282"/>
    <w:rsid w:val="0071081B"/>
    <w:rsid w:val="00710C53"/>
    <w:rsid w:val="00716C80"/>
    <w:rsid w:val="00720BFF"/>
    <w:rsid w:val="00723FDB"/>
    <w:rsid w:val="00726019"/>
    <w:rsid w:val="00726E8E"/>
    <w:rsid w:val="00727084"/>
    <w:rsid w:val="007277A5"/>
    <w:rsid w:val="00732EEC"/>
    <w:rsid w:val="007332A5"/>
    <w:rsid w:val="007362AF"/>
    <w:rsid w:val="00737A2E"/>
    <w:rsid w:val="00740AAA"/>
    <w:rsid w:val="00741F21"/>
    <w:rsid w:val="00752765"/>
    <w:rsid w:val="007535BB"/>
    <w:rsid w:val="007565A3"/>
    <w:rsid w:val="0076073A"/>
    <w:rsid w:val="00764C18"/>
    <w:rsid w:val="00766924"/>
    <w:rsid w:val="007670D0"/>
    <w:rsid w:val="00774ACA"/>
    <w:rsid w:val="007772A8"/>
    <w:rsid w:val="007777E0"/>
    <w:rsid w:val="007805CF"/>
    <w:rsid w:val="00780CBE"/>
    <w:rsid w:val="007818FE"/>
    <w:rsid w:val="00782822"/>
    <w:rsid w:val="007847FC"/>
    <w:rsid w:val="007874D1"/>
    <w:rsid w:val="00791B26"/>
    <w:rsid w:val="007946C5"/>
    <w:rsid w:val="007A7336"/>
    <w:rsid w:val="007B2D24"/>
    <w:rsid w:val="007B6924"/>
    <w:rsid w:val="007B7F1F"/>
    <w:rsid w:val="007D0BF5"/>
    <w:rsid w:val="007D2B4D"/>
    <w:rsid w:val="007D43E0"/>
    <w:rsid w:val="007E49D0"/>
    <w:rsid w:val="007E5012"/>
    <w:rsid w:val="007F2D26"/>
    <w:rsid w:val="007F5161"/>
    <w:rsid w:val="0080334F"/>
    <w:rsid w:val="0081424A"/>
    <w:rsid w:val="0082023A"/>
    <w:rsid w:val="00825DE6"/>
    <w:rsid w:val="00826E3F"/>
    <w:rsid w:val="00827904"/>
    <w:rsid w:val="00827F0A"/>
    <w:rsid w:val="00833E63"/>
    <w:rsid w:val="00834CE8"/>
    <w:rsid w:val="00842591"/>
    <w:rsid w:val="00845304"/>
    <w:rsid w:val="00854FE0"/>
    <w:rsid w:val="00857395"/>
    <w:rsid w:val="00867EE6"/>
    <w:rsid w:val="00876524"/>
    <w:rsid w:val="0088079F"/>
    <w:rsid w:val="008808CA"/>
    <w:rsid w:val="0088300D"/>
    <w:rsid w:val="00886E63"/>
    <w:rsid w:val="00890815"/>
    <w:rsid w:val="00894DA9"/>
    <w:rsid w:val="008A4132"/>
    <w:rsid w:val="008A72A2"/>
    <w:rsid w:val="008B5164"/>
    <w:rsid w:val="008B7DCF"/>
    <w:rsid w:val="008C254A"/>
    <w:rsid w:val="008C49F5"/>
    <w:rsid w:val="008C4BB6"/>
    <w:rsid w:val="008D0696"/>
    <w:rsid w:val="008D2531"/>
    <w:rsid w:val="008D5DFA"/>
    <w:rsid w:val="008D757E"/>
    <w:rsid w:val="008E1520"/>
    <w:rsid w:val="008E3E6A"/>
    <w:rsid w:val="008E48FC"/>
    <w:rsid w:val="008F116A"/>
    <w:rsid w:val="008F1626"/>
    <w:rsid w:val="00903765"/>
    <w:rsid w:val="009051C2"/>
    <w:rsid w:val="0090760F"/>
    <w:rsid w:val="009103AD"/>
    <w:rsid w:val="0091443E"/>
    <w:rsid w:val="009159C7"/>
    <w:rsid w:val="00924A2D"/>
    <w:rsid w:val="00924EF7"/>
    <w:rsid w:val="00927AB2"/>
    <w:rsid w:val="00936F63"/>
    <w:rsid w:val="009426F4"/>
    <w:rsid w:val="00943F52"/>
    <w:rsid w:val="009443C0"/>
    <w:rsid w:val="00945F43"/>
    <w:rsid w:val="0094705E"/>
    <w:rsid w:val="0094782C"/>
    <w:rsid w:val="00961711"/>
    <w:rsid w:val="00962FB6"/>
    <w:rsid w:val="009648C7"/>
    <w:rsid w:val="00971F7A"/>
    <w:rsid w:val="00973D2F"/>
    <w:rsid w:val="009743D9"/>
    <w:rsid w:val="00976D7B"/>
    <w:rsid w:val="00981EA3"/>
    <w:rsid w:val="009832D2"/>
    <w:rsid w:val="009833BF"/>
    <w:rsid w:val="0098545D"/>
    <w:rsid w:val="00990231"/>
    <w:rsid w:val="00991552"/>
    <w:rsid w:val="00997842"/>
    <w:rsid w:val="009A0F7E"/>
    <w:rsid w:val="009A3ADD"/>
    <w:rsid w:val="009B2776"/>
    <w:rsid w:val="009B2CB7"/>
    <w:rsid w:val="009B56CD"/>
    <w:rsid w:val="009B7D12"/>
    <w:rsid w:val="009E00D8"/>
    <w:rsid w:val="009E081B"/>
    <w:rsid w:val="009F011F"/>
    <w:rsid w:val="009F0D2E"/>
    <w:rsid w:val="009F2F5E"/>
    <w:rsid w:val="009F60F0"/>
    <w:rsid w:val="00A112E1"/>
    <w:rsid w:val="00A1134F"/>
    <w:rsid w:val="00A122C6"/>
    <w:rsid w:val="00A16613"/>
    <w:rsid w:val="00A17312"/>
    <w:rsid w:val="00A24ABF"/>
    <w:rsid w:val="00A366DE"/>
    <w:rsid w:val="00A37B4A"/>
    <w:rsid w:val="00A47160"/>
    <w:rsid w:val="00A478EA"/>
    <w:rsid w:val="00A54280"/>
    <w:rsid w:val="00A61357"/>
    <w:rsid w:val="00A61954"/>
    <w:rsid w:val="00A64A6C"/>
    <w:rsid w:val="00A652B9"/>
    <w:rsid w:val="00A6543C"/>
    <w:rsid w:val="00A706F5"/>
    <w:rsid w:val="00A7790B"/>
    <w:rsid w:val="00A8059F"/>
    <w:rsid w:val="00A81376"/>
    <w:rsid w:val="00A82CD6"/>
    <w:rsid w:val="00A854D4"/>
    <w:rsid w:val="00A9500C"/>
    <w:rsid w:val="00AB0E3D"/>
    <w:rsid w:val="00AB27B6"/>
    <w:rsid w:val="00AB432B"/>
    <w:rsid w:val="00AB5812"/>
    <w:rsid w:val="00AC50F0"/>
    <w:rsid w:val="00AC5BF0"/>
    <w:rsid w:val="00AC68DE"/>
    <w:rsid w:val="00AD0481"/>
    <w:rsid w:val="00AD6B8F"/>
    <w:rsid w:val="00AE2DA4"/>
    <w:rsid w:val="00AE5FBA"/>
    <w:rsid w:val="00AF2CCF"/>
    <w:rsid w:val="00AF6050"/>
    <w:rsid w:val="00B0320B"/>
    <w:rsid w:val="00B04067"/>
    <w:rsid w:val="00B061CA"/>
    <w:rsid w:val="00B07C2B"/>
    <w:rsid w:val="00B1126E"/>
    <w:rsid w:val="00B161C0"/>
    <w:rsid w:val="00B310B9"/>
    <w:rsid w:val="00B35976"/>
    <w:rsid w:val="00B45C31"/>
    <w:rsid w:val="00B53890"/>
    <w:rsid w:val="00B60453"/>
    <w:rsid w:val="00B66F50"/>
    <w:rsid w:val="00B71E68"/>
    <w:rsid w:val="00B758E3"/>
    <w:rsid w:val="00B77575"/>
    <w:rsid w:val="00B80928"/>
    <w:rsid w:val="00B83FA1"/>
    <w:rsid w:val="00B948BB"/>
    <w:rsid w:val="00B9627A"/>
    <w:rsid w:val="00BA0D19"/>
    <w:rsid w:val="00BA1BB0"/>
    <w:rsid w:val="00BB4349"/>
    <w:rsid w:val="00BB5415"/>
    <w:rsid w:val="00BB5964"/>
    <w:rsid w:val="00BC1CCF"/>
    <w:rsid w:val="00BC26CC"/>
    <w:rsid w:val="00BC27F0"/>
    <w:rsid w:val="00BC2EA4"/>
    <w:rsid w:val="00BC4B59"/>
    <w:rsid w:val="00BC6D11"/>
    <w:rsid w:val="00BC6D58"/>
    <w:rsid w:val="00BC6E9B"/>
    <w:rsid w:val="00BD1DD0"/>
    <w:rsid w:val="00BD53B8"/>
    <w:rsid w:val="00BE1F5C"/>
    <w:rsid w:val="00BE21AA"/>
    <w:rsid w:val="00BF638A"/>
    <w:rsid w:val="00BF690B"/>
    <w:rsid w:val="00C010CF"/>
    <w:rsid w:val="00C04808"/>
    <w:rsid w:val="00C07307"/>
    <w:rsid w:val="00C203AC"/>
    <w:rsid w:val="00C25541"/>
    <w:rsid w:val="00C34696"/>
    <w:rsid w:val="00C4051A"/>
    <w:rsid w:val="00C41AC3"/>
    <w:rsid w:val="00C41BAA"/>
    <w:rsid w:val="00C43353"/>
    <w:rsid w:val="00C45072"/>
    <w:rsid w:val="00C53AE9"/>
    <w:rsid w:val="00C6210B"/>
    <w:rsid w:val="00C732FB"/>
    <w:rsid w:val="00C8387D"/>
    <w:rsid w:val="00CA4855"/>
    <w:rsid w:val="00CA7C7C"/>
    <w:rsid w:val="00CB1D71"/>
    <w:rsid w:val="00CB4707"/>
    <w:rsid w:val="00CC1328"/>
    <w:rsid w:val="00CC2DC1"/>
    <w:rsid w:val="00CD1E04"/>
    <w:rsid w:val="00CD34D3"/>
    <w:rsid w:val="00CD6D92"/>
    <w:rsid w:val="00CE2C8C"/>
    <w:rsid w:val="00CE48AA"/>
    <w:rsid w:val="00CE50A2"/>
    <w:rsid w:val="00CF06E5"/>
    <w:rsid w:val="00CF0865"/>
    <w:rsid w:val="00CF63E7"/>
    <w:rsid w:val="00D04DED"/>
    <w:rsid w:val="00D20E51"/>
    <w:rsid w:val="00D22FDB"/>
    <w:rsid w:val="00D25BC4"/>
    <w:rsid w:val="00D25FC1"/>
    <w:rsid w:val="00D279B2"/>
    <w:rsid w:val="00D314F7"/>
    <w:rsid w:val="00D4323E"/>
    <w:rsid w:val="00D502CF"/>
    <w:rsid w:val="00D50E96"/>
    <w:rsid w:val="00D54E76"/>
    <w:rsid w:val="00D6263D"/>
    <w:rsid w:val="00D772DD"/>
    <w:rsid w:val="00D82F7D"/>
    <w:rsid w:val="00D83476"/>
    <w:rsid w:val="00D86CC3"/>
    <w:rsid w:val="00D877ED"/>
    <w:rsid w:val="00D93B08"/>
    <w:rsid w:val="00DB4703"/>
    <w:rsid w:val="00DB67FF"/>
    <w:rsid w:val="00DB76AE"/>
    <w:rsid w:val="00DC1990"/>
    <w:rsid w:val="00DC2706"/>
    <w:rsid w:val="00DC6FB5"/>
    <w:rsid w:val="00DD10EF"/>
    <w:rsid w:val="00DD1420"/>
    <w:rsid w:val="00DD2BB0"/>
    <w:rsid w:val="00DD34F3"/>
    <w:rsid w:val="00DD36F8"/>
    <w:rsid w:val="00DF7864"/>
    <w:rsid w:val="00E00D1D"/>
    <w:rsid w:val="00E14BBF"/>
    <w:rsid w:val="00E20087"/>
    <w:rsid w:val="00E2115D"/>
    <w:rsid w:val="00E22B16"/>
    <w:rsid w:val="00E23705"/>
    <w:rsid w:val="00E262DB"/>
    <w:rsid w:val="00E361CB"/>
    <w:rsid w:val="00E45DF4"/>
    <w:rsid w:val="00E47675"/>
    <w:rsid w:val="00E54A7D"/>
    <w:rsid w:val="00E55A01"/>
    <w:rsid w:val="00E5729E"/>
    <w:rsid w:val="00E575F8"/>
    <w:rsid w:val="00E5775A"/>
    <w:rsid w:val="00E6008B"/>
    <w:rsid w:val="00E6175F"/>
    <w:rsid w:val="00E63751"/>
    <w:rsid w:val="00E6425C"/>
    <w:rsid w:val="00E675BD"/>
    <w:rsid w:val="00E72DCA"/>
    <w:rsid w:val="00E7318F"/>
    <w:rsid w:val="00E80A2B"/>
    <w:rsid w:val="00E813B9"/>
    <w:rsid w:val="00E820E1"/>
    <w:rsid w:val="00E82A2C"/>
    <w:rsid w:val="00E9086A"/>
    <w:rsid w:val="00E91516"/>
    <w:rsid w:val="00EA0427"/>
    <w:rsid w:val="00EA3D45"/>
    <w:rsid w:val="00EA4B1C"/>
    <w:rsid w:val="00EB1D8A"/>
    <w:rsid w:val="00EB5193"/>
    <w:rsid w:val="00EB6E11"/>
    <w:rsid w:val="00EC01EA"/>
    <w:rsid w:val="00EC3231"/>
    <w:rsid w:val="00EC4181"/>
    <w:rsid w:val="00ED4CA5"/>
    <w:rsid w:val="00ED7D7D"/>
    <w:rsid w:val="00EE201E"/>
    <w:rsid w:val="00EE696F"/>
    <w:rsid w:val="00EF046A"/>
    <w:rsid w:val="00EF6A07"/>
    <w:rsid w:val="00EF6D84"/>
    <w:rsid w:val="00EF762F"/>
    <w:rsid w:val="00F0004A"/>
    <w:rsid w:val="00F017FB"/>
    <w:rsid w:val="00F036F1"/>
    <w:rsid w:val="00F05016"/>
    <w:rsid w:val="00F07436"/>
    <w:rsid w:val="00F158AC"/>
    <w:rsid w:val="00F17218"/>
    <w:rsid w:val="00F20E48"/>
    <w:rsid w:val="00F21A73"/>
    <w:rsid w:val="00F24AD0"/>
    <w:rsid w:val="00F26501"/>
    <w:rsid w:val="00F322AB"/>
    <w:rsid w:val="00F327BB"/>
    <w:rsid w:val="00F33EBC"/>
    <w:rsid w:val="00F36881"/>
    <w:rsid w:val="00F36B98"/>
    <w:rsid w:val="00F37F7F"/>
    <w:rsid w:val="00F45BD1"/>
    <w:rsid w:val="00F52588"/>
    <w:rsid w:val="00F61076"/>
    <w:rsid w:val="00F71E83"/>
    <w:rsid w:val="00F8272D"/>
    <w:rsid w:val="00F83AFE"/>
    <w:rsid w:val="00F85FC3"/>
    <w:rsid w:val="00F90041"/>
    <w:rsid w:val="00F90D5D"/>
    <w:rsid w:val="00F92251"/>
    <w:rsid w:val="00F969C8"/>
    <w:rsid w:val="00F97B36"/>
    <w:rsid w:val="00FA5AAA"/>
    <w:rsid w:val="00FB1E2B"/>
    <w:rsid w:val="00FB3B86"/>
    <w:rsid w:val="00FB52AA"/>
    <w:rsid w:val="00FC0439"/>
    <w:rsid w:val="00FC0D00"/>
    <w:rsid w:val="00FD79DB"/>
    <w:rsid w:val="00FD7A26"/>
    <w:rsid w:val="00FE0BDF"/>
    <w:rsid w:val="00FE38B6"/>
    <w:rsid w:val="00FE3ED6"/>
    <w:rsid w:val="00FF3D65"/>
    <w:rsid w:val="00FF4270"/>
    <w:rsid w:val="00FF5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annotation reference" w:uiPriority="0"/>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FB1E2B"/>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2"/>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484999"/>
    <w:pPr>
      <w:keepNext/>
      <w:numPr>
        <w:ilvl w:val="1"/>
        <w:numId w:val="22"/>
      </w:numPr>
      <w:spacing w:after="120"/>
      <w:outlineLvl w:val="1"/>
    </w:pPr>
    <w:rPr>
      <w:b/>
      <w:bCs/>
      <w:szCs w:val="26"/>
    </w:rPr>
  </w:style>
  <w:style w:type="paragraph" w:styleId="Heading3">
    <w:name w:val="heading 3"/>
    <w:basedOn w:val="Normal"/>
    <w:next w:val="Normal"/>
    <w:link w:val="Heading3Char"/>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484999"/>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484999"/>
    <w:pPr>
      <w:keepNext w:val="0"/>
      <w:numPr>
        <w:ilvl w:val="2"/>
      </w:numPr>
    </w:pPr>
    <w:rPr>
      <w:b w:val="0"/>
    </w:rPr>
  </w:style>
  <w:style w:type="paragraph" w:customStyle="1" w:styleId="Numberlist2">
    <w:name w:val="Number list 2"/>
    <w:basedOn w:val="Numberlist1"/>
    <w:qFormat/>
    <w:rsid w:val="00E72DCA"/>
    <w:pPr>
      <w:numPr>
        <w:ilvl w:val="3"/>
      </w:numPr>
    </w:pPr>
  </w:style>
  <w:style w:type="paragraph" w:customStyle="1" w:styleId="Numberlist3">
    <w:name w:val="Number list 3"/>
    <w:basedOn w:val="Numberlist2"/>
    <w:qFormat/>
    <w:rsid w:val="00E72DCA"/>
    <w:pPr>
      <w:numPr>
        <w:ilvl w:val="4"/>
      </w:numPr>
      <w:tabs>
        <w:tab w:val="num" w:pos="1560"/>
      </w:tabs>
    </w:pPr>
  </w:style>
  <w:style w:type="paragraph" w:customStyle="1" w:styleId="Numberlist4">
    <w:name w:val="Number list 4"/>
    <w:basedOn w:val="Numberlist3"/>
    <w:qFormat/>
    <w:rsid w:val="00E72DCA"/>
    <w:pPr>
      <w:numPr>
        <w:ilvl w:val="5"/>
      </w:numPr>
      <w:tabs>
        <w:tab w:val="num" w:pos="1701"/>
      </w:tabs>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3"/>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2"/>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FB1E2B"/>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FB1E2B"/>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unhideWhenUsed/>
    <w:rsid w:val="00FB1E2B"/>
    <w:rPr>
      <w:color w:val="800080" w:themeColor="followedHyperlink"/>
      <w:u w:val="single"/>
    </w:rPr>
  </w:style>
  <w:style w:type="character" w:customStyle="1" w:styleId="Heading5Char">
    <w:name w:val="Heading 5 Char"/>
    <w:basedOn w:val="DefaultParagraphFont"/>
    <w:link w:val="Heading5"/>
    <w:semiHidden/>
    <w:rsid w:val="00FB1E2B"/>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29"/>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paragraph" w:customStyle="1" w:styleId="AERbodytext">
    <w:name w:val="AER body text"/>
    <w:link w:val="AERbodytextChar"/>
    <w:qFormat/>
    <w:rsid w:val="00031B55"/>
    <w:pPr>
      <w:numPr>
        <w:numId w:val="31"/>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31B55"/>
    <w:pPr>
      <w:numPr>
        <w:numId w:val="30"/>
      </w:numPr>
      <w:tabs>
        <w:tab w:val="num" w:pos="0"/>
        <w:tab w:val="left" w:pos="357"/>
      </w:tabs>
      <w:spacing w:after="200"/>
      <w:ind w:left="357" w:hanging="357"/>
    </w:pPr>
  </w:style>
  <w:style w:type="character" w:customStyle="1" w:styleId="AERbodytextChar">
    <w:name w:val="AER body text Char"/>
    <w:basedOn w:val="DefaultParagraphFont"/>
    <w:link w:val="AERbodytext"/>
    <w:rsid w:val="00031B55"/>
    <w:rPr>
      <w:rFonts w:ascii="Gautami" w:eastAsia="Times New Roman" w:hAnsi="Gautami" w:cs="Times New Roman"/>
      <w:sz w:val="20"/>
      <w:szCs w:val="24"/>
    </w:rPr>
  </w:style>
  <w:style w:type="character" w:customStyle="1" w:styleId="AERtextbolditalics">
    <w:name w:val="AER text bold italics"/>
    <w:basedOn w:val="DefaultParagraphFont"/>
    <w:uiPriority w:val="99"/>
    <w:qFormat/>
    <w:rsid w:val="001E3974"/>
    <w:rPr>
      <w:b/>
      <w:i/>
    </w:rPr>
  </w:style>
  <w:style w:type="character" w:customStyle="1" w:styleId="AERtextitalic">
    <w:name w:val="AER text italic"/>
    <w:qFormat/>
    <w:rsid w:val="001E3974"/>
    <w:rPr>
      <w:i/>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1E397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E3974"/>
    <w:rPr>
      <w:rFonts w:ascii="Gautami" w:eastAsia="Times New Roman" w:hAnsi="Gautami" w:cs="Times New Roman"/>
      <w:sz w:val="16"/>
      <w:szCs w:val="20"/>
    </w:rPr>
  </w:style>
  <w:style w:type="table" w:customStyle="1" w:styleId="AERtable">
    <w:name w:val="AER table"/>
    <w:basedOn w:val="TableGrid"/>
    <w:rsid w:val="0052182B"/>
    <w:pPr>
      <w:spacing w:before="40" w:after="40"/>
    </w:pPr>
    <w:rPr>
      <w:rFonts w:ascii="Times New Roman" w:eastAsia="Times New Roman" w:hAnsi="Times New Roman" w:cs="Times New Roman"/>
      <w:szCs w:val="20"/>
      <w:lang w:eastAsia="en-AU"/>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3">
    <w:name w:val="3"/>
    <w:rsid w:val="0052182B"/>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tblPr>
      <w:tblInd w:w="0" w:type="dxa"/>
      <w:tblBorders>
        <w:top w:val="single" w:sz="12" w:space="0" w:color="auto"/>
        <w:bottom w:val="single" w:sz="4" w:space="0" w:color="auto"/>
      </w:tblBorders>
      <w:tblCellMar>
        <w:top w:w="0" w:type="dxa"/>
        <w:left w:w="108" w:type="dxa"/>
        <w:bottom w:w="0" w:type="dxa"/>
        <w:right w:w="108" w:type="dxa"/>
      </w:tblCellMar>
    </w:tblPr>
  </w:style>
  <w:style w:type="numbering" w:styleId="1ai">
    <w:name w:val="Outline List 1"/>
    <w:basedOn w:val="NoList"/>
    <w:rsid w:val="0052182B"/>
    <w:pPr>
      <w:numPr>
        <w:numId w:val="32"/>
      </w:numPr>
    </w:pPr>
  </w:style>
  <w:style w:type="paragraph" w:styleId="DocumentMap">
    <w:name w:val="Document Map"/>
    <w:basedOn w:val="Normal"/>
    <w:link w:val="DocumentMapChar"/>
    <w:semiHidden/>
    <w:rsid w:val="0052182B"/>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2182B"/>
    <w:rPr>
      <w:rFonts w:ascii="Tahoma" w:eastAsia="Times New Roman" w:hAnsi="Tahoma" w:cs="Tahoma"/>
      <w:sz w:val="20"/>
      <w:szCs w:val="20"/>
      <w:shd w:val="clear" w:color="auto" w:fill="000080"/>
    </w:rPr>
  </w:style>
  <w:style w:type="numbering" w:styleId="111111">
    <w:name w:val="Outline List 2"/>
    <w:basedOn w:val="NoList"/>
    <w:rsid w:val="0052182B"/>
    <w:pPr>
      <w:numPr>
        <w:numId w:val="33"/>
      </w:numPr>
    </w:pPr>
  </w:style>
  <w:style w:type="table" w:customStyle="1" w:styleId="TableGrid2">
    <w:name w:val="Table Grid2"/>
    <w:basedOn w:val="TableNormal"/>
    <w:next w:val="TableGrid"/>
    <w:uiPriority w:val="59"/>
    <w:rsid w:val="00521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ldAERheadings">
    <w:name w:val="Old AER headings"/>
    <w:uiPriority w:val="99"/>
    <w:locked/>
    <w:rsid w:val="0052182B"/>
    <w:pPr>
      <w:numPr>
        <w:numId w:val="39"/>
      </w:numPr>
    </w:pPr>
  </w:style>
  <w:style w:type="table" w:customStyle="1" w:styleId="TableGrid3">
    <w:name w:val="Table Grid3"/>
    <w:basedOn w:val="TableNormal"/>
    <w:next w:val="TableGrid"/>
    <w:uiPriority w:val="59"/>
    <w:rsid w:val="00521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52182B"/>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62222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annotation reference" w:uiPriority="0"/>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FB1E2B"/>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2"/>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484999"/>
    <w:pPr>
      <w:keepNext/>
      <w:numPr>
        <w:ilvl w:val="1"/>
        <w:numId w:val="22"/>
      </w:numPr>
      <w:spacing w:after="120"/>
      <w:outlineLvl w:val="1"/>
    </w:pPr>
    <w:rPr>
      <w:b/>
      <w:bCs/>
      <w:szCs w:val="26"/>
    </w:rPr>
  </w:style>
  <w:style w:type="paragraph" w:styleId="Heading3">
    <w:name w:val="heading 3"/>
    <w:basedOn w:val="Normal"/>
    <w:next w:val="Normal"/>
    <w:link w:val="Heading3Char"/>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484999"/>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484999"/>
    <w:pPr>
      <w:keepNext w:val="0"/>
      <w:numPr>
        <w:ilvl w:val="2"/>
      </w:numPr>
    </w:pPr>
    <w:rPr>
      <w:b w:val="0"/>
    </w:rPr>
  </w:style>
  <w:style w:type="paragraph" w:customStyle="1" w:styleId="Numberlist2">
    <w:name w:val="Number list 2"/>
    <w:basedOn w:val="Numberlist1"/>
    <w:qFormat/>
    <w:rsid w:val="00E72DCA"/>
    <w:pPr>
      <w:numPr>
        <w:ilvl w:val="3"/>
      </w:numPr>
    </w:pPr>
  </w:style>
  <w:style w:type="paragraph" w:customStyle="1" w:styleId="Numberlist3">
    <w:name w:val="Number list 3"/>
    <w:basedOn w:val="Numberlist2"/>
    <w:qFormat/>
    <w:rsid w:val="00E72DCA"/>
    <w:pPr>
      <w:numPr>
        <w:ilvl w:val="4"/>
      </w:numPr>
      <w:tabs>
        <w:tab w:val="num" w:pos="1560"/>
      </w:tabs>
    </w:pPr>
  </w:style>
  <w:style w:type="paragraph" w:customStyle="1" w:styleId="Numberlist4">
    <w:name w:val="Number list 4"/>
    <w:basedOn w:val="Numberlist3"/>
    <w:qFormat/>
    <w:rsid w:val="00E72DCA"/>
    <w:pPr>
      <w:numPr>
        <w:ilvl w:val="5"/>
      </w:numPr>
      <w:tabs>
        <w:tab w:val="num" w:pos="1701"/>
      </w:tabs>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3"/>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2"/>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FB1E2B"/>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FB1E2B"/>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unhideWhenUsed/>
    <w:rsid w:val="00FB1E2B"/>
    <w:rPr>
      <w:color w:val="800080" w:themeColor="followedHyperlink"/>
      <w:u w:val="single"/>
    </w:rPr>
  </w:style>
  <w:style w:type="character" w:customStyle="1" w:styleId="Heading5Char">
    <w:name w:val="Heading 5 Char"/>
    <w:basedOn w:val="DefaultParagraphFont"/>
    <w:link w:val="Heading5"/>
    <w:semiHidden/>
    <w:rsid w:val="00FB1E2B"/>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29"/>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paragraph" w:customStyle="1" w:styleId="AERbodytext">
    <w:name w:val="AER body text"/>
    <w:link w:val="AERbodytextChar"/>
    <w:qFormat/>
    <w:rsid w:val="00031B55"/>
    <w:pPr>
      <w:numPr>
        <w:numId w:val="31"/>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31B55"/>
    <w:pPr>
      <w:numPr>
        <w:numId w:val="30"/>
      </w:numPr>
      <w:tabs>
        <w:tab w:val="num" w:pos="0"/>
        <w:tab w:val="left" w:pos="357"/>
      </w:tabs>
      <w:spacing w:after="200"/>
      <w:ind w:left="357" w:hanging="357"/>
    </w:pPr>
  </w:style>
  <w:style w:type="character" w:customStyle="1" w:styleId="AERbodytextChar">
    <w:name w:val="AER body text Char"/>
    <w:basedOn w:val="DefaultParagraphFont"/>
    <w:link w:val="AERbodytext"/>
    <w:rsid w:val="00031B55"/>
    <w:rPr>
      <w:rFonts w:ascii="Gautami" w:eastAsia="Times New Roman" w:hAnsi="Gautami" w:cs="Times New Roman"/>
      <w:sz w:val="20"/>
      <w:szCs w:val="24"/>
    </w:rPr>
  </w:style>
  <w:style w:type="character" w:customStyle="1" w:styleId="AERtextbolditalics">
    <w:name w:val="AER text bold italics"/>
    <w:basedOn w:val="DefaultParagraphFont"/>
    <w:uiPriority w:val="99"/>
    <w:qFormat/>
    <w:rsid w:val="001E3974"/>
    <w:rPr>
      <w:b/>
      <w:i/>
    </w:rPr>
  </w:style>
  <w:style w:type="character" w:customStyle="1" w:styleId="AERtextitalic">
    <w:name w:val="AER text italic"/>
    <w:qFormat/>
    <w:rsid w:val="001E3974"/>
    <w:rPr>
      <w:i/>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1E397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E3974"/>
    <w:rPr>
      <w:rFonts w:ascii="Gautami" w:eastAsia="Times New Roman" w:hAnsi="Gautami" w:cs="Times New Roman"/>
      <w:sz w:val="16"/>
      <w:szCs w:val="20"/>
    </w:rPr>
  </w:style>
  <w:style w:type="table" w:customStyle="1" w:styleId="AERtable">
    <w:name w:val="AER table"/>
    <w:basedOn w:val="TableGrid"/>
    <w:rsid w:val="0052182B"/>
    <w:pPr>
      <w:spacing w:before="40" w:after="40"/>
    </w:pPr>
    <w:rPr>
      <w:rFonts w:ascii="Times New Roman" w:eastAsia="Times New Roman" w:hAnsi="Times New Roman" w:cs="Times New Roman"/>
      <w:szCs w:val="20"/>
      <w:lang w:eastAsia="en-AU"/>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3">
    <w:name w:val="3"/>
    <w:rsid w:val="0052182B"/>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tblPr>
      <w:tblInd w:w="0" w:type="dxa"/>
      <w:tblBorders>
        <w:top w:val="single" w:sz="12" w:space="0" w:color="auto"/>
        <w:bottom w:val="single" w:sz="4" w:space="0" w:color="auto"/>
      </w:tblBorders>
      <w:tblCellMar>
        <w:top w:w="0" w:type="dxa"/>
        <w:left w:w="108" w:type="dxa"/>
        <w:bottom w:w="0" w:type="dxa"/>
        <w:right w:w="108" w:type="dxa"/>
      </w:tblCellMar>
    </w:tblPr>
  </w:style>
  <w:style w:type="numbering" w:styleId="1ai">
    <w:name w:val="Outline List 1"/>
    <w:basedOn w:val="NoList"/>
    <w:rsid w:val="0052182B"/>
    <w:pPr>
      <w:numPr>
        <w:numId w:val="32"/>
      </w:numPr>
    </w:pPr>
  </w:style>
  <w:style w:type="paragraph" w:styleId="DocumentMap">
    <w:name w:val="Document Map"/>
    <w:basedOn w:val="Normal"/>
    <w:link w:val="DocumentMapChar"/>
    <w:semiHidden/>
    <w:rsid w:val="0052182B"/>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52182B"/>
    <w:rPr>
      <w:rFonts w:ascii="Tahoma" w:eastAsia="Times New Roman" w:hAnsi="Tahoma" w:cs="Tahoma"/>
      <w:sz w:val="20"/>
      <w:szCs w:val="20"/>
      <w:shd w:val="clear" w:color="auto" w:fill="000080"/>
    </w:rPr>
  </w:style>
  <w:style w:type="numbering" w:styleId="111111">
    <w:name w:val="Outline List 2"/>
    <w:basedOn w:val="NoList"/>
    <w:rsid w:val="0052182B"/>
    <w:pPr>
      <w:numPr>
        <w:numId w:val="33"/>
      </w:numPr>
    </w:pPr>
  </w:style>
  <w:style w:type="table" w:customStyle="1" w:styleId="TableGrid2">
    <w:name w:val="Table Grid2"/>
    <w:basedOn w:val="TableNormal"/>
    <w:next w:val="TableGrid"/>
    <w:uiPriority w:val="59"/>
    <w:rsid w:val="00521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ldAERheadings">
    <w:name w:val="Old AER headings"/>
    <w:uiPriority w:val="99"/>
    <w:locked/>
    <w:rsid w:val="0052182B"/>
    <w:pPr>
      <w:numPr>
        <w:numId w:val="39"/>
      </w:numPr>
    </w:pPr>
  </w:style>
  <w:style w:type="table" w:customStyle="1" w:styleId="TableGrid3">
    <w:name w:val="Table Grid3"/>
    <w:basedOn w:val="TableNormal"/>
    <w:next w:val="TableGrid"/>
    <w:uiPriority w:val="59"/>
    <w:rsid w:val="00521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1">
    <w:name w:val="Medium Shading 1 Accent 1"/>
    <w:basedOn w:val="TableNormal"/>
    <w:uiPriority w:val="63"/>
    <w:rsid w:val="0052182B"/>
    <w:pPr>
      <w:spacing w:after="0" w:line="240" w:lineRule="auto"/>
    </w:pPr>
    <w:rPr>
      <w:rFonts w:ascii="Times New Roman" w:eastAsia="Times New Roman" w:hAnsi="Times New Roman" w:cs="Times New Roman"/>
      <w:sz w:val="20"/>
      <w:szCs w:val="20"/>
      <w:lang w:eastAsia="en-AU"/>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62222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90132">
      <w:bodyDiv w:val="1"/>
      <w:marLeft w:val="0"/>
      <w:marRight w:val="0"/>
      <w:marTop w:val="0"/>
      <w:marBottom w:val="0"/>
      <w:divBdr>
        <w:top w:val="none" w:sz="0" w:space="0" w:color="auto"/>
        <w:left w:val="none" w:sz="0" w:space="0" w:color="auto"/>
        <w:bottom w:val="none" w:sz="0" w:space="0" w:color="auto"/>
        <w:right w:val="none" w:sz="0" w:space="0" w:color="auto"/>
      </w:divBdr>
    </w:div>
    <w:div w:id="576986594">
      <w:bodyDiv w:val="1"/>
      <w:marLeft w:val="0"/>
      <w:marRight w:val="0"/>
      <w:marTop w:val="0"/>
      <w:marBottom w:val="0"/>
      <w:divBdr>
        <w:top w:val="none" w:sz="0" w:space="0" w:color="auto"/>
        <w:left w:val="none" w:sz="0" w:space="0" w:color="auto"/>
        <w:bottom w:val="none" w:sz="0" w:space="0" w:color="auto"/>
        <w:right w:val="none" w:sz="0" w:space="0" w:color="auto"/>
      </w:divBdr>
    </w:div>
    <w:div w:id="861239613">
      <w:bodyDiv w:val="1"/>
      <w:marLeft w:val="0"/>
      <w:marRight w:val="0"/>
      <w:marTop w:val="0"/>
      <w:marBottom w:val="0"/>
      <w:divBdr>
        <w:top w:val="none" w:sz="0" w:space="0" w:color="auto"/>
        <w:left w:val="none" w:sz="0" w:space="0" w:color="auto"/>
        <w:bottom w:val="none" w:sz="0" w:space="0" w:color="auto"/>
        <w:right w:val="none" w:sz="0" w:space="0" w:color="auto"/>
      </w:divBdr>
    </w:div>
    <w:div w:id="913203135">
      <w:bodyDiv w:val="1"/>
      <w:marLeft w:val="0"/>
      <w:marRight w:val="0"/>
      <w:marTop w:val="0"/>
      <w:marBottom w:val="0"/>
      <w:divBdr>
        <w:top w:val="none" w:sz="0" w:space="0" w:color="auto"/>
        <w:left w:val="none" w:sz="0" w:space="0" w:color="auto"/>
        <w:bottom w:val="none" w:sz="0" w:space="0" w:color="auto"/>
        <w:right w:val="none" w:sz="0" w:space="0" w:color="auto"/>
      </w:divBdr>
    </w:div>
    <w:div w:id="9843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er.gov.au/node/188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mailto:AERInquiry@aer.gov.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er.gov.au/node/18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1060-1940-43B3-BA2C-46BB375F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27E5DB00.dotm</Template>
  <TotalTime>6</TotalTime>
  <Pages>58</Pages>
  <Words>20435</Words>
  <Characters>116486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136648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category analysis RIN - TNSPs</dc:title>
  <dc:subject/>
  <dc:creator>AER</dc:creator>
  <cp:keywords/>
  <dc:description/>
  <cp:lastModifiedBy>Le Cornu, Matthew</cp:lastModifiedBy>
  <cp:revision>3</cp:revision>
  <cp:lastPrinted>2014-03-24T23:35:00Z</cp:lastPrinted>
  <dcterms:created xsi:type="dcterms:W3CDTF">2014-03-24T23:30:00Z</dcterms:created>
  <dcterms:modified xsi:type="dcterms:W3CDTF">2014-03-25T23:35:00Z</dcterms:modified>
</cp:coreProperties>
</file>