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1E0E2B" w:rsidP="00824CC8">
      <w:pPr>
        <w:pStyle w:val="AERbodytextindent1"/>
        <w:rPr>
          <w:rStyle w:val="AERtextsize8"/>
        </w:rPr>
      </w:pPr>
      <w:bookmarkStart w:id="0" w:name="_GoBack"/>
      <w:bookmarkEnd w:id="0"/>
      <w:r w:rsidRPr="001E0E2B">
        <w:rPr>
          <w:noProof/>
          <w:lang w:eastAsia="en-AU"/>
        </w:rPr>
        <w:drawing>
          <wp:anchor distT="0" distB="0" distL="114300" distR="114300" simplePos="0" relativeHeight="251663360" behindDoc="1" locked="0" layoutInCell="1" allowOverlap="1" wp14:anchorId="76C6103A" wp14:editId="276989AB">
            <wp:simplePos x="0" y="0"/>
            <wp:positionH relativeFrom="column">
              <wp:posOffset>-933315</wp:posOffset>
            </wp:positionH>
            <wp:positionV relativeFrom="paragraph">
              <wp:posOffset>-904875</wp:posOffset>
            </wp:positionV>
            <wp:extent cx="7638144" cy="107918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638144" cy="10791825"/>
                    </a:xfrm>
                    <a:prstGeom prst="rect">
                      <a:avLst/>
                    </a:prstGeom>
                    <a:noFill/>
                    <a:ln w="9525">
                      <a:noFill/>
                      <a:miter lim="800000"/>
                      <a:headEnd/>
                      <a:tailEnd/>
                    </a:ln>
                  </pic:spPr>
                </pic:pic>
              </a:graphicData>
            </a:graphic>
            <wp14:sizeRelH relativeFrom="margin">
              <wp14:pctWidth>0</wp14:pctWidth>
            </wp14:sizeRelH>
          </wp:anchor>
        </w:drawing>
      </w:r>
      <w:r w:rsidR="00CC49D4" w:rsidRPr="00824CC8">
        <w:rPr>
          <w:noProof/>
          <w:lang w:eastAsia="en-AU"/>
        </w:rPr>
        <w:drawing>
          <wp:anchor distT="0" distB="0" distL="114300" distR="114300" simplePos="0" relativeHeight="251661312" behindDoc="1" locked="0" layoutInCell="1" allowOverlap="1" wp14:anchorId="13541132" wp14:editId="1B2472DF">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1E0E2B" w:rsidRDefault="001E0E2B" w:rsidP="000A1CC2">
      <w:pPr>
        <w:pStyle w:val="AERtitle1"/>
      </w:pPr>
    </w:p>
    <w:p w:rsidR="001E0E2B" w:rsidRDefault="001E0E2B" w:rsidP="000A1CC2">
      <w:pPr>
        <w:pStyle w:val="AERtitle1"/>
      </w:pPr>
    </w:p>
    <w:p w:rsidR="001E0E2B" w:rsidRDefault="001E0E2B" w:rsidP="000A1CC2">
      <w:pPr>
        <w:pStyle w:val="AERtitle1"/>
      </w:pPr>
    </w:p>
    <w:p w:rsidR="009658F0" w:rsidRDefault="00441779" w:rsidP="000A1CC2">
      <w:pPr>
        <w:pStyle w:val="AERtitle1"/>
      </w:pPr>
      <w:r>
        <w:t>Final</w:t>
      </w:r>
      <w:r w:rsidR="00D41DF2">
        <w:t xml:space="preserve"> decision</w:t>
      </w:r>
    </w:p>
    <w:p w:rsidR="00D41DF2" w:rsidRDefault="00D41DF2" w:rsidP="000A1CC2">
      <w:pPr>
        <w:pStyle w:val="AERtitle1"/>
      </w:pPr>
      <w:r>
        <w:t>SP AusNet</w:t>
      </w:r>
    </w:p>
    <w:p w:rsidR="000A1CC2" w:rsidRDefault="00D41DF2" w:rsidP="000A1CC2">
      <w:pPr>
        <w:pStyle w:val="AERtitle1"/>
      </w:pPr>
      <w:r>
        <w:t>AMI remote services charges 2014</w:t>
      </w:r>
      <w:r w:rsidR="00695A1D">
        <w:t xml:space="preserve"> and 2015</w:t>
      </w:r>
    </w:p>
    <w:p w:rsidR="00D41DF2" w:rsidRDefault="00D41DF2" w:rsidP="000A1CC2">
      <w:pPr>
        <w:pStyle w:val="AERtitle1"/>
      </w:pPr>
      <w:r>
        <w:t>Review under ESCV Guideline 14</w:t>
      </w:r>
    </w:p>
    <w:p w:rsidR="000A1CC2" w:rsidRDefault="000A1CC2" w:rsidP="000A1CC2">
      <w:pPr>
        <w:pStyle w:val="AERtitle1"/>
      </w:pPr>
    </w:p>
    <w:p w:rsidR="00AF3E95" w:rsidRDefault="00441779" w:rsidP="000B15CA">
      <w:pPr>
        <w:pStyle w:val="AERtitle2"/>
      </w:pPr>
      <w:r>
        <w:t>29 November</w:t>
      </w:r>
      <w:r w:rsidR="00D41DF2">
        <w:t xml:space="preserve"> 2013</w:t>
      </w:r>
    </w:p>
    <w:p w:rsidR="000B15CA" w:rsidRDefault="000B15CA" w:rsidP="000B15CA">
      <w:pPr>
        <w:pStyle w:val="AERtitle2"/>
      </w:pPr>
    </w:p>
    <w:p w:rsidR="000B15CA" w:rsidRDefault="000B15CA" w:rsidP="000B15CA">
      <w:pPr>
        <w:pStyle w:val="AERtitle2"/>
      </w:pPr>
    </w:p>
    <w:p w:rsidR="000B15CA" w:rsidRDefault="000B15CA" w:rsidP="000B15CA">
      <w:pPr>
        <w:pStyle w:val="AERtitle2"/>
      </w:pPr>
    </w:p>
    <w:p w:rsidR="004E73F7" w:rsidRDefault="004E73F7" w:rsidP="00F97CD9">
      <w:pPr>
        <w:pStyle w:val="AERbodytextnospace"/>
        <w:numPr>
          <w:ilvl w:val="0"/>
          <w:numId w:val="13"/>
        </w:numPr>
      </w:pPr>
    </w:p>
    <w:p w:rsidR="000B15CA" w:rsidRDefault="000B15CA" w:rsidP="00F97CD9">
      <w:pPr>
        <w:pStyle w:val="AERbodytextnospace"/>
        <w:numPr>
          <w:ilvl w:val="0"/>
          <w:numId w:val="13"/>
        </w:numPr>
      </w:pPr>
    </w:p>
    <w:p w:rsidR="00CC49D4" w:rsidRPr="00412D01" w:rsidRDefault="00CC49D4" w:rsidP="00CC49D4"/>
    <w:p w:rsidR="00333353" w:rsidRDefault="00333353" w:rsidP="00333353">
      <w:pPr>
        <w:pStyle w:val="AERbodytextnospace"/>
        <w:numPr>
          <w:ilvl w:val="0"/>
          <w:numId w:val="13"/>
        </w:numPr>
        <w:rPr>
          <w:rStyle w:val="AERtextbold"/>
        </w:rPr>
      </w:pPr>
      <w:bookmarkStart w:id="1" w:name="_Toc360023682"/>
      <w:bookmarkStart w:id="2" w:name="_Toc360024843"/>
    </w:p>
    <w:p w:rsidR="00333353" w:rsidRDefault="00333353" w:rsidP="00333353">
      <w:pPr>
        <w:pStyle w:val="AERbodytextnospace"/>
        <w:numPr>
          <w:ilvl w:val="0"/>
          <w:numId w:val="13"/>
        </w:numPr>
        <w:rPr>
          <w:rStyle w:val="AERtextbold"/>
        </w:rPr>
      </w:pPr>
    </w:p>
    <w:p w:rsidR="00333353" w:rsidRDefault="00333353" w:rsidP="00333353">
      <w:pPr>
        <w:pStyle w:val="AERbodytextnospace"/>
        <w:numPr>
          <w:ilvl w:val="0"/>
          <w:numId w:val="13"/>
        </w:numPr>
        <w:rPr>
          <w:rStyle w:val="AERtextbold"/>
        </w:rPr>
      </w:pPr>
    </w:p>
    <w:p w:rsidR="00333353" w:rsidRDefault="00333353" w:rsidP="00333353">
      <w:pPr>
        <w:pStyle w:val="AERbodytextnospace"/>
        <w:numPr>
          <w:ilvl w:val="0"/>
          <w:numId w:val="13"/>
        </w:numPr>
        <w:rPr>
          <w:rStyle w:val="AERtextbold"/>
        </w:rPr>
      </w:pPr>
    </w:p>
    <w:p w:rsidR="00333353" w:rsidRDefault="00333353" w:rsidP="00333353">
      <w:pPr>
        <w:pStyle w:val="AERbodytextnospace"/>
        <w:numPr>
          <w:ilvl w:val="0"/>
          <w:numId w:val="13"/>
        </w:numPr>
        <w:rPr>
          <w:rStyle w:val="AERtextbold"/>
        </w:rPr>
      </w:pPr>
    </w:p>
    <w:p w:rsidR="00333353" w:rsidRDefault="00333353" w:rsidP="00333353">
      <w:pPr>
        <w:pStyle w:val="AERbodytextnospace"/>
        <w:numPr>
          <w:ilvl w:val="0"/>
          <w:numId w:val="13"/>
        </w:numPr>
        <w:rPr>
          <w:rStyle w:val="AERtextbold"/>
        </w:rPr>
      </w:pPr>
    </w:p>
    <w:p w:rsidR="00333353" w:rsidRPr="00333353" w:rsidRDefault="00333353" w:rsidP="00333353">
      <w:pPr>
        <w:pStyle w:val="AERbodytextnospace"/>
        <w:numPr>
          <w:ilvl w:val="0"/>
          <w:numId w:val="13"/>
        </w:numPr>
        <w:rPr>
          <w:rStyle w:val="AERtextbold"/>
        </w:rPr>
      </w:pPr>
      <w:r w:rsidRPr="00333353">
        <w:rPr>
          <w:rStyle w:val="AERtextbold"/>
        </w:rPr>
        <w:t>© Commonwealth of Australia 2013</w:t>
      </w:r>
    </w:p>
    <w:p w:rsidR="00333353" w:rsidRPr="00333353" w:rsidRDefault="00333353" w:rsidP="00333353">
      <w:r w:rsidRPr="00333353">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333353" w:rsidRPr="00333353" w:rsidRDefault="00333353" w:rsidP="00333353">
      <w:r w:rsidRPr="00333353">
        <w:t>Inquiries about this document should be addressed to:</w:t>
      </w:r>
    </w:p>
    <w:p w:rsidR="00333353" w:rsidRPr="00333353" w:rsidRDefault="00333353" w:rsidP="00333353">
      <w:pPr>
        <w:pStyle w:val="AERbodytextnospace"/>
        <w:numPr>
          <w:ilvl w:val="0"/>
          <w:numId w:val="13"/>
        </w:numPr>
      </w:pPr>
      <w:r w:rsidRPr="00333353">
        <w:t>Australian Energy Regulator</w:t>
      </w:r>
    </w:p>
    <w:p w:rsidR="00333353" w:rsidRPr="00333353" w:rsidRDefault="00333353" w:rsidP="00333353">
      <w:pPr>
        <w:pStyle w:val="AERbodytextnospace"/>
        <w:numPr>
          <w:ilvl w:val="0"/>
          <w:numId w:val="13"/>
        </w:numPr>
      </w:pPr>
      <w:r w:rsidRPr="00333353">
        <w:t>GPO Box 520</w:t>
      </w:r>
    </w:p>
    <w:p w:rsidR="00333353" w:rsidRPr="00333353" w:rsidRDefault="00333353" w:rsidP="00333353">
      <w:pPr>
        <w:pStyle w:val="AERbodytextnospace"/>
        <w:numPr>
          <w:ilvl w:val="0"/>
          <w:numId w:val="13"/>
        </w:numPr>
      </w:pPr>
      <w:r w:rsidRPr="00333353">
        <w:t>Melbourne  Vic  3001</w:t>
      </w:r>
    </w:p>
    <w:p w:rsidR="00333353" w:rsidRPr="00333353" w:rsidRDefault="00333353" w:rsidP="00333353">
      <w:pPr>
        <w:pStyle w:val="AERbodytextnospace"/>
        <w:numPr>
          <w:ilvl w:val="0"/>
          <w:numId w:val="13"/>
        </w:numPr>
      </w:pPr>
      <w:r w:rsidRPr="00333353">
        <w:t>Tel: (03) 9290 1444</w:t>
      </w:r>
    </w:p>
    <w:p w:rsidR="00333353" w:rsidRPr="00333353" w:rsidRDefault="00333353" w:rsidP="00333353">
      <w:pPr>
        <w:pStyle w:val="AERbodytextnospace"/>
        <w:numPr>
          <w:ilvl w:val="0"/>
          <w:numId w:val="13"/>
        </w:numPr>
      </w:pPr>
      <w:r w:rsidRPr="00333353">
        <w:t>Fax: (03) 9290 1457</w:t>
      </w:r>
    </w:p>
    <w:p w:rsidR="00333353" w:rsidRPr="00333353" w:rsidRDefault="00333353" w:rsidP="00333353">
      <w:pPr>
        <w:pStyle w:val="AERbodytextnospace"/>
        <w:numPr>
          <w:ilvl w:val="0"/>
          <w:numId w:val="13"/>
        </w:numPr>
      </w:pPr>
      <w:r w:rsidRPr="00333353">
        <w:t xml:space="preserve">Email: </w:t>
      </w:r>
      <w:hyperlink r:id="rId11" w:history="1">
        <w:r w:rsidRPr="00333353">
          <w:rPr>
            <w:rStyle w:val="Hyperlink"/>
          </w:rPr>
          <w:t>AERInquiry@aer.gov.au</w:t>
        </w:r>
      </w:hyperlink>
    </w:p>
    <w:p w:rsidR="00333353" w:rsidRPr="00333353" w:rsidRDefault="00333353" w:rsidP="00333353"/>
    <w:p w:rsidR="00333353" w:rsidRPr="00333353" w:rsidRDefault="00333353" w:rsidP="00333353">
      <w:r>
        <w:t>AER reference:   521</w:t>
      </w:r>
      <w:r w:rsidR="00B633A8">
        <w:t>83</w:t>
      </w:r>
    </w:p>
    <w:p w:rsidR="00AF3E95" w:rsidRDefault="00AF3E95" w:rsidP="00F97CD9">
      <w:pPr>
        <w:pStyle w:val="UnnumberedHeading"/>
        <w:numPr>
          <w:ilvl w:val="0"/>
          <w:numId w:val="2"/>
        </w:numPr>
      </w:pPr>
      <w:bookmarkStart w:id="3" w:name="_Toc372726853"/>
      <w:r>
        <w:lastRenderedPageBreak/>
        <w:t>Contents</w:t>
      </w:r>
      <w:bookmarkEnd w:id="1"/>
      <w:bookmarkEnd w:id="2"/>
      <w:bookmarkEnd w:id="3"/>
    </w:p>
    <w:p w:rsidR="00011046"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2726853" w:history="1">
        <w:r w:rsidR="00011046" w:rsidRPr="00910B30">
          <w:rPr>
            <w:rStyle w:val="Hyperlink"/>
            <w:noProof/>
          </w:rPr>
          <w:t>Contents</w:t>
        </w:r>
        <w:r w:rsidR="00011046">
          <w:rPr>
            <w:noProof/>
            <w:webHidden/>
          </w:rPr>
          <w:tab/>
        </w:r>
        <w:r w:rsidR="00011046">
          <w:rPr>
            <w:noProof/>
            <w:webHidden/>
          </w:rPr>
          <w:fldChar w:fldCharType="begin"/>
        </w:r>
        <w:r w:rsidR="00011046">
          <w:rPr>
            <w:noProof/>
            <w:webHidden/>
          </w:rPr>
          <w:instrText xml:space="preserve"> PAGEREF _Toc372726853 \h </w:instrText>
        </w:r>
        <w:r w:rsidR="00011046">
          <w:rPr>
            <w:noProof/>
            <w:webHidden/>
          </w:rPr>
        </w:r>
        <w:r w:rsidR="00011046">
          <w:rPr>
            <w:noProof/>
            <w:webHidden/>
          </w:rPr>
          <w:fldChar w:fldCharType="separate"/>
        </w:r>
        <w:r w:rsidR="00011046">
          <w:rPr>
            <w:noProof/>
            <w:webHidden/>
          </w:rPr>
          <w:t>3</w:t>
        </w:r>
        <w:r w:rsidR="00011046">
          <w:rPr>
            <w:noProof/>
            <w:webHidden/>
          </w:rPr>
          <w:fldChar w:fldCharType="end"/>
        </w:r>
      </w:hyperlink>
    </w:p>
    <w:p w:rsidR="00011046" w:rsidRDefault="00041826">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726854" w:history="1">
        <w:r w:rsidR="00011046" w:rsidRPr="00910B30">
          <w:rPr>
            <w:rStyle w:val="Hyperlink"/>
            <w:noProof/>
          </w:rPr>
          <w:t>Consultation</w:t>
        </w:r>
        <w:r w:rsidR="00011046">
          <w:rPr>
            <w:noProof/>
            <w:webHidden/>
          </w:rPr>
          <w:tab/>
        </w:r>
        <w:r w:rsidR="00011046">
          <w:rPr>
            <w:noProof/>
            <w:webHidden/>
          </w:rPr>
          <w:fldChar w:fldCharType="begin"/>
        </w:r>
        <w:r w:rsidR="00011046">
          <w:rPr>
            <w:noProof/>
            <w:webHidden/>
          </w:rPr>
          <w:instrText xml:space="preserve"> PAGEREF _Toc372726854 \h </w:instrText>
        </w:r>
        <w:r w:rsidR="00011046">
          <w:rPr>
            <w:noProof/>
            <w:webHidden/>
          </w:rPr>
        </w:r>
        <w:r w:rsidR="00011046">
          <w:rPr>
            <w:noProof/>
            <w:webHidden/>
          </w:rPr>
          <w:fldChar w:fldCharType="separate"/>
        </w:r>
        <w:r w:rsidR="00011046">
          <w:rPr>
            <w:noProof/>
            <w:webHidden/>
          </w:rPr>
          <w:t>4</w:t>
        </w:r>
        <w:r w:rsidR="00011046">
          <w:rPr>
            <w:noProof/>
            <w:webHidden/>
          </w:rPr>
          <w:fldChar w:fldCharType="end"/>
        </w:r>
      </w:hyperlink>
    </w:p>
    <w:p w:rsidR="00011046" w:rsidRDefault="00041826">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726855" w:history="1">
        <w:r w:rsidR="00011046" w:rsidRPr="00910B30">
          <w:rPr>
            <w:rStyle w:val="Hyperlink"/>
            <w:noProof/>
          </w:rPr>
          <w:t>Summary</w:t>
        </w:r>
        <w:r w:rsidR="00011046">
          <w:rPr>
            <w:noProof/>
            <w:webHidden/>
          </w:rPr>
          <w:tab/>
        </w:r>
        <w:r w:rsidR="00011046">
          <w:rPr>
            <w:noProof/>
            <w:webHidden/>
          </w:rPr>
          <w:fldChar w:fldCharType="begin"/>
        </w:r>
        <w:r w:rsidR="00011046">
          <w:rPr>
            <w:noProof/>
            <w:webHidden/>
          </w:rPr>
          <w:instrText xml:space="preserve"> PAGEREF _Toc372726855 \h </w:instrText>
        </w:r>
        <w:r w:rsidR="00011046">
          <w:rPr>
            <w:noProof/>
            <w:webHidden/>
          </w:rPr>
        </w:r>
        <w:r w:rsidR="00011046">
          <w:rPr>
            <w:noProof/>
            <w:webHidden/>
          </w:rPr>
          <w:fldChar w:fldCharType="separate"/>
        </w:r>
        <w:r w:rsidR="00011046">
          <w:rPr>
            <w:noProof/>
            <w:webHidden/>
          </w:rPr>
          <w:t>5</w:t>
        </w:r>
        <w:r w:rsidR="00011046">
          <w:rPr>
            <w:noProof/>
            <w:webHidden/>
          </w:rPr>
          <w:fldChar w:fldCharType="end"/>
        </w:r>
      </w:hyperlink>
    </w:p>
    <w:p w:rsidR="00011046" w:rsidRDefault="0004182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726856" w:history="1">
        <w:r w:rsidR="00011046" w:rsidRPr="00910B30">
          <w:rPr>
            <w:rStyle w:val="Hyperlink"/>
            <w:noProof/>
          </w:rPr>
          <w:t>1</w:t>
        </w:r>
        <w:r w:rsidR="00011046">
          <w:rPr>
            <w:rFonts w:asciiTheme="minorHAnsi" w:eastAsiaTheme="minorEastAsia" w:hAnsiTheme="minorHAnsi" w:cstheme="minorBidi"/>
            <w:b w:val="0"/>
            <w:bCs w:val="0"/>
            <w:noProof/>
            <w:sz w:val="22"/>
            <w:szCs w:val="22"/>
            <w:lang w:eastAsia="en-AU"/>
          </w:rPr>
          <w:tab/>
        </w:r>
        <w:r w:rsidR="00011046" w:rsidRPr="00910B30">
          <w:rPr>
            <w:rStyle w:val="Hyperlink"/>
            <w:noProof/>
          </w:rPr>
          <w:t>Introduction</w:t>
        </w:r>
        <w:r w:rsidR="00011046">
          <w:rPr>
            <w:noProof/>
            <w:webHidden/>
          </w:rPr>
          <w:tab/>
        </w:r>
        <w:r w:rsidR="00011046">
          <w:rPr>
            <w:noProof/>
            <w:webHidden/>
          </w:rPr>
          <w:fldChar w:fldCharType="begin"/>
        </w:r>
        <w:r w:rsidR="00011046">
          <w:rPr>
            <w:noProof/>
            <w:webHidden/>
          </w:rPr>
          <w:instrText xml:space="preserve"> PAGEREF _Toc372726856 \h </w:instrText>
        </w:r>
        <w:r w:rsidR="00011046">
          <w:rPr>
            <w:noProof/>
            <w:webHidden/>
          </w:rPr>
        </w:r>
        <w:r w:rsidR="00011046">
          <w:rPr>
            <w:noProof/>
            <w:webHidden/>
          </w:rPr>
          <w:fldChar w:fldCharType="separate"/>
        </w:r>
        <w:r w:rsidR="00011046">
          <w:rPr>
            <w:noProof/>
            <w:webHidden/>
          </w:rPr>
          <w:t>6</w:t>
        </w:r>
        <w:r w:rsidR="00011046">
          <w:rPr>
            <w:noProof/>
            <w:webHidden/>
          </w:rPr>
          <w:fldChar w:fldCharType="end"/>
        </w:r>
      </w:hyperlink>
    </w:p>
    <w:p w:rsidR="00011046" w:rsidRDefault="0004182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726857" w:history="1">
        <w:r w:rsidR="00011046" w:rsidRPr="00910B30">
          <w:rPr>
            <w:rStyle w:val="Hyperlink"/>
            <w:noProof/>
          </w:rPr>
          <w:t>2</w:t>
        </w:r>
        <w:r w:rsidR="00011046">
          <w:rPr>
            <w:rFonts w:asciiTheme="minorHAnsi" w:eastAsiaTheme="minorEastAsia" w:hAnsiTheme="minorHAnsi" w:cstheme="minorBidi"/>
            <w:b w:val="0"/>
            <w:bCs w:val="0"/>
            <w:noProof/>
            <w:sz w:val="22"/>
            <w:szCs w:val="22"/>
            <w:lang w:eastAsia="en-AU"/>
          </w:rPr>
          <w:tab/>
        </w:r>
        <w:r w:rsidR="00011046" w:rsidRPr="00910B30">
          <w:rPr>
            <w:rStyle w:val="Hyperlink"/>
            <w:noProof/>
          </w:rPr>
          <w:t>Guideline 14 requirements</w:t>
        </w:r>
        <w:r w:rsidR="00011046">
          <w:rPr>
            <w:noProof/>
            <w:webHidden/>
          </w:rPr>
          <w:tab/>
        </w:r>
        <w:r w:rsidR="00011046">
          <w:rPr>
            <w:noProof/>
            <w:webHidden/>
          </w:rPr>
          <w:fldChar w:fldCharType="begin"/>
        </w:r>
        <w:r w:rsidR="00011046">
          <w:rPr>
            <w:noProof/>
            <w:webHidden/>
          </w:rPr>
          <w:instrText xml:space="preserve"> PAGEREF _Toc372726857 \h </w:instrText>
        </w:r>
        <w:r w:rsidR="00011046">
          <w:rPr>
            <w:noProof/>
            <w:webHidden/>
          </w:rPr>
        </w:r>
        <w:r w:rsidR="00011046">
          <w:rPr>
            <w:noProof/>
            <w:webHidden/>
          </w:rPr>
          <w:fldChar w:fldCharType="separate"/>
        </w:r>
        <w:r w:rsidR="00011046">
          <w:rPr>
            <w:noProof/>
            <w:webHidden/>
          </w:rPr>
          <w:t>8</w:t>
        </w:r>
        <w:r w:rsidR="00011046">
          <w:rPr>
            <w:noProof/>
            <w:webHidden/>
          </w:rPr>
          <w:fldChar w:fldCharType="end"/>
        </w:r>
      </w:hyperlink>
    </w:p>
    <w:p w:rsidR="00011046" w:rsidRDefault="0004182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726858" w:history="1">
        <w:r w:rsidR="00011046" w:rsidRPr="00910B30">
          <w:rPr>
            <w:rStyle w:val="Hyperlink"/>
            <w:noProof/>
          </w:rPr>
          <w:t>3</w:t>
        </w:r>
        <w:r w:rsidR="00011046">
          <w:rPr>
            <w:rFonts w:asciiTheme="minorHAnsi" w:eastAsiaTheme="minorEastAsia" w:hAnsiTheme="minorHAnsi" w:cstheme="minorBidi"/>
            <w:b w:val="0"/>
            <w:bCs w:val="0"/>
            <w:noProof/>
            <w:sz w:val="22"/>
            <w:szCs w:val="22"/>
            <w:lang w:eastAsia="en-AU"/>
          </w:rPr>
          <w:tab/>
        </w:r>
        <w:r w:rsidR="00011046" w:rsidRPr="00910B30">
          <w:rPr>
            <w:rStyle w:val="Hyperlink"/>
            <w:noProof/>
          </w:rPr>
          <w:t>SP AusNet's proposal</w:t>
        </w:r>
        <w:r w:rsidR="00011046">
          <w:rPr>
            <w:noProof/>
            <w:webHidden/>
          </w:rPr>
          <w:tab/>
        </w:r>
        <w:r w:rsidR="00011046">
          <w:rPr>
            <w:noProof/>
            <w:webHidden/>
          </w:rPr>
          <w:fldChar w:fldCharType="begin"/>
        </w:r>
        <w:r w:rsidR="00011046">
          <w:rPr>
            <w:noProof/>
            <w:webHidden/>
          </w:rPr>
          <w:instrText xml:space="preserve"> PAGEREF _Toc372726858 \h </w:instrText>
        </w:r>
        <w:r w:rsidR="00011046">
          <w:rPr>
            <w:noProof/>
            <w:webHidden/>
          </w:rPr>
        </w:r>
        <w:r w:rsidR="00011046">
          <w:rPr>
            <w:noProof/>
            <w:webHidden/>
          </w:rPr>
          <w:fldChar w:fldCharType="separate"/>
        </w:r>
        <w:r w:rsidR="00011046">
          <w:rPr>
            <w:noProof/>
            <w:webHidden/>
          </w:rPr>
          <w:t>9</w:t>
        </w:r>
        <w:r w:rsidR="00011046">
          <w:rPr>
            <w:noProof/>
            <w:webHidden/>
          </w:rPr>
          <w:fldChar w:fldCharType="end"/>
        </w:r>
      </w:hyperlink>
    </w:p>
    <w:p w:rsidR="00011046" w:rsidRDefault="0004182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726859" w:history="1">
        <w:r w:rsidR="00011046" w:rsidRPr="00910B30">
          <w:rPr>
            <w:rStyle w:val="Hyperlink"/>
            <w:noProof/>
          </w:rPr>
          <w:t>4</w:t>
        </w:r>
        <w:r w:rsidR="00011046">
          <w:rPr>
            <w:rFonts w:asciiTheme="minorHAnsi" w:eastAsiaTheme="minorEastAsia" w:hAnsiTheme="minorHAnsi" w:cstheme="minorBidi"/>
            <w:b w:val="0"/>
            <w:bCs w:val="0"/>
            <w:noProof/>
            <w:sz w:val="22"/>
            <w:szCs w:val="22"/>
            <w:lang w:eastAsia="en-AU"/>
          </w:rPr>
          <w:tab/>
        </w:r>
        <w:r w:rsidR="00011046" w:rsidRPr="00910B30">
          <w:rPr>
            <w:rStyle w:val="Hyperlink"/>
            <w:noProof/>
          </w:rPr>
          <w:t>AER issues and considerations</w:t>
        </w:r>
        <w:r w:rsidR="00011046">
          <w:rPr>
            <w:noProof/>
            <w:webHidden/>
          </w:rPr>
          <w:tab/>
        </w:r>
        <w:r w:rsidR="00011046">
          <w:rPr>
            <w:noProof/>
            <w:webHidden/>
          </w:rPr>
          <w:fldChar w:fldCharType="begin"/>
        </w:r>
        <w:r w:rsidR="00011046">
          <w:rPr>
            <w:noProof/>
            <w:webHidden/>
          </w:rPr>
          <w:instrText xml:space="preserve"> PAGEREF _Toc372726859 \h </w:instrText>
        </w:r>
        <w:r w:rsidR="00011046">
          <w:rPr>
            <w:noProof/>
            <w:webHidden/>
          </w:rPr>
        </w:r>
        <w:r w:rsidR="00011046">
          <w:rPr>
            <w:noProof/>
            <w:webHidden/>
          </w:rPr>
          <w:fldChar w:fldCharType="separate"/>
        </w:r>
        <w:r w:rsidR="00011046">
          <w:rPr>
            <w:noProof/>
            <w:webHidden/>
          </w:rPr>
          <w:t>11</w:t>
        </w:r>
        <w:r w:rsidR="00011046">
          <w:rPr>
            <w:noProof/>
            <w:webHidden/>
          </w:rPr>
          <w:fldChar w:fldCharType="end"/>
        </w:r>
      </w:hyperlink>
    </w:p>
    <w:p w:rsidR="00011046" w:rsidRDefault="0004182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726860" w:history="1">
        <w:r w:rsidR="00011046" w:rsidRPr="00910B30">
          <w:rPr>
            <w:rStyle w:val="Hyperlink"/>
            <w:noProof/>
          </w:rPr>
          <w:t>4.1</w:t>
        </w:r>
        <w:r w:rsidR="00011046">
          <w:rPr>
            <w:rFonts w:asciiTheme="minorHAnsi" w:eastAsiaTheme="minorEastAsia" w:hAnsiTheme="minorHAnsi" w:cstheme="minorBidi"/>
            <w:iCs w:val="0"/>
            <w:noProof/>
            <w:sz w:val="22"/>
            <w:szCs w:val="22"/>
            <w:lang w:eastAsia="en-AU"/>
          </w:rPr>
          <w:tab/>
        </w:r>
        <w:r w:rsidR="00011046" w:rsidRPr="00910B30">
          <w:rPr>
            <w:rStyle w:val="Hyperlink"/>
            <w:noProof/>
          </w:rPr>
          <w:t>Statement of proposed charges</w:t>
        </w:r>
        <w:r w:rsidR="00011046">
          <w:rPr>
            <w:noProof/>
            <w:webHidden/>
          </w:rPr>
          <w:tab/>
        </w:r>
        <w:r w:rsidR="00011046">
          <w:rPr>
            <w:noProof/>
            <w:webHidden/>
          </w:rPr>
          <w:fldChar w:fldCharType="begin"/>
        </w:r>
        <w:r w:rsidR="00011046">
          <w:rPr>
            <w:noProof/>
            <w:webHidden/>
          </w:rPr>
          <w:instrText xml:space="preserve"> PAGEREF _Toc372726860 \h </w:instrText>
        </w:r>
        <w:r w:rsidR="00011046">
          <w:rPr>
            <w:noProof/>
            <w:webHidden/>
          </w:rPr>
        </w:r>
        <w:r w:rsidR="00011046">
          <w:rPr>
            <w:noProof/>
            <w:webHidden/>
          </w:rPr>
          <w:fldChar w:fldCharType="separate"/>
        </w:r>
        <w:r w:rsidR="00011046">
          <w:rPr>
            <w:noProof/>
            <w:webHidden/>
          </w:rPr>
          <w:t>11</w:t>
        </w:r>
        <w:r w:rsidR="00011046">
          <w:rPr>
            <w:noProof/>
            <w:webHidden/>
          </w:rPr>
          <w:fldChar w:fldCharType="end"/>
        </w:r>
      </w:hyperlink>
    </w:p>
    <w:p w:rsidR="00011046" w:rsidRDefault="0004182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726861" w:history="1">
        <w:r w:rsidR="00011046" w:rsidRPr="00910B30">
          <w:rPr>
            <w:rStyle w:val="Hyperlink"/>
            <w:noProof/>
          </w:rPr>
          <w:t>4.2</w:t>
        </w:r>
        <w:r w:rsidR="00011046">
          <w:rPr>
            <w:rFonts w:asciiTheme="minorHAnsi" w:eastAsiaTheme="minorEastAsia" w:hAnsiTheme="minorHAnsi" w:cstheme="minorBidi"/>
            <w:iCs w:val="0"/>
            <w:noProof/>
            <w:sz w:val="22"/>
            <w:szCs w:val="22"/>
            <w:lang w:eastAsia="en-AU"/>
          </w:rPr>
          <w:tab/>
        </w:r>
        <w:r w:rsidR="00011046" w:rsidRPr="00910B30">
          <w:rPr>
            <w:rStyle w:val="Hyperlink"/>
            <w:noProof/>
          </w:rPr>
          <w:t>Cost of service provision</w:t>
        </w:r>
        <w:r w:rsidR="00011046">
          <w:rPr>
            <w:noProof/>
            <w:webHidden/>
          </w:rPr>
          <w:tab/>
        </w:r>
        <w:r w:rsidR="00011046">
          <w:rPr>
            <w:noProof/>
            <w:webHidden/>
          </w:rPr>
          <w:fldChar w:fldCharType="begin"/>
        </w:r>
        <w:r w:rsidR="00011046">
          <w:rPr>
            <w:noProof/>
            <w:webHidden/>
          </w:rPr>
          <w:instrText xml:space="preserve"> PAGEREF _Toc372726861 \h </w:instrText>
        </w:r>
        <w:r w:rsidR="00011046">
          <w:rPr>
            <w:noProof/>
            <w:webHidden/>
          </w:rPr>
        </w:r>
        <w:r w:rsidR="00011046">
          <w:rPr>
            <w:noProof/>
            <w:webHidden/>
          </w:rPr>
          <w:fldChar w:fldCharType="separate"/>
        </w:r>
        <w:r w:rsidR="00011046">
          <w:rPr>
            <w:noProof/>
            <w:webHidden/>
          </w:rPr>
          <w:t>11</w:t>
        </w:r>
        <w:r w:rsidR="00011046">
          <w:rPr>
            <w:noProof/>
            <w:webHidden/>
          </w:rPr>
          <w:fldChar w:fldCharType="end"/>
        </w:r>
      </w:hyperlink>
    </w:p>
    <w:p w:rsidR="00011046" w:rsidRDefault="0004182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726862" w:history="1">
        <w:r w:rsidR="00011046" w:rsidRPr="00910B30">
          <w:rPr>
            <w:rStyle w:val="Hyperlink"/>
            <w:noProof/>
          </w:rPr>
          <w:t>4.3</w:t>
        </w:r>
        <w:r w:rsidR="00011046">
          <w:rPr>
            <w:rFonts w:asciiTheme="minorHAnsi" w:eastAsiaTheme="minorEastAsia" w:hAnsiTheme="minorHAnsi" w:cstheme="minorBidi"/>
            <w:iCs w:val="0"/>
            <w:noProof/>
            <w:sz w:val="22"/>
            <w:szCs w:val="22"/>
            <w:lang w:eastAsia="en-AU"/>
          </w:rPr>
          <w:tab/>
        </w:r>
        <w:r w:rsidR="00011046" w:rsidRPr="00910B30">
          <w:rPr>
            <w:rStyle w:val="Hyperlink"/>
            <w:noProof/>
          </w:rPr>
          <w:t>Cost allocation</w:t>
        </w:r>
        <w:r w:rsidR="00011046">
          <w:rPr>
            <w:noProof/>
            <w:webHidden/>
          </w:rPr>
          <w:tab/>
        </w:r>
        <w:r w:rsidR="00011046">
          <w:rPr>
            <w:noProof/>
            <w:webHidden/>
          </w:rPr>
          <w:fldChar w:fldCharType="begin"/>
        </w:r>
        <w:r w:rsidR="00011046">
          <w:rPr>
            <w:noProof/>
            <w:webHidden/>
          </w:rPr>
          <w:instrText xml:space="preserve"> PAGEREF _Toc372726862 \h </w:instrText>
        </w:r>
        <w:r w:rsidR="00011046">
          <w:rPr>
            <w:noProof/>
            <w:webHidden/>
          </w:rPr>
        </w:r>
        <w:r w:rsidR="00011046">
          <w:rPr>
            <w:noProof/>
            <w:webHidden/>
          </w:rPr>
          <w:fldChar w:fldCharType="separate"/>
        </w:r>
        <w:r w:rsidR="00011046">
          <w:rPr>
            <w:noProof/>
            <w:webHidden/>
          </w:rPr>
          <w:t>14</w:t>
        </w:r>
        <w:r w:rsidR="00011046">
          <w:rPr>
            <w:noProof/>
            <w:webHidden/>
          </w:rPr>
          <w:fldChar w:fldCharType="end"/>
        </w:r>
      </w:hyperlink>
    </w:p>
    <w:p w:rsidR="00011046" w:rsidRDefault="0004182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726863" w:history="1">
        <w:r w:rsidR="00011046" w:rsidRPr="00910B30">
          <w:rPr>
            <w:rStyle w:val="Hyperlink"/>
            <w:noProof/>
          </w:rPr>
          <w:t>4.4</w:t>
        </w:r>
        <w:r w:rsidR="00011046">
          <w:rPr>
            <w:rFonts w:asciiTheme="minorHAnsi" w:eastAsiaTheme="minorEastAsia" w:hAnsiTheme="minorHAnsi" w:cstheme="minorBidi"/>
            <w:iCs w:val="0"/>
            <w:noProof/>
            <w:sz w:val="22"/>
            <w:szCs w:val="22"/>
            <w:lang w:eastAsia="en-AU"/>
          </w:rPr>
          <w:tab/>
        </w:r>
        <w:r w:rsidR="00011046" w:rsidRPr="00910B30">
          <w:rPr>
            <w:rStyle w:val="Hyperlink"/>
            <w:noProof/>
          </w:rPr>
          <w:t>Cost differentials</w:t>
        </w:r>
        <w:r w:rsidR="00011046">
          <w:rPr>
            <w:noProof/>
            <w:webHidden/>
          </w:rPr>
          <w:tab/>
        </w:r>
        <w:r w:rsidR="00011046">
          <w:rPr>
            <w:noProof/>
            <w:webHidden/>
          </w:rPr>
          <w:fldChar w:fldCharType="begin"/>
        </w:r>
        <w:r w:rsidR="00011046">
          <w:rPr>
            <w:noProof/>
            <w:webHidden/>
          </w:rPr>
          <w:instrText xml:space="preserve"> PAGEREF _Toc372726863 \h </w:instrText>
        </w:r>
        <w:r w:rsidR="00011046">
          <w:rPr>
            <w:noProof/>
            <w:webHidden/>
          </w:rPr>
        </w:r>
        <w:r w:rsidR="00011046">
          <w:rPr>
            <w:noProof/>
            <w:webHidden/>
          </w:rPr>
          <w:fldChar w:fldCharType="separate"/>
        </w:r>
        <w:r w:rsidR="00011046">
          <w:rPr>
            <w:noProof/>
            <w:webHidden/>
          </w:rPr>
          <w:t>14</w:t>
        </w:r>
        <w:r w:rsidR="00011046">
          <w:rPr>
            <w:noProof/>
            <w:webHidden/>
          </w:rPr>
          <w:fldChar w:fldCharType="end"/>
        </w:r>
      </w:hyperlink>
    </w:p>
    <w:p w:rsidR="00011046" w:rsidRDefault="0004182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726864" w:history="1">
        <w:r w:rsidR="00011046" w:rsidRPr="00910B30">
          <w:rPr>
            <w:rStyle w:val="Hyperlink"/>
            <w:noProof/>
          </w:rPr>
          <w:t>4.5</w:t>
        </w:r>
        <w:r w:rsidR="00011046">
          <w:rPr>
            <w:rFonts w:asciiTheme="minorHAnsi" w:eastAsiaTheme="minorEastAsia" w:hAnsiTheme="minorHAnsi" w:cstheme="minorBidi"/>
            <w:iCs w:val="0"/>
            <w:noProof/>
            <w:sz w:val="22"/>
            <w:szCs w:val="22"/>
            <w:lang w:eastAsia="en-AU"/>
          </w:rPr>
          <w:tab/>
        </w:r>
        <w:r w:rsidR="00011046" w:rsidRPr="00910B30">
          <w:rPr>
            <w:rStyle w:val="Hyperlink"/>
            <w:noProof/>
          </w:rPr>
          <w:t>Simplicity</w:t>
        </w:r>
        <w:r w:rsidR="00011046">
          <w:rPr>
            <w:noProof/>
            <w:webHidden/>
          </w:rPr>
          <w:tab/>
        </w:r>
        <w:r w:rsidR="00011046">
          <w:rPr>
            <w:noProof/>
            <w:webHidden/>
          </w:rPr>
          <w:fldChar w:fldCharType="begin"/>
        </w:r>
        <w:r w:rsidR="00011046">
          <w:rPr>
            <w:noProof/>
            <w:webHidden/>
          </w:rPr>
          <w:instrText xml:space="preserve"> PAGEREF _Toc372726864 \h </w:instrText>
        </w:r>
        <w:r w:rsidR="00011046">
          <w:rPr>
            <w:noProof/>
            <w:webHidden/>
          </w:rPr>
        </w:r>
        <w:r w:rsidR="00011046">
          <w:rPr>
            <w:noProof/>
            <w:webHidden/>
          </w:rPr>
          <w:fldChar w:fldCharType="separate"/>
        </w:r>
        <w:r w:rsidR="00011046">
          <w:rPr>
            <w:noProof/>
            <w:webHidden/>
          </w:rPr>
          <w:t>14</w:t>
        </w:r>
        <w:r w:rsidR="00011046">
          <w:rPr>
            <w:noProof/>
            <w:webHidden/>
          </w:rPr>
          <w:fldChar w:fldCharType="end"/>
        </w:r>
      </w:hyperlink>
    </w:p>
    <w:p w:rsidR="00011046" w:rsidRDefault="0004182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726865" w:history="1">
        <w:r w:rsidR="00011046" w:rsidRPr="00910B30">
          <w:rPr>
            <w:rStyle w:val="Hyperlink"/>
            <w:noProof/>
          </w:rPr>
          <w:t>5</w:t>
        </w:r>
        <w:r w:rsidR="00011046">
          <w:rPr>
            <w:rFonts w:asciiTheme="minorHAnsi" w:eastAsiaTheme="minorEastAsia" w:hAnsiTheme="minorHAnsi" w:cstheme="minorBidi"/>
            <w:b w:val="0"/>
            <w:bCs w:val="0"/>
            <w:noProof/>
            <w:sz w:val="22"/>
            <w:szCs w:val="22"/>
            <w:lang w:eastAsia="en-AU"/>
          </w:rPr>
          <w:tab/>
        </w:r>
        <w:r w:rsidR="00011046" w:rsidRPr="00910B30">
          <w:rPr>
            <w:rStyle w:val="Hyperlink"/>
            <w:noProof/>
          </w:rPr>
          <w:t>AER final decision</w:t>
        </w:r>
        <w:r w:rsidR="00011046">
          <w:rPr>
            <w:noProof/>
            <w:webHidden/>
          </w:rPr>
          <w:tab/>
        </w:r>
        <w:r w:rsidR="00011046">
          <w:rPr>
            <w:noProof/>
            <w:webHidden/>
          </w:rPr>
          <w:fldChar w:fldCharType="begin"/>
        </w:r>
        <w:r w:rsidR="00011046">
          <w:rPr>
            <w:noProof/>
            <w:webHidden/>
          </w:rPr>
          <w:instrText xml:space="preserve"> PAGEREF _Toc372726865 \h </w:instrText>
        </w:r>
        <w:r w:rsidR="00011046">
          <w:rPr>
            <w:noProof/>
            <w:webHidden/>
          </w:rPr>
        </w:r>
        <w:r w:rsidR="00011046">
          <w:rPr>
            <w:noProof/>
            <w:webHidden/>
          </w:rPr>
          <w:fldChar w:fldCharType="separate"/>
        </w:r>
        <w:r w:rsidR="00011046">
          <w:rPr>
            <w:noProof/>
            <w:webHidden/>
          </w:rPr>
          <w:t>16</w:t>
        </w:r>
        <w:r w:rsidR="00011046">
          <w:rPr>
            <w:noProof/>
            <w:webHidden/>
          </w:rPr>
          <w:fldChar w:fldCharType="end"/>
        </w:r>
      </w:hyperlink>
    </w:p>
    <w:p w:rsidR="00AF3E95" w:rsidRPr="00AF3E95" w:rsidRDefault="00824CC8" w:rsidP="00DF16C2">
      <w:pPr>
        <w:pStyle w:val="TOC1"/>
      </w:pPr>
      <w:r w:rsidRPr="00AC1B94">
        <w:fldChar w:fldCharType="end"/>
      </w:r>
    </w:p>
    <w:p w:rsidR="009F7CE4" w:rsidRDefault="009F7CE4" w:rsidP="00F97CD9">
      <w:pPr>
        <w:pStyle w:val="AERbodytext"/>
        <w:numPr>
          <w:ilvl w:val="0"/>
          <w:numId w:val="13"/>
        </w:numPr>
      </w:pPr>
    </w:p>
    <w:p w:rsidR="00EA4F1A" w:rsidRDefault="0057760F" w:rsidP="00EA4F1A">
      <w:pPr>
        <w:pStyle w:val="UnnumberedHeading"/>
      </w:pPr>
      <w:bookmarkStart w:id="4" w:name="_Toc372726854"/>
      <w:r>
        <w:lastRenderedPageBreak/>
        <w:t>Consultation</w:t>
      </w:r>
      <w:bookmarkEnd w:id="4"/>
    </w:p>
    <w:p w:rsidR="00EA4F1A" w:rsidRDefault="00EA4F1A" w:rsidP="00EA4F1A">
      <w:pPr>
        <w:pStyle w:val="AERbodytext"/>
        <w:numPr>
          <w:ilvl w:val="0"/>
          <w:numId w:val="13"/>
        </w:numPr>
      </w:pPr>
      <w:r w:rsidRPr="00EA4F1A">
        <w:t>This document sets out the Australian Energy Regulato</w:t>
      </w:r>
      <w:r>
        <w:t xml:space="preserve">r’s (AER) </w:t>
      </w:r>
      <w:r w:rsidR="0057760F">
        <w:t>final</w:t>
      </w:r>
      <w:r>
        <w:t xml:space="preserve"> decision on the </w:t>
      </w:r>
      <w:r w:rsidRPr="00EA4F1A">
        <w:t>regulation of advanced metering infrastructure (AM</w:t>
      </w:r>
      <w:r>
        <w:t xml:space="preserve">I) remote services in Victoria for SP AusNet. </w:t>
      </w:r>
    </w:p>
    <w:p w:rsidR="00D927D2" w:rsidRDefault="00EA4F1A" w:rsidP="00EA4F1A">
      <w:pPr>
        <w:pStyle w:val="AERbodytext"/>
        <w:numPr>
          <w:ilvl w:val="0"/>
          <w:numId w:val="13"/>
        </w:numPr>
      </w:pPr>
      <w:r w:rsidRPr="00EA4F1A">
        <w:t xml:space="preserve">This </w:t>
      </w:r>
      <w:r w:rsidR="00D927D2">
        <w:t>final</w:t>
      </w:r>
      <w:r w:rsidRPr="00EA4F1A">
        <w:t xml:space="preserve"> decision relates </w:t>
      </w:r>
      <w:r w:rsidR="00B536C5">
        <w:t>to SP AusNet's</w:t>
      </w:r>
      <w:r w:rsidR="00B536C5" w:rsidRPr="00EA4F1A">
        <w:t xml:space="preserve"> </w:t>
      </w:r>
      <w:r w:rsidRPr="00EA4F1A">
        <w:t>statement of</w:t>
      </w:r>
      <w:r>
        <w:t xml:space="preserve"> proposed charges and terms and </w:t>
      </w:r>
      <w:r w:rsidRPr="00EA4F1A">
        <w:t xml:space="preserve">conditions </w:t>
      </w:r>
      <w:r>
        <w:t xml:space="preserve">for the provision of </w:t>
      </w:r>
      <w:r w:rsidRPr="00EA4F1A">
        <w:t>AMI remote services. These c</w:t>
      </w:r>
      <w:r>
        <w:t xml:space="preserve">harges and terms and conditions </w:t>
      </w:r>
      <w:r w:rsidRPr="00EA4F1A">
        <w:t xml:space="preserve">will take effect </w:t>
      </w:r>
      <w:r>
        <w:t>in</w:t>
      </w:r>
      <w:r w:rsidRPr="00EA4F1A">
        <w:t xml:space="preserve"> the period 1 January 2014 to 31 December 2015</w:t>
      </w:r>
      <w:r>
        <w:t>.</w:t>
      </w:r>
    </w:p>
    <w:p w:rsidR="00EA4F1A" w:rsidRDefault="00D927D2" w:rsidP="00EA4F1A">
      <w:pPr>
        <w:pStyle w:val="AERbodytext"/>
        <w:numPr>
          <w:ilvl w:val="0"/>
          <w:numId w:val="13"/>
        </w:numPr>
      </w:pPr>
      <w:r>
        <w:t>The AER published its draft decision on 28 October 2013</w:t>
      </w:r>
      <w:r w:rsidR="003B56C1">
        <w:t xml:space="preserve"> which approved charges as submitted by SP AusNet and sought submissions, however none </w:t>
      </w:r>
      <w:r>
        <w:t>were received.</w:t>
      </w:r>
    </w:p>
    <w:p w:rsidR="006D69E1" w:rsidRDefault="00B536C5" w:rsidP="006D69E1">
      <w:pPr>
        <w:pStyle w:val="AERbodytext"/>
        <w:numPr>
          <w:ilvl w:val="0"/>
          <w:numId w:val="13"/>
        </w:numPr>
      </w:pPr>
      <w:r>
        <w:t xml:space="preserve">We note that </w:t>
      </w:r>
      <w:r w:rsidRPr="00EA4F1A">
        <w:t xml:space="preserve">CitiPower, Powercor, </w:t>
      </w:r>
      <w:r>
        <w:t xml:space="preserve">Jemena Electricity Networks and </w:t>
      </w:r>
      <w:r w:rsidRPr="00EA4F1A">
        <w:t>United Energy</w:t>
      </w:r>
      <w:r>
        <w:t xml:space="preserve"> already have charges in place</w:t>
      </w:r>
      <w:r w:rsidR="006D69E1">
        <w:t xml:space="preserve"> for AMI remote services. Those charges carry over and are set out in this decision.</w:t>
      </w:r>
      <w:r w:rsidR="005B52D0">
        <w:t xml:space="preserve"> </w:t>
      </w:r>
    </w:p>
    <w:p w:rsidR="00EA4F1A" w:rsidRDefault="00EA4F1A" w:rsidP="00EA4F1A">
      <w:pPr>
        <w:pStyle w:val="AERbodytext"/>
        <w:numPr>
          <w:ilvl w:val="0"/>
          <w:numId w:val="13"/>
        </w:numPr>
      </w:pPr>
      <w:r w:rsidRPr="00EA4F1A">
        <w:t xml:space="preserve">A copy of </w:t>
      </w:r>
      <w:r w:rsidR="0080638E">
        <w:t>SP AusNet's</w:t>
      </w:r>
      <w:r>
        <w:t xml:space="preserve"> statements </w:t>
      </w:r>
      <w:r w:rsidRPr="00EA4F1A">
        <w:t>of proposed charges and terms and conditions for A</w:t>
      </w:r>
      <w:r>
        <w:t>MI remote services</w:t>
      </w:r>
      <w:r w:rsidR="00D927D2">
        <w:t xml:space="preserve"> are</w:t>
      </w:r>
      <w:r w:rsidR="0080638E">
        <w:t xml:space="preserve"> </w:t>
      </w:r>
      <w:r>
        <w:t xml:space="preserve">available on the AER website </w:t>
      </w:r>
      <w:hyperlink r:id="rId12" w:history="1">
        <w:r w:rsidRPr="00AA34D5">
          <w:rPr>
            <w:rStyle w:val="Hyperlink"/>
          </w:rPr>
          <w:t>www.aer.gov.au</w:t>
        </w:r>
      </w:hyperlink>
      <w:r>
        <w:t>.</w:t>
      </w:r>
    </w:p>
    <w:p w:rsidR="00EA4F1A" w:rsidRPr="00EA4F1A" w:rsidRDefault="00EA4F1A" w:rsidP="00EA4F1A">
      <w:pPr>
        <w:pStyle w:val="AERbodytext"/>
        <w:numPr>
          <w:ilvl w:val="0"/>
          <w:numId w:val="13"/>
        </w:numPr>
      </w:pPr>
      <w:r w:rsidRPr="00EA4F1A">
        <w:t xml:space="preserve">Inquiries about the </w:t>
      </w:r>
      <w:r w:rsidR="00D927D2">
        <w:t>final</w:t>
      </w:r>
      <w:r w:rsidRPr="00EA4F1A">
        <w:t xml:space="preserve"> decision </w:t>
      </w:r>
      <w:r>
        <w:t xml:space="preserve">should be directed to </w:t>
      </w:r>
      <w:r w:rsidRPr="00EA4F1A">
        <w:t xml:space="preserve">the Network </w:t>
      </w:r>
      <w:r w:rsidR="0080638E">
        <w:t>Operations and Development</w:t>
      </w:r>
      <w:r w:rsidRPr="00EA4F1A">
        <w:t xml:space="preserve"> Branch on (03) 9290</w:t>
      </w:r>
      <w:r>
        <w:t xml:space="preserve"> 1436 or alternatively emailing </w:t>
      </w:r>
      <w:hyperlink r:id="rId13" w:history="1">
        <w:r w:rsidRPr="00AA34D5">
          <w:rPr>
            <w:rStyle w:val="Hyperlink"/>
          </w:rPr>
          <w:t>AERinquiry@aer.gov.au</w:t>
        </w:r>
      </w:hyperlink>
      <w:r>
        <w:t>.</w:t>
      </w:r>
    </w:p>
    <w:p w:rsidR="00E807DA" w:rsidRPr="000A1CC2" w:rsidRDefault="000F104A" w:rsidP="00B06DF4">
      <w:pPr>
        <w:pStyle w:val="UnnumberedHeading"/>
      </w:pPr>
      <w:bookmarkStart w:id="5" w:name="_Toc372726855"/>
      <w:r>
        <w:lastRenderedPageBreak/>
        <w:t>Summary</w:t>
      </w:r>
      <w:bookmarkEnd w:id="5"/>
    </w:p>
    <w:p w:rsidR="00A86110" w:rsidRDefault="00387BD9" w:rsidP="00FB137F">
      <w:pPr>
        <w:pStyle w:val="AERbodytext"/>
        <w:numPr>
          <w:ilvl w:val="0"/>
          <w:numId w:val="13"/>
        </w:numPr>
      </w:pPr>
      <w:r>
        <w:t>The Victorian distribution network service providers (Victorian DNSPs) are</w:t>
      </w:r>
      <w:r w:rsidR="00FB137F" w:rsidRPr="00FB137F">
        <w:t xml:space="preserve"> roll</w:t>
      </w:r>
      <w:r>
        <w:t xml:space="preserve">ing </w:t>
      </w:r>
      <w:r w:rsidR="00FB137F" w:rsidRPr="00FB137F">
        <w:t>out advanced metering infrastructur</w:t>
      </w:r>
      <w:r w:rsidR="00FB137F">
        <w:t xml:space="preserve">e (AMI, or smart meters) to all </w:t>
      </w:r>
      <w:r w:rsidR="00FB137F" w:rsidRPr="00FB137F">
        <w:t>Victorian households and small businesses</w:t>
      </w:r>
      <w:r>
        <w:t>.</w:t>
      </w:r>
      <w:r w:rsidR="00FB137F" w:rsidRPr="00FB137F">
        <w:t xml:space="preserve"> </w:t>
      </w:r>
      <w:r w:rsidR="00A86110">
        <w:t xml:space="preserve">This technology will enable </w:t>
      </w:r>
      <w:r w:rsidR="005B00FA">
        <w:t>DNSPs</w:t>
      </w:r>
      <w:r w:rsidR="005B00FA" w:rsidRPr="00E11003">
        <w:t xml:space="preserve"> to </w:t>
      </w:r>
      <w:r w:rsidR="005B00FA">
        <w:t>remotely provide m</w:t>
      </w:r>
      <w:r w:rsidR="005B00FA" w:rsidRPr="00E11003">
        <w:t xml:space="preserve">etering services </w:t>
      </w:r>
      <w:r w:rsidR="005B00FA">
        <w:t xml:space="preserve">previously </w:t>
      </w:r>
      <w:r w:rsidR="00A86110">
        <w:t>offered</w:t>
      </w:r>
      <w:r w:rsidR="00A86110" w:rsidRPr="00E11003" w:rsidDel="00A86110">
        <w:t xml:space="preserve"> </w:t>
      </w:r>
      <w:r w:rsidR="005B00FA" w:rsidRPr="00E11003">
        <w:t>manually at a customer’s premises</w:t>
      </w:r>
      <w:r w:rsidR="005B00FA">
        <w:t>.</w:t>
      </w:r>
      <w:r w:rsidR="00FB137F">
        <w:t xml:space="preserve"> </w:t>
      </w:r>
      <w:r w:rsidR="00A86110">
        <w:t>R</w:t>
      </w:r>
      <w:r w:rsidR="005B00FA">
        <w:t xml:space="preserve">emote services </w:t>
      </w:r>
      <w:r w:rsidR="00A86110">
        <w:t xml:space="preserve">provision is undertaken at </w:t>
      </w:r>
      <w:r w:rsidR="00FB137F">
        <w:t xml:space="preserve">much </w:t>
      </w:r>
      <w:r w:rsidR="00FB137F" w:rsidRPr="00FB137F">
        <w:t>lower cost to customers</w:t>
      </w:r>
      <w:r w:rsidR="00F66C11">
        <w:t>.</w:t>
      </w:r>
    </w:p>
    <w:p w:rsidR="00FB137F" w:rsidRDefault="00FB137F" w:rsidP="00FB137F">
      <w:pPr>
        <w:pStyle w:val="AERbodytext"/>
        <w:numPr>
          <w:ilvl w:val="0"/>
          <w:numId w:val="13"/>
        </w:numPr>
      </w:pPr>
      <w:r w:rsidRPr="00FB137F">
        <w:t xml:space="preserve">This </w:t>
      </w:r>
      <w:r w:rsidR="00D927D2">
        <w:t>final</w:t>
      </w:r>
      <w:r w:rsidRPr="00FB137F">
        <w:t xml:space="preserve"> decision </w:t>
      </w:r>
      <w:r w:rsidR="00F66C11">
        <w:t xml:space="preserve">sets out </w:t>
      </w:r>
      <w:r>
        <w:t xml:space="preserve">SP AusNet's charges for remote special </w:t>
      </w:r>
      <w:r w:rsidRPr="00FB137F">
        <w:t>meter reads, remote re-energisation and de</w:t>
      </w:r>
      <w:r>
        <w:t xml:space="preserve">-energisation, and remote meter </w:t>
      </w:r>
      <w:r w:rsidRPr="00FB137F">
        <w:t>reconfigurati</w:t>
      </w:r>
      <w:r>
        <w:t>ons for the period 1 January 2014 to 31 December 2015</w:t>
      </w:r>
      <w:r w:rsidR="006E3780">
        <w:t xml:space="preserve"> (2014–15)</w:t>
      </w:r>
      <w:r>
        <w:t>.</w:t>
      </w:r>
      <w:r w:rsidR="00387BD9">
        <w:t xml:space="preserve"> The AER previously set remote AMI service charges for CitiPower, Powercor, Jemena Electricity Networks and United Energy Distribution.</w:t>
      </w:r>
      <w:r w:rsidR="00387BD9">
        <w:rPr>
          <w:rStyle w:val="FootnoteReference"/>
        </w:rPr>
        <w:footnoteReference w:id="1"/>
      </w:r>
    </w:p>
    <w:p w:rsidR="001B1019" w:rsidRDefault="00FB137F" w:rsidP="00FB137F">
      <w:pPr>
        <w:pStyle w:val="AERbodytext"/>
        <w:numPr>
          <w:ilvl w:val="0"/>
          <w:numId w:val="13"/>
        </w:numPr>
      </w:pPr>
      <w:r w:rsidRPr="00FB137F">
        <w:t xml:space="preserve">The process for setting </w:t>
      </w:r>
      <w:r w:rsidR="00F66C11" w:rsidRPr="00FB137F">
        <w:t>remote servi</w:t>
      </w:r>
      <w:r w:rsidR="00F66C11">
        <w:t xml:space="preserve">ces </w:t>
      </w:r>
      <w:r w:rsidRPr="00FB137F">
        <w:t>charges</w:t>
      </w:r>
      <w:r w:rsidR="00367D7A">
        <w:t xml:space="preserve"> </w:t>
      </w:r>
      <w:r>
        <w:t xml:space="preserve">is set out in the AMI Order </w:t>
      </w:r>
      <w:r w:rsidRPr="00FB137F">
        <w:t>in Council</w:t>
      </w:r>
      <w:r w:rsidR="00CB2F68">
        <w:t xml:space="preserve"> (AMI Order). It </w:t>
      </w:r>
      <w:r w:rsidRPr="00FB137F">
        <w:t xml:space="preserve">requires </w:t>
      </w:r>
      <w:r w:rsidR="00CB2F68">
        <w:t>the AER to assess</w:t>
      </w:r>
      <w:r w:rsidRPr="00FB137F">
        <w:t xml:space="preserve"> propo</w:t>
      </w:r>
      <w:r>
        <w:t xml:space="preserve">sed charges under the Essential </w:t>
      </w:r>
      <w:r w:rsidRPr="00FB137F">
        <w:t>Services Commission of Victoria's (ESCV) Gu</w:t>
      </w:r>
      <w:r>
        <w:t>ideline 14.</w:t>
      </w:r>
      <w:r>
        <w:rPr>
          <w:rStyle w:val="FootnoteReference"/>
        </w:rPr>
        <w:footnoteReference w:id="2"/>
      </w:r>
      <w:r w:rsidR="00697B49">
        <w:t xml:space="preserve"> </w:t>
      </w:r>
      <w:r w:rsidR="0082236C">
        <w:t>In future, w</w:t>
      </w:r>
      <w:r w:rsidR="00697B49">
        <w:t>e will likely review remote services charges during the Victorian distribution determination for the regulatory control period beginning 1 January 2016. We will</w:t>
      </w:r>
      <w:r w:rsidR="0082236C">
        <w:t xml:space="preserve"> undertake this review under the National Electricity Rules framework.</w:t>
      </w:r>
    </w:p>
    <w:p w:rsidR="0062778F" w:rsidRDefault="009A5D2B" w:rsidP="00FB137F">
      <w:pPr>
        <w:pStyle w:val="AERbodytext"/>
        <w:numPr>
          <w:ilvl w:val="0"/>
          <w:numId w:val="13"/>
        </w:numPr>
      </w:pPr>
      <w:r>
        <w:t xml:space="preserve">We published a </w:t>
      </w:r>
      <w:r w:rsidRPr="009A5D2B">
        <w:t xml:space="preserve">draft decision which approved SP </w:t>
      </w:r>
      <w:proofErr w:type="spellStart"/>
      <w:r w:rsidRPr="009A5D2B">
        <w:t>AusNet's</w:t>
      </w:r>
      <w:proofErr w:type="spellEnd"/>
      <w:r w:rsidRPr="009A5D2B">
        <w:t xml:space="preserve"> charges as submitted</w:t>
      </w:r>
      <w:r>
        <w:t xml:space="preserve"> in Table 2</w:t>
      </w:r>
      <w:r w:rsidRPr="009A5D2B">
        <w:t xml:space="preserve"> on 28</w:t>
      </w:r>
      <w:r>
        <w:t> </w:t>
      </w:r>
      <w:r w:rsidRPr="009A5D2B">
        <w:t xml:space="preserve">October. Stakeholders did not </w:t>
      </w:r>
      <w:r>
        <w:t>comment</w:t>
      </w:r>
      <w:r w:rsidRPr="009A5D2B">
        <w:t xml:space="preserve"> on the draft decision and no further information has come to light which suggest we should depart from the draft.</w:t>
      </w:r>
      <w:r w:rsidDel="009A5D2B">
        <w:t xml:space="preserve"> </w:t>
      </w:r>
      <w:r w:rsidR="00FB137F">
        <w:t xml:space="preserve">This </w:t>
      </w:r>
      <w:r w:rsidR="00D927D2">
        <w:t>final</w:t>
      </w:r>
      <w:r w:rsidR="00CB2F68">
        <w:t xml:space="preserve"> </w:t>
      </w:r>
      <w:r w:rsidR="00FB137F">
        <w:t xml:space="preserve">decision sets the </w:t>
      </w:r>
      <w:r w:rsidR="00EF0F78">
        <w:t>charges in table 1</w:t>
      </w:r>
      <w:r w:rsidR="00FB137F" w:rsidRPr="00FB137F">
        <w:t xml:space="preserve">, and terms and conditions for the services in </w:t>
      </w:r>
      <w:r w:rsidR="00CB2F68">
        <w:t xml:space="preserve">appendix A. </w:t>
      </w:r>
      <w:r w:rsidR="00023BA1">
        <w:t>In</w:t>
      </w:r>
      <w:r w:rsidR="00023BA1" w:rsidRPr="00023BA1">
        <w:t xml:space="preserve"> arriving at this </w:t>
      </w:r>
      <w:r w:rsidR="00D927D2">
        <w:t>final</w:t>
      </w:r>
      <w:r w:rsidR="00023BA1" w:rsidRPr="00023BA1">
        <w:t xml:space="preserve"> decision</w:t>
      </w:r>
      <w:r w:rsidR="00023BA1">
        <w:t>, w</w:t>
      </w:r>
      <w:r w:rsidR="00CB2F68">
        <w:t>e considered SP AusNet's remote services charges application,</w:t>
      </w:r>
      <w:r w:rsidR="00023BA1">
        <w:t xml:space="preserve"> our previous analysis of the other Victorian DNSPs' remote services charges</w:t>
      </w:r>
      <w:r w:rsidR="00CD1CCF">
        <w:t xml:space="preserve"> proposals</w:t>
      </w:r>
      <w:r w:rsidR="00023BA1">
        <w:t>,</w:t>
      </w:r>
      <w:r w:rsidR="00CB2F68">
        <w:t xml:space="preserve"> </w:t>
      </w:r>
      <w:r w:rsidR="00023BA1">
        <w:t xml:space="preserve">and </w:t>
      </w:r>
      <w:r w:rsidR="00B55001">
        <w:t>other information sought from</w:t>
      </w:r>
      <w:r w:rsidR="00CB2F68">
        <w:t xml:space="preserve"> SP AusNet</w:t>
      </w:r>
      <w:r w:rsidR="00023BA1">
        <w:t>.</w:t>
      </w:r>
      <w:r w:rsidR="00CB2F68">
        <w:rPr>
          <w:rStyle w:val="FootnoteReference"/>
        </w:rPr>
        <w:footnoteReference w:id="3"/>
      </w:r>
      <w:r w:rsidR="00FB137F" w:rsidRPr="00FB137F">
        <w:t xml:space="preserve"> </w:t>
      </w:r>
      <w:r w:rsidR="001B1019">
        <w:t>The charges set out in table 1 will apply until further amendment by the AER. They will not be automatically indexed for inflation or any other factor.</w:t>
      </w:r>
    </w:p>
    <w:p w:rsidR="006E3780" w:rsidRDefault="00AD3F1B" w:rsidP="00AD3F1B">
      <w:pPr>
        <w:pStyle w:val="Caption"/>
      </w:pPr>
      <w:r>
        <w:t>Table 1</w:t>
      </w:r>
      <w:r>
        <w:tab/>
        <w:t xml:space="preserve">AER </w:t>
      </w:r>
      <w:r w:rsidR="00D927D2">
        <w:t>final</w:t>
      </w:r>
      <w:r>
        <w:t xml:space="preserve"> decision on SP AusNet remote AMI services charges for 2014–15 (excluding GST</w:t>
      </w:r>
      <w:r w:rsidR="00F66C11">
        <w:t>,</w:t>
      </w:r>
      <w:r w:rsidR="00A45651">
        <w:t xml:space="preserve"> </w:t>
      </w:r>
      <w:r>
        <w:t>$2013)</w:t>
      </w:r>
    </w:p>
    <w:tbl>
      <w:tblPr>
        <w:tblStyle w:val="AERtable-numbers"/>
        <w:tblW w:w="0" w:type="auto"/>
        <w:tblLook w:val="04A0" w:firstRow="1" w:lastRow="0" w:firstColumn="1" w:lastColumn="0" w:noHBand="0" w:noVBand="1"/>
      </w:tblPr>
      <w:tblGrid>
        <w:gridCol w:w="4621"/>
        <w:gridCol w:w="4621"/>
      </w:tblGrid>
      <w:tr w:rsidR="006E3780" w:rsidTr="006D3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Name of service</w:t>
            </w:r>
          </w:p>
        </w:tc>
        <w:tc>
          <w:tcPr>
            <w:tcW w:w="4621" w:type="dxa"/>
          </w:tcPr>
          <w:p w:rsidR="006E3780" w:rsidRDefault="003B56C1" w:rsidP="00C47FA5">
            <w:pPr>
              <w:pStyle w:val="AERtabletextright"/>
              <w:cnfStyle w:val="100000000000" w:firstRow="1" w:lastRow="0" w:firstColumn="0" w:lastColumn="0" w:oddVBand="0" w:evenVBand="0" w:oddHBand="0" w:evenHBand="0" w:firstRowFirstColumn="0" w:firstRowLastColumn="0" w:lastRowFirstColumn="0" w:lastRowLastColumn="0"/>
            </w:pPr>
            <w:r>
              <w:t>Approved</w:t>
            </w:r>
            <w:r w:rsidR="00C47159">
              <w:t xml:space="preserve"> c</w:t>
            </w:r>
            <w:r w:rsidR="00AD3F1B">
              <w:t>harges</w:t>
            </w:r>
          </w:p>
        </w:tc>
      </w:tr>
      <w:tr w:rsidR="006E3780" w:rsidTr="006D3546">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Remote re-energisation</w:t>
            </w:r>
          </w:p>
        </w:tc>
        <w:tc>
          <w:tcPr>
            <w:tcW w:w="4621" w:type="dxa"/>
          </w:tcPr>
          <w:p w:rsidR="006E3780" w:rsidRDefault="006E3780" w:rsidP="00387D4A">
            <w:pPr>
              <w:pStyle w:val="AERtabletextright"/>
              <w:cnfStyle w:val="000000000000" w:firstRow="0" w:lastRow="0" w:firstColumn="0" w:lastColumn="0" w:oddVBand="0" w:evenVBand="0" w:oddHBand="0" w:evenHBand="0" w:firstRowFirstColumn="0" w:firstRowLastColumn="0" w:lastRowFirstColumn="0" w:lastRowLastColumn="0"/>
            </w:pPr>
            <w:r>
              <w:t>2.45</w:t>
            </w:r>
          </w:p>
        </w:tc>
      </w:tr>
      <w:tr w:rsidR="006E3780" w:rsidTr="006D35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Remote de-energisation</w:t>
            </w:r>
          </w:p>
        </w:tc>
        <w:tc>
          <w:tcPr>
            <w:tcW w:w="4621" w:type="dxa"/>
          </w:tcPr>
          <w:p w:rsidR="006E3780" w:rsidRDefault="006E3780" w:rsidP="00387D4A">
            <w:pPr>
              <w:pStyle w:val="AERtabletextright"/>
              <w:cnfStyle w:val="000000010000" w:firstRow="0" w:lastRow="0" w:firstColumn="0" w:lastColumn="0" w:oddVBand="0" w:evenVBand="0" w:oddHBand="0" w:evenHBand="1" w:firstRowFirstColumn="0" w:firstRowLastColumn="0" w:lastRowFirstColumn="0" w:lastRowLastColumn="0"/>
            </w:pPr>
            <w:r>
              <w:t>3.35</w:t>
            </w:r>
          </w:p>
        </w:tc>
      </w:tr>
      <w:tr w:rsidR="006E3780" w:rsidTr="006D3546">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Remote meter reconfiguration</w:t>
            </w:r>
          </w:p>
        </w:tc>
        <w:tc>
          <w:tcPr>
            <w:tcW w:w="4621" w:type="dxa"/>
          </w:tcPr>
          <w:p w:rsidR="006E3780" w:rsidRDefault="006E3780" w:rsidP="00387D4A">
            <w:pPr>
              <w:pStyle w:val="AERtabletextright"/>
              <w:cnfStyle w:val="000000000000" w:firstRow="0" w:lastRow="0" w:firstColumn="0" w:lastColumn="0" w:oddVBand="0" w:evenVBand="0" w:oddHBand="0" w:evenHBand="0" w:firstRowFirstColumn="0" w:firstRowLastColumn="0" w:lastRowFirstColumn="0" w:lastRowLastColumn="0"/>
            </w:pPr>
            <w:r>
              <w:t>20.15</w:t>
            </w:r>
          </w:p>
        </w:tc>
      </w:tr>
      <w:tr w:rsidR="006E3780" w:rsidTr="006D35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E3780" w:rsidRDefault="006E3780" w:rsidP="006E3780">
            <w:pPr>
              <w:pStyle w:val="AERbodytext"/>
              <w:numPr>
                <w:ilvl w:val="0"/>
                <w:numId w:val="0"/>
              </w:numPr>
            </w:pPr>
            <w:r>
              <w:t>Remote special meter read</w:t>
            </w:r>
          </w:p>
        </w:tc>
        <w:tc>
          <w:tcPr>
            <w:tcW w:w="4621" w:type="dxa"/>
          </w:tcPr>
          <w:p w:rsidR="006E3780" w:rsidRDefault="006E3780" w:rsidP="00387D4A">
            <w:pPr>
              <w:pStyle w:val="AERtabletextright"/>
              <w:cnfStyle w:val="000000010000" w:firstRow="0" w:lastRow="0" w:firstColumn="0" w:lastColumn="0" w:oddVBand="0" w:evenVBand="0" w:oddHBand="0" w:evenHBand="1" w:firstRowFirstColumn="0" w:firstRowLastColumn="0" w:lastRowFirstColumn="0" w:lastRowLastColumn="0"/>
            </w:pPr>
            <w:r>
              <w:t>0.55</w:t>
            </w:r>
          </w:p>
        </w:tc>
      </w:tr>
    </w:tbl>
    <w:p w:rsidR="006E3780" w:rsidRDefault="00F66C11" w:rsidP="001C112A">
      <w:pPr>
        <w:pStyle w:val="AERtablesource"/>
      </w:pPr>
      <w:r>
        <w:t>Source: AER analysis</w:t>
      </w:r>
    </w:p>
    <w:p w:rsidR="000F104A" w:rsidRPr="00B6196F" w:rsidRDefault="00AC67A2" w:rsidP="00B6196F">
      <w:pPr>
        <w:pStyle w:val="Heading1"/>
      </w:pPr>
      <w:bookmarkStart w:id="6" w:name="_Toc372726856"/>
      <w:r>
        <w:lastRenderedPageBreak/>
        <w:t>Introduction</w:t>
      </w:r>
      <w:bookmarkEnd w:id="6"/>
    </w:p>
    <w:p w:rsidR="00F66C11" w:rsidRDefault="00E11003" w:rsidP="00F66C11">
      <w:pPr>
        <w:pStyle w:val="AERbodytext"/>
        <w:numPr>
          <w:ilvl w:val="0"/>
          <w:numId w:val="13"/>
        </w:numPr>
      </w:pPr>
      <w:r w:rsidRPr="00E11003">
        <w:t xml:space="preserve">In 2006 the Victorian Government decided to introduce remotely read interval meters (smart meters) to Victorian residential and small </w:t>
      </w:r>
      <w:r w:rsidR="005B00FA">
        <w:t xml:space="preserve">business electricity customers. </w:t>
      </w:r>
      <w:r>
        <w:t>This required t</w:t>
      </w:r>
      <w:r w:rsidRPr="00E11003">
        <w:t xml:space="preserve">he Victorian distribution network service providers (DNSPs) </w:t>
      </w:r>
      <w:r>
        <w:t xml:space="preserve">to use their best endeavours </w:t>
      </w:r>
      <w:r w:rsidRPr="00E11003">
        <w:t>to rollout advanced metering infrastructure (AMI) to all customers consuming less than 160MWh by the end of 2013.</w:t>
      </w:r>
      <w:r w:rsidR="00F66C11">
        <w:rPr>
          <w:rStyle w:val="FootnoteReference"/>
        </w:rPr>
        <w:footnoteReference w:id="4"/>
      </w:r>
      <w:r w:rsidR="00651E37">
        <w:t xml:space="preserve"> </w:t>
      </w:r>
    </w:p>
    <w:p w:rsidR="00E11003" w:rsidRPr="00E11003" w:rsidRDefault="0004115C" w:rsidP="00F66C11">
      <w:pPr>
        <w:pStyle w:val="AERbodytext"/>
        <w:numPr>
          <w:ilvl w:val="0"/>
          <w:numId w:val="13"/>
        </w:numPr>
      </w:pPr>
      <w:r>
        <w:t>S</w:t>
      </w:r>
      <w:r w:rsidR="004C0F68">
        <w:t>mart meters</w:t>
      </w:r>
      <w:r w:rsidR="004C0F68" w:rsidRPr="00E11003">
        <w:t xml:space="preserve"> </w:t>
      </w:r>
      <w:r w:rsidR="00E11003" w:rsidRPr="00E11003">
        <w:t xml:space="preserve">enable two way </w:t>
      </w:r>
      <w:r w:rsidR="00F66C11" w:rsidRPr="00E11003">
        <w:t>communications</w:t>
      </w:r>
      <w:r w:rsidR="00E11003" w:rsidRPr="00E11003">
        <w:t xml:space="preserve"> between a customer and their DNSP.</w:t>
      </w:r>
      <w:r w:rsidR="005B00FA">
        <w:t xml:space="preserve"> With AMI, DNSPs</w:t>
      </w:r>
      <w:r w:rsidR="005B00FA" w:rsidRPr="00E11003">
        <w:t xml:space="preserve"> will be able to </w:t>
      </w:r>
      <w:r w:rsidR="005B00FA">
        <w:t>remotely provide m</w:t>
      </w:r>
      <w:r w:rsidR="005B00FA" w:rsidRPr="00E11003">
        <w:t xml:space="preserve">etering services </w:t>
      </w:r>
      <w:r w:rsidR="005B00FA">
        <w:t>that they</w:t>
      </w:r>
      <w:r w:rsidR="005B00FA" w:rsidRPr="00E11003">
        <w:t xml:space="preserve"> </w:t>
      </w:r>
      <w:r w:rsidR="005B00FA">
        <w:t xml:space="preserve">previously </w:t>
      </w:r>
      <w:r w:rsidR="005B00FA" w:rsidRPr="00E11003">
        <w:t>provided manually at a customer’s premises</w:t>
      </w:r>
      <w:r w:rsidR="005B00FA">
        <w:t xml:space="preserve">. </w:t>
      </w:r>
      <w:r w:rsidR="004C0F68">
        <w:t>R</w:t>
      </w:r>
      <w:r w:rsidR="005B00FA">
        <w:t xml:space="preserve">emote services are </w:t>
      </w:r>
      <w:r w:rsidR="004C0F68">
        <w:t>cheaper to supply to customers than manual ones</w:t>
      </w:r>
      <w:r w:rsidR="005B00FA" w:rsidRPr="00FB137F">
        <w:t>.</w:t>
      </w:r>
      <w:r w:rsidR="005B00FA">
        <w:t xml:space="preserve"> </w:t>
      </w:r>
      <w:r w:rsidR="00E11003" w:rsidRPr="00E11003">
        <w:t>In addition, the technology will allow for a variety of different services, mostly provided remotely, that would not have been possible without the AMI rollout.</w:t>
      </w:r>
    </w:p>
    <w:p w:rsidR="00E11003" w:rsidRPr="00E11003" w:rsidRDefault="00E11003" w:rsidP="00E11003">
      <w:pPr>
        <w:pStyle w:val="AERbodytext"/>
        <w:numPr>
          <w:ilvl w:val="0"/>
          <w:numId w:val="13"/>
        </w:numPr>
      </w:pPr>
      <w:r w:rsidRPr="00E11003">
        <w:t>Under sections 15A and 46D of the Electricity Industry Act 2000, the Victorian Governor in Council published an Order in Council in August 200</w:t>
      </w:r>
      <w:r w:rsidR="005B00FA">
        <w:t>7 to facilitate the AMI rollout.</w:t>
      </w:r>
      <w:r w:rsidRPr="00E11003">
        <w:t xml:space="preserve"> </w:t>
      </w:r>
      <w:r w:rsidR="005B00FA">
        <w:t xml:space="preserve">This </w:t>
      </w:r>
      <w:r w:rsidRPr="00E11003">
        <w:t>was then amended in November 2008, January 2009</w:t>
      </w:r>
      <w:r w:rsidR="003B56C1">
        <w:t>,</w:t>
      </w:r>
      <w:r w:rsidRPr="00E11003">
        <w:t xml:space="preserve"> March 2009 </w:t>
      </w:r>
      <w:r w:rsidR="003B56C1">
        <w:t xml:space="preserve">and December 2011 </w:t>
      </w:r>
      <w:r w:rsidRPr="00E11003">
        <w:t xml:space="preserve">(the ‘revised Order’). The revised Order specifies that AMI remote services are to be regulated as </w:t>
      </w:r>
      <w:r w:rsidR="0004115C">
        <w:t>"</w:t>
      </w:r>
      <w:r w:rsidRPr="00E11003">
        <w:t>excluded services</w:t>
      </w:r>
      <w:r w:rsidR="0004115C">
        <w:t>"</w:t>
      </w:r>
      <w:r w:rsidRPr="00E11003">
        <w:t xml:space="preserve"> until the end of the 2011–2015 regulatory control period. Excluded services are regulated under the ESCV’s Guideline 14 and the Victorian electricity distribution licences.</w:t>
      </w:r>
    </w:p>
    <w:p w:rsidR="00AF68B1" w:rsidRDefault="00E11003" w:rsidP="00AF68B1">
      <w:pPr>
        <w:pStyle w:val="AERbodytext"/>
        <w:numPr>
          <w:ilvl w:val="0"/>
          <w:numId w:val="13"/>
        </w:numPr>
      </w:pPr>
      <w:r w:rsidRPr="00E11003">
        <w:t xml:space="preserve">Four of the Victorian DNSPs </w:t>
      </w:r>
      <w:r w:rsidR="00AF68B1">
        <w:t xml:space="preserve">were </w:t>
      </w:r>
      <w:r w:rsidRPr="00E11003">
        <w:t xml:space="preserve">in a position to provide AMI remote services to eligible customers </w:t>
      </w:r>
      <w:r w:rsidR="00AF68B1">
        <w:t xml:space="preserve">from </w:t>
      </w:r>
      <w:r w:rsidRPr="00E11003">
        <w:t>2011. CitiPower, Powercor, United Energy Distribution (United Energy) and Jemena Electricity Networks (JEN) each submitted proposals</w:t>
      </w:r>
      <w:r w:rsidR="001F3FAE">
        <w:t xml:space="preserve"> for remote services charges</w:t>
      </w:r>
      <w:r w:rsidR="00AF68B1">
        <w:t xml:space="preserve"> in August 2010</w:t>
      </w:r>
      <w:r w:rsidRPr="00E11003">
        <w:t xml:space="preserve">. </w:t>
      </w:r>
      <w:r w:rsidR="008C7275">
        <w:t xml:space="preserve">The AER subsequently reviewed and published </w:t>
      </w:r>
      <w:r w:rsidR="001F3FAE">
        <w:t>draft and</w:t>
      </w:r>
      <w:r w:rsidR="008C7275">
        <w:t xml:space="preserve"> final decision</w:t>
      </w:r>
      <w:r w:rsidR="001F3FAE">
        <w:t>s</w:t>
      </w:r>
      <w:r w:rsidR="008C7275">
        <w:t xml:space="preserve"> on these remote services charges.</w:t>
      </w:r>
      <w:r w:rsidR="008C7275">
        <w:rPr>
          <w:rStyle w:val="FootnoteReference"/>
        </w:rPr>
        <w:footnoteReference w:id="5"/>
      </w:r>
    </w:p>
    <w:p w:rsidR="00E11003" w:rsidRDefault="00E11003" w:rsidP="00AF68B1">
      <w:pPr>
        <w:pStyle w:val="AERbodytext"/>
        <w:numPr>
          <w:ilvl w:val="0"/>
          <w:numId w:val="13"/>
        </w:numPr>
      </w:pPr>
      <w:r w:rsidRPr="00E11003">
        <w:t>SP AusNet did not</w:t>
      </w:r>
      <w:r w:rsidR="001F3FAE">
        <w:t xml:space="preserve"> submit a proposal for remote services charges at the time</w:t>
      </w:r>
      <w:r w:rsidRPr="00E11003">
        <w:t xml:space="preserve">, advising that delays in its AMI rollout prevented it from </w:t>
      </w:r>
      <w:r w:rsidR="00491DD9">
        <w:t xml:space="preserve">being in a position to provide the services and </w:t>
      </w:r>
      <w:r w:rsidRPr="00E11003">
        <w:t xml:space="preserve">calculating accurate pricing for remote services. </w:t>
      </w:r>
    </w:p>
    <w:p w:rsidR="00265F13" w:rsidRPr="00265F13" w:rsidRDefault="00265F13" w:rsidP="00C560F9">
      <w:pPr>
        <w:pStyle w:val="AERbodytext"/>
        <w:numPr>
          <w:ilvl w:val="0"/>
          <w:numId w:val="13"/>
        </w:numPr>
      </w:pPr>
      <w:r>
        <w:t>On 30 August 2013, SP AusNet submitted its AMI remote services charges application.</w:t>
      </w:r>
      <w:r>
        <w:rPr>
          <w:rStyle w:val="FootnoteReference"/>
        </w:rPr>
        <w:footnoteReference w:id="6"/>
      </w:r>
      <w:r w:rsidR="00C560F9">
        <w:t xml:space="preserve"> </w:t>
      </w:r>
      <w:r w:rsidRPr="00265F13">
        <w:t>Thi</w:t>
      </w:r>
      <w:r>
        <w:t xml:space="preserve">s </w:t>
      </w:r>
      <w:r w:rsidR="00237FC8">
        <w:t>final</w:t>
      </w:r>
      <w:r>
        <w:t xml:space="preserve"> decision relates to SP AusNet's proposed charges and terms and </w:t>
      </w:r>
      <w:r w:rsidRPr="00265F13">
        <w:t>conditions for the following four services:</w:t>
      </w:r>
    </w:p>
    <w:p w:rsidR="00265F13" w:rsidRPr="00265F13" w:rsidRDefault="00C560F9" w:rsidP="00B06DF4">
      <w:pPr>
        <w:pStyle w:val="AERbulletlistfirststyle"/>
      </w:pPr>
      <w:r>
        <w:t>Remote r</w:t>
      </w:r>
      <w:r w:rsidR="00265F13">
        <w:t>e-energisation</w:t>
      </w:r>
    </w:p>
    <w:p w:rsidR="00265F13" w:rsidRPr="00265F13" w:rsidRDefault="00C560F9" w:rsidP="00B06DF4">
      <w:pPr>
        <w:pStyle w:val="AERbulletlistfirststyle"/>
      </w:pPr>
      <w:r>
        <w:t>Remote d</w:t>
      </w:r>
      <w:r w:rsidR="00265F13" w:rsidRPr="00265F13">
        <w:t>e-ene</w:t>
      </w:r>
      <w:r w:rsidR="00265F13">
        <w:t>rgisation</w:t>
      </w:r>
    </w:p>
    <w:p w:rsidR="00265F13" w:rsidRDefault="00C560F9" w:rsidP="00651E37">
      <w:pPr>
        <w:pStyle w:val="AERbulletlistfirststyle"/>
      </w:pPr>
      <w:r>
        <w:t>Remote s</w:t>
      </w:r>
      <w:r w:rsidR="00265F13" w:rsidRPr="00265F13">
        <w:t>pecial meter reads</w:t>
      </w:r>
    </w:p>
    <w:p w:rsidR="00B6196F" w:rsidRDefault="00C560F9" w:rsidP="00492377">
      <w:pPr>
        <w:pStyle w:val="AERbulletlistfirststyle"/>
      </w:pPr>
      <w:r>
        <w:t>Remote m</w:t>
      </w:r>
      <w:r w:rsidR="00265F13" w:rsidRPr="00265F13">
        <w:t>eter reconfigurations</w:t>
      </w:r>
    </w:p>
    <w:p w:rsidR="00B777FA" w:rsidRPr="00B777FA" w:rsidRDefault="00007FBF" w:rsidP="00B777FA">
      <w:pPr>
        <w:pStyle w:val="AERbodytext"/>
        <w:numPr>
          <w:ilvl w:val="0"/>
          <w:numId w:val="13"/>
        </w:numPr>
      </w:pPr>
      <w:r>
        <w:lastRenderedPageBreak/>
        <w:t>T</w:t>
      </w:r>
      <w:r w:rsidRPr="00B777FA">
        <w:t xml:space="preserve">his </w:t>
      </w:r>
      <w:r w:rsidR="00237FC8">
        <w:t>final</w:t>
      </w:r>
      <w:r w:rsidRPr="00B777FA">
        <w:t xml:space="preserve"> de</w:t>
      </w:r>
      <w:r>
        <w:t>cision</w:t>
      </w:r>
      <w:r w:rsidRPr="00B777FA">
        <w:t xml:space="preserve"> </w:t>
      </w:r>
      <w:r>
        <w:t>does not cover m</w:t>
      </w:r>
      <w:r w:rsidR="00B777FA" w:rsidRPr="00B777FA">
        <w:t>a</w:t>
      </w:r>
      <w:r>
        <w:t>nual services</w:t>
      </w:r>
      <w:r w:rsidR="00B777FA">
        <w:t>. Where</w:t>
      </w:r>
      <w:r>
        <w:t xml:space="preserve"> SP AusNet provides</w:t>
      </w:r>
      <w:r w:rsidR="00B777FA">
        <w:t xml:space="preserve"> such services</w:t>
      </w:r>
      <w:r w:rsidR="00B777FA" w:rsidRPr="00B777FA">
        <w:t>,</w:t>
      </w:r>
      <w:r>
        <w:t xml:space="preserve"> we have assessed them</w:t>
      </w:r>
      <w:r w:rsidR="00B777FA" w:rsidRPr="00B777FA">
        <w:t xml:space="preserve"> as alternative contro</w:t>
      </w:r>
      <w:r w:rsidR="00B777FA">
        <w:t xml:space="preserve">l services as part of </w:t>
      </w:r>
      <w:r w:rsidR="0004115C">
        <w:t xml:space="preserve">our </w:t>
      </w:r>
      <w:r w:rsidR="00B777FA" w:rsidRPr="00B777FA">
        <w:t>2011–15 Victorian distribution determinations.</w:t>
      </w:r>
    </w:p>
    <w:p w:rsidR="0047354E" w:rsidRDefault="0047354E" w:rsidP="00B6196F">
      <w:pPr>
        <w:pStyle w:val="Heading1"/>
      </w:pPr>
      <w:bookmarkStart w:id="7" w:name="_Toc372726857"/>
      <w:r>
        <w:lastRenderedPageBreak/>
        <w:t>Guideline 14 requirements</w:t>
      </w:r>
      <w:bookmarkEnd w:id="7"/>
    </w:p>
    <w:p w:rsidR="00B07808" w:rsidRPr="00D86047" w:rsidRDefault="00D86047" w:rsidP="00B07808">
      <w:pPr>
        <w:pStyle w:val="AERbodytext"/>
        <w:numPr>
          <w:ilvl w:val="0"/>
          <w:numId w:val="13"/>
        </w:numPr>
      </w:pPr>
      <w:r w:rsidRPr="00D86047">
        <w:t xml:space="preserve">The Victorian DNSPs' charges and terms and conditions for AMI remote services must meet the requirements of Guideline 14. </w:t>
      </w:r>
      <w:r w:rsidR="00695120">
        <w:t>Importantly, the guideline does not require proposed charges to be an exact representation of the costs incurred to provide the relevant services</w:t>
      </w:r>
      <w:r w:rsidR="009F7205">
        <w:t xml:space="preserve">. Rather, it </w:t>
      </w:r>
      <w:r w:rsidR="00695120">
        <w:t>requires the AER to approve proposed charges only where they are deemed fair and reasonable.</w:t>
      </w:r>
      <w:r w:rsidR="00B07808" w:rsidRPr="00B07808">
        <w:t xml:space="preserve"> </w:t>
      </w:r>
      <w:r w:rsidR="00B07808">
        <w:t>Here we describe t</w:t>
      </w:r>
      <w:r w:rsidR="00B07808" w:rsidRPr="00D86047">
        <w:t>he relevant sections of</w:t>
      </w:r>
      <w:r w:rsidR="00B07808">
        <w:t xml:space="preserve"> the g</w:t>
      </w:r>
      <w:r w:rsidR="00B07808" w:rsidRPr="00D86047">
        <w:t>uideline.</w:t>
      </w:r>
    </w:p>
    <w:p w:rsidR="00D86047" w:rsidRPr="00D86047" w:rsidRDefault="00D86047" w:rsidP="00D86047">
      <w:pPr>
        <w:pStyle w:val="AERbodytext"/>
        <w:numPr>
          <w:ilvl w:val="0"/>
          <w:numId w:val="13"/>
        </w:numPr>
      </w:pPr>
      <w:r w:rsidRPr="00D86047">
        <w:t xml:space="preserve">As required by the revised Order, AMI remote services are </w:t>
      </w:r>
      <w:r w:rsidR="004B1DC6">
        <w:t>regulated as excluded services.</w:t>
      </w:r>
      <w:r w:rsidRPr="00D86047">
        <w:t xml:space="preserve"> Section 5.5 of Guideline 14 outlines the information DNSPs must provide when issuing a statement of proposed charges and terms and conditions for the provision of an excluded service for the AER's approval</w:t>
      </w:r>
      <w:r w:rsidR="00C95136">
        <w:t>. At a minimum, any statement of proposed charges must include</w:t>
      </w:r>
      <w:r w:rsidRPr="00D86047">
        <w:t>:</w:t>
      </w:r>
    </w:p>
    <w:p w:rsidR="00D86047" w:rsidRPr="00D86047" w:rsidRDefault="00D86047" w:rsidP="00CB40FC">
      <w:pPr>
        <w:pStyle w:val="AERbulletlistfirststyle"/>
      </w:pPr>
      <w:r w:rsidRPr="00D86047">
        <w:t>a description of the excluded service including details of what is actually provided as part of that service</w:t>
      </w:r>
    </w:p>
    <w:p w:rsidR="00D86047" w:rsidRPr="00D86047" w:rsidRDefault="00D86047" w:rsidP="00CB40FC">
      <w:pPr>
        <w:pStyle w:val="AERbulletlistfirststyle"/>
      </w:pPr>
      <w:r w:rsidRPr="00D86047">
        <w:t>an explanation for any change in the proposed terms and conditions and charge for the excluded service, including the change in costs incurred by the DNSP and its effect on the excluded service</w:t>
      </w:r>
    </w:p>
    <w:p w:rsidR="00D86047" w:rsidRPr="00D86047" w:rsidRDefault="00D86047" w:rsidP="00CB40FC">
      <w:pPr>
        <w:pStyle w:val="AERbulletlistfirststyle"/>
      </w:pPr>
      <w:r w:rsidRPr="00D86047">
        <w:t>details of what is required of the DNSP in providing the excluded service, such as materials and labour.</w:t>
      </w:r>
      <w:r w:rsidR="00CB40FC">
        <w:rPr>
          <w:rStyle w:val="FootnoteReference"/>
        </w:rPr>
        <w:footnoteReference w:id="7"/>
      </w:r>
      <w:r w:rsidRPr="00D86047">
        <w:t xml:space="preserve"> </w:t>
      </w:r>
    </w:p>
    <w:p w:rsidR="00D86047" w:rsidRPr="00D86047" w:rsidRDefault="00D86047" w:rsidP="00D86047">
      <w:pPr>
        <w:pStyle w:val="AERbodytext"/>
        <w:numPr>
          <w:ilvl w:val="0"/>
          <w:numId w:val="13"/>
        </w:numPr>
      </w:pPr>
      <w:r w:rsidRPr="00D86047">
        <w:t>Section 5.6 of Guideline 14 sets out the following principles against which the AER must assess the Victorian DNSPs' charges and terms and conditions for AMI remote services</w:t>
      </w:r>
      <w:r w:rsidR="001B3156">
        <w:t>. The AER must not approve a DNSPs statement of proposed charges and terms and conditions for an excluded services unless it decides that the proposed charge and terms and conditions are fair and reasona</w:t>
      </w:r>
      <w:r w:rsidR="00C32098">
        <w:t>ble.</w:t>
      </w:r>
      <w:r w:rsidR="00C32098">
        <w:rPr>
          <w:rStyle w:val="FootnoteReference"/>
        </w:rPr>
        <w:footnoteReference w:id="8"/>
      </w:r>
      <w:r w:rsidR="00C32098">
        <w:t xml:space="preserve"> The AER must assess the fairness and reasonableness of the proposed charge and terms and conditions on the basis of the following principles</w:t>
      </w:r>
      <w:r w:rsidRPr="00D86047">
        <w:t>:</w:t>
      </w:r>
    </w:p>
    <w:p w:rsidR="00D86047" w:rsidRPr="00D86047" w:rsidRDefault="00D86047" w:rsidP="00CB40FC">
      <w:pPr>
        <w:pStyle w:val="AERbulletlistfirststyle"/>
      </w:pPr>
      <w:r w:rsidRPr="00D86047">
        <w:t>terms, conditions and charges for the services must be based on the costs incurred by the DNSP in providing the excluded service</w:t>
      </w:r>
    </w:p>
    <w:p w:rsidR="00D86047" w:rsidRPr="00D86047" w:rsidRDefault="00D86047" w:rsidP="00CB40FC">
      <w:pPr>
        <w:pStyle w:val="AERbulletlistfirststyle"/>
      </w:pPr>
      <w:r w:rsidRPr="00D86047">
        <w:t xml:space="preserve">any costs for which a DNSP has been remunerated under their distribution tariff cannot be classed as costs incurred by providing the excluded service </w:t>
      </w:r>
    </w:p>
    <w:p w:rsidR="00D86047" w:rsidRPr="00D86047" w:rsidRDefault="00D86047" w:rsidP="00CB40FC">
      <w:pPr>
        <w:pStyle w:val="AERbulletlistfirststyle"/>
      </w:pPr>
      <w:r w:rsidRPr="00D86047">
        <w:t>DNSPs must appropriately allocate shared or common costs (costs incurred by providing both the excluded service and other goods or services) whether in the conduct of their business as a DNSP or any other business</w:t>
      </w:r>
    </w:p>
    <w:p w:rsidR="00D86047" w:rsidRPr="00D86047" w:rsidRDefault="00D86047" w:rsidP="00CB40FC">
      <w:pPr>
        <w:pStyle w:val="AERbulletlistfirststyle"/>
      </w:pPr>
      <w:r w:rsidRPr="00D86047">
        <w:t xml:space="preserve">terms, conditions and charges must be the same for all customers unless there is a material difference in the costs of proving the excluded service to different customers or classes of customer </w:t>
      </w:r>
    </w:p>
    <w:p w:rsidR="00D86047" w:rsidRDefault="00D86047" w:rsidP="00CB40FC">
      <w:pPr>
        <w:pStyle w:val="AERbulletlistfirststyle"/>
      </w:pPr>
      <w:r w:rsidRPr="00D86047">
        <w:t>terms, conditions and charges for excluded services should be simple and easily comprehensible.</w:t>
      </w:r>
      <w:r w:rsidR="00CB40FC">
        <w:rPr>
          <w:rStyle w:val="FootnoteReference"/>
        </w:rPr>
        <w:footnoteReference w:id="9"/>
      </w:r>
      <w:r w:rsidRPr="00D86047">
        <w:t xml:space="preserve"> </w:t>
      </w:r>
    </w:p>
    <w:p w:rsidR="00CF4A20" w:rsidRDefault="00C47159" w:rsidP="00B6196F">
      <w:pPr>
        <w:pStyle w:val="Heading1"/>
      </w:pPr>
      <w:bookmarkStart w:id="8" w:name="_Ref369280419"/>
      <w:bookmarkStart w:id="9" w:name="_Toc372726858"/>
      <w:r>
        <w:lastRenderedPageBreak/>
        <w:t>SP AusNet's proposal</w:t>
      </w:r>
      <w:bookmarkEnd w:id="8"/>
      <w:bookmarkEnd w:id="9"/>
    </w:p>
    <w:p w:rsidR="00C47159" w:rsidRDefault="00257B3F" w:rsidP="00C47159">
      <w:pPr>
        <w:pStyle w:val="AERbodytext"/>
        <w:numPr>
          <w:ilvl w:val="0"/>
          <w:numId w:val="0"/>
        </w:numPr>
      </w:pPr>
      <w:r>
        <w:t xml:space="preserve">Table 2 summarises the AMI remote services and </w:t>
      </w:r>
      <w:r w:rsidR="0004115C">
        <w:t xml:space="preserve">their respective </w:t>
      </w:r>
      <w:r>
        <w:t>charges in SP AusNet's proposal.</w:t>
      </w:r>
      <w:r w:rsidR="00054D8F">
        <w:t xml:space="preserve"> SP AusNet proposed these charges to apply from 1 January 2014 to 31 December 2015.</w:t>
      </w:r>
    </w:p>
    <w:p w:rsidR="00C47159" w:rsidRDefault="00C47159" w:rsidP="00C47159">
      <w:pPr>
        <w:pStyle w:val="Caption"/>
      </w:pPr>
      <w:r>
        <w:t>Table 2</w:t>
      </w:r>
      <w:r>
        <w:tab/>
        <w:t>SP AusNet proposed remote AMI services charges for 2014–15 (excluding GST</w:t>
      </w:r>
      <w:r w:rsidR="0004115C">
        <w:t>,</w:t>
      </w:r>
      <w:r>
        <w:t xml:space="preserve"> $2013)</w:t>
      </w:r>
    </w:p>
    <w:tbl>
      <w:tblPr>
        <w:tblStyle w:val="AERtable-numbers"/>
        <w:tblW w:w="0" w:type="auto"/>
        <w:tblLook w:val="04A0" w:firstRow="1" w:lastRow="0" w:firstColumn="1" w:lastColumn="0" w:noHBand="0" w:noVBand="1"/>
      </w:tblPr>
      <w:tblGrid>
        <w:gridCol w:w="4621"/>
        <w:gridCol w:w="4621"/>
      </w:tblGrid>
      <w:tr w:rsidR="00C47159" w:rsidTr="006D6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Name of service</w:t>
            </w:r>
          </w:p>
        </w:tc>
        <w:tc>
          <w:tcPr>
            <w:tcW w:w="4621" w:type="dxa"/>
          </w:tcPr>
          <w:p w:rsidR="00C47159" w:rsidRPr="00C47159" w:rsidRDefault="00C47159" w:rsidP="00387D4A">
            <w:pPr>
              <w:pStyle w:val="AERtabletextright"/>
              <w:cnfStyle w:val="100000000000" w:firstRow="1" w:lastRow="0" w:firstColumn="0" w:lastColumn="0" w:oddVBand="0" w:evenVBand="0" w:oddHBand="0" w:evenHBand="0" w:firstRowFirstColumn="0" w:firstRowLastColumn="0" w:lastRowFirstColumn="0" w:lastRowLastColumn="0"/>
            </w:pPr>
            <w:r>
              <w:t>Proposed charges</w:t>
            </w:r>
          </w:p>
        </w:tc>
      </w:tr>
      <w:tr w:rsidR="00C47159" w:rsidTr="006D69E1">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Remote re-energisation</w:t>
            </w:r>
          </w:p>
        </w:tc>
        <w:tc>
          <w:tcPr>
            <w:tcW w:w="4621" w:type="dxa"/>
          </w:tcPr>
          <w:p w:rsidR="00C47159" w:rsidRDefault="00C47159" w:rsidP="00387D4A">
            <w:pPr>
              <w:pStyle w:val="AERtabletextright"/>
              <w:cnfStyle w:val="000000000000" w:firstRow="0" w:lastRow="0" w:firstColumn="0" w:lastColumn="0" w:oddVBand="0" w:evenVBand="0" w:oddHBand="0" w:evenHBand="0" w:firstRowFirstColumn="0" w:firstRowLastColumn="0" w:lastRowFirstColumn="0" w:lastRowLastColumn="0"/>
            </w:pPr>
            <w:r>
              <w:t>2.45</w:t>
            </w:r>
          </w:p>
        </w:tc>
      </w:tr>
      <w:tr w:rsidR="00C47159" w:rsidTr="006D6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Remote de-energisation</w:t>
            </w:r>
          </w:p>
        </w:tc>
        <w:tc>
          <w:tcPr>
            <w:tcW w:w="4621" w:type="dxa"/>
          </w:tcPr>
          <w:p w:rsidR="00C47159" w:rsidRDefault="00C47159" w:rsidP="00387D4A">
            <w:pPr>
              <w:pStyle w:val="AERtabletextright"/>
              <w:cnfStyle w:val="000000010000" w:firstRow="0" w:lastRow="0" w:firstColumn="0" w:lastColumn="0" w:oddVBand="0" w:evenVBand="0" w:oddHBand="0" w:evenHBand="1" w:firstRowFirstColumn="0" w:firstRowLastColumn="0" w:lastRowFirstColumn="0" w:lastRowLastColumn="0"/>
            </w:pPr>
            <w:r>
              <w:t>3.35</w:t>
            </w:r>
          </w:p>
        </w:tc>
      </w:tr>
      <w:tr w:rsidR="00C47159" w:rsidTr="006D69E1">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Remote meter reconfiguration</w:t>
            </w:r>
          </w:p>
        </w:tc>
        <w:tc>
          <w:tcPr>
            <w:tcW w:w="4621" w:type="dxa"/>
          </w:tcPr>
          <w:p w:rsidR="00C47159" w:rsidRDefault="00C47159" w:rsidP="00387D4A">
            <w:pPr>
              <w:pStyle w:val="AERtabletextright"/>
              <w:cnfStyle w:val="000000000000" w:firstRow="0" w:lastRow="0" w:firstColumn="0" w:lastColumn="0" w:oddVBand="0" w:evenVBand="0" w:oddHBand="0" w:evenHBand="0" w:firstRowFirstColumn="0" w:firstRowLastColumn="0" w:lastRowFirstColumn="0" w:lastRowLastColumn="0"/>
            </w:pPr>
            <w:r>
              <w:t>20.15</w:t>
            </w:r>
          </w:p>
        </w:tc>
      </w:tr>
      <w:tr w:rsidR="00C47159" w:rsidTr="006D6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C47159" w:rsidRDefault="00C47159" w:rsidP="00C47159">
            <w:pPr>
              <w:pStyle w:val="AERbodytext"/>
            </w:pPr>
            <w:r>
              <w:t>Remote special meter read</w:t>
            </w:r>
          </w:p>
        </w:tc>
        <w:tc>
          <w:tcPr>
            <w:tcW w:w="4621" w:type="dxa"/>
          </w:tcPr>
          <w:p w:rsidR="00C47159" w:rsidRDefault="00C47159" w:rsidP="00387D4A">
            <w:pPr>
              <w:pStyle w:val="AERtabletextright"/>
              <w:cnfStyle w:val="000000010000" w:firstRow="0" w:lastRow="0" w:firstColumn="0" w:lastColumn="0" w:oddVBand="0" w:evenVBand="0" w:oddHBand="0" w:evenHBand="1" w:firstRowFirstColumn="0" w:firstRowLastColumn="0" w:lastRowFirstColumn="0" w:lastRowLastColumn="0"/>
            </w:pPr>
            <w:r>
              <w:t>0.55</w:t>
            </w:r>
          </w:p>
        </w:tc>
      </w:tr>
    </w:tbl>
    <w:p w:rsidR="00C47159" w:rsidRDefault="00257B3F" w:rsidP="00257B3F">
      <w:pPr>
        <w:pStyle w:val="AERtablesource"/>
      </w:pPr>
      <w:r>
        <w:t>Source:</w:t>
      </w:r>
      <w:r>
        <w:tab/>
      </w:r>
      <w:r w:rsidRPr="00257B3F">
        <w:t xml:space="preserve">SP AusNet, </w:t>
      </w:r>
      <w:r w:rsidRPr="00257B3F">
        <w:rPr>
          <w:rStyle w:val="AERtextitalic"/>
        </w:rPr>
        <w:t>Advanced metering infrastructure remote services charges application</w:t>
      </w:r>
      <w:r w:rsidRPr="00257B3F">
        <w:t xml:space="preserve">, </w:t>
      </w:r>
      <w:r>
        <w:t>30 August 2013, pp. 4, 17.</w:t>
      </w:r>
    </w:p>
    <w:p w:rsidR="00492377" w:rsidRDefault="00492377" w:rsidP="005250F0">
      <w:pPr>
        <w:pStyle w:val="AERbodytext"/>
        <w:numPr>
          <w:ilvl w:val="0"/>
          <w:numId w:val="13"/>
        </w:numPr>
      </w:pPr>
      <w:r>
        <w:t xml:space="preserve">SP AusNet </w:t>
      </w:r>
      <w:r w:rsidR="0004115C">
        <w:t xml:space="preserve">described </w:t>
      </w:r>
      <w:r>
        <w:t>AMI remote services</w:t>
      </w:r>
      <w:r w:rsidR="0004115C">
        <w:t xml:space="preserve"> as</w:t>
      </w:r>
      <w:r>
        <w:t>:</w:t>
      </w:r>
    </w:p>
    <w:p w:rsidR="00492377" w:rsidRPr="00265F13" w:rsidRDefault="00492377" w:rsidP="00492377">
      <w:pPr>
        <w:pStyle w:val="AERbulletlistfirststyle"/>
      </w:pPr>
      <w:r>
        <w:t>Re-energisation—</w:t>
      </w:r>
      <w:r w:rsidRPr="007C1F4A">
        <w:t>refers to the use of the AMI/smart metering</w:t>
      </w:r>
      <w:r>
        <w:t xml:space="preserve"> </w:t>
      </w:r>
      <w:r w:rsidRPr="007C1F4A">
        <w:t>infrastructure communications system to contro</w:t>
      </w:r>
      <w:r>
        <w:t xml:space="preserve">l a supply contactor inside the </w:t>
      </w:r>
      <w:r w:rsidRPr="007C1F4A">
        <w:t>meter such that the customer is connec</w:t>
      </w:r>
      <w:r>
        <w:t xml:space="preserve">ted to the DNSP’s network (also </w:t>
      </w:r>
      <w:r w:rsidRPr="007C1F4A">
        <w:t>referred to as ‘connection’)</w:t>
      </w:r>
      <w:r>
        <w:t>.</w:t>
      </w:r>
    </w:p>
    <w:p w:rsidR="00492377" w:rsidRPr="00265F13" w:rsidRDefault="00492377" w:rsidP="00492377">
      <w:pPr>
        <w:pStyle w:val="AERbulletlistfirststyle"/>
      </w:pPr>
      <w:r w:rsidRPr="00265F13">
        <w:t>De-ene</w:t>
      </w:r>
      <w:r>
        <w:t>rgisation—</w:t>
      </w:r>
      <w:r w:rsidRPr="003F4801">
        <w:t>refers to the use of the AMI/smart metering</w:t>
      </w:r>
      <w:r>
        <w:t xml:space="preserve"> </w:t>
      </w:r>
      <w:r w:rsidRPr="003F4801">
        <w:t>infrastructure communications system to contro</w:t>
      </w:r>
      <w:r>
        <w:t xml:space="preserve">l a supply contactor inside the </w:t>
      </w:r>
      <w:r w:rsidRPr="003F4801">
        <w:t>meter such that the customer is disconnected from the DNSP’s network (also</w:t>
      </w:r>
      <w:r>
        <w:t xml:space="preserve"> </w:t>
      </w:r>
      <w:r w:rsidRPr="003F4801">
        <w:t>referred to as ‘disconnection’)</w:t>
      </w:r>
      <w:r>
        <w:t>.</w:t>
      </w:r>
    </w:p>
    <w:p w:rsidR="00492377" w:rsidRDefault="00492377" w:rsidP="00492377">
      <w:pPr>
        <w:pStyle w:val="AERbulletlistfirststyle"/>
      </w:pPr>
      <w:r w:rsidRPr="00265F13">
        <w:t>Special meter reads</w:t>
      </w:r>
      <w:r>
        <w:t>—</w:t>
      </w:r>
      <w:r w:rsidRPr="00651E37">
        <w:t>an actual meter reading performed outside of the usual reading cycle for the</w:t>
      </w:r>
      <w:r>
        <w:t xml:space="preserve"> </w:t>
      </w:r>
      <w:r w:rsidRPr="00651E37">
        <w:t>meter</w:t>
      </w:r>
      <w:r w:rsidRPr="00265F13">
        <w:t>.</w:t>
      </w:r>
    </w:p>
    <w:p w:rsidR="00492377" w:rsidRPr="003F4801" w:rsidRDefault="00492377" w:rsidP="00492377">
      <w:pPr>
        <w:pStyle w:val="AERbulletlistfirststyle"/>
      </w:pPr>
      <w:r w:rsidRPr="00265F13">
        <w:t>Meter reconfigurations</w:t>
      </w:r>
      <w:r>
        <w:t>—</w:t>
      </w:r>
      <w:r w:rsidR="00EB73BB">
        <w:t xml:space="preserve">is </w:t>
      </w:r>
      <w:r w:rsidRPr="003F4801">
        <w:t>a change to the software in the meter that enables</w:t>
      </w:r>
      <w:r>
        <w:t xml:space="preserve"> </w:t>
      </w:r>
      <w:r w:rsidRPr="003F4801">
        <w:t>changes to parameters for a specific meter function. Examples of meter</w:t>
      </w:r>
      <w:r>
        <w:t xml:space="preserve"> </w:t>
      </w:r>
      <w:r w:rsidRPr="003F4801">
        <w:t>reconfigurations include:</w:t>
      </w:r>
    </w:p>
    <w:p w:rsidR="00492377" w:rsidRPr="003F4801" w:rsidRDefault="00492377" w:rsidP="00492377">
      <w:pPr>
        <w:pStyle w:val="AERbulletlistsecondstyle"/>
      </w:pPr>
      <w:r w:rsidRPr="003F4801">
        <w:t>changing the switching times for controlled loads</w:t>
      </w:r>
      <w:r>
        <w:t>.</w:t>
      </w:r>
    </w:p>
    <w:p w:rsidR="00492377" w:rsidRDefault="00492377" w:rsidP="00492377">
      <w:pPr>
        <w:pStyle w:val="AERbulletlistsecondstyle"/>
      </w:pPr>
      <w:r w:rsidRPr="003F4801">
        <w:t>changes associated with the installation of e</w:t>
      </w:r>
      <w:r>
        <w:t xml:space="preserve">mbedded generation and / or the </w:t>
      </w:r>
      <w:r w:rsidRPr="003F4801">
        <w:t>premium feed in tariff</w:t>
      </w:r>
      <w:r>
        <w:t>.</w:t>
      </w:r>
    </w:p>
    <w:p w:rsidR="00492377" w:rsidRDefault="00492377" w:rsidP="00492377">
      <w:pPr>
        <w:pStyle w:val="AERbulletlistsecondstyle"/>
      </w:pPr>
      <w:r w:rsidRPr="003F4801">
        <w:t>implementation of supply capacity.</w:t>
      </w:r>
      <w:r>
        <w:rPr>
          <w:rStyle w:val="FootnoteReference"/>
        </w:rPr>
        <w:footnoteReference w:id="10"/>
      </w:r>
    </w:p>
    <w:p w:rsidR="005250F0" w:rsidRDefault="005250F0" w:rsidP="005250F0">
      <w:pPr>
        <w:pStyle w:val="AERbodytext"/>
        <w:numPr>
          <w:ilvl w:val="0"/>
          <w:numId w:val="13"/>
        </w:numPr>
      </w:pPr>
      <w:r>
        <w:lastRenderedPageBreak/>
        <w:t>SP AusNet proposed</w:t>
      </w:r>
      <w:r w:rsidRPr="005250F0">
        <w:t xml:space="preserve"> that the commercial terms and conditions for providing remote AMI </w:t>
      </w:r>
      <w:r>
        <w:t xml:space="preserve">services be the same as the </w:t>
      </w:r>
      <w:r w:rsidRPr="005250F0">
        <w:t xml:space="preserve">terms and conditions in sections 4.2, 6 and 7 of the </w:t>
      </w:r>
      <w:r>
        <w:t xml:space="preserve">Use of System Agreement between </w:t>
      </w:r>
      <w:r w:rsidRPr="005250F0">
        <w:t>SP AusNet and the relevant retailer.</w:t>
      </w:r>
      <w:r>
        <w:rPr>
          <w:rStyle w:val="FootnoteReference"/>
        </w:rPr>
        <w:footnoteReference w:id="11"/>
      </w:r>
    </w:p>
    <w:p w:rsidR="005250F0" w:rsidRDefault="005250F0" w:rsidP="005250F0">
      <w:pPr>
        <w:pStyle w:val="AERbodytext"/>
        <w:numPr>
          <w:ilvl w:val="0"/>
          <w:numId w:val="13"/>
        </w:numPr>
      </w:pPr>
      <w:r>
        <w:t>Regarding the minimum requirements set out in paragraph 5.5.2 of Guideline 14, SP AusNet:</w:t>
      </w:r>
    </w:p>
    <w:p w:rsidR="005250F0" w:rsidRDefault="00A01894" w:rsidP="005250F0">
      <w:pPr>
        <w:pStyle w:val="AERbulletlistfirststyle"/>
      </w:pPr>
      <w:r>
        <w:t>provided a description of each AMI remote service in its proposal (paragraph 5.5.1(a))</w:t>
      </w:r>
      <w:r w:rsidR="009308D5">
        <w:t>.</w:t>
      </w:r>
      <w:r>
        <w:rPr>
          <w:rStyle w:val="FootnoteReference"/>
        </w:rPr>
        <w:footnoteReference w:id="12"/>
      </w:r>
    </w:p>
    <w:p w:rsidR="00A01894" w:rsidRDefault="006316F2" w:rsidP="006316F2">
      <w:pPr>
        <w:pStyle w:val="AERbulletlistfirststyle"/>
      </w:pPr>
      <w:proofErr w:type="gramStart"/>
      <w:r w:rsidRPr="006316F2">
        <w:t>did</w:t>
      </w:r>
      <w:proofErr w:type="gramEnd"/>
      <w:r w:rsidRPr="006316F2">
        <w:t xml:space="preserve"> not </w:t>
      </w:r>
      <w:r w:rsidR="00341AA6">
        <w:t xml:space="preserve">provide an explanation for any changes in the charges or terms and conditions for excluded services as referred to in </w:t>
      </w:r>
      <w:r w:rsidRPr="006316F2">
        <w:t>paragraph 5.5.1(b)</w:t>
      </w:r>
      <w:r w:rsidR="00F93412">
        <w:t xml:space="preserve">, </w:t>
      </w:r>
      <w:r w:rsidR="00B55001">
        <w:t>as t</w:t>
      </w:r>
      <w:r w:rsidR="001B3156">
        <w:t xml:space="preserve">his is SP AusNet’s first application for approval of excluded service charges. Therefore, there were no </w:t>
      </w:r>
      <w:r w:rsidR="00B55001">
        <w:t xml:space="preserve">existing </w:t>
      </w:r>
      <w:r w:rsidR="001B3156">
        <w:t xml:space="preserve">changes for which an explanation was required under paragraph 5.5.1(b). </w:t>
      </w:r>
      <w:r>
        <w:t xml:space="preserve">SP AusNet noted that it may adjust AMI remote services charges over time, subject to </w:t>
      </w:r>
      <w:r w:rsidR="00C0565C">
        <w:t xml:space="preserve">AER </w:t>
      </w:r>
      <w:r>
        <w:t>approval, as it gains more information regarding actual costs of providing the services.</w:t>
      </w:r>
      <w:r>
        <w:rPr>
          <w:rStyle w:val="FootnoteReference"/>
        </w:rPr>
        <w:footnoteReference w:id="13"/>
      </w:r>
    </w:p>
    <w:p w:rsidR="009308D5" w:rsidRPr="005250F0" w:rsidRDefault="009308D5" w:rsidP="009308D5">
      <w:pPr>
        <w:pStyle w:val="AERbulletlistfirststyle"/>
      </w:pPr>
      <w:r w:rsidRPr="009308D5">
        <w:t>provided details regarding the internal processes required to provide AMI remote</w:t>
      </w:r>
      <w:r>
        <w:t xml:space="preserve"> </w:t>
      </w:r>
      <w:r w:rsidRPr="009308D5">
        <w:t>services in relation to paragraph 5.5.1(d)</w:t>
      </w:r>
      <w:r>
        <w:t>.</w:t>
      </w:r>
      <w:r>
        <w:rPr>
          <w:rStyle w:val="FootnoteReference"/>
        </w:rPr>
        <w:footnoteReference w:id="14"/>
      </w:r>
    </w:p>
    <w:p w:rsidR="00C47159" w:rsidRDefault="00C47159" w:rsidP="00B6196F">
      <w:pPr>
        <w:pStyle w:val="Heading1"/>
      </w:pPr>
      <w:bookmarkStart w:id="10" w:name="_Toc372726859"/>
      <w:r>
        <w:lastRenderedPageBreak/>
        <w:t>AER issues and considerations</w:t>
      </w:r>
      <w:bookmarkEnd w:id="10"/>
    </w:p>
    <w:p w:rsidR="004E4970" w:rsidRDefault="004E4970" w:rsidP="00B06DF4">
      <w:pPr>
        <w:pStyle w:val="AERbodytext"/>
        <w:numPr>
          <w:ilvl w:val="0"/>
          <w:numId w:val="0"/>
        </w:numPr>
      </w:pPr>
      <w:r w:rsidRPr="001028F8">
        <w:t xml:space="preserve">The following section outlines </w:t>
      </w:r>
      <w:r w:rsidRPr="004E4970">
        <w:t xml:space="preserve">our consideration of SP AusNet's proposed charges. </w:t>
      </w:r>
    </w:p>
    <w:p w:rsidR="001028F8" w:rsidRDefault="001028F8" w:rsidP="00B06DF4">
      <w:pPr>
        <w:pStyle w:val="Heading2"/>
      </w:pPr>
      <w:bookmarkStart w:id="11" w:name="_Toc372726860"/>
      <w:r>
        <w:t>Statement of proposed charges</w:t>
      </w:r>
      <w:bookmarkEnd w:id="11"/>
    </w:p>
    <w:p w:rsidR="00AA299C" w:rsidRPr="00AA299C" w:rsidRDefault="00AA299C" w:rsidP="001C112A">
      <w:pPr>
        <w:pStyle w:val="AERbodytext"/>
        <w:numPr>
          <w:ilvl w:val="0"/>
          <w:numId w:val="13"/>
        </w:numPr>
      </w:pPr>
      <w:r w:rsidRPr="00AA299C">
        <w:t xml:space="preserve">Paragraph 5.5.2 of Guideline 14 requires </w:t>
      </w:r>
      <w:r>
        <w:t>that SP AusNet's statement satisfies</w:t>
      </w:r>
      <w:r w:rsidRPr="00AA299C">
        <w:t xml:space="preserve"> paragraphs</w:t>
      </w:r>
      <w:r>
        <w:t xml:space="preserve"> 5.5.1(a), (b), and (d) </w:t>
      </w:r>
      <w:r w:rsidRPr="00AA299C">
        <w:t xml:space="preserve">as a minimum requirement in order </w:t>
      </w:r>
      <w:r>
        <w:t xml:space="preserve">to comply </w:t>
      </w:r>
      <w:r w:rsidRPr="00AA299C">
        <w:t xml:space="preserve">with Guideline 14. </w:t>
      </w:r>
      <w:r w:rsidR="00A75D62">
        <w:t>Appendix A sets out the requirements of these paragraphs.</w:t>
      </w:r>
    </w:p>
    <w:p w:rsidR="001028F8" w:rsidRDefault="0020030C" w:rsidP="00B06DF4">
      <w:pPr>
        <w:pStyle w:val="AERbodytext"/>
        <w:numPr>
          <w:ilvl w:val="0"/>
          <w:numId w:val="13"/>
        </w:numPr>
      </w:pPr>
      <w:r>
        <w:t>S</w:t>
      </w:r>
      <w:r w:rsidRPr="00AA299C">
        <w:t xml:space="preserve">ection </w:t>
      </w:r>
      <w:r>
        <w:fldChar w:fldCharType="begin"/>
      </w:r>
      <w:r>
        <w:instrText xml:space="preserve"> REF _Ref369280419 \r \h </w:instrText>
      </w:r>
      <w:r>
        <w:fldChar w:fldCharType="separate"/>
      </w:r>
      <w:r>
        <w:t>3</w:t>
      </w:r>
      <w:r>
        <w:fldChar w:fldCharType="end"/>
      </w:r>
      <w:r w:rsidR="00651C3D">
        <w:t xml:space="preserve"> of this </w:t>
      </w:r>
      <w:r w:rsidR="00237FC8">
        <w:t>final</w:t>
      </w:r>
      <w:r w:rsidR="00651C3D">
        <w:t xml:space="preserve"> decision </w:t>
      </w:r>
      <w:r>
        <w:t>outlines t</w:t>
      </w:r>
      <w:r w:rsidRPr="00AA299C">
        <w:t xml:space="preserve">he content of </w:t>
      </w:r>
      <w:r>
        <w:t xml:space="preserve">SP AusNet's proposal. </w:t>
      </w:r>
      <w:r w:rsidR="00AA299C">
        <w:t>We consider</w:t>
      </w:r>
      <w:r w:rsidR="00AA299C" w:rsidRPr="00AA299C">
        <w:t xml:space="preserve"> that </w:t>
      </w:r>
      <w:r w:rsidR="00AA299C">
        <w:t>SP</w:t>
      </w:r>
      <w:r w:rsidR="00C43D24">
        <w:t> </w:t>
      </w:r>
      <w:r w:rsidR="00AA299C">
        <w:t>AusNet's proposal</w:t>
      </w:r>
      <w:r w:rsidR="00AA299C" w:rsidRPr="00AA299C">
        <w:t xml:space="preserve"> </w:t>
      </w:r>
      <w:r w:rsidR="00AA299C">
        <w:t xml:space="preserve">satisfies paragraphs 5.5.1(a), </w:t>
      </w:r>
      <w:r w:rsidR="00AA299C" w:rsidRPr="00AA299C">
        <w:t xml:space="preserve">5.5.1(b) and 5.5.1(d). </w:t>
      </w:r>
    </w:p>
    <w:p w:rsidR="00C43D24" w:rsidRDefault="00C43D24" w:rsidP="00B06DF4">
      <w:pPr>
        <w:pStyle w:val="AERbodytext"/>
        <w:numPr>
          <w:ilvl w:val="0"/>
          <w:numId w:val="13"/>
        </w:numPr>
      </w:pPr>
      <w:r>
        <w:t xml:space="preserve">We are satisfied that the </w:t>
      </w:r>
      <w:r w:rsidR="002B6B6E">
        <w:t>default</w:t>
      </w:r>
      <w:r>
        <w:t xml:space="preserve"> Use of System agreement between SP AusNet and retailers represents reasonable terms and conditions for the provision of the proposed services. We have included that agreement as a separate attachment to this decision</w:t>
      </w:r>
      <w:r w:rsidR="003B693F">
        <w:t xml:space="preserve"> on our website</w:t>
      </w:r>
      <w:r>
        <w:t>.</w:t>
      </w:r>
    </w:p>
    <w:p w:rsidR="001028F8" w:rsidRDefault="00054D8F" w:rsidP="00B06DF4">
      <w:pPr>
        <w:pStyle w:val="Heading2"/>
      </w:pPr>
      <w:bookmarkStart w:id="12" w:name="_Toc372726861"/>
      <w:r>
        <w:t>Cost of service provision</w:t>
      </w:r>
      <w:bookmarkEnd w:id="12"/>
    </w:p>
    <w:p w:rsidR="00054D8F" w:rsidRPr="00054D8F" w:rsidRDefault="00054D8F" w:rsidP="000D5C92">
      <w:pPr>
        <w:pStyle w:val="AERbodytext"/>
        <w:numPr>
          <w:ilvl w:val="0"/>
          <w:numId w:val="13"/>
        </w:numPr>
      </w:pPr>
      <w:r w:rsidRPr="00054D8F">
        <w:t>Paragraph 5.6.2(a) of Guideline 14 requires that the</w:t>
      </w:r>
      <w:r>
        <w:t xml:space="preserve"> proposed charges and terms and </w:t>
      </w:r>
      <w:r w:rsidRPr="00054D8F">
        <w:t xml:space="preserve">conditions are based on the costs incurred by </w:t>
      </w:r>
      <w:r w:rsidR="00DF6234">
        <w:t>SP AusNet</w:t>
      </w:r>
      <w:r>
        <w:t xml:space="preserve"> in providing the excluded </w:t>
      </w:r>
      <w:r w:rsidR="000D5C92">
        <w:t xml:space="preserve">service. </w:t>
      </w:r>
      <w:r w:rsidR="00E942EC">
        <w:t>T</w:t>
      </w:r>
      <w:r w:rsidRPr="00054D8F">
        <w:t xml:space="preserve">o determine compliance, </w:t>
      </w:r>
      <w:r w:rsidR="00DF6234">
        <w:t xml:space="preserve">we </w:t>
      </w:r>
      <w:r w:rsidRPr="00054D8F">
        <w:t xml:space="preserve">reviewed </w:t>
      </w:r>
      <w:r>
        <w:t xml:space="preserve">the </w:t>
      </w:r>
      <w:r w:rsidRPr="00054D8F">
        <w:t xml:space="preserve">various processes that </w:t>
      </w:r>
      <w:r w:rsidR="00DF6234">
        <w:t xml:space="preserve">SP AusNet </w:t>
      </w:r>
      <w:r w:rsidRPr="00054D8F">
        <w:t>need</w:t>
      </w:r>
      <w:r w:rsidR="00DF6234">
        <w:t>s</w:t>
      </w:r>
      <w:r w:rsidRPr="00054D8F">
        <w:t xml:space="preserve"> </w:t>
      </w:r>
      <w:r>
        <w:t xml:space="preserve">to complete for each AMI remote </w:t>
      </w:r>
      <w:r w:rsidRPr="00054D8F">
        <w:t>service.</w:t>
      </w:r>
    </w:p>
    <w:p w:rsidR="00054D8F" w:rsidRDefault="00DF6234" w:rsidP="00054D8F">
      <w:pPr>
        <w:pStyle w:val="AERbodytext"/>
        <w:numPr>
          <w:ilvl w:val="0"/>
          <w:numId w:val="13"/>
        </w:numPr>
      </w:pPr>
      <w:r>
        <w:t xml:space="preserve">SP AusNet </w:t>
      </w:r>
      <w:r w:rsidR="00054D8F" w:rsidRPr="00054D8F">
        <w:t>propose</w:t>
      </w:r>
      <w:r>
        <w:t>d</w:t>
      </w:r>
      <w:r w:rsidR="00054D8F" w:rsidRPr="00054D8F">
        <w:t xml:space="preserve"> to use terms and con</w:t>
      </w:r>
      <w:r w:rsidR="00054D8F">
        <w:t xml:space="preserve">ditions that currently apply to </w:t>
      </w:r>
      <w:r w:rsidR="00054D8F" w:rsidRPr="00054D8F">
        <w:t xml:space="preserve">other excluded services. </w:t>
      </w:r>
      <w:r>
        <w:t xml:space="preserve">We </w:t>
      </w:r>
      <w:r w:rsidR="00054D8F" w:rsidRPr="00054D8F">
        <w:t xml:space="preserve">reviewed </w:t>
      </w:r>
      <w:r w:rsidR="00054D8F">
        <w:t>the</w:t>
      </w:r>
      <w:r>
        <w:t>se</w:t>
      </w:r>
      <w:r w:rsidR="00054D8F">
        <w:t xml:space="preserve"> </w:t>
      </w:r>
      <w:r>
        <w:t>and consider</w:t>
      </w:r>
      <w:r w:rsidR="00054D8F" w:rsidRPr="00054D8F">
        <w:t xml:space="preserve"> they are appropria</w:t>
      </w:r>
      <w:r w:rsidR="00054D8F">
        <w:t xml:space="preserve">te for AMI remote services. </w:t>
      </w:r>
      <w:r>
        <w:t xml:space="preserve">Appendix A of this </w:t>
      </w:r>
      <w:r w:rsidR="00237FC8">
        <w:t>final</w:t>
      </w:r>
      <w:r>
        <w:t xml:space="preserve"> decision includes t</w:t>
      </w:r>
      <w:r w:rsidR="00054D8F">
        <w:t xml:space="preserve">he </w:t>
      </w:r>
      <w:r w:rsidR="00054D8F" w:rsidRPr="00054D8F">
        <w:t>relevant terms and conditions</w:t>
      </w:r>
      <w:r w:rsidR="00054D8F">
        <w:t>.</w:t>
      </w:r>
    </w:p>
    <w:p w:rsidR="000D5C92" w:rsidRDefault="00405619" w:rsidP="000D5C92">
      <w:pPr>
        <w:pStyle w:val="AERbodytext"/>
        <w:numPr>
          <w:ilvl w:val="0"/>
          <w:numId w:val="13"/>
        </w:numPr>
      </w:pPr>
      <w:r w:rsidRPr="0020030C">
        <w:t xml:space="preserve">When reviewing the proposed costs, </w:t>
      </w:r>
      <w:r>
        <w:t xml:space="preserve">we </w:t>
      </w:r>
      <w:r w:rsidRPr="0020030C">
        <w:t>took</w:t>
      </w:r>
      <w:r>
        <w:t xml:space="preserve"> into account SP AusNet's application document and model.</w:t>
      </w:r>
      <w:r>
        <w:rPr>
          <w:rStyle w:val="FootnoteReference"/>
        </w:rPr>
        <w:footnoteReference w:id="15"/>
      </w:r>
      <w:r w:rsidRPr="0020030C">
        <w:t xml:space="preserve"> </w:t>
      </w:r>
      <w:r>
        <w:t xml:space="preserve">We also considered our </w:t>
      </w:r>
      <w:r w:rsidR="00B55001">
        <w:t xml:space="preserve">previous </w:t>
      </w:r>
      <w:r>
        <w:t>determination for the AMI remote service charges of the other Victorian DNSPs</w:t>
      </w:r>
      <w:r w:rsidRPr="0020030C">
        <w:t>.</w:t>
      </w:r>
      <w:r>
        <w:rPr>
          <w:rStyle w:val="FootnoteReference"/>
        </w:rPr>
        <w:footnoteReference w:id="16"/>
      </w:r>
    </w:p>
    <w:p w:rsidR="00E942EC" w:rsidRDefault="009614CA" w:rsidP="00054D8F">
      <w:pPr>
        <w:pStyle w:val="AERbodytext"/>
        <w:numPr>
          <w:ilvl w:val="0"/>
          <w:numId w:val="13"/>
        </w:numPr>
      </w:pPr>
      <w:r>
        <w:t xml:space="preserve">The following sets out our consideration of </w:t>
      </w:r>
      <w:r w:rsidR="000D5C92">
        <w:t xml:space="preserve">SP AusNet's proposed </w:t>
      </w:r>
      <w:r>
        <w:t xml:space="preserve">charges </w:t>
      </w:r>
      <w:r w:rsidR="000D5C92">
        <w:t xml:space="preserve">for AMI remote services, including the activities that comprise these charges. These charges and activities relate to the </w:t>
      </w:r>
      <w:r w:rsidR="00E942EC">
        <w:t xml:space="preserve">back office </w:t>
      </w:r>
      <w:r w:rsidR="000D5C92">
        <w:t xml:space="preserve">manual intervention SP AusNet anticipates it will need to do as it establishes the processes for </w:t>
      </w:r>
      <w:r w:rsidR="00E942EC">
        <w:t xml:space="preserve">undertaking </w:t>
      </w:r>
      <w:r w:rsidR="000D5C92">
        <w:t>remote services.</w:t>
      </w:r>
      <w:r w:rsidR="00E942EC" w:rsidRPr="00E942EC">
        <w:t xml:space="preserve"> </w:t>
      </w:r>
      <w:r w:rsidR="00E942EC">
        <w:t>We acknowledge SP AusNet will need to perform manual intervention as it establishes the processes for remote services. This is in line with the other DNSPs</w:t>
      </w:r>
      <w:r w:rsidR="00F93412">
        <w:t>'</w:t>
      </w:r>
      <w:r w:rsidR="00E942EC">
        <w:t xml:space="preserve"> current practices. However, we anticipate SP AusNet will be in a position to reduce these charges as the need for manual intervention declines in future.</w:t>
      </w:r>
    </w:p>
    <w:p w:rsidR="00104D07" w:rsidRDefault="00ED2AB7" w:rsidP="00104D07">
      <w:pPr>
        <w:pStyle w:val="HeadingBoldBlue"/>
      </w:pPr>
      <w:r>
        <w:t>Remote re-energisation</w:t>
      </w:r>
    </w:p>
    <w:p w:rsidR="00ED2AB7" w:rsidRPr="00ED2AB7" w:rsidRDefault="00ED2AB7" w:rsidP="00ED2AB7">
      <w:pPr>
        <w:pStyle w:val="AERbodytext"/>
        <w:numPr>
          <w:ilvl w:val="0"/>
          <w:numId w:val="13"/>
        </w:numPr>
      </w:pPr>
      <w:r w:rsidRPr="00ED2AB7">
        <w:t>We consider SP A</w:t>
      </w:r>
      <w:r w:rsidR="00FB1423">
        <w:t>usNet's proposed charge of $2.45</w:t>
      </w:r>
      <w:r w:rsidRPr="00ED2AB7">
        <w:t xml:space="preserve"> ($2013) </w:t>
      </w:r>
      <w:r w:rsidR="006F0549">
        <w:t xml:space="preserve">is fair and reasonable. </w:t>
      </w:r>
    </w:p>
    <w:p w:rsidR="004D7B54" w:rsidRDefault="00FB1423" w:rsidP="000D5C92">
      <w:pPr>
        <w:pStyle w:val="AERbodytext"/>
        <w:numPr>
          <w:ilvl w:val="0"/>
          <w:numId w:val="13"/>
        </w:numPr>
      </w:pPr>
      <w:r>
        <w:lastRenderedPageBreak/>
        <w:t>SP AusNet assumed</w:t>
      </w:r>
      <w:r w:rsidR="006D184E">
        <w:t xml:space="preserve"> 10</w:t>
      </w:r>
      <w:r w:rsidR="00ED2AB7">
        <w:t xml:space="preserve"> per cent of eligible service orders will require manual validation</w:t>
      </w:r>
      <w:r w:rsidR="00ED2AB7" w:rsidRPr="00ED2AB7">
        <w:t xml:space="preserve"> </w:t>
      </w:r>
      <w:r w:rsidR="006D184E">
        <w:t xml:space="preserve">of </w:t>
      </w:r>
      <w:r w:rsidR="00143A86">
        <w:t xml:space="preserve">five </w:t>
      </w:r>
      <w:r w:rsidR="006D184E">
        <w:t>minutes.</w:t>
      </w:r>
      <w:r w:rsidR="00ED2AB7" w:rsidRPr="00ED2AB7">
        <w:rPr>
          <w:rStyle w:val="FootnoteReference"/>
        </w:rPr>
        <w:footnoteReference w:id="17"/>
      </w:r>
      <w:r w:rsidR="00ED2AB7" w:rsidRPr="00ED2AB7">
        <w:t xml:space="preserve"> This</w:t>
      </w:r>
      <w:r w:rsidR="0082785D">
        <w:t xml:space="preserve"> </w:t>
      </w:r>
      <w:r w:rsidR="00143A86">
        <w:t>is within the</w:t>
      </w:r>
      <w:r w:rsidR="006D184E">
        <w:t xml:space="preserve"> 6.6 minutes that </w:t>
      </w:r>
      <w:r w:rsidR="00ED2AB7" w:rsidRPr="00ED2AB7">
        <w:t xml:space="preserve">Impaq Consulting </w:t>
      </w:r>
      <w:r w:rsidR="00143A86">
        <w:t xml:space="preserve">advised us was </w:t>
      </w:r>
      <w:r w:rsidR="00ED2AB7" w:rsidRPr="00ED2AB7">
        <w:t>appropriate and which we adopted in our determination for the other Victorian DNSPs.</w:t>
      </w:r>
      <w:r w:rsidR="00ED2AB7" w:rsidRPr="00ED2AB7">
        <w:rPr>
          <w:rStyle w:val="FootnoteReference"/>
        </w:rPr>
        <w:footnoteReference w:id="18"/>
      </w:r>
      <w:r w:rsidR="006D184E" w:rsidRPr="006D184E">
        <w:t xml:space="preserve"> </w:t>
      </w:r>
    </w:p>
    <w:p w:rsidR="00104D07" w:rsidRDefault="00804A88" w:rsidP="00804A88">
      <w:pPr>
        <w:pStyle w:val="AERbodytext"/>
        <w:numPr>
          <w:ilvl w:val="0"/>
          <w:numId w:val="13"/>
        </w:numPr>
      </w:pPr>
      <w:r>
        <w:t>SP AusNet also assumed 10</w:t>
      </w:r>
      <w:r w:rsidR="006D184E" w:rsidRPr="006D184E">
        <w:t xml:space="preserve"> per cent</w:t>
      </w:r>
      <w:r>
        <w:t xml:space="preserve"> of eligible service orders </w:t>
      </w:r>
      <w:r w:rsidR="006D184E" w:rsidRPr="006D184E">
        <w:t xml:space="preserve">will require back office support for system timeout </w:t>
      </w:r>
      <w:r>
        <w:t>of 2</w:t>
      </w:r>
      <w:r w:rsidR="006D184E" w:rsidRPr="006D184E">
        <w:t>0 minutes.</w:t>
      </w:r>
      <w:r>
        <w:t xml:space="preserve"> Our previous analysis </w:t>
      </w:r>
      <w:r w:rsidR="00143A86">
        <w:t xml:space="preserve">of the other DNSPs </w:t>
      </w:r>
      <w:r>
        <w:t xml:space="preserve">did not account for this additional back office time. However, </w:t>
      </w:r>
      <w:r w:rsidR="00B31A40">
        <w:t xml:space="preserve">as discussed above, </w:t>
      </w:r>
      <w:r>
        <w:t xml:space="preserve">we </w:t>
      </w:r>
      <w:r w:rsidR="00B31A40">
        <w:t xml:space="preserve">consider </w:t>
      </w:r>
      <w:r>
        <w:t xml:space="preserve">that DNSPs will initially require </w:t>
      </w:r>
      <w:r w:rsidRPr="00804A88">
        <w:t>manual inter</w:t>
      </w:r>
      <w:r>
        <w:t>vention for remote services as they</w:t>
      </w:r>
      <w:r w:rsidRPr="00804A88">
        <w:t xml:space="preserve"> finalise internal processes to ensure a</w:t>
      </w:r>
      <w:r>
        <w:t xml:space="preserve"> reliable level of service with </w:t>
      </w:r>
      <w:r w:rsidRPr="00804A88">
        <w:t>minimal risk.</w:t>
      </w:r>
      <w:r w:rsidR="004D7B54">
        <w:rPr>
          <w:rStyle w:val="FootnoteReference"/>
        </w:rPr>
        <w:footnoteReference w:id="19"/>
      </w:r>
      <w:r w:rsidR="004D7B54">
        <w:t xml:space="preserve"> </w:t>
      </w:r>
      <w:r w:rsidR="0011078B">
        <w:t xml:space="preserve"> It is expected that</w:t>
      </w:r>
      <w:r w:rsidR="00987007">
        <w:t xml:space="preserve"> time claimed for manual intervention will be supported by observed d</w:t>
      </w:r>
      <w:r w:rsidR="00877EDB">
        <w:t>ata as more services are provided to customers</w:t>
      </w:r>
      <w:r w:rsidR="004D7B54">
        <w:t>.</w:t>
      </w:r>
      <w:r w:rsidR="004A3FF3">
        <w:rPr>
          <w:rStyle w:val="FootnoteReference"/>
        </w:rPr>
        <w:footnoteReference w:id="20"/>
      </w:r>
      <w:r w:rsidR="004D7B54">
        <w:t xml:space="preserve"> </w:t>
      </w:r>
      <w:r w:rsidR="00143A86">
        <w:t xml:space="preserve">In light of </w:t>
      </w:r>
      <w:r w:rsidR="004A3FF3">
        <w:t>this</w:t>
      </w:r>
      <w:r w:rsidR="004D7B54">
        <w:t>,</w:t>
      </w:r>
      <w:r w:rsidR="004A3FF3">
        <w:t xml:space="preserve"> and considering that</w:t>
      </w:r>
      <w:r w:rsidR="004D7B54">
        <w:t xml:space="preserve"> SP AusNet's charges for remote re-energisation is significantly less than those of the other Victorian DNSPs, we do not consider this to be a material issue.</w:t>
      </w:r>
    </w:p>
    <w:p w:rsidR="000D5C92" w:rsidRDefault="000D5C92" w:rsidP="00804A88">
      <w:pPr>
        <w:pStyle w:val="AERbodytext"/>
        <w:numPr>
          <w:ilvl w:val="0"/>
          <w:numId w:val="13"/>
        </w:numPr>
      </w:pPr>
      <w:r>
        <w:t>To calculate its charge for remote re-energisation, SP AusNet used an hourly rate for back office support of $42.00 ($2013).</w:t>
      </w:r>
      <w:r>
        <w:rPr>
          <w:rStyle w:val="FootnoteReference"/>
        </w:rPr>
        <w:footnoteReference w:id="21"/>
      </w:r>
      <w:r>
        <w:t xml:space="preserve"> We consider this is reasonable as it compares favourably with the hourly rate we approved for back office workers </w:t>
      </w:r>
      <w:r w:rsidR="00A605FB">
        <w:t xml:space="preserve">($66.02, $2013) </w:t>
      </w:r>
      <w:r w:rsidR="00B55001">
        <w:t xml:space="preserve">in </w:t>
      </w:r>
      <w:r>
        <w:t xml:space="preserve">the </w:t>
      </w:r>
      <w:r w:rsidR="00B55001">
        <w:t xml:space="preserve">2011-15 </w:t>
      </w:r>
      <w:r>
        <w:t>Victorian distribution determination</w:t>
      </w:r>
      <w:r w:rsidR="00A605FB">
        <w:t>.</w:t>
      </w:r>
      <w:r w:rsidR="00A605FB">
        <w:rPr>
          <w:rStyle w:val="FootnoteReference"/>
        </w:rPr>
        <w:footnoteReference w:id="22"/>
      </w:r>
      <w:r w:rsidR="00C57AC1">
        <w:t xml:space="preserve"> SP AusNet used its rate for back office support to calculate proposed charges for all remote services. </w:t>
      </w:r>
      <w:r w:rsidR="00B31A40">
        <w:t>Our assessment that SP AusNet’s hourly rate for back office support is fair and reasonable also applies to the other remote services discussed below</w:t>
      </w:r>
      <w:r w:rsidR="00C57AC1">
        <w:t>.</w:t>
      </w:r>
    </w:p>
    <w:p w:rsidR="00F74494" w:rsidRDefault="00350E87" w:rsidP="00804A88">
      <w:pPr>
        <w:pStyle w:val="AERbodytext"/>
        <w:numPr>
          <w:ilvl w:val="0"/>
          <w:numId w:val="13"/>
        </w:numPr>
      </w:pPr>
      <w:r>
        <w:t xml:space="preserve">We note </w:t>
      </w:r>
      <w:r w:rsidR="00F74494">
        <w:t xml:space="preserve">SP AusNet's proposed charge </w:t>
      </w:r>
      <w:r w:rsidR="009142AC">
        <w:t xml:space="preserve">of </w:t>
      </w:r>
      <w:r w:rsidR="00F74494">
        <w:t>$2.45</w:t>
      </w:r>
      <w:r w:rsidR="00F74494" w:rsidRPr="00ED2AB7">
        <w:t xml:space="preserve"> ($2013)</w:t>
      </w:r>
      <w:r w:rsidR="00F74494">
        <w:t xml:space="preserve"> for remote re-energisation </w:t>
      </w:r>
      <w:r w:rsidR="00F74494" w:rsidRPr="00ED2AB7">
        <w:t xml:space="preserve">compares favourably with the charges we approved for </w:t>
      </w:r>
      <w:r w:rsidR="00F74494">
        <w:t>the other Victorian DNSPs, which range from</w:t>
      </w:r>
      <w:r w:rsidR="00F74494" w:rsidRPr="00ED2AB7">
        <w:t xml:space="preserve"> $</w:t>
      </w:r>
      <w:r w:rsidR="00F74494">
        <w:t>5</w:t>
      </w:r>
      <w:r w:rsidR="00F74494" w:rsidRPr="00ED2AB7">
        <w:t>.</w:t>
      </w:r>
      <w:r w:rsidR="00F74494">
        <w:t>83</w:t>
      </w:r>
      <w:r w:rsidR="00F74494" w:rsidRPr="00ED2AB7">
        <w:t xml:space="preserve"> ($2013) </w:t>
      </w:r>
      <w:r w:rsidR="00F74494">
        <w:t>to</w:t>
      </w:r>
      <w:r w:rsidR="00F74494" w:rsidRPr="00ED2AB7">
        <w:t xml:space="preserve"> $</w:t>
      </w:r>
      <w:r w:rsidR="00F74494">
        <w:t>6</w:t>
      </w:r>
      <w:r w:rsidR="00F74494" w:rsidRPr="00ED2AB7">
        <w:t>.</w:t>
      </w:r>
      <w:r w:rsidR="00F74494">
        <w:t>20</w:t>
      </w:r>
      <w:r w:rsidR="00F74494" w:rsidRPr="00ED2AB7">
        <w:t xml:space="preserve"> ($2013).</w:t>
      </w:r>
      <w:r w:rsidR="00F74494" w:rsidRPr="00ED2AB7">
        <w:rPr>
          <w:rStyle w:val="FootnoteReference"/>
        </w:rPr>
        <w:footnoteReference w:id="23"/>
      </w:r>
    </w:p>
    <w:p w:rsidR="00ED2AB7" w:rsidRDefault="00ED2AB7" w:rsidP="00ED2AB7">
      <w:pPr>
        <w:pStyle w:val="HeadingBoldBlue"/>
      </w:pPr>
      <w:r>
        <w:t>Remote de-energisation</w:t>
      </w:r>
    </w:p>
    <w:p w:rsidR="0082785D" w:rsidRPr="0082785D" w:rsidRDefault="0082785D" w:rsidP="0082785D">
      <w:pPr>
        <w:pStyle w:val="AERbodytext"/>
        <w:numPr>
          <w:ilvl w:val="0"/>
          <w:numId w:val="13"/>
        </w:numPr>
      </w:pPr>
      <w:r w:rsidRPr="0082785D">
        <w:t>We consider SP A</w:t>
      </w:r>
      <w:r>
        <w:t>usNet's proposed charge of $3</w:t>
      </w:r>
      <w:r w:rsidRPr="0082785D">
        <w:t>.</w:t>
      </w:r>
      <w:r>
        <w:t>3</w:t>
      </w:r>
      <w:r w:rsidRPr="0082785D">
        <w:t xml:space="preserve">5 ($2013) </w:t>
      </w:r>
      <w:r w:rsidR="006F0549">
        <w:t xml:space="preserve">is fair and reasonable. </w:t>
      </w:r>
    </w:p>
    <w:p w:rsidR="0082785D" w:rsidRPr="0082785D" w:rsidRDefault="0082785D" w:rsidP="0082785D">
      <w:pPr>
        <w:pStyle w:val="AERbodytext"/>
        <w:numPr>
          <w:ilvl w:val="0"/>
          <w:numId w:val="13"/>
        </w:numPr>
      </w:pPr>
      <w:r w:rsidRPr="0082785D">
        <w:t>SP AusNet assumed</w:t>
      </w:r>
      <w:r>
        <w:t xml:space="preserve"> 28</w:t>
      </w:r>
      <w:r w:rsidRPr="0082785D">
        <w:t xml:space="preserve"> per cent of eligible service orders will require manual validation of </w:t>
      </w:r>
      <w:r w:rsidR="00B07808">
        <w:t xml:space="preserve">five </w:t>
      </w:r>
      <w:r w:rsidRPr="0082785D">
        <w:t>minutes.</w:t>
      </w:r>
      <w:r w:rsidRPr="0082785D">
        <w:rPr>
          <w:rStyle w:val="FootnoteReference"/>
        </w:rPr>
        <w:footnoteReference w:id="24"/>
      </w:r>
      <w:r w:rsidRPr="0082785D">
        <w:t xml:space="preserve"> This </w:t>
      </w:r>
      <w:r>
        <w:t xml:space="preserve">time </w:t>
      </w:r>
      <w:r w:rsidRPr="0082785D">
        <w:t>is less than the 6.6 minutes that Impaq Consulting considered appropriate, and which we adopted in our determination for the other Victorian DNSPs.</w:t>
      </w:r>
      <w:r w:rsidRPr="0082785D">
        <w:rPr>
          <w:rStyle w:val="FootnoteReference"/>
        </w:rPr>
        <w:footnoteReference w:id="25"/>
      </w:r>
      <w:r w:rsidRPr="0082785D">
        <w:t xml:space="preserve"> </w:t>
      </w:r>
    </w:p>
    <w:p w:rsidR="00ED2AB7" w:rsidRDefault="0082785D" w:rsidP="0082785D">
      <w:pPr>
        <w:pStyle w:val="AERbodytext"/>
        <w:numPr>
          <w:ilvl w:val="0"/>
          <w:numId w:val="0"/>
        </w:numPr>
      </w:pPr>
      <w:r>
        <w:t xml:space="preserve">SP AusNet also assumed </w:t>
      </w:r>
      <w:r w:rsidRPr="0082785D">
        <w:t xml:space="preserve">10 per cent of eligible service orders will require back office support for system timeout of 20 minutes. Our previous analysis did not account for this additional back office time. </w:t>
      </w:r>
      <w:r w:rsidR="00B31A40">
        <w:t xml:space="preserve">As with </w:t>
      </w:r>
      <w:r>
        <w:t>remote re-energisation</w:t>
      </w:r>
      <w:r w:rsidRPr="0082785D">
        <w:t xml:space="preserve">, we </w:t>
      </w:r>
      <w:r w:rsidR="00B31A40">
        <w:t xml:space="preserve">consider </w:t>
      </w:r>
      <w:r w:rsidRPr="0082785D">
        <w:t xml:space="preserve">that DNSPs will initially require manual intervention </w:t>
      </w:r>
      <w:r w:rsidRPr="0082785D">
        <w:lastRenderedPageBreak/>
        <w:t>for remote services as they finalise internal processes to ensure a reliable level of service with minimal risk.</w:t>
      </w:r>
      <w:r w:rsidRPr="0082785D">
        <w:rPr>
          <w:rStyle w:val="FootnoteReference"/>
        </w:rPr>
        <w:footnoteReference w:id="26"/>
      </w:r>
      <w:r w:rsidRPr="0082785D">
        <w:t xml:space="preserve">. Given this uncertainty, and considering that </w:t>
      </w:r>
      <w:r>
        <w:t>SP AusNet's charges for remote d</w:t>
      </w:r>
      <w:r w:rsidRPr="0082785D">
        <w:t>e-energisation is significantly less than those of the other Victorian DNSPs, we do not consider this to be a material issue.</w:t>
      </w:r>
    </w:p>
    <w:p w:rsidR="00F74494" w:rsidRDefault="00350E87" w:rsidP="0082785D">
      <w:pPr>
        <w:pStyle w:val="AERbodytext"/>
        <w:numPr>
          <w:ilvl w:val="0"/>
          <w:numId w:val="0"/>
        </w:numPr>
      </w:pPr>
      <w:r>
        <w:t xml:space="preserve">We note </w:t>
      </w:r>
      <w:r w:rsidR="00F74494">
        <w:t>SP AusNet's proposed charge</w:t>
      </w:r>
      <w:r w:rsidR="00F74494" w:rsidRPr="00F74494">
        <w:t xml:space="preserve"> </w:t>
      </w:r>
      <w:r w:rsidR="00F74494">
        <w:t>of $3</w:t>
      </w:r>
      <w:r w:rsidR="00F74494" w:rsidRPr="00F74494">
        <w:t>.35 ($2013)</w:t>
      </w:r>
      <w:r w:rsidR="00F74494">
        <w:t xml:space="preserve"> for remote de-energisation </w:t>
      </w:r>
      <w:r w:rsidR="00F74494" w:rsidRPr="00F74494">
        <w:t>compares favourably with the charges we approved for the other Victorian DNSPs, which range from $5.46 ($2013) to $5.83 ($2013).</w:t>
      </w:r>
      <w:r w:rsidR="00F74494" w:rsidRPr="00F74494">
        <w:rPr>
          <w:rStyle w:val="FootnoteReference"/>
        </w:rPr>
        <w:footnoteReference w:id="27"/>
      </w:r>
    </w:p>
    <w:p w:rsidR="00104D07" w:rsidRDefault="00104D07" w:rsidP="00104D07">
      <w:pPr>
        <w:pStyle w:val="HeadingBoldBlue"/>
      </w:pPr>
      <w:r>
        <w:t>Remote meter reconfiguration</w:t>
      </w:r>
    </w:p>
    <w:p w:rsidR="00104D07" w:rsidRDefault="00490517" w:rsidP="00054D8F">
      <w:pPr>
        <w:pStyle w:val="AERbodytext"/>
        <w:numPr>
          <w:ilvl w:val="0"/>
          <w:numId w:val="13"/>
        </w:numPr>
      </w:pPr>
      <w:r>
        <w:t xml:space="preserve">We consider SP AusNet's proposed charge of $20.15 ($2013) </w:t>
      </w:r>
      <w:r w:rsidR="006F0549">
        <w:t xml:space="preserve">is fair and reasonable. </w:t>
      </w:r>
    </w:p>
    <w:p w:rsidR="00B07808" w:rsidRDefault="00F262BE" w:rsidP="00F262BE">
      <w:pPr>
        <w:pStyle w:val="AERbodytext"/>
        <w:numPr>
          <w:ilvl w:val="0"/>
          <w:numId w:val="13"/>
        </w:numPr>
      </w:pPr>
      <w:r>
        <w:t>SP AusNet assumed all eligible service orders will require manual validation of 12 minutes, while 10 per cent of eligible service orders will require back office support for system timeout (20 minutes).</w:t>
      </w:r>
      <w:r>
        <w:rPr>
          <w:rStyle w:val="FootnoteReference"/>
        </w:rPr>
        <w:footnoteReference w:id="28"/>
      </w:r>
      <w:r>
        <w:t xml:space="preserve"> This manual intervention time of 12–32 minutes is below, or at most equal</w:t>
      </w:r>
      <w:r w:rsidR="00695120">
        <w:t>,</w:t>
      </w:r>
      <w:r>
        <w:t xml:space="preserve"> to the times the other Victorian DNSPs proposed previously</w:t>
      </w:r>
      <w:r w:rsidR="00B97DC5">
        <w:t xml:space="preserve"> (which ranged from 32 minutes to 39 minutes)</w:t>
      </w:r>
      <w:r>
        <w:t>.</w:t>
      </w:r>
      <w:r>
        <w:rPr>
          <w:rStyle w:val="FootnoteReference"/>
        </w:rPr>
        <w:footnoteReference w:id="29"/>
      </w:r>
      <w:r w:rsidR="00B97DC5">
        <w:t xml:space="preserve"> </w:t>
      </w:r>
    </w:p>
    <w:p w:rsidR="00F262BE" w:rsidRDefault="00B97DC5" w:rsidP="00F262BE">
      <w:pPr>
        <w:pStyle w:val="AERbodytext"/>
        <w:numPr>
          <w:ilvl w:val="0"/>
          <w:numId w:val="13"/>
        </w:numPr>
      </w:pPr>
      <w:r>
        <w:t xml:space="preserve">Impaq Consulting </w:t>
      </w:r>
      <w:r w:rsidR="000F787B">
        <w:t xml:space="preserve">previously </w:t>
      </w:r>
      <w:r>
        <w:t xml:space="preserve">considered those times </w:t>
      </w:r>
      <w:r w:rsidR="000F787B">
        <w:t xml:space="preserve">(proposed by the other DNSPs) </w:t>
      </w:r>
      <w:r>
        <w:t xml:space="preserve">to be </w:t>
      </w:r>
      <w:r w:rsidR="00CD7373">
        <w:t xml:space="preserve">relatively </w:t>
      </w:r>
      <w:r w:rsidR="000F787B">
        <w:t>high</w:t>
      </w:r>
      <w:r w:rsidR="009E4D66">
        <w:t>, but acknowledged DNSPs had not</w:t>
      </w:r>
      <w:r w:rsidR="00995BB8">
        <w:t xml:space="preserve"> yet had time to establish more definitive determinations on times for those services. Impaq Consulting accepted these times on the basis they would apply for </w:t>
      </w:r>
      <w:r w:rsidR="00C673BB">
        <w:t>approximately</w:t>
      </w:r>
      <w:r w:rsidR="00995BB8">
        <w:t xml:space="preserve"> two years (until the DNSPs gained more definitive information on the times required).</w:t>
      </w:r>
      <w:r w:rsidR="00995BB8">
        <w:rPr>
          <w:rStyle w:val="FootnoteReference"/>
        </w:rPr>
        <w:footnoteReference w:id="30"/>
      </w:r>
      <w:r>
        <w:t xml:space="preserve"> </w:t>
      </w:r>
      <w:r w:rsidR="00995BB8">
        <w:t xml:space="preserve">We concurred with Impaq Consulting in our </w:t>
      </w:r>
      <w:r w:rsidR="000F787B">
        <w:t xml:space="preserve">previous </w:t>
      </w:r>
      <w:r w:rsidR="00995BB8">
        <w:t>determination.</w:t>
      </w:r>
      <w:r w:rsidR="00995BB8">
        <w:rPr>
          <w:rStyle w:val="FootnoteReference"/>
        </w:rPr>
        <w:footnoteReference w:id="31"/>
      </w:r>
      <w:r w:rsidR="00695120">
        <w:t xml:space="preserve"> At this stage, we consider SP AusNet's estimate of manual back office times to be reasonable.</w:t>
      </w:r>
    </w:p>
    <w:p w:rsidR="00F74494" w:rsidRDefault="00350E87" w:rsidP="00F262BE">
      <w:pPr>
        <w:pStyle w:val="AERbodytext"/>
        <w:numPr>
          <w:ilvl w:val="0"/>
          <w:numId w:val="13"/>
        </w:numPr>
      </w:pPr>
      <w:r>
        <w:t xml:space="preserve">We note </w:t>
      </w:r>
      <w:r w:rsidR="007F3405">
        <w:t xml:space="preserve">SP AusNet's </w:t>
      </w:r>
      <w:r w:rsidR="00F74494">
        <w:t xml:space="preserve">proposed charge </w:t>
      </w:r>
      <w:r w:rsidR="007F3405">
        <w:t xml:space="preserve">of $20.15 ($2013) for remote meter reconfiguration </w:t>
      </w:r>
      <w:r w:rsidR="00F74494">
        <w:t xml:space="preserve">compares favourably with the charges </w:t>
      </w:r>
      <w:r w:rsidR="00F74494" w:rsidRPr="00ED2AB7">
        <w:t xml:space="preserve">we approved for </w:t>
      </w:r>
      <w:r w:rsidR="00F74494">
        <w:t>the other Victorian DNSPs, which range from</w:t>
      </w:r>
      <w:r w:rsidR="00F74494" w:rsidRPr="00ED2AB7">
        <w:t xml:space="preserve"> $</w:t>
      </w:r>
      <w:r w:rsidR="00F74494">
        <w:t>30</w:t>
      </w:r>
      <w:r w:rsidR="00F74494" w:rsidRPr="00ED2AB7">
        <w:t>.</w:t>
      </w:r>
      <w:r w:rsidR="00F74494">
        <w:t>91</w:t>
      </w:r>
      <w:r w:rsidR="00F74494" w:rsidRPr="00ED2AB7">
        <w:t xml:space="preserve"> ($2013) </w:t>
      </w:r>
      <w:r w:rsidR="00F74494">
        <w:t>to</w:t>
      </w:r>
      <w:r w:rsidR="00F74494" w:rsidRPr="00ED2AB7">
        <w:t xml:space="preserve"> $</w:t>
      </w:r>
      <w:r w:rsidR="00F74494">
        <w:t>34</w:t>
      </w:r>
      <w:r w:rsidR="00F74494" w:rsidRPr="00ED2AB7">
        <w:t>.</w:t>
      </w:r>
      <w:r w:rsidR="00F74494">
        <w:t>52</w:t>
      </w:r>
      <w:r w:rsidR="00F74494" w:rsidRPr="00ED2AB7">
        <w:t xml:space="preserve"> ($2013)</w:t>
      </w:r>
      <w:r w:rsidR="00F74494">
        <w:t>.</w:t>
      </w:r>
      <w:r w:rsidR="00F74494">
        <w:rPr>
          <w:rStyle w:val="FootnoteReference"/>
        </w:rPr>
        <w:footnoteReference w:id="32"/>
      </w:r>
    </w:p>
    <w:p w:rsidR="00104D07" w:rsidRDefault="00104D07" w:rsidP="00104D07">
      <w:pPr>
        <w:pStyle w:val="HeadingBoldBlue"/>
      </w:pPr>
      <w:r>
        <w:t>Special meter reads</w:t>
      </w:r>
    </w:p>
    <w:p w:rsidR="00C57638" w:rsidRDefault="00C57638" w:rsidP="00C57638">
      <w:pPr>
        <w:pStyle w:val="AERbodytext"/>
        <w:numPr>
          <w:ilvl w:val="0"/>
          <w:numId w:val="13"/>
        </w:numPr>
      </w:pPr>
      <w:r>
        <w:t xml:space="preserve">We consider SP AusNet's proposed charge of $0.55 ($2013) </w:t>
      </w:r>
      <w:r w:rsidR="006F0549">
        <w:t xml:space="preserve">is fair and reasonable. </w:t>
      </w:r>
    </w:p>
    <w:p w:rsidR="00C57638" w:rsidRDefault="00FB1423" w:rsidP="00C57638">
      <w:pPr>
        <w:pStyle w:val="AERbodytext"/>
        <w:numPr>
          <w:ilvl w:val="0"/>
          <w:numId w:val="13"/>
        </w:numPr>
      </w:pPr>
      <w:r>
        <w:t>SP AusNet assumed</w:t>
      </w:r>
      <w:r w:rsidR="00C57638">
        <w:t xml:space="preserve"> </w:t>
      </w:r>
      <w:r w:rsidR="00695120">
        <w:t xml:space="preserve">four </w:t>
      </w:r>
      <w:r w:rsidR="00C57638">
        <w:t>per cent of eligible service orders will require manual validation</w:t>
      </w:r>
      <w:r w:rsidR="006011A3">
        <w:t xml:space="preserve"> (</w:t>
      </w:r>
      <w:r w:rsidR="00695120">
        <w:t xml:space="preserve">taking five </w:t>
      </w:r>
      <w:r w:rsidR="006011A3">
        <w:t>minutes</w:t>
      </w:r>
      <w:r w:rsidR="00695120">
        <w:t xml:space="preserve"> to complete</w:t>
      </w:r>
      <w:r w:rsidR="006011A3">
        <w:t>);</w:t>
      </w:r>
      <w:r w:rsidR="00C57638">
        <w:t xml:space="preserve"> while </w:t>
      </w:r>
      <w:r w:rsidR="00695120">
        <w:t xml:space="preserve">five </w:t>
      </w:r>
      <w:r w:rsidR="00C57638">
        <w:t>per cent will require back office support for system timeout</w:t>
      </w:r>
      <w:r w:rsidR="006011A3">
        <w:t xml:space="preserve"> (10 minutes)</w:t>
      </w:r>
      <w:r w:rsidR="00C57638">
        <w:t>.</w:t>
      </w:r>
      <w:r w:rsidR="00C57638">
        <w:rPr>
          <w:rStyle w:val="FootnoteReference"/>
        </w:rPr>
        <w:footnoteReference w:id="33"/>
      </w:r>
      <w:r w:rsidR="006011A3">
        <w:t xml:space="preserve"> This manual intervention time of 5–15 minutes is consistent with the time Impaq Consulting considered appropriate, and which we adopted in our determination for the other Victorian </w:t>
      </w:r>
      <w:r w:rsidR="006011A3">
        <w:lastRenderedPageBreak/>
        <w:t>DNSPs.</w:t>
      </w:r>
      <w:r w:rsidR="006011A3">
        <w:rPr>
          <w:rStyle w:val="FootnoteReference"/>
        </w:rPr>
        <w:footnoteReference w:id="34"/>
      </w:r>
      <w:r w:rsidR="00877EDB">
        <w:t xml:space="preserve"> We had regard to Impaq's previous advice when forming our view about SP AusNet's estimates of </w:t>
      </w:r>
      <w:r w:rsidR="00AC6C42">
        <w:t>manual intervention</w:t>
      </w:r>
      <w:r w:rsidR="00877EDB">
        <w:t xml:space="preserve"> times.</w:t>
      </w:r>
    </w:p>
    <w:p w:rsidR="00520EFE" w:rsidRDefault="00350E87" w:rsidP="00C57638">
      <w:pPr>
        <w:pStyle w:val="AERbodytext"/>
        <w:numPr>
          <w:ilvl w:val="0"/>
          <w:numId w:val="13"/>
        </w:numPr>
      </w:pPr>
      <w:r>
        <w:t xml:space="preserve">We note </w:t>
      </w:r>
      <w:r w:rsidR="00520EFE">
        <w:t>SP AusNet's proposed charge of $0.55 ($2013) for special meter reads compares favourably with the charges we approved for Jemena and United Energy of $1.52 ($2013) and $0.77 ($2013), respectively.</w:t>
      </w:r>
      <w:r w:rsidR="00520EFE">
        <w:rPr>
          <w:rStyle w:val="FootnoteReference"/>
        </w:rPr>
        <w:footnoteReference w:id="35"/>
      </w:r>
    </w:p>
    <w:p w:rsidR="00520EFE" w:rsidRDefault="00104D07" w:rsidP="00520EFE">
      <w:pPr>
        <w:pStyle w:val="AERbodytext"/>
        <w:numPr>
          <w:ilvl w:val="0"/>
          <w:numId w:val="13"/>
        </w:numPr>
      </w:pPr>
      <w:r>
        <w:t>SP AusNet noted in its proposal that a remote special meter read is providing interval meter data for the previous day, not a within day or part day meter read.</w:t>
      </w:r>
      <w:r>
        <w:rPr>
          <w:rStyle w:val="FootnoteReference"/>
        </w:rPr>
        <w:footnoteReference w:id="36"/>
      </w:r>
      <w:r>
        <w:t xml:space="preserve"> We consider this is appropriate given our understanding that special reads for intra-day consumption provides little value</w:t>
      </w:r>
      <w:r w:rsidR="005B62C1">
        <w:t>, for several reasons</w:t>
      </w:r>
      <w:r>
        <w:t xml:space="preserve">. </w:t>
      </w:r>
      <w:r w:rsidR="005B62C1">
        <w:t xml:space="preserve">For example, </w:t>
      </w:r>
      <w:r>
        <w:t>the market settles on a daily basis, so a retailer is responsible for whole days of energy usage</w:t>
      </w:r>
      <w:r w:rsidR="00695120">
        <w:t>, not part thereof.</w:t>
      </w:r>
      <w:r>
        <w:rPr>
          <w:rStyle w:val="FootnoteReference"/>
        </w:rPr>
        <w:footnoteReference w:id="37"/>
      </w:r>
    </w:p>
    <w:p w:rsidR="001028F8" w:rsidRPr="00DD01F2" w:rsidRDefault="00D657FA" w:rsidP="00B06DF4">
      <w:pPr>
        <w:pStyle w:val="Heading2"/>
      </w:pPr>
      <w:bookmarkStart w:id="13" w:name="_Toc372726862"/>
      <w:r>
        <w:t>Cost allocation</w:t>
      </w:r>
      <w:bookmarkEnd w:id="13"/>
      <w:r>
        <w:t xml:space="preserve"> </w:t>
      </w:r>
    </w:p>
    <w:p w:rsidR="00D657FA" w:rsidRPr="00D657FA" w:rsidRDefault="00D657FA" w:rsidP="00D657FA">
      <w:pPr>
        <w:pStyle w:val="AERbodytext"/>
        <w:numPr>
          <w:ilvl w:val="0"/>
          <w:numId w:val="13"/>
        </w:numPr>
      </w:pPr>
      <w:r w:rsidRPr="00D657FA">
        <w:t>Paragraph 5.6.2(b)(1) of Guideline 14 requires that</w:t>
      </w:r>
      <w:r>
        <w:t xml:space="preserve"> any costs SP AusNet  has </w:t>
      </w:r>
      <w:r w:rsidRPr="00D657FA">
        <w:t>been remunerated for under their distribution tariff cann</w:t>
      </w:r>
      <w:r>
        <w:t xml:space="preserve">ot be classed as costs incurred </w:t>
      </w:r>
      <w:r w:rsidR="009251BE">
        <w:t>in</w:t>
      </w:r>
      <w:r w:rsidRPr="00D657FA">
        <w:t xml:space="preserve"> providing the excluded service.</w:t>
      </w:r>
    </w:p>
    <w:p w:rsidR="00D657FA" w:rsidRPr="00D657FA" w:rsidRDefault="00F10FDB" w:rsidP="00D657FA">
      <w:pPr>
        <w:pStyle w:val="AERbodytext"/>
        <w:numPr>
          <w:ilvl w:val="0"/>
          <w:numId w:val="13"/>
        </w:numPr>
      </w:pPr>
      <w:r>
        <w:t>We consider</w:t>
      </w:r>
      <w:r w:rsidR="00D657FA" w:rsidRPr="00D657FA">
        <w:t xml:space="preserve"> that </w:t>
      </w:r>
      <w:r w:rsidR="009251BE">
        <w:t xml:space="preserve">SP AusNet </w:t>
      </w:r>
      <w:r w:rsidR="00D657FA">
        <w:t>ha</w:t>
      </w:r>
      <w:r w:rsidR="009251BE">
        <w:t>s</w:t>
      </w:r>
      <w:r w:rsidR="00D657FA">
        <w:t xml:space="preserve"> not been </w:t>
      </w:r>
      <w:r w:rsidR="00D657FA" w:rsidRPr="00D657FA">
        <w:t>remunerated for the costs of manual intervention i</w:t>
      </w:r>
      <w:r w:rsidR="00D657FA">
        <w:t xml:space="preserve">n providing AMI remote services </w:t>
      </w:r>
      <w:r w:rsidR="00D657FA" w:rsidRPr="00D657FA">
        <w:t xml:space="preserve">under </w:t>
      </w:r>
      <w:r w:rsidR="009251BE">
        <w:t xml:space="preserve">our </w:t>
      </w:r>
      <w:r w:rsidR="00B07808">
        <w:t>2009–11 or 2012–15</w:t>
      </w:r>
      <w:r w:rsidR="00B07808" w:rsidRPr="00D657FA">
        <w:t xml:space="preserve"> </w:t>
      </w:r>
      <w:r w:rsidR="00D657FA" w:rsidRPr="00D657FA">
        <w:t>AMI budget determination</w:t>
      </w:r>
      <w:r w:rsidR="00B07808">
        <w:t>s</w:t>
      </w:r>
      <w:r w:rsidR="00C91655">
        <w:t>,</w:t>
      </w:r>
      <w:r w:rsidR="00AC6C42">
        <w:t xml:space="preserve"> or in the SP AusNet 2011–15 distribution determination</w:t>
      </w:r>
      <w:r w:rsidR="00D657FA" w:rsidRPr="00D657FA">
        <w:t>.</w:t>
      </w:r>
    </w:p>
    <w:p w:rsidR="00D657FA" w:rsidRPr="00D657FA" w:rsidRDefault="00D657FA" w:rsidP="00D657FA">
      <w:pPr>
        <w:pStyle w:val="AERbodytext"/>
        <w:numPr>
          <w:ilvl w:val="0"/>
          <w:numId w:val="13"/>
        </w:numPr>
      </w:pPr>
      <w:r w:rsidRPr="00D657FA">
        <w:t xml:space="preserve">Paragraph 5.6.2(b)(2) requires </w:t>
      </w:r>
      <w:r w:rsidR="009251BE">
        <w:t xml:space="preserve">SP AusNet </w:t>
      </w:r>
      <w:r w:rsidRPr="00D657FA">
        <w:t>t</w:t>
      </w:r>
      <w:r>
        <w:t xml:space="preserve">o appropriately allocate shared </w:t>
      </w:r>
      <w:r w:rsidR="00862BB1">
        <w:t>or common costs.</w:t>
      </w:r>
      <w:r w:rsidR="00AC6C42">
        <w:t xml:space="preserve"> SP AusNet has complied with this requirement through its costs allocation methodology and information reported in its regulatory information notices.</w:t>
      </w:r>
    </w:p>
    <w:p w:rsidR="009251BE" w:rsidRDefault="009251BE" w:rsidP="009251BE">
      <w:pPr>
        <w:pStyle w:val="Heading2"/>
      </w:pPr>
      <w:bookmarkStart w:id="14" w:name="_Toc372726863"/>
      <w:r>
        <w:t>Cost differentials</w:t>
      </w:r>
      <w:bookmarkEnd w:id="14"/>
      <w:r>
        <w:t xml:space="preserve"> </w:t>
      </w:r>
    </w:p>
    <w:p w:rsidR="009251BE" w:rsidRPr="009251BE" w:rsidRDefault="009251BE" w:rsidP="009251BE">
      <w:pPr>
        <w:pStyle w:val="AERbodytext"/>
        <w:numPr>
          <w:ilvl w:val="0"/>
          <w:numId w:val="13"/>
        </w:numPr>
      </w:pPr>
      <w:r>
        <w:t>P</w:t>
      </w:r>
      <w:r w:rsidRPr="009251BE">
        <w:t>aragraph 5.6.2</w:t>
      </w:r>
      <w:r>
        <w:t xml:space="preserve">(c) requires SP AusNet to </w:t>
      </w:r>
      <w:r w:rsidRPr="009251BE">
        <w:t>propose charges that are the same for all custo</w:t>
      </w:r>
      <w:r>
        <w:t xml:space="preserve">mers unless there is a material </w:t>
      </w:r>
      <w:r w:rsidRPr="009251BE">
        <w:t>difference in the costs of providing the excluded se</w:t>
      </w:r>
      <w:r>
        <w:t xml:space="preserve">rvice to different customers or </w:t>
      </w:r>
      <w:r w:rsidRPr="009251BE">
        <w:t>classes of customer.</w:t>
      </w:r>
    </w:p>
    <w:p w:rsidR="009251BE" w:rsidRDefault="009251BE" w:rsidP="009251BE">
      <w:pPr>
        <w:pStyle w:val="AERbodytext"/>
        <w:numPr>
          <w:ilvl w:val="0"/>
          <w:numId w:val="13"/>
        </w:numPr>
      </w:pPr>
      <w:r>
        <w:t>SP AusNet</w:t>
      </w:r>
      <w:r w:rsidRPr="009251BE">
        <w:t xml:space="preserve"> proposed the same cha</w:t>
      </w:r>
      <w:r>
        <w:t xml:space="preserve">rges for all customers, thereby </w:t>
      </w:r>
      <w:r w:rsidRPr="009251BE">
        <w:t>satisfying paragraph 5.6.2(c).</w:t>
      </w:r>
      <w:r w:rsidR="00B656E2">
        <w:rPr>
          <w:rStyle w:val="FootnoteReference"/>
        </w:rPr>
        <w:footnoteReference w:id="38"/>
      </w:r>
    </w:p>
    <w:p w:rsidR="009251BE" w:rsidRDefault="009251BE" w:rsidP="009251BE">
      <w:pPr>
        <w:pStyle w:val="Heading2"/>
      </w:pPr>
      <w:bookmarkStart w:id="15" w:name="_Toc372726864"/>
      <w:r>
        <w:t>Simplicity</w:t>
      </w:r>
      <w:bookmarkEnd w:id="15"/>
    </w:p>
    <w:p w:rsidR="009251BE" w:rsidRDefault="009251BE" w:rsidP="009251BE">
      <w:pPr>
        <w:pStyle w:val="AERbodytext"/>
        <w:numPr>
          <w:ilvl w:val="0"/>
          <w:numId w:val="13"/>
        </w:numPr>
      </w:pPr>
      <w:r w:rsidRPr="009251BE">
        <w:t xml:space="preserve">Paragraph 5.6.2(d) requires that </w:t>
      </w:r>
      <w:r>
        <w:t xml:space="preserve">SP AusNet's charges are simple and easy to </w:t>
      </w:r>
      <w:r w:rsidRPr="009251BE">
        <w:t xml:space="preserve">comprehend. </w:t>
      </w:r>
      <w:r>
        <w:t>We consider</w:t>
      </w:r>
      <w:r w:rsidRPr="009251BE">
        <w:t xml:space="preserve"> </w:t>
      </w:r>
      <w:r>
        <w:t xml:space="preserve">SP AusNet has met </w:t>
      </w:r>
      <w:r w:rsidRPr="009251BE">
        <w:t>this requi</w:t>
      </w:r>
      <w:r>
        <w:t xml:space="preserve">rement </w:t>
      </w:r>
      <w:r w:rsidRPr="009251BE">
        <w:t>because both the charges and the serv</w:t>
      </w:r>
      <w:r>
        <w:t xml:space="preserve">ices are clearly defined in the </w:t>
      </w:r>
      <w:r w:rsidRPr="009251BE">
        <w:t>proposals</w:t>
      </w:r>
      <w:r w:rsidR="00651C3D">
        <w:t xml:space="preserve"> and do not differ by customer size</w:t>
      </w:r>
      <w:r w:rsidRPr="009251BE">
        <w:t>.</w:t>
      </w:r>
    </w:p>
    <w:p w:rsidR="00CB3D84" w:rsidRDefault="00CB3D84" w:rsidP="00CB3D84">
      <w:pPr>
        <w:pStyle w:val="HeadingBoldBlue"/>
      </w:pPr>
      <w:r>
        <w:lastRenderedPageBreak/>
        <w:t>Duration of charges</w:t>
      </w:r>
    </w:p>
    <w:p w:rsidR="00CB3D84" w:rsidRPr="00C47159" w:rsidRDefault="00CB3D84" w:rsidP="009251BE">
      <w:pPr>
        <w:pStyle w:val="AERbodytext"/>
        <w:numPr>
          <w:ilvl w:val="0"/>
          <w:numId w:val="13"/>
        </w:numPr>
      </w:pPr>
      <w:r>
        <w:t>SP AusNet proposed its charges (as table 2 sets out) apply from 1 January 2014 to 31 December 2015</w:t>
      </w:r>
      <w:r w:rsidR="00760499">
        <w:t>, which we accept. Those charges will not be adjusted by any variable, including the consumer price index during that  time.</w:t>
      </w:r>
    </w:p>
    <w:p w:rsidR="00B6196F" w:rsidRDefault="00C47159" w:rsidP="00B6196F">
      <w:pPr>
        <w:pStyle w:val="Heading1"/>
      </w:pPr>
      <w:bookmarkStart w:id="16" w:name="_Toc372726865"/>
      <w:r>
        <w:lastRenderedPageBreak/>
        <w:t xml:space="preserve">AER </w:t>
      </w:r>
      <w:r w:rsidR="00011046">
        <w:t>final</w:t>
      </w:r>
      <w:r>
        <w:t xml:space="preserve"> decision</w:t>
      </w:r>
      <w:bookmarkEnd w:id="16"/>
    </w:p>
    <w:p w:rsidR="00B6196F" w:rsidRDefault="00C17834" w:rsidP="000F104A">
      <w:pPr>
        <w:pStyle w:val="AERbodytext"/>
        <w:numPr>
          <w:ilvl w:val="0"/>
          <w:numId w:val="0"/>
        </w:numPr>
      </w:pPr>
      <w:r>
        <w:t xml:space="preserve">These charges will apply from </w:t>
      </w:r>
      <w:r w:rsidR="00387469">
        <w:t>1 January 2014 to 31 December 2015.</w:t>
      </w:r>
      <w:r w:rsidR="00680AD5">
        <w:t xml:space="preserve"> </w:t>
      </w:r>
      <w:r w:rsidR="001B1019">
        <w:t xml:space="preserve">The charges set out in table 3 (identical to that in table 1) will apply until </w:t>
      </w:r>
      <w:r w:rsidR="001B1019" w:rsidRPr="001B1019">
        <w:t>further amendment by the AER. They will not be automatically indexed for inflation or any other factor.</w:t>
      </w:r>
    </w:p>
    <w:p w:rsidR="00862BB1" w:rsidRDefault="00862BB1" w:rsidP="00862BB1">
      <w:pPr>
        <w:pStyle w:val="Caption"/>
      </w:pPr>
      <w:r>
        <w:t xml:space="preserve">Table </w:t>
      </w:r>
      <w:r w:rsidR="001B1019">
        <w:t>3</w:t>
      </w:r>
      <w:r>
        <w:tab/>
        <w:t xml:space="preserve">AER </w:t>
      </w:r>
      <w:r w:rsidR="00011046">
        <w:t>final</w:t>
      </w:r>
      <w:r>
        <w:t xml:space="preserve"> decision on SP AusNet remote AMI services charges for 2014</w:t>
      </w:r>
      <w:r w:rsidR="00760499">
        <w:t xml:space="preserve"> and 20</w:t>
      </w:r>
      <w:r>
        <w:t>15 (excluding GST</w:t>
      </w:r>
      <w:r w:rsidR="00651C3D">
        <w:t>,</w:t>
      </w:r>
      <w:r w:rsidR="00A45651">
        <w:t xml:space="preserve"> </w:t>
      </w:r>
      <w:r>
        <w:t>$2013)</w:t>
      </w:r>
    </w:p>
    <w:tbl>
      <w:tblPr>
        <w:tblStyle w:val="AERtable-numbers"/>
        <w:tblW w:w="0" w:type="auto"/>
        <w:tblLook w:val="04A0" w:firstRow="1" w:lastRow="0" w:firstColumn="1" w:lastColumn="0" w:noHBand="0" w:noVBand="1"/>
      </w:tblPr>
      <w:tblGrid>
        <w:gridCol w:w="4621"/>
        <w:gridCol w:w="4621"/>
      </w:tblGrid>
      <w:tr w:rsidR="00862BB1" w:rsidTr="00A86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Name of service</w:t>
            </w:r>
          </w:p>
        </w:tc>
        <w:tc>
          <w:tcPr>
            <w:tcW w:w="4621" w:type="dxa"/>
          </w:tcPr>
          <w:p w:rsidR="00862BB1" w:rsidRPr="00862BB1" w:rsidRDefault="003B56C1" w:rsidP="00C47FA5">
            <w:pPr>
              <w:pStyle w:val="AERtabletextright"/>
              <w:cnfStyle w:val="100000000000" w:firstRow="1" w:lastRow="0" w:firstColumn="0" w:lastColumn="0" w:oddVBand="0" w:evenVBand="0" w:oddHBand="0" w:evenHBand="0" w:firstRowFirstColumn="0" w:firstRowLastColumn="0" w:lastRowFirstColumn="0" w:lastRowLastColumn="0"/>
            </w:pPr>
            <w:r>
              <w:t>Approved</w:t>
            </w:r>
            <w:r w:rsidR="00862BB1">
              <w:t xml:space="preserve"> c</w:t>
            </w:r>
            <w:r w:rsidR="00862BB1" w:rsidRPr="00862BB1">
              <w:t>harges</w:t>
            </w:r>
          </w:p>
        </w:tc>
      </w:tr>
      <w:tr w:rsidR="00862BB1" w:rsidTr="00A86110">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Remote re-energisation</w:t>
            </w:r>
          </w:p>
        </w:tc>
        <w:tc>
          <w:tcPr>
            <w:tcW w:w="4621" w:type="dxa"/>
          </w:tcPr>
          <w:p w:rsidR="00862BB1" w:rsidRDefault="00862BB1" w:rsidP="00387D4A">
            <w:pPr>
              <w:pStyle w:val="AERtabletextright"/>
              <w:cnfStyle w:val="000000000000" w:firstRow="0" w:lastRow="0" w:firstColumn="0" w:lastColumn="0" w:oddVBand="0" w:evenVBand="0" w:oddHBand="0" w:evenHBand="0" w:firstRowFirstColumn="0" w:firstRowLastColumn="0" w:lastRowFirstColumn="0" w:lastRowLastColumn="0"/>
            </w:pPr>
            <w:r>
              <w:t>2.45</w:t>
            </w:r>
          </w:p>
        </w:tc>
      </w:tr>
      <w:tr w:rsidR="00862BB1" w:rsidTr="00A861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Remote de-energisation</w:t>
            </w:r>
          </w:p>
        </w:tc>
        <w:tc>
          <w:tcPr>
            <w:tcW w:w="4621" w:type="dxa"/>
          </w:tcPr>
          <w:p w:rsidR="00862BB1" w:rsidRDefault="00862BB1" w:rsidP="00387D4A">
            <w:pPr>
              <w:pStyle w:val="AERtabletextright"/>
              <w:cnfStyle w:val="000000010000" w:firstRow="0" w:lastRow="0" w:firstColumn="0" w:lastColumn="0" w:oddVBand="0" w:evenVBand="0" w:oddHBand="0" w:evenHBand="1" w:firstRowFirstColumn="0" w:firstRowLastColumn="0" w:lastRowFirstColumn="0" w:lastRowLastColumn="0"/>
            </w:pPr>
            <w:r>
              <w:t>3.35</w:t>
            </w:r>
          </w:p>
        </w:tc>
      </w:tr>
      <w:tr w:rsidR="00862BB1" w:rsidTr="00A86110">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Remote meter reconfiguration</w:t>
            </w:r>
          </w:p>
        </w:tc>
        <w:tc>
          <w:tcPr>
            <w:tcW w:w="4621" w:type="dxa"/>
          </w:tcPr>
          <w:p w:rsidR="00862BB1" w:rsidRDefault="00862BB1" w:rsidP="00387D4A">
            <w:pPr>
              <w:pStyle w:val="AERtabletextright"/>
              <w:cnfStyle w:val="000000000000" w:firstRow="0" w:lastRow="0" w:firstColumn="0" w:lastColumn="0" w:oddVBand="0" w:evenVBand="0" w:oddHBand="0" w:evenHBand="0" w:firstRowFirstColumn="0" w:firstRowLastColumn="0" w:lastRowFirstColumn="0" w:lastRowLastColumn="0"/>
            </w:pPr>
            <w:r>
              <w:t>20.15</w:t>
            </w:r>
          </w:p>
        </w:tc>
      </w:tr>
      <w:tr w:rsidR="00862BB1" w:rsidTr="00A8611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62BB1" w:rsidRDefault="00862BB1" w:rsidP="00862BB1">
            <w:pPr>
              <w:pStyle w:val="AERbodytext"/>
            </w:pPr>
            <w:r>
              <w:t>Remote special meter read</w:t>
            </w:r>
          </w:p>
        </w:tc>
        <w:tc>
          <w:tcPr>
            <w:tcW w:w="4621" w:type="dxa"/>
          </w:tcPr>
          <w:p w:rsidR="00862BB1" w:rsidRDefault="00862BB1" w:rsidP="00387D4A">
            <w:pPr>
              <w:pStyle w:val="AERtabletextright"/>
              <w:cnfStyle w:val="000000010000" w:firstRow="0" w:lastRow="0" w:firstColumn="0" w:lastColumn="0" w:oddVBand="0" w:evenVBand="0" w:oddHBand="0" w:evenHBand="1" w:firstRowFirstColumn="0" w:firstRowLastColumn="0" w:lastRowFirstColumn="0" w:lastRowLastColumn="0"/>
            </w:pPr>
            <w:r>
              <w:t>0.55</w:t>
            </w:r>
          </w:p>
        </w:tc>
      </w:tr>
    </w:tbl>
    <w:p w:rsidR="00862BB1" w:rsidRDefault="00A45651" w:rsidP="00A45651">
      <w:pPr>
        <w:pStyle w:val="AERtablesource"/>
      </w:pPr>
      <w:r>
        <w:t>Source: AER</w:t>
      </w:r>
    </w:p>
    <w:p w:rsidR="006B4921" w:rsidRDefault="006B4921" w:rsidP="000F104A">
      <w:pPr>
        <w:pStyle w:val="AERbodytext"/>
        <w:numPr>
          <w:ilvl w:val="0"/>
          <w:numId w:val="0"/>
        </w:numPr>
      </w:pPr>
    </w:p>
    <w:p w:rsidR="00CF4A20" w:rsidRDefault="00CF4A20">
      <w:pPr>
        <w:spacing w:after="0" w:line="240" w:lineRule="auto"/>
        <w:jc w:val="left"/>
        <w:rPr>
          <w:rFonts w:eastAsia="Times New Roman"/>
          <w:szCs w:val="24"/>
        </w:rPr>
      </w:pPr>
      <w:r>
        <w:br w:type="page"/>
      </w:r>
    </w:p>
    <w:p w:rsidR="0062778F" w:rsidRDefault="00C47159" w:rsidP="00C47159">
      <w:pPr>
        <w:pStyle w:val="Heading7"/>
      </w:pPr>
      <w:bookmarkStart w:id="17" w:name="_Ref369536228"/>
      <w:r>
        <w:lastRenderedPageBreak/>
        <w:t>Terms and conditions</w:t>
      </w:r>
      <w:bookmarkEnd w:id="17"/>
    </w:p>
    <w:p w:rsidR="00FB7728" w:rsidRDefault="00FB7728" w:rsidP="00FB7728">
      <w:r>
        <w:t>SP AusNet proposed</w:t>
      </w:r>
      <w:r w:rsidRPr="00FB7728">
        <w:t xml:space="preserve"> the terms and conditions for providin</w:t>
      </w:r>
      <w:r>
        <w:t xml:space="preserve">g AMI remote services should be </w:t>
      </w:r>
      <w:r w:rsidRPr="00FB7728">
        <w:t>the same as the terms and conditions in section</w:t>
      </w:r>
      <w:r>
        <w:t>s</w:t>
      </w:r>
      <w:r w:rsidRPr="00FB7728">
        <w:t xml:space="preserve"> 4.2</w:t>
      </w:r>
      <w:r>
        <w:t xml:space="preserve">, 6 and 7 of the Use of System Agreement </w:t>
      </w:r>
      <w:r w:rsidRPr="00FB7728">
        <w:t xml:space="preserve">between </w:t>
      </w:r>
      <w:r>
        <w:t>SP AusNet</w:t>
      </w:r>
      <w:r w:rsidRPr="00FB7728">
        <w:t xml:space="preserve"> and the relevant retailer, which states:</w:t>
      </w:r>
    </w:p>
    <w:p w:rsidR="00FB7728" w:rsidRPr="00FB7728" w:rsidRDefault="00FB7728" w:rsidP="00FB7728">
      <w:pPr>
        <w:pStyle w:val="HeadingBoldBlue"/>
      </w:pPr>
      <w:r w:rsidRPr="00FB7728">
        <w:t>4.2 Deemed request for Distribution Services</w:t>
      </w:r>
    </w:p>
    <w:p w:rsidR="00FB7728" w:rsidRPr="00FB7728" w:rsidRDefault="00FB7728" w:rsidP="00FB7728">
      <w:r w:rsidRPr="00FB7728">
        <w:t>The Retailer shall be deemed to have reque</w:t>
      </w:r>
      <w:r>
        <w:t xml:space="preserve">sted the Distributor to provide </w:t>
      </w:r>
      <w:r w:rsidRPr="00FB7728">
        <w:t>Distribution Services in respect of a Customer as follows:</w:t>
      </w:r>
    </w:p>
    <w:p w:rsidR="00FB7728" w:rsidRPr="00FB7728" w:rsidRDefault="00FB7728" w:rsidP="00FB7728">
      <w:pPr>
        <w:pStyle w:val="AERnumberedlistsecondstyle"/>
      </w:pPr>
      <w:r w:rsidRPr="00FB7728">
        <w:t xml:space="preserve">In respect of </w:t>
      </w:r>
      <w:r w:rsidR="00A45651">
        <w:t xml:space="preserve">Use of System </w:t>
      </w:r>
      <w:r w:rsidRPr="00FB7728">
        <w:t xml:space="preserve">Services and the services </w:t>
      </w:r>
      <w:r>
        <w:t xml:space="preserve">specified in Schedule 1, whilst </w:t>
      </w:r>
      <w:r w:rsidRPr="00FB7728">
        <w:t>a person is a Customer in relation to a Sup</w:t>
      </w:r>
      <w:r>
        <w:t xml:space="preserve">ply Point which is connected to </w:t>
      </w:r>
      <w:r w:rsidRPr="00FB7728">
        <w:t>the Distributor’s Distribution System; and</w:t>
      </w:r>
    </w:p>
    <w:p w:rsidR="00FB7728" w:rsidRPr="00FB7728" w:rsidRDefault="00FB7728" w:rsidP="00FB7728">
      <w:pPr>
        <w:pStyle w:val="AERnumberedlistsecondstyle"/>
      </w:pPr>
      <w:r w:rsidRPr="00FB7728">
        <w:t>In respect of Alternative Control Servic</w:t>
      </w:r>
      <w:r>
        <w:t xml:space="preserve">es and Excluded Services (AMI), </w:t>
      </w:r>
      <w:r w:rsidRPr="00FB7728">
        <w:t>when the Retailer requests the Distribut</w:t>
      </w:r>
      <w:r>
        <w:t xml:space="preserve">or to provide those services or </w:t>
      </w:r>
      <w:r w:rsidRPr="00FB7728">
        <w:t>confirms the Customer’s request for t</w:t>
      </w:r>
      <w:r>
        <w:t xml:space="preserve">he provision of those services, </w:t>
      </w:r>
      <w:r w:rsidRPr="00FB7728">
        <w:t>provided that if the Customer was recei</w:t>
      </w:r>
      <w:r>
        <w:t xml:space="preserve">ving any of those services from </w:t>
      </w:r>
      <w:r w:rsidRPr="00FB7728">
        <w:t>another electricity retailer immediately pri</w:t>
      </w:r>
      <w:r>
        <w:t xml:space="preserve">or to the time that it became a </w:t>
      </w:r>
      <w:r w:rsidRPr="00FB7728">
        <w:t>Customer, the Retailer will be deemed to have requested the Distrib</w:t>
      </w:r>
      <w:r>
        <w:t xml:space="preserve">utor </w:t>
      </w:r>
      <w:r w:rsidRPr="00FB7728">
        <w:t>to provide those services in respect of th</w:t>
      </w:r>
      <w:r>
        <w:t xml:space="preserve">at Customer at the time that it </w:t>
      </w:r>
      <w:r w:rsidRPr="00FB7728">
        <w:t>became a Customer.</w:t>
      </w:r>
    </w:p>
    <w:p w:rsidR="00FB7728" w:rsidRPr="00FB7728" w:rsidRDefault="00FB7728" w:rsidP="00FB7728">
      <w:pPr>
        <w:pStyle w:val="AERnumberedlistsecondstyle"/>
      </w:pPr>
      <w:r w:rsidRPr="00FB7728">
        <w:t>Where a person who was receiving any</w:t>
      </w:r>
      <w:r>
        <w:t xml:space="preserve"> service to which clause 4.2(b) </w:t>
      </w:r>
      <w:r w:rsidRPr="00FB7728">
        <w:t>applies becomes a Customer, the Distribut</w:t>
      </w:r>
      <w:r>
        <w:t xml:space="preserve">or shall notify the Retailer of </w:t>
      </w:r>
      <w:r w:rsidRPr="00FB7728">
        <w:t xml:space="preserve">the services that the Customer is receiving </w:t>
      </w:r>
      <w:r>
        <w:t xml:space="preserve">to which clause 4.2(b) applies. </w:t>
      </w:r>
      <w:r w:rsidRPr="00FB7728">
        <w:t>The notification may be provided in the next invoice provided by the Distributor to the Retailer for Distributio</w:t>
      </w:r>
      <w:r>
        <w:t xml:space="preserve">n Service Charges in accordance </w:t>
      </w:r>
      <w:r w:rsidRPr="00FB7728">
        <w:t>with this agreement or otherwise, as soon as practicable.</w:t>
      </w:r>
    </w:p>
    <w:p w:rsidR="00FB7728" w:rsidRPr="00FB7728" w:rsidRDefault="00FB7728" w:rsidP="00FB7728">
      <w:pPr>
        <w:pStyle w:val="AERnumberedlistsecondstyle"/>
        <w:rPr>
          <w:rFonts w:eastAsia="Calibri"/>
          <w:szCs w:val="20"/>
        </w:rPr>
      </w:pPr>
      <w:r w:rsidRPr="00FB7728">
        <w:t>Where a person who becomes a Cust</w:t>
      </w:r>
      <w:r>
        <w:t xml:space="preserve">omer occupies premises to which </w:t>
      </w:r>
      <w:r w:rsidRPr="00FB7728">
        <w:t>services specified in Schedule 1 were pro</w:t>
      </w:r>
      <w:r>
        <w:t xml:space="preserve">vided immediately prior to that </w:t>
      </w:r>
      <w:r w:rsidRPr="00FB7728">
        <w:t>person commencing to occupy the premise</w:t>
      </w:r>
      <w:r>
        <w:t xml:space="preserve">s, the Retailer must notify the </w:t>
      </w:r>
      <w:r w:rsidRPr="00FB7728">
        <w:t>Distributor if it becomes aware that t</w:t>
      </w:r>
      <w:r>
        <w:t xml:space="preserve">he Customer does not wish to be </w:t>
      </w:r>
      <w:r w:rsidRPr="00FB7728">
        <w:t>provided with any of those services. If re</w:t>
      </w:r>
      <w:r>
        <w:t xml:space="preserve">quested by the Distributor, the </w:t>
      </w:r>
      <w:r w:rsidRPr="00FB7728">
        <w:t>Retailer must make enquiries w</w:t>
      </w:r>
      <w:r>
        <w:t xml:space="preserve">ith the Customer and notify the </w:t>
      </w:r>
      <w:r w:rsidRPr="00FB7728">
        <w:t>Distributor if the Customer does not wish t</w:t>
      </w:r>
      <w:r>
        <w:t xml:space="preserve">o be provided with the services </w:t>
      </w:r>
      <w:r w:rsidRPr="00FB7728">
        <w:t>within 30 Business Days of the request by the Distributor.</w:t>
      </w:r>
    </w:p>
    <w:p w:rsidR="00FB7728" w:rsidRDefault="00760499" w:rsidP="00387D4A">
      <w:pPr>
        <w:pStyle w:val="HeadingBoldBlue"/>
        <w:rPr>
          <w:rFonts w:eastAsia="Calibri"/>
        </w:rPr>
      </w:pPr>
      <w:r>
        <w:rPr>
          <w:rFonts w:eastAsia="Calibri"/>
        </w:rPr>
        <w:t>Use of system agreement</w:t>
      </w:r>
    </w:p>
    <w:p w:rsidR="00760499" w:rsidRPr="00C8107C" w:rsidRDefault="00760499" w:rsidP="00387D4A">
      <w:pPr>
        <w:pStyle w:val="AERbodytext"/>
        <w:rPr>
          <w:rFonts w:eastAsia="Calibri"/>
        </w:rPr>
      </w:pPr>
      <w:r w:rsidRPr="00760499">
        <w:rPr>
          <w:rFonts w:eastAsia="Calibri"/>
        </w:rPr>
        <w:t>See separate</w:t>
      </w:r>
      <w:r w:rsidRPr="00077217">
        <w:rPr>
          <w:rFonts w:eastAsia="Calibri"/>
        </w:rPr>
        <w:t xml:space="preserve"> SP AusNet standard form </w:t>
      </w:r>
      <w:r>
        <w:rPr>
          <w:rFonts w:eastAsia="Calibri"/>
        </w:rPr>
        <w:t>U</w:t>
      </w:r>
      <w:r w:rsidRPr="00760499">
        <w:rPr>
          <w:rFonts w:eastAsia="Calibri"/>
        </w:rPr>
        <w:t>se o</w:t>
      </w:r>
      <w:r w:rsidRPr="00077217">
        <w:rPr>
          <w:rFonts w:eastAsia="Calibri"/>
        </w:rPr>
        <w:t>f System Agreem</w:t>
      </w:r>
      <w:r w:rsidRPr="00C8107C">
        <w:rPr>
          <w:rFonts w:eastAsia="Calibri"/>
        </w:rPr>
        <w:t>ent.</w:t>
      </w:r>
    </w:p>
    <w:p w:rsidR="002E72B9" w:rsidRDefault="002E72B9" w:rsidP="002E72B9">
      <w:pPr>
        <w:pStyle w:val="Heading7"/>
      </w:pPr>
      <w:r>
        <w:lastRenderedPageBreak/>
        <w:t>Guideline 14—relevant sections</w:t>
      </w:r>
    </w:p>
    <w:p w:rsidR="002E72B9" w:rsidRPr="002E72B9" w:rsidRDefault="002E72B9" w:rsidP="002E72B9">
      <w:pPr>
        <w:pStyle w:val="Heading8"/>
      </w:pPr>
      <w:r w:rsidRPr="002E72B9">
        <w:t>Paragraph 5.5</w:t>
      </w:r>
    </w:p>
    <w:p w:rsidR="002E72B9" w:rsidRPr="002E72B9" w:rsidRDefault="002E72B9" w:rsidP="002E72B9">
      <w:pPr>
        <w:pStyle w:val="AERbodytext"/>
        <w:numPr>
          <w:ilvl w:val="0"/>
          <w:numId w:val="13"/>
        </w:numPr>
      </w:pPr>
      <w:r w:rsidRPr="002E72B9">
        <w:t>5.5 Submission of statements for approval</w:t>
      </w:r>
    </w:p>
    <w:p w:rsidR="002E72B9" w:rsidRPr="002E72B9" w:rsidRDefault="002E72B9" w:rsidP="002E72B9">
      <w:pPr>
        <w:pStyle w:val="AERbodytextindent1"/>
      </w:pPr>
      <w:r w:rsidRPr="002E72B9">
        <w:t>5.5.1 A distributor should include the follow</w:t>
      </w:r>
      <w:r>
        <w:t xml:space="preserve">ing details in any statement of </w:t>
      </w:r>
      <w:r w:rsidRPr="002E72B9">
        <w:t>the distributor’s proposed charge and terms a</w:t>
      </w:r>
      <w:r>
        <w:t xml:space="preserve">nd conditions for the provision </w:t>
      </w:r>
      <w:r w:rsidRPr="002E72B9">
        <w:t>of an excluded service submitted for th</w:t>
      </w:r>
      <w:r>
        <w:t xml:space="preserve">e Commission’s approval or in a </w:t>
      </w:r>
      <w:r w:rsidRPr="002E72B9">
        <w:t>document supporting the statement:</w:t>
      </w:r>
    </w:p>
    <w:p w:rsidR="002E72B9" w:rsidRPr="002E72B9" w:rsidRDefault="002E72B9" w:rsidP="002E72B9">
      <w:pPr>
        <w:pStyle w:val="AERbodytextindent2"/>
      </w:pPr>
      <w:r w:rsidRPr="002E72B9">
        <w:t>(a) a description of the excluded service, includ</w:t>
      </w:r>
      <w:r>
        <w:t xml:space="preserve">ing details of what is actually </w:t>
      </w:r>
      <w:r w:rsidRPr="002E72B9">
        <w:t>provided as part of that service;</w:t>
      </w:r>
    </w:p>
    <w:p w:rsidR="002E72B9" w:rsidRPr="002E72B9" w:rsidRDefault="002E72B9" w:rsidP="002E72B9">
      <w:pPr>
        <w:pStyle w:val="AERbodytextindent2"/>
      </w:pPr>
      <w:r w:rsidRPr="002E72B9">
        <w:t>(b) an explanation for any change in the di</w:t>
      </w:r>
      <w:r>
        <w:t xml:space="preserve">stributor’s proposed charge and </w:t>
      </w:r>
      <w:r w:rsidRPr="002E72B9">
        <w:t>terms and conditions for the excluded service including reason</w:t>
      </w:r>
      <w:r>
        <w:t xml:space="preserve">s for any </w:t>
      </w:r>
      <w:r w:rsidRPr="002E72B9">
        <w:t>change in, or change in the magnitude of, costs</w:t>
      </w:r>
      <w:r>
        <w:t xml:space="preserve"> incurred by the distributor in </w:t>
      </w:r>
      <w:r w:rsidRPr="002E72B9">
        <w:t>providing the excluded service and the e</w:t>
      </w:r>
      <w:r>
        <w:t xml:space="preserve">ffect of any such change on the </w:t>
      </w:r>
      <w:r w:rsidRPr="002E72B9">
        <w:t xml:space="preserve">distributor’s proposed charge and terms </w:t>
      </w:r>
      <w:r>
        <w:t xml:space="preserve">and conditions for the excluded </w:t>
      </w:r>
      <w:r w:rsidRPr="002E72B9">
        <w:t>service;</w:t>
      </w:r>
    </w:p>
    <w:p w:rsidR="002E72B9" w:rsidRPr="002E72B9" w:rsidRDefault="002E72B9" w:rsidP="002E72B9">
      <w:pPr>
        <w:pStyle w:val="AERbodytextindent2"/>
      </w:pPr>
      <w:r w:rsidRPr="002E72B9">
        <w:t>(c) a breakdown of each estimated cost to be</w:t>
      </w:r>
      <w:r>
        <w:t xml:space="preserve"> incurred by the distributor in </w:t>
      </w:r>
      <w:r w:rsidRPr="002E72B9">
        <w:t>providing the excluded service reflected in th</w:t>
      </w:r>
      <w:r>
        <w:t xml:space="preserve">e distributor’s proposed charge </w:t>
      </w:r>
      <w:r w:rsidRPr="002E72B9">
        <w:t>for the excluded service;</w:t>
      </w:r>
    </w:p>
    <w:p w:rsidR="002E72B9" w:rsidRPr="002E72B9" w:rsidRDefault="002E72B9" w:rsidP="002E72B9">
      <w:pPr>
        <w:pStyle w:val="AERbodytextindent2"/>
      </w:pPr>
      <w:r w:rsidRPr="002E72B9">
        <w:t>(d) details of what is required of the distri</w:t>
      </w:r>
      <w:r>
        <w:t xml:space="preserve">butor in providing the excluded </w:t>
      </w:r>
      <w:r w:rsidRPr="002E72B9">
        <w:t>service, such as materials and labour (includin</w:t>
      </w:r>
      <w:r>
        <w:t xml:space="preserve">g labour type, hourly rates and </w:t>
      </w:r>
      <w:r w:rsidRPr="002E72B9">
        <w:t>estimated man-hours to complete the work);</w:t>
      </w:r>
    </w:p>
    <w:p w:rsidR="002E72B9" w:rsidRPr="002E72B9" w:rsidRDefault="002E72B9" w:rsidP="002E72B9">
      <w:pPr>
        <w:pStyle w:val="AERbodytextindent2"/>
      </w:pPr>
      <w:r w:rsidRPr="002E72B9">
        <w:t xml:space="preserve">(e) if a different charge or different terms </w:t>
      </w:r>
      <w:r>
        <w:t xml:space="preserve">and conditions are proposed for </w:t>
      </w:r>
      <w:r w:rsidRPr="002E72B9">
        <w:t>providing the excluded service to di</w:t>
      </w:r>
      <w:r>
        <w:t xml:space="preserve">fferent customers or classes of </w:t>
      </w:r>
      <w:r w:rsidRPr="002E72B9">
        <w:t>customers, the magnitude of and justification f</w:t>
      </w:r>
      <w:r>
        <w:t xml:space="preserve">or the different costs incurred </w:t>
      </w:r>
      <w:r w:rsidRPr="002E72B9">
        <w:t>by the distributor in providing the excl</w:t>
      </w:r>
      <w:r>
        <w:t xml:space="preserve">uded service to those different </w:t>
      </w:r>
      <w:r w:rsidRPr="002E72B9">
        <w:t>customers or classes of customers;</w:t>
      </w:r>
    </w:p>
    <w:p w:rsidR="002E72B9" w:rsidRPr="002E72B9" w:rsidRDefault="002E72B9" w:rsidP="002E72B9">
      <w:pPr>
        <w:pStyle w:val="AERbodytextindent2"/>
      </w:pPr>
      <w:r w:rsidRPr="002E72B9">
        <w:t>(f) if there are any shared or common costs incurred by the distributo</w:t>
      </w:r>
      <w:r>
        <w:t xml:space="preserve">r in </w:t>
      </w:r>
      <w:r w:rsidRPr="002E72B9">
        <w:t>providing the excluded service and in providi</w:t>
      </w:r>
      <w:r>
        <w:t xml:space="preserve">ng any other goods or services, </w:t>
      </w:r>
      <w:r w:rsidRPr="002E72B9">
        <w:t>whether in the conduct of the distributor’s b</w:t>
      </w:r>
      <w:r>
        <w:t xml:space="preserve">usiness as a distributor or any </w:t>
      </w:r>
      <w:r w:rsidRPr="002E72B9">
        <w:t>other business, a proportional breakdown and allocation of those costs;</w:t>
      </w:r>
    </w:p>
    <w:p w:rsidR="002E72B9" w:rsidRPr="002E72B9" w:rsidRDefault="002E72B9" w:rsidP="002E72B9">
      <w:pPr>
        <w:pStyle w:val="AERbodytextindent2"/>
      </w:pPr>
      <w:r w:rsidRPr="002E72B9">
        <w:t>(g) if the proposed charge for the exclud</w:t>
      </w:r>
      <w:r>
        <w:t xml:space="preserve">ed service is a standard charge </w:t>
      </w:r>
      <w:r w:rsidRPr="002E72B9">
        <w:t>reflecting the average costs incurred by t</w:t>
      </w:r>
      <w:r>
        <w:t xml:space="preserve">he distributor in providing the </w:t>
      </w:r>
      <w:r w:rsidRPr="002E72B9">
        <w:t>excluded service across the distributor’</w:t>
      </w:r>
      <w:r>
        <w:t xml:space="preserve">s customer base, details of the </w:t>
      </w:r>
      <w:r w:rsidRPr="002E72B9">
        <w:t>assumptions and calculation used to derive the standard charge;</w:t>
      </w:r>
    </w:p>
    <w:p w:rsidR="002E72B9" w:rsidRPr="002E72B9" w:rsidRDefault="002E72B9" w:rsidP="002E72B9">
      <w:pPr>
        <w:pStyle w:val="AERbodytextindent2"/>
      </w:pPr>
      <w:r w:rsidRPr="002E72B9">
        <w:t>(h) details of any consultations with customer</w:t>
      </w:r>
      <w:r>
        <w:t xml:space="preserve">s undertaken by the distributor </w:t>
      </w:r>
      <w:r w:rsidRPr="002E72B9">
        <w:t>in developing the distributor’s proposed char</w:t>
      </w:r>
      <w:r>
        <w:t xml:space="preserve">ge and terms and conditions for </w:t>
      </w:r>
      <w:r w:rsidRPr="002E72B9">
        <w:t>the excluded service; and</w:t>
      </w:r>
    </w:p>
    <w:p w:rsidR="002E72B9" w:rsidRPr="002E72B9" w:rsidRDefault="002E72B9" w:rsidP="002E72B9">
      <w:pPr>
        <w:pStyle w:val="AERbodytextindent2"/>
      </w:pPr>
      <w:r w:rsidRPr="002E72B9">
        <w:t>(i) any other information relevant in the context of whether the distribu</w:t>
      </w:r>
      <w:r>
        <w:t xml:space="preserve">tor’s </w:t>
      </w:r>
      <w:r w:rsidRPr="002E72B9">
        <w:t>proposed charge and terms and conditions fo</w:t>
      </w:r>
      <w:r>
        <w:t xml:space="preserve">r the excluded service are fair </w:t>
      </w:r>
      <w:r w:rsidRPr="002E72B9">
        <w:t>and reasonable.</w:t>
      </w:r>
    </w:p>
    <w:p w:rsidR="002E72B9" w:rsidRPr="002E72B9" w:rsidRDefault="002E72B9" w:rsidP="002E72B9">
      <w:pPr>
        <w:pStyle w:val="AERbodytextindent1"/>
      </w:pPr>
      <w:r w:rsidRPr="002E72B9">
        <w:t xml:space="preserve">5.5.2 As a minimum, the details contemplated </w:t>
      </w:r>
      <w:r>
        <w:t xml:space="preserve">by clause 5.5.1(a), (b) and (d) </w:t>
      </w:r>
      <w:r w:rsidRPr="002E72B9">
        <w:t>should be included in the proposed statement itself.</w:t>
      </w:r>
    </w:p>
    <w:p w:rsidR="002E72B9" w:rsidRPr="002E72B9" w:rsidRDefault="002E72B9" w:rsidP="002E72B9">
      <w:pPr>
        <w:pStyle w:val="AERbodytext"/>
        <w:numPr>
          <w:ilvl w:val="0"/>
          <w:numId w:val="13"/>
        </w:numPr>
      </w:pPr>
    </w:p>
    <w:p w:rsidR="002E72B9" w:rsidRPr="002E72B9" w:rsidRDefault="002E72B9" w:rsidP="002E72B9">
      <w:pPr>
        <w:pStyle w:val="Heading8"/>
      </w:pPr>
      <w:r w:rsidRPr="002E72B9">
        <w:t>Paragraph 5.6</w:t>
      </w:r>
    </w:p>
    <w:p w:rsidR="002E72B9" w:rsidRPr="002E72B9" w:rsidRDefault="002E72B9" w:rsidP="00FC1D49">
      <w:pPr>
        <w:pStyle w:val="AERbodytext"/>
        <w:numPr>
          <w:ilvl w:val="0"/>
          <w:numId w:val="13"/>
        </w:numPr>
      </w:pPr>
      <w:r w:rsidRPr="002E72B9">
        <w:t>5.6.2 The Commission will assess the f</w:t>
      </w:r>
      <w:r w:rsidR="00FC1D49">
        <w:t xml:space="preserve">airness and reasonableness of a </w:t>
      </w:r>
      <w:r w:rsidRPr="002E72B9">
        <w:t>distributor’s proposed charge and terms</w:t>
      </w:r>
      <w:r w:rsidR="00FC1D49">
        <w:t xml:space="preserve"> and conditions for an excluded </w:t>
      </w:r>
      <w:r w:rsidRPr="002E72B9">
        <w:t>service on the basis of the following principles:</w:t>
      </w:r>
    </w:p>
    <w:p w:rsidR="002E72B9" w:rsidRPr="002E72B9" w:rsidRDefault="002E72B9" w:rsidP="00FC1D49">
      <w:pPr>
        <w:pStyle w:val="AERbodytextindent1"/>
      </w:pPr>
      <w:r w:rsidRPr="002E72B9">
        <w:t>(a) Costs of service provision: a dis</w:t>
      </w:r>
      <w:r w:rsidR="00FC1D49">
        <w:t xml:space="preserve">tributor’s charge and terms and </w:t>
      </w:r>
      <w:r w:rsidRPr="002E72B9">
        <w:t>conditions for an excluded service must be</w:t>
      </w:r>
      <w:r w:rsidR="00FC1D49">
        <w:t xml:space="preserve"> based on the costs incurred by </w:t>
      </w:r>
      <w:r w:rsidRPr="002E72B9">
        <w:t>the distributor in providing the excluded service;</w:t>
      </w:r>
    </w:p>
    <w:p w:rsidR="002E72B9" w:rsidRPr="002E72B9" w:rsidRDefault="002E72B9" w:rsidP="00FC1D49">
      <w:pPr>
        <w:pStyle w:val="AERbodytextindent1"/>
      </w:pPr>
      <w:r w:rsidRPr="002E72B9">
        <w:t>(b) Cost allocation: in respect of the cos</w:t>
      </w:r>
      <w:r w:rsidR="00FC1D49">
        <w:t xml:space="preserve">ts incurred by a distributor in </w:t>
      </w:r>
      <w:r w:rsidRPr="002E72B9">
        <w:t>providing an excluded service:</w:t>
      </w:r>
    </w:p>
    <w:p w:rsidR="002E72B9" w:rsidRPr="002E72B9" w:rsidRDefault="002E72B9" w:rsidP="00FC1D49">
      <w:pPr>
        <w:pStyle w:val="AERbodytextindent2"/>
      </w:pPr>
      <w:r w:rsidRPr="002E72B9">
        <w:t>(1) those costs must not include costs in resp</w:t>
      </w:r>
      <w:r w:rsidR="00FC1D49">
        <w:t xml:space="preserve">ect of which the distributor is remunerated under the </w:t>
      </w:r>
      <w:r w:rsidRPr="002E72B9">
        <w:t>distributor’s distribution tariff; and</w:t>
      </w:r>
    </w:p>
    <w:p w:rsidR="002E72B9" w:rsidRPr="002E72B9" w:rsidRDefault="002E72B9" w:rsidP="00FC1D49">
      <w:pPr>
        <w:pStyle w:val="AERbodytextindent2"/>
      </w:pPr>
      <w:r w:rsidRPr="002E72B9">
        <w:t>(2) those costs must only include an appropri</w:t>
      </w:r>
      <w:r w:rsidR="00FC1D49">
        <w:t xml:space="preserve">ate allocation of any shared or </w:t>
      </w:r>
      <w:r w:rsidRPr="002E72B9">
        <w:t>common costs incurred by the distributor in</w:t>
      </w:r>
      <w:r w:rsidR="00FC1D49">
        <w:t xml:space="preserve"> providing the excluded service </w:t>
      </w:r>
      <w:r w:rsidRPr="002E72B9">
        <w:t>and in providing any other goods or services</w:t>
      </w:r>
      <w:r w:rsidR="00FC1D49">
        <w:t xml:space="preserve">, whether in the conduct of the </w:t>
      </w:r>
      <w:r w:rsidRPr="002E72B9">
        <w:t>distributor’s business as a distributor or any other business;</w:t>
      </w:r>
    </w:p>
    <w:p w:rsidR="002E72B9" w:rsidRPr="002E72B9" w:rsidRDefault="002E72B9" w:rsidP="00FC1D49">
      <w:pPr>
        <w:pStyle w:val="AERbodytextindent1"/>
      </w:pPr>
      <w:r w:rsidRPr="002E72B9">
        <w:t xml:space="preserve">(c) Cost differentials: a distributor’s charge </w:t>
      </w:r>
      <w:r w:rsidR="00FC1D49">
        <w:t xml:space="preserve">and terms and conditions for an </w:t>
      </w:r>
      <w:r w:rsidRPr="002E72B9">
        <w:t>excluded service must be the same for all cus</w:t>
      </w:r>
      <w:r w:rsidR="00FC1D49">
        <w:t xml:space="preserve">tomers unless there is material </w:t>
      </w:r>
      <w:r w:rsidRPr="002E72B9">
        <w:t>difference in the costs of providing th</w:t>
      </w:r>
      <w:r w:rsidR="00FC1D49">
        <w:t xml:space="preserve">e excluded service to different </w:t>
      </w:r>
      <w:r w:rsidRPr="002E72B9">
        <w:t xml:space="preserve">customers or classes of customers. </w:t>
      </w:r>
      <w:r w:rsidR="00FC1D49">
        <w:t xml:space="preserve">Different charges and terms and </w:t>
      </w:r>
      <w:r w:rsidRPr="002E72B9">
        <w:t>conditions for different customers or classe</w:t>
      </w:r>
      <w:r w:rsidR="00FC1D49">
        <w:t xml:space="preserve">s of customers must only be </w:t>
      </w:r>
      <w:r w:rsidRPr="002E72B9">
        <w:t>attributable to differences in:</w:t>
      </w:r>
    </w:p>
    <w:p w:rsidR="002E72B9" w:rsidRPr="002E72B9" w:rsidRDefault="002E72B9" w:rsidP="00FC1D49">
      <w:pPr>
        <w:pStyle w:val="AERbodytextindent2"/>
      </w:pPr>
      <w:r w:rsidRPr="002E72B9">
        <w:t>(1) the volume or quantity of the excluded service provided;</w:t>
      </w:r>
    </w:p>
    <w:p w:rsidR="002E72B9" w:rsidRPr="002E72B9" w:rsidRDefault="002E72B9" w:rsidP="00FC1D49">
      <w:pPr>
        <w:pStyle w:val="AERbodytextindent2"/>
      </w:pPr>
      <w:r w:rsidRPr="002E72B9">
        <w:t>(2) the places to or from which the excluded service is provided;</w:t>
      </w:r>
    </w:p>
    <w:p w:rsidR="002E72B9" w:rsidRPr="002E72B9" w:rsidRDefault="002E72B9" w:rsidP="00FC1D49">
      <w:pPr>
        <w:pStyle w:val="AERbodytextindent2"/>
      </w:pPr>
      <w:r w:rsidRPr="002E72B9">
        <w:t>(3) the time of day at which the excluded service is provided;</w:t>
      </w:r>
    </w:p>
    <w:p w:rsidR="002E72B9" w:rsidRPr="002E72B9" w:rsidRDefault="002E72B9" w:rsidP="00FC1D49">
      <w:pPr>
        <w:pStyle w:val="AERbodytextindent2"/>
      </w:pPr>
      <w:r w:rsidRPr="002E72B9">
        <w:t>(4) the performance characteristics a</w:t>
      </w:r>
      <w:r w:rsidR="00FC1D49">
        <w:t xml:space="preserve">t which the excluded service is </w:t>
      </w:r>
      <w:r w:rsidRPr="002E72B9">
        <w:t>provided; or</w:t>
      </w:r>
    </w:p>
    <w:p w:rsidR="002E72B9" w:rsidRPr="002E72B9" w:rsidRDefault="002E72B9" w:rsidP="00FC1D49">
      <w:pPr>
        <w:pStyle w:val="AERbodytextindent2"/>
      </w:pPr>
      <w:r w:rsidRPr="002E72B9">
        <w:t>(5) any other difference in the costs of providing the excluded service; and</w:t>
      </w:r>
    </w:p>
    <w:p w:rsidR="00A46562" w:rsidRDefault="002E72B9" w:rsidP="00284299">
      <w:pPr>
        <w:pStyle w:val="AERbodytextindent2"/>
      </w:pPr>
      <w:r w:rsidRPr="002E72B9">
        <w:t>(d) Simplicity: charges and terms and c</w:t>
      </w:r>
      <w:r w:rsidR="00FC1D49">
        <w:t xml:space="preserve">onditions for excluded services </w:t>
      </w:r>
      <w:r w:rsidRPr="002E72B9">
        <w:t>should be simple and easily comprehensible</w:t>
      </w:r>
    </w:p>
    <w:p w:rsidR="00A46562" w:rsidRDefault="00760499" w:rsidP="00A46562">
      <w:pPr>
        <w:pStyle w:val="Heading7"/>
      </w:pPr>
      <w:r>
        <w:lastRenderedPageBreak/>
        <w:t>R</w:t>
      </w:r>
      <w:r w:rsidR="00A46562">
        <w:t>emote AMI service charges</w:t>
      </w:r>
    </w:p>
    <w:p w:rsidR="00A46562" w:rsidRPr="00A46562" w:rsidRDefault="00A46562" w:rsidP="00A46562">
      <w:r w:rsidRPr="00A46562">
        <w:t xml:space="preserve">For completeness, the charges set out in table </w:t>
      </w:r>
      <w:r w:rsidR="009804E4">
        <w:t>C1</w:t>
      </w:r>
      <w:r w:rsidRPr="00A46562">
        <w:t xml:space="preserve"> reproduce approved charges for </w:t>
      </w:r>
      <w:r w:rsidR="00077217">
        <w:t>all</w:t>
      </w:r>
      <w:r w:rsidRPr="00A46562">
        <w:t xml:space="preserve"> </w:t>
      </w:r>
      <w:r w:rsidR="004D1F83">
        <w:t xml:space="preserve">Victorian </w:t>
      </w:r>
      <w:r w:rsidRPr="00A46562">
        <w:t>DNSPs' remote AMI services (excluding GST, $2013)</w:t>
      </w:r>
      <w:r w:rsidR="00077217">
        <w:t>.</w:t>
      </w:r>
    </w:p>
    <w:p w:rsidR="00A46562" w:rsidRPr="004D1F83" w:rsidRDefault="00A46562" w:rsidP="00A46562">
      <w:pPr>
        <w:numPr>
          <w:ilvl w:val="0"/>
          <w:numId w:val="13"/>
        </w:numPr>
        <w:rPr>
          <w:rStyle w:val="AERtextbold"/>
        </w:rPr>
      </w:pPr>
      <w:r w:rsidRPr="004D1F83">
        <w:rPr>
          <w:rStyle w:val="AERtextbold"/>
        </w:rPr>
        <w:t xml:space="preserve">Table </w:t>
      </w:r>
      <w:r w:rsidR="009804E4">
        <w:rPr>
          <w:rStyle w:val="AERtextbold"/>
        </w:rPr>
        <w:t>C1</w:t>
      </w:r>
      <w:r w:rsidR="00EC1BD8">
        <w:rPr>
          <w:rStyle w:val="AERtextbold"/>
        </w:rPr>
        <w:tab/>
      </w:r>
      <w:r w:rsidR="00387D4A">
        <w:rPr>
          <w:rStyle w:val="AERtextbold"/>
        </w:rPr>
        <w:t xml:space="preserve">Approved </w:t>
      </w:r>
      <w:r w:rsidR="00C8107C">
        <w:rPr>
          <w:rStyle w:val="AERtextbold"/>
        </w:rPr>
        <w:t xml:space="preserve">Victorian DNSPs </w:t>
      </w:r>
      <w:r w:rsidR="00695A1D">
        <w:rPr>
          <w:rStyle w:val="AERtextbold"/>
        </w:rPr>
        <w:t>r</w:t>
      </w:r>
      <w:r w:rsidRPr="004D1F83">
        <w:rPr>
          <w:rStyle w:val="AERtextbold"/>
        </w:rPr>
        <w:t>emote AMI services charges, (excluding GST, $2013).</w:t>
      </w:r>
      <w:r w:rsidRPr="004D1F83" w:rsidDel="006B4921">
        <w:rPr>
          <w:rStyle w:val="AERtextbold"/>
        </w:rPr>
        <w:t xml:space="preserve"> </w:t>
      </w:r>
    </w:p>
    <w:tbl>
      <w:tblPr>
        <w:tblStyle w:val="AERtable-numbers"/>
        <w:tblW w:w="0" w:type="auto"/>
        <w:tblLook w:val="04A0" w:firstRow="1" w:lastRow="0" w:firstColumn="1" w:lastColumn="0" w:noHBand="0" w:noVBand="1"/>
      </w:tblPr>
      <w:tblGrid>
        <w:gridCol w:w="2043"/>
        <w:gridCol w:w="1209"/>
        <w:gridCol w:w="1576"/>
        <w:gridCol w:w="1536"/>
        <w:gridCol w:w="1520"/>
        <w:gridCol w:w="1358"/>
      </w:tblGrid>
      <w:tr w:rsidR="00C8107C" w:rsidRPr="00A46562" w:rsidTr="00387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Name of service</w:t>
            </w:r>
          </w:p>
        </w:tc>
        <w:tc>
          <w:tcPr>
            <w:tcW w:w="1209" w:type="dxa"/>
          </w:tcPr>
          <w:p w:rsidR="00C8107C" w:rsidRPr="00A46562"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rsidRPr="00A46562">
              <w:t>CitiPower</w:t>
            </w:r>
          </w:p>
        </w:tc>
        <w:tc>
          <w:tcPr>
            <w:tcW w:w="1576" w:type="dxa"/>
          </w:tcPr>
          <w:p w:rsidR="00C8107C" w:rsidRPr="00A46562"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rsidRPr="00A46562">
              <w:t>Powercor</w:t>
            </w:r>
          </w:p>
        </w:tc>
        <w:tc>
          <w:tcPr>
            <w:tcW w:w="1536" w:type="dxa"/>
          </w:tcPr>
          <w:p w:rsidR="00C8107C" w:rsidRPr="00A46562"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rsidRPr="00A46562">
              <w:t>Jemena</w:t>
            </w:r>
          </w:p>
        </w:tc>
        <w:tc>
          <w:tcPr>
            <w:tcW w:w="1520" w:type="dxa"/>
          </w:tcPr>
          <w:p w:rsidR="00C8107C" w:rsidRPr="00A46562" w:rsidRDefault="00C8107C" w:rsidP="00284299">
            <w:pPr>
              <w:pStyle w:val="AERtabletextright"/>
              <w:cnfStyle w:val="100000000000" w:firstRow="1" w:lastRow="0" w:firstColumn="0" w:lastColumn="0" w:oddVBand="0" w:evenVBand="0" w:oddHBand="0" w:evenHBand="0" w:firstRowFirstColumn="0" w:firstRowLastColumn="0" w:lastRowFirstColumn="0" w:lastRowLastColumn="0"/>
            </w:pPr>
            <w:r w:rsidRPr="00A46562">
              <w:t>United Energy</w:t>
            </w:r>
          </w:p>
        </w:tc>
        <w:tc>
          <w:tcPr>
            <w:tcW w:w="1358" w:type="dxa"/>
          </w:tcPr>
          <w:p w:rsidR="00C8107C" w:rsidRPr="00A46562" w:rsidRDefault="00C8107C" w:rsidP="00C47FA5">
            <w:pPr>
              <w:pStyle w:val="AERtabletextright"/>
              <w:cnfStyle w:val="100000000000" w:firstRow="1" w:lastRow="0" w:firstColumn="0" w:lastColumn="0" w:oddVBand="0" w:evenVBand="0" w:oddHBand="0" w:evenHBand="0" w:firstRowFirstColumn="0" w:firstRowLastColumn="0" w:lastRowFirstColumn="0" w:lastRowLastColumn="0"/>
            </w:pPr>
            <w:r>
              <w:t>SP Au</w:t>
            </w:r>
            <w:r w:rsidR="00894C37">
              <w:t>sN</w:t>
            </w:r>
            <w:r>
              <w:t>et</w:t>
            </w:r>
          </w:p>
        </w:tc>
      </w:tr>
      <w:tr w:rsidR="00C8107C" w:rsidRPr="00A46562" w:rsidTr="00387D4A">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Remote re-energisation</w:t>
            </w:r>
          </w:p>
        </w:tc>
        <w:tc>
          <w:tcPr>
            <w:tcW w:w="1209"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5.83</w:t>
            </w:r>
          </w:p>
        </w:tc>
        <w:tc>
          <w:tcPr>
            <w:tcW w:w="1576"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5.83</w:t>
            </w:r>
          </w:p>
        </w:tc>
        <w:tc>
          <w:tcPr>
            <w:tcW w:w="1536"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5.46</w:t>
            </w:r>
          </w:p>
        </w:tc>
        <w:tc>
          <w:tcPr>
            <w:tcW w:w="1520"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6.20</w:t>
            </w:r>
          </w:p>
        </w:tc>
        <w:tc>
          <w:tcPr>
            <w:tcW w:w="1358"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t>2.45</w:t>
            </w:r>
          </w:p>
        </w:tc>
      </w:tr>
      <w:tr w:rsidR="00C8107C" w:rsidRPr="00A46562" w:rsidTr="00387D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Remote de-energisation</w:t>
            </w:r>
          </w:p>
        </w:tc>
        <w:tc>
          <w:tcPr>
            <w:tcW w:w="1209"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5.83</w:t>
            </w:r>
          </w:p>
        </w:tc>
        <w:tc>
          <w:tcPr>
            <w:tcW w:w="1576"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5.83</w:t>
            </w:r>
          </w:p>
        </w:tc>
        <w:tc>
          <w:tcPr>
            <w:tcW w:w="1536"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5.46</w:t>
            </w:r>
          </w:p>
        </w:tc>
        <w:tc>
          <w:tcPr>
            <w:tcW w:w="1520"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5.82</w:t>
            </w:r>
          </w:p>
        </w:tc>
        <w:tc>
          <w:tcPr>
            <w:tcW w:w="1358"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t>3.35</w:t>
            </w:r>
          </w:p>
        </w:tc>
      </w:tr>
      <w:tr w:rsidR="00C8107C" w:rsidRPr="00A46562" w:rsidTr="00387D4A">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Remote meter reconfiguration</w:t>
            </w:r>
          </w:p>
        </w:tc>
        <w:tc>
          <w:tcPr>
            <w:tcW w:w="1209"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30.91</w:t>
            </w:r>
          </w:p>
        </w:tc>
        <w:tc>
          <w:tcPr>
            <w:tcW w:w="1576"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30.91</w:t>
            </w:r>
          </w:p>
        </w:tc>
        <w:tc>
          <w:tcPr>
            <w:tcW w:w="1536"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34.52</w:t>
            </w:r>
          </w:p>
        </w:tc>
        <w:tc>
          <w:tcPr>
            <w:tcW w:w="1520"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rsidRPr="00A46562">
              <w:t>32.64</w:t>
            </w:r>
          </w:p>
        </w:tc>
        <w:tc>
          <w:tcPr>
            <w:tcW w:w="1358" w:type="dxa"/>
          </w:tcPr>
          <w:p w:rsidR="00C8107C" w:rsidRPr="00A46562" w:rsidRDefault="00C8107C" w:rsidP="00284299">
            <w:pPr>
              <w:pStyle w:val="AERtabletextright"/>
              <w:cnfStyle w:val="000000000000" w:firstRow="0" w:lastRow="0" w:firstColumn="0" w:lastColumn="0" w:oddVBand="0" w:evenVBand="0" w:oddHBand="0" w:evenHBand="0" w:firstRowFirstColumn="0" w:firstRowLastColumn="0" w:lastRowFirstColumn="0" w:lastRowLastColumn="0"/>
            </w:pPr>
            <w:r>
              <w:t>20.15</w:t>
            </w:r>
          </w:p>
        </w:tc>
      </w:tr>
      <w:tr w:rsidR="00C8107C" w:rsidRPr="00A46562" w:rsidTr="00387D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3" w:type="dxa"/>
          </w:tcPr>
          <w:p w:rsidR="00C8107C" w:rsidRPr="00A46562" w:rsidRDefault="00C8107C" w:rsidP="00A46562">
            <w:r w:rsidRPr="00A46562">
              <w:t>Remote special meter read</w:t>
            </w:r>
          </w:p>
        </w:tc>
        <w:tc>
          <w:tcPr>
            <w:tcW w:w="1209"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0.00</w:t>
            </w:r>
          </w:p>
        </w:tc>
        <w:tc>
          <w:tcPr>
            <w:tcW w:w="1576"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0.00</w:t>
            </w:r>
          </w:p>
        </w:tc>
        <w:tc>
          <w:tcPr>
            <w:tcW w:w="1536"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1.52</w:t>
            </w:r>
          </w:p>
        </w:tc>
        <w:tc>
          <w:tcPr>
            <w:tcW w:w="1520"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rsidRPr="00A46562">
              <w:t>0.77</w:t>
            </w:r>
          </w:p>
        </w:tc>
        <w:tc>
          <w:tcPr>
            <w:tcW w:w="1358" w:type="dxa"/>
          </w:tcPr>
          <w:p w:rsidR="00C8107C" w:rsidRPr="00A46562" w:rsidRDefault="00C8107C" w:rsidP="00284299">
            <w:pPr>
              <w:pStyle w:val="AERtabletextright"/>
              <w:cnfStyle w:val="000000010000" w:firstRow="0" w:lastRow="0" w:firstColumn="0" w:lastColumn="0" w:oddVBand="0" w:evenVBand="0" w:oddHBand="0" w:evenHBand="1" w:firstRowFirstColumn="0" w:firstRowLastColumn="0" w:lastRowFirstColumn="0" w:lastRowLastColumn="0"/>
            </w:pPr>
            <w:r>
              <w:t>0.55</w:t>
            </w:r>
          </w:p>
        </w:tc>
      </w:tr>
    </w:tbl>
    <w:p w:rsidR="00A46562" w:rsidRDefault="00A46562" w:rsidP="00077217">
      <w:pPr>
        <w:pStyle w:val="AERtablesource"/>
      </w:pPr>
      <w:r w:rsidRPr="00A46562">
        <w:t>Source: AER</w:t>
      </w:r>
    </w:p>
    <w:p w:rsidR="00A46562" w:rsidRDefault="00A46562" w:rsidP="00EC1BD8">
      <w:pPr>
        <w:pStyle w:val="AERbodytextindent2"/>
        <w:ind w:left="0"/>
      </w:pPr>
    </w:p>
    <w:p w:rsidR="00A46562" w:rsidRPr="002E72B9" w:rsidRDefault="00A46562" w:rsidP="00FC1D49">
      <w:pPr>
        <w:pStyle w:val="AERbodytextindent2"/>
      </w:pPr>
    </w:p>
    <w:sectPr w:rsidR="00A46562" w:rsidRPr="002E72B9" w:rsidSect="00CF4A20">
      <w:footerReference w:type="even"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6C1" w:rsidRPr="00AB4345" w:rsidRDefault="003B56C1" w:rsidP="00AB4345">
      <w:r>
        <w:separator/>
      </w:r>
    </w:p>
  </w:endnote>
  <w:endnote w:type="continuationSeparator" w:id="0">
    <w:p w:rsidR="003B56C1" w:rsidRPr="00AB4345" w:rsidRDefault="003B56C1"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C1" w:rsidRDefault="003B56C1" w:rsidP="00441779">
    <w:pPr>
      <w:pStyle w:val="Footer"/>
      <w:rPr>
        <w:rStyle w:val="AERbody"/>
      </w:rPr>
    </w:pPr>
    <w:r>
      <w:rPr>
        <w:rStyle w:val="AERbody"/>
      </w:rPr>
      <w:br/>
    </w:r>
  </w:p>
  <w:p w:rsidR="003B56C1" w:rsidRPr="00824CC8" w:rsidRDefault="003B56C1" w:rsidP="00441779">
    <w:pPr>
      <w:pStyle w:val="Footer"/>
      <w:rPr>
        <w:rStyle w:val="AERbody"/>
      </w:rPr>
    </w:pPr>
    <w:r>
      <w:rPr>
        <w:rStyle w:val="AERbody"/>
      </w:rPr>
      <w:t>SP AusNet</w:t>
    </w:r>
    <w:r w:rsidRPr="00210880">
      <w:rPr>
        <w:rStyle w:val="AERbody"/>
      </w:rPr>
      <w:t xml:space="preserve"> </w:t>
    </w:r>
    <w:r>
      <w:rPr>
        <w:rStyle w:val="AERbody"/>
      </w:rPr>
      <w:t xml:space="preserve">AMI Remote Services </w:t>
    </w:r>
    <w:r w:rsidRPr="00210880">
      <w:rPr>
        <w:rStyle w:val="AERbody"/>
      </w:rPr>
      <w:t>|</w:t>
    </w:r>
    <w:r>
      <w:rPr>
        <w:rStyle w:val="AERbody"/>
      </w:rPr>
      <w:t xml:space="preserve"> Final decision</w:t>
    </w: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41826">
      <w:rPr>
        <w:rStyle w:val="AERbody"/>
        <w:noProof/>
      </w:rPr>
      <w:t>2</w:t>
    </w:r>
    <w:r w:rsidRPr="00824CC8">
      <w:rPr>
        <w:rStyle w:val="AERbody"/>
      </w:rPr>
      <w:fldChar w:fldCharType="end"/>
    </w:r>
  </w:p>
  <w:p w:rsidR="003B56C1" w:rsidRDefault="003B56C1" w:rsidP="00387D4A">
    <w:pPr>
      <w:pStyle w:val="Footer"/>
    </w:pPr>
    <w:r>
      <w:rPr>
        <w:rStyle w:val="AERbody"/>
      </w:rPr>
      <w:tab/>
    </w:r>
  </w:p>
  <w:p w:rsidR="003B56C1" w:rsidRDefault="003B56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C1" w:rsidRDefault="003B56C1" w:rsidP="00824CC8">
    <w:pPr>
      <w:pStyle w:val="Footer"/>
      <w:rPr>
        <w:rStyle w:val="AERbody"/>
      </w:rPr>
    </w:pPr>
    <w:r>
      <w:rPr>
        <w:rStyle w:val="AERbody"/>
      </w:rPr>
      <w:br/>
    </w:r>
  </w:p>
  <w:p w:rsidR="003B56C1" w:rsidRPr="00824CC8" w:rsidRDefault="003B56C1" w:rsidP="00824CC8">
    <w:pPr>
      <w:pStyle w:val="Footer"/>
      <w:rPr>
        <w:rStyle w:val="AERbody"/>
      </w:rPr>
    </w:pPr>
    <w:r>
      <w:rPr>
        <w:rStyle w:val="AERbody"/>
      </w:rPr>
      <w:t>SP AusNet</w:t>
    </w:r>
    <w:r w:rsidRPr="00210880">
      <w:rPr>
        <w:rStyle w:val="AERbody"/>
      </w:rPr>
      <w:t xml:space="preserve"> </w:t>
    </w:r>
    <w:r>
      <w:rPr>
        <w:rStyle w:val="AERbody"/>
      </w:rPr>
      <w:t xml:space="preserve">AMI Remote Services </w:t>
    </w:r>
    <w:r w:rsidRPr="00210880">
      <w:rPr>
        <w:rStyle w:val="AERbody"/>
      </w:rPr>
      <w:t>|</w:t>
    </w:r>
    <w:r>
      <w:rPr>
        <w:rStyle w:val="AERbody"/>
      </w:rPr>
      <w:t xml:space="preserve"> Final decision</w:t>
    </w: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041826">
      <w:rPr>
        <w:rStyle w:val="AERbody"/>
        <w:noProof/>
      </w:rPr>
      <w:t>1</w:t>
    </w:r>
    <w:r w:rsidRPr="00824CC8">
      <w:rPr>
        <w:rStyle w:val="AERbody"/>
      </w:rPr>
      <w:fldChar w:fldCharType="end"/>
    </w:r>
  </w:p>
  <w:p w:rsidR="003B56C1" w:rsidRDefault="003B56C1"/>
  <w:p w:rsidR="003B56C1" w:rsidRDefault="003B56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6C1" w:rsidRPr="00AB4345" w:rsidRDefault="003B56C1" w:rsidP="00AB4345">
      <w:r>
        <w:separator/>
      </w:r>
    </w:p>
  </w:footnote>
  <w:footnote w:type="continuationSeparator" w:id="0">
    <w:p w:rsidR="003B56C1" w:rsidRPr="00AB4345" w:rsidRDefault="003B56C1" w:rsidP="00AB4345">
      <w:r>
        <w:continuationSeparator/>
      </w:r>
    </w:p>
  </w:footnote>
  <w:footnote w:id="1">
    <w:p w:rsidR="003B56C1" w:rsidRDefault="003B56C1" w:rsidP="00387BD9">
      <w:pPr>
        <w:pStyle w:val="FootnoteText"/>
      </w:pPr>
      <w:r>
        <w:rPr>
          <w:rStyle w:val="FootnoteReference"/>
        </w:rPr>
        <w:footnoteRef/>
      </w:r>
      <w:r>
        <w:t xml:space="preserve"> </w:t>
      </w:r>
      <w:r>
        <w:tab/>
        <w:t xml:space="preserve">AER, </w:t>
      </w:r>
      <w:r w:rsidRPr="00387BD9">
        <w:rPr>
          <w:rStyle w:val="AERtextitalic"/>
        </w:rPr>
        <w:t>Final decision: Victorian electricity distribution network service Providers: AMI remote services charges: Review under ESCV Guideline 14</w:t>
      </w:r>
      <w:r>
        <w:t xml:space="preserve">, </w:t>
      </w:r>
      <w:r w:rsidRPr="00387BD9">
        <w:t>February 2011</w:t>
      </w:r>
      <w:r>
        <w:t>.</w:t>
      </w:r>
    </w:p>
  </w:footnote>
  <w:footnote w:id="2">
    <w:p w:rsidR="003B56C1" w:rsidRDefault="003B56C1">
      <w:pPr>
        <w:pStyle w:val="FootnoteText"/>
      </w:pPr>
      <w:r>
        <w:rPr>
          <w:rStyle w:val="FootnoteReference"/>
        </w:rPr>
        <w:footnoteRef/>
      </w:r>
      <w:r>
        <w:t xml:space="preserve"> </w:t>
      </w:r>
      <w:r>
        <w:tab/>
        <w:t xml:space="preserve">ESCV, </w:t>
      </w:r>
      <w:r w:rsidRPr="00FB137F">
        <w:rPr>
          <w:rStyle w:val="AERtextitalic"/>
        </w:rPr>
        <w:t>Electricity industry guideline no. 14: Provision of services by electricity distributors</w:t>
      </w:r>
      <w:r>
        <w:t>, Issue 1, April 2004.</w:t>
      </w:r>
    </w:p>
  </w:footnote>
  <w:footnote w:id="3">
    <w:p w:rsidR="003B56C1" w:rsidRDefault="003B56C1">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The relevant documents for the</w:t>
      </w:r>
      <w:r w:rsidRPr="00CD1CCF">
        <w:t xml:space="preserve"> determination </w:t>
      </w:r>
      <w:r>
        <w:t xml:space="preserve">of the other Victorian DNSPs' remote services charges proposals </w:t>
      </w:r>
      <w:r w:rsidRPr="00CD1CCF">
        <w:t xml:space="preserve">are available on the AER's website: </w:t>
      </w:r>
      <w:hyperlink r:id="rId1" w:history="1">
        <w:r w:rsidRPr="00CD1CCF">
          <w:rPr>
            <w:rStyle w:val="Hyperlink"/>
          </w:rPr>
          <w:t>http://www.aer.gov.au/node/15899</w:t>
        </w:r>
      </w:hyperlink>
      <w:r w:rsidRPr="00CD1CCF">
        <w:t>.</w:t>
      </w:r>
    </w:p>
  </w:footnote>
  <w:footnote w:id="4">
    <w:p w:rsidR="003B56C1" w:rsidRDefault="003B56C1">
      <w:pPr>
        <w:pStyle w:val="FootnoteText"/>
      </w:pPr>
      <w:r>
        <w:rPr>
          <w:rStyle w:val="FootnoteReference"/>
        </w:rPr>
        <w:footnoteRef/>
      </w:r>
      <w:r>
        <w:t xml:space="preserve"> </w:t>
      </w:r>
      <w:r>
        <w:tab/>
        <w:t>The rollout will likely continue into 2014 as DNSPs return to difficult site locations where a meter could not be installed, or where the owner refused installation.</w:t>
      </w:r>
    </w:p>
  </w:footnote>
  <w:footnote w:id="5">
    <w:p w:rsidR="003B56C1" w:rsidRDefault="003B56C1" w:rsidP="001F48A0">
      <w:pPr>
        <w:pStyle w:val="FootnoteText"/>
      </w:pPr>
      <w:r>
        <w:rPr>
          <w:rStyle w:val="FootnoteReference"/>
        </w:rPr>
        <w:footnoteRef/>
      </w:r>
      <w:r>
        <w:t xml:space="preserve"> </w:t>
      </w:r>
      <w:r>
        <w:tab/>
        <w:t xml:space="preserve">AER, </w:t>
      </w:r>
      <w:r w:rsidRPr="00B06DF4">
        <w:rPr>
          <w:rStyle w:val="AERtextitalic"/>
        </w:rPr>
        <w:t>Draft decision: Victorian electricity distribution network service providers: Advanced metering infrastructure remote services charges: Review under ESCV guideline 14</w:t>
      </w:r>
      <w:r>
        <w:t xml:space="preserve">, </w:t>
      </w:r>
      <w:r w:rsidRPr="001F3FAE">
        <w:t>November 2010</w:t>
      </w:r>
      <w:r>
        <w:t xml:space="preserve">;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xml:space="preserve">. The relevant documents for this determination process are available on the AER's website: </w:t>
      </w:r>
      <w:hyperlink r:id="rId2" w:history="1">
        <w:r w:rsidRPr="00AA34D5">
          <w:rPr>
            <w:rStyle w:val="Hyperlink"/>
          </w:rPr>
          <w:t>http://www.aer.gov.au/node/15899</w:t>
        </w:r>
      </w:hyperlink>
      <w:r>
        <w:t>.</w:t>
      </w:r>
    </w:p>
  </w:footnote>
  <w:footnote w:id="6">
    <w:p w:rsidR="003B56C1" w:rsidRDefault="003B56C1">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w:t>
      </w:r>
    </w:p>
  </w:footnote>
  <w:footnote w:id="7">
    <w:p w:rsidR="003B56C1" w:rsidRDefault="003B56C1">
      <w:pPr>
        <w:pStyle w:val="FootnoteText"/>
      </w:pPr>
      <w:r>
        <w:rPr>
          <w:rStyle w:val="FootnoteReference"/>
        </w:rPr>
        <w:footnoteRef/>
      </w:r>
      <w:r>
        <w:t xml:space="preserve"> </w:t>
      </w:r>
      <w:r>
        <w:tab/>
      </w:r>
      <w:r w:rsidRPr="00CB40FC">
        <w:t>Guideline 14, Paragraphs 5.5.2, 5.5.1(a), (b), and (d).</w:t>
      </w:r>
    </w:p>
  </w:footnote>
  <w:footnote w:id="8">
    <w:p w:rsidR="003B56C1" w:rsidRDefault="003B56C1">
      <w:pPr>
        <w:pStyle w:val="FootnoteText"/>
      </w:pPr>
      <w:r>
        <w:rPr>
          <w:rStyle w:val="FootnoteReference"/>
        </w:rPr>
        <w:footnoteRef/>
      </w:r>
      <w:r>
        <w:t xml:space="preserve"> </w:t>
      </w:r>
      <w:r>
        <w:tab/>
        <w:t>Guideline 14, Paragraph 5.6.1.</w:t>
      </w:r>
    </w:p>
  </w:footnote>
  <w:footnote w:id="9">
    <w:p w:rsidR="003B56C1" w:rsidRDefault="003B56C1">
      <w:pPr>
        <w:pStyle w:val="FootnoteText"/>
      </w:pPr>
      <w:r>
        <w:rPr>
          <w:rStyle w:val="FootnoteReference"/>
        </w:rPr>
        <w:footnoteRef/>
      </w:r>
      <w:r>
        <w:t xml:space="preserve"> </w:t>
      </w:r>
      <w:r>
        <w:tab/>
      </w:r>
      <w:r w:rsidRPr="00CB40FC">
        <w:t>Guideline 14, Paragraphs 5.6.2(a)–(d).</w:t>
      </w:r>
    </w:p>
  </w:footnote>
  <w:footnote w:id="10">
    <w:p w:rsidR="003B56C1" w:rsidRDefault="003B56C1" w:rsidP="00492377">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xml:space="preserve">, 30 August 2013, p. 7; AER, </w:t>
      </w:r>
      <w:r w:rsidRPr="00387BD9">
        <w:rPr>
          <w:rStyle w:val="AERtextitalic"/>
        </w:rPr>
        <w:t xml:space="preserve">Final decision: Victorian electricity distribution network service </w:t>
      </w:r>
      <w:r>
        <w:rPr>
          <w:rStyle w:val="AERtextitalic"/>
        </w:rPr>
        <w:t>p</w:t>
      </w:r>
      <w:r w:rsidRPr="00387BD9">
        <w:rPr>
          <w:rStyle w:val="AERtextitalic"/>
        </w:rPr>
        <w:t xml:space="preserve">roviders: AMI remote services charges: Review under ESCV </w:t>
      </w:r>
      <w:r>
        <w:rPr>
          <w:rStyle w:val="AERtextitalic"/>
        </w:rPr>
        <w:t>g</w:t>
      </w:r>
      <w:r w:rsidRPr="00387BD9">
        <w:rPr>
          <w:rStyle w:val="AERtextitalic"/>
        </w:rPr>
        <w:t>uideline 14</w:t>
      </w:r>
      <w:r>
        <w:t xml:space="preserve">, </w:t>
      </w:r>
      <w:r w:rsidRPr="00387BD9">
        <w:t>February 2011</w:t>
      </w:r>
      <w:r>
        <w:t xml:space="preserve">, pp. 12, 15, </w:t>
      </w:r>
    </w:p>
  </w:footnote>
  <w:footnote w:id="11">
    <w:p w:rsidR="003B56C1" w:rsidRDefault="003B56C1">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8.</w:t>
      </w:r>
    </w:p>
  </w:footnote>
  <w:footnote w:id="12">
    <w:p w:rsidR="003B56C1" w:rsidRDefault="003B56C1">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pp. 7, 9–16.</w:t>
      </w:r>
    </w:p>
  </w:footnote>
  <w:footnote w:id="13">
    <w:p w:rsidR="003B56C1" w:rsidRDefault="003B56C1">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pp. 7–8.</w:t>
      </w:r>
    </w:p>
  </w:footnote>
  <w:footnote w:id="14">
    <w:p w:rsidR="003B56C1" w:rsidRDefault="003B56C1">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xml:space="preserve">, 30 August 2013, pp. 9–16; SP AusNet, </w:t>
      </w:r>
      <w:r w:rsidRPr="00B06DF4">
        <w:rPr>
          <w:rStyle w:val="AERtextitalic"/>
        </w:rPr>
        <w:t>Proposed 2014 AMI remote service charges model</w:t>
      </w:r>
      <w:r>
        <w:t>, 30 August 2013.</w:t>
      </w:r>
    </w:p>
  </w:footnote>
  <w:footnote w:id="15">
    <w:p w:rsidR="003B56C1" w:rsidRDefault="003B56C1" w:rsidP="00405619">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xml:space="preserve">, 30 August 2013; SP AusNet, </w:t>
      </w:r>
      <w:r w:rsidRPr="00B06DF4">
        <w:rPr>
          <w:rStyle w:val="AERtextitalic"/>
        </w:rPr>
        <w:t>Proposed 2014 AMI remote service charges model</w:t>
      </w:r>
      <w:r>
        <w:t>, 30 August 2013.</w:t>
      </w:r>
    </w:p>
  </w:footnote>
  <w:footnote w:id="16">
    <w:p w:rsidR="003B56C1" w:rsidRDefault="003B56C1" w:rsidP="00405619">
      <w:pPr>
        <w:pStyle w:val="FootnoteText"/>
      </w:pPr>
      <w:r>
        <w:rPr>
          <w:rStyle w:val="FootnoteReference"/>
        </w:rPr>
        <w:footnoteRef/>
      </w:r>
      <w:r>
        <w:t xml:space="preserve"> </w:t>
      </w:r>
      <w:r>
        <w:tab/>
        <w:t xml:space="preserve">See: </w:t>
      </w:r>
      <w:hyperlink r:id="rId3" w:history="1">
        <w:r w:rsidRPr="00E8778A">
          <w:rPr>
            <w:rStyle w:val="Hyperlink"/>
          </w:rPr>
          <w:t>http://www.aer.gov.au/node/15899</w:t>
        </w:r>
      </w:hyperlink>
      <w:r>
        <w:t>.</w:t>
      </w:r>
    </w:p>
  </w:footnote>
  <w:footnote w:id="17">
    <w:p w:rsidR="003B56C1" w:rsidRDefault="003B56C1" w:rsidP="00ED2AB7">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11.</w:t>
      </w:r>
    </w:p>
  </w:footnote>
  <w:footnote w:id="18">
    <w:p w:rsidR="003B56C1" w:rsidRDefault="003B56C1" w:rsidP="00ED2AB7">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9;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13</w:t>
      </w:r>
    </w:p>
  </w:footnote>
  <w:footnote w:id="19">
    <w:p w:rsidR="003B56C1" w:rsidRDefault="003B56C1">
      <w:pPr>
        <w:pStyle w:val="FootnoteText"/>
      </w:pPr>
      <w:r>
        <w:rPr>
          <w:rStyle w:val="FootnoteReference"/>
        </w:rPr>
        <w:footnoteRef/>
      </w:r>
      <w:r>
        <w:t xml:space="preserve"> </w:t>
      </w:r>
      <w:r>
        <w:tab/>
        <w:t xml:space="preserve">AER, </w:t>
      </w:r>
      <w:r w:rsidRPr="00B06DF4">
        <w:rPr>
          <w:rStyle w:val="AERtextitalic"/>
        </w:rPr>
        <w:t>Draft decision: Victorian electricity distribution network service providers: Advanced metering infrastructure remote services charges: Review under ESCV guideline 14</w:t>
      </w:r>
      <w:r>
        <w:t xml:space="preserve">, </w:t>
      </w:r>
      <w:r w:rsidRPr="001F3FAE">
        <w:t>November 2010</w:t>
      </w:r>
      <w:r>
        <w:t>, p. 27.</w:t>
      </w:r>
    </w:p>
  </w:footnote>
  <w:footnote w:id="20">
    <w:p w:rsidR="003B56C1" w:rsidRDefault="003B56C1">
      <w:pPr>
        <w:pStyle w:val="FootnoteText"/>
      </w:pPr>
      <w:r>
        <w:rPr>
          <w:rStyle w:val="FootnoteReference"/>
        </w:rPr>
        <w:footnoteRef/>
      </w:r>
      <w:r>
        <w:t xml:space="preserve"> </w:t>
      </w:r>
      <w:r>
        <w:tab/>
        <w:t xml:space="preserve">AER, </w:t>
      </w:r>
      <w:r w:rsidRPr="00B06DF4">
        <w:rPr>
          <w:rStyle w:val="AERtextitalic"/>
        </w:rPr>
        <w:t>Draft decision: Victorian electricity distribution network service providers: Advanced metering infrastructure remote services charges: Review under ESCV guideline 14</w:t>
      </w:r>
      <w:r>
        <w:t xml:space="preserve">, </w:t>
      </w:r>
      <w:r w:rsidRPr="001F3FAE">
        <w:t>November 2010</w:t>
      </w:r>
      <w:r>
        <w:t>, p. 27.</w:t>
      </w:r>
    </w:p>
  </w:footnote>
  <w:footnote w:id="21">
    <w:p w:rsidR="003B56C1" w:rsidRDefault="003B56C1">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18.</w:t>
      </w:r>
    </w:p>
  </w:footnote>
  <w:footnote w:id="22">
    <w:p w:rsidR="003B56C1" w:rsidRDefault="003B56C1" w:rsidP="00BD1D04">
      <w:pPr>
        <w:pStyle w:val="FootnoteText"/>
      </w:pPr>
      <w:r>
        <w:rPr>
          <w:rStyle w:val="FootnoteReference"/>
        </w:rPr>
        <w:footnoteRef/>
      </w:r>
      <w:r>
        <w:t xml:space="preserve"> </w:t>
      </w:r>
      <w:r>
        <w:tab/>
        <w:t xml:space="preserve">AER, </w:t>
      </w:r>
      <w:r w:rsidRPr="00BD1D04">
        <w:rPr>
          <w:rStyle w:val="AERtextitalic"/>
        </w:rPr>
        <w:t>Final decision: Victorian electricity distribution network service providers: Distribution determination 2011–2015</w:t>
      </w:r>
      <w:r>
        <w:t xml:space="preserve">, </w:t>
      </w:r>
      <w:r w:rsidRPr="00A605FB">
        <w:t>October 2010</w:t>
      </w:r>
      <w:r>
        <w:t>, p. 917.</w:t>
      </w:r>
    </w:p>
  </w:footnote>
  <w:footnote w:id="23">
    <w:p w:rsidR="003B56C1" w:rsidRDefault="003B56C1" w:rsidP="00F74494">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10;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21.</w:t>
      </w:r>
    </w:p>
  </w:footnote>
  <w:footnote w:id="24">
    <w:p w:rsidR="003B56C1" w:rsidRDefault="003B56C1" w:rsidP="0082785D">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14.</w:t>
      </w:r>
    </w:p>
  </w:footnote>
  <w:footnote w:id="25">
    <w:p w:rsidR="003B56C1" w:rsidRDefault="003B56C1" w:rsidP="0082785D">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9;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13.</w:t>
      </w:r>
    </w:p>
  </w:footnote>
  <w:footnote w:id="26">
    <w:p w:rsidR="003B56C1" w:rsidRDefault="003B56C1" w:rsidP="0082785D">
      <w:pPr>
        <w:pStyle w:val="FootnoteText"/>
      </w:pPr>
      <w:r>
        <w:rPr>
          <w:rStyle w:val="FootnoteReference"/>
        </w:rPr>
        <w:footnoteRef/>
      </w:r>
      <w:r>
        <w:t xml:space="preserve"> </w:t>
      </w:r>
      <w:r>
        <w:tab/>
        <w:t xml:space="preserve">AER, </w:t>
      </w:r>
      <w:r w:rsidRPr="00B06DF4">
        <w:rPr>
          <w:rStyle w:val="AERtextitalic"/>
        </w:rPr>
        <w:t>Draft decision: Victorian electricity distribution network service providers: Advanced metering infrastructure remote services charges: Review under ESCV guideline 14</w:t>
      </w:r>
      <w:r>
        <w:t xml:space="preserve">, </w:t>
      </w:r>
      <w:r w:rsidRPr="001F3FAE">
        <w:t>November 2010</w:t>
      </w:r>
      <w:r>
        <w:t>, p. 27.</w:t>
      </w:r>
    </w:p>
  </w:footnote>
  <w:footnote w:id="27">
    <w:p w:rsidR="003B56C1" w:rsidRDefault="003B56C1" w:rsidP="00F74494">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6;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21.</w:t>
      </w:r>
    </w:p>
  </w:footnote>
  <w:footnote w:id="28">
    <w:p w:rsidR="003B56C1" w:rsidRDefault="003B56C1" w:rsidP="00F262BE">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14.</w:t>
      </w:r>
    </w:p>
  </w:footnote>
  <w:footnote w:id="29">
    <w:p w:rsidR="003B56C1" w:rsidRDefault="003B56C1">
      <w:pPr>
        <w:pStyle w:val="FootnoteText"/>
      </w:pPr>
      <w:r>
        <w:rPr>
          <w:rStyle w:val="FootnoteReference"/>
        </w:rPr>
        <w:footnoteRef/>
      </w:r>
      <w:r>
        <w:t xml:space="preserve"> </w:t>
      </w:r>
      <w:r>
        <w:tab/>
        <w:t xml:space="preserve">Impaq Consulting, </w:t>
      </w:r>
      <w:r w:rsidRPr="00104D07">
        <w:rPr>
          <w:rStyle w:val="AERtextitalic"/>
        </w:rPr>
        <w:t>Remote services price review</w:t>
      </w:r>
      <w:r>
        <w:t>, Revision 1.3, 27 September 2010, p. 14.</w:t>
      </w:r>
    </w:p>
  </w:footnote>
  <w:footnote w:id="30">
    <w:p w:rsidR="003B56C1" w:rsidRDefault="003B56C1">
      <w:pPr>
        <w:pStyle w:val="FootnoteText"/>
      </w:pPr>
      <w:r>
        <w:rPr>
          <w:rStyle w:val="FootnoteReference"/>
        </w:rPr>
        <w:footnoteRef/>
      </w:r>
      <w:r>
        <w:t xml:space="preserve"> </w:t>
      </w:r>
      <w:r>
        <w:tab/>
        <w:t xml:space="preserve">Impaq Consulting, </w:t>
      </w:r>
      <w:r w:rsidRPr="00104D07">
        <w:rPr>
          <w:rStyle w:val="AERtextitalic"/>
        </w:rPr>
        <w:t>Remote services price review</w:t>
      </w:r>
      <w:r>
        <w:t>, Revision 1.3, 27 September 2010, p. 14.</w:t>
      </w:r>
    </w:p>
  </w:footnote>
  <w:footnote w:id="31">
    <w:p w:rsidR="003B56C1" w:rsidRDefault="003B56C1">
      <w:pPr>
        <w:pStyle w:val="FootnoteText"/>
      </w:pPr>
      <w:r>
        <w:rPr>
          <w:rStyle w:val="FootnoteReference"/>
        </w:rPr>
        <w:footnoteRef/>
      </w:r>
      <w:r>
        <w:t xml:space="preserve"> </w:t>
      </w:r>
      <w:r>
        <w:tab/>
        <w:t xml:space="preserve">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18.</w:t>
      </w:r>
    </w:p>
  </w:footnote>
  <w:footnote w:id="32">
    <w:p w:rsidR="003B56C1" w:rsidRDefault="003B56C1" w:rsidP="00F74494">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6;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21.</w:t>
      </w:r>
    </w:p>
  </w:footnote>
  <w:footnote w:id="33">
    <w:p w:rsidR="003B56C1" w:rsidRDefault="003B56C1">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16.</w:t>
      </w:r>
    </w:p>
  </w:footnote>
  <w:footnote w:id="34">
    <w:p w:rsidR="003B56C1" w:rsidRDefault="003B56C1">
      <w:pPr>
        <w:pStyle w:val="FootnoteText"/>
      </w:pPr>
      <w:r>
        <w:rPr>
          <w:rStyle w:val="FootnoteReference"/>
        </w:rPr>
        <w:footnoteRef/>
      </w:r>
      <w:r>
        <w:t xml:space="preserve"> </w:t>
      </w:r>
      <w:r>
        <w:tab/>
        <w:t xml:space="preserve">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13</w:t>
      </w:r>
    </w:p>
  </w:footnote>
  <w:footnote w:id="35">
    <w:p w:rsidR="003B56C1" w:rsidRDefault="003B56C1" w:rsidP="00520EFE">
      <w:pPr>
        <w:pStyle w:val="FootnoteText"/>
      </w:pPr>
      <w:r>
        <w:rPr>
          <w:rStyle w:val="FootnoteReference"/>
        </w:rPr>
        <w:footnoteRef/>
      </w:r>
      <w:r>
        <w:t xml:space="preserve"> </w:t>
      </w:r>
      <w:r>
        <w:tab/>
        <w:t xml:space="preserve">Impaq Consulting, </w:t>
      </w:r>
      <w:r w:rsidRPr="00104D07">
        <w:rPr>
          <w:rStyle w:val="AERtextitalic"/>
        </w:rPr>
        <w:t>Remote services price review</w:t>
      </w:r>
      <w:r>
        <w:t xml:space="preserve">, Revision 1.3, 27 September 2010, p. 6; AER, </w:t>
      </w:r>
      <w:r w:rsidRPr="00387BD9">
        <w:rPr>
          <w:rStyle w:val="AERtextitalic"/>
        </w:rPr>
        <w:t xml:space="preserve">Final decision: Victorian electricity distribution network service Providers: AMI remote services charges: Review under ESCV </w:t>
      </w:r>
      <w:r>
        <w:rPr>
          <w:rStyle w:val="AERtextitalic"/>
        </w:rPr>
        <w:t>g</w:t>
      </w:r>
      <w:r w:rsidRPr="00387BD9">
        <w:rPr>
          <w:rStyle w:val="AERtextitalic"/>
        </w:rPr>
        <w:t>uideline 14</w:t>
      </w:r>
      <w:r>
        <w:t xml:space="preserve">, </w:t>
      </w:r>
      <w:r w:rsidRPr="00387BD9">
        <w:t>February 2011</w:t>
      </w:r>
      <w:r>
        <w:t>, p. 21.</w:t>
      </w:r>
    </w:p>
  </w:footnote>
  <w:footnote w:id="36">
    <w:p w:rsidR="003B56C1" w:rsidRDefault="003B56C1" w:rsidP="00104D07">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7.</w:t>
      </w:r>
    </w:p>
  </w:footnote>
  <w:footnote w:id="37">
    <w:p w:rsidR="003B56C1" w:rsidRDefault="003B56C1">
      <w:pPr>
        <w:pStyle w:val="FootnoteText"/>
      </w:pPr>
      <w:r>
        <w:rPr>
          <w:rStyle w:val="FootnoteReference"/>
        </w:rPr>
        <w:footnoteRef/>
      </w:r>
      <w:r>
        <w:t xml:space="preserve"> </w:t>
      </w:r>
      <w:r>
        <w:tab/>
        <w:t xml:space="preserve">Impaq Consulting, </w:t>
      </w:r>
      <w:r w:rsidRPr="00104D07">
        <w:rPr>
          <w:rStyle w:val="AERtextitalic"/>
        </w:rPr>
        <w:t>Remote services price review</w:t>
      </w:r>
      <w:r>
        <w:t>, Revision 1.3, 27 September 2010, p. 5.</w:t>
      </w:r>
    </w:p>
  </w:footnote>
  <w:footnote w:id="38">
    <w:p w:rsidR="003B56C1" w:rsidRDefault="003B56C1">
      <w:pPr>
        <w:pStyle w:val="FootnoteText"/>
      </w:pPr>
      <w:r>
        <w:rPr>
          <w:rStyle w:val="FootnoteReference"/>
        </w:rPr>
        <w:footnoteRef/>
      </w:r>
      <w:r>
        <w:t xml:space="preserve"> </w:t>
      </w:r>
      <w:r>
        <w:tab/>
        <w:t xml:space="preserve">SP AusNet, </w:t>
      </w:r>
      <w:r w:rsidRPr="00CB2F68">
        <w:rPr>
          <w:rStyle w:val="AERtextitalic"/>
        </w:rPr>
        <w:t>Advanced metering infrastructure remote services charges application</w:t>
      </w:r>
      <w:r>
        <w:t>, 30 August 2013, p.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B478DFE6"/>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B478DFE6"/>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formatting="1" w:enforcement="1" w:cryptProviderType="rsaFull" w:cryptAlgorithmClass="hash" w:cryptAlgorithmType="typeAny" w:cryptAlgorithmSid="4" w:cryptSpinCount="100000" w:hash="3tni1Im3gWLcXXA48pYeE2pYocA=" w:salt="YWu0LhJRQHfhQFvGolLeNw=="/>
  <w:defaultTabStop w:val="720"/>
  <w:evenAndOddHeaders/>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072\t0NWLJWD.DOCX"/>
  </w:docVars>
  <w:rsids>
    <w:rsidRoot w:val="000C052F"/>
    <w:rsid w:val="00007FBF"/>
    <w:rsid w:val="00011046"/>
    <w:rsid w:val="00011129"/>
    <w:rsid w:val="00012372"/>
    <w:rsid w:val="00022606"/>
    <w:rsid w:val="00023BA1"/>
    <w:rsid w:val="00040599"/>
    <w:rsid w:val="00040749"/>
    <w:rsid w:val="0004115C"/>
    <w:rsid w:val="0004160C"/>
    <w:rsid w:val="00041826"/>
    <w:rsid w:val="00054D8F"/>
    <w:rsid w:val="00077217"/>
    <w:rsid w:val="000A1CC2"/>
    <w:rsid w:val="000A5342"/>
    <w:rsid w:val="000B063F"/>
    <w:rsid w:val="000B15CA"/>
    <w:rsid w:val="000C052F"/>
    <w:rsid w:val="000C17FB"/>
    <w:rsid w:val="000C3430"/>
    <w:rsid w:val="000C4E28"/>
    <w:rsid w:val="000D03C2"/>
    <w:rsid w:val="000D04B1"/>
    <w:rsid w:val="000D401F"/>
    <w:rsid w:val="000D5C92"/>
    <w:rsid w:val="000D73A0"/>
    <w:rsid w:val="000D7AAF"/>
    <w:rsid w:val="000E1A25"/>
    <w:rsid w:val="000F104A"/>
    <w:rsid w:val="000F3A6A"/>
    <w:rsid w:val="000F787B"/>
    <w:rsid w:val="001028F8"/>
    <w:rsid w:val="001033B3"/>
    <w:rsid w:val="00104D07"/>
    <w:rsid w:val="00105636"/>
    <w:rsid w:val="0011078B"/>
    <w:rsid w:val="00111B03"/>
    <w:rsid w:val="00143A86"/>
    <w:rsid w:val="001506A3"/>
    <w:rsid w:val="001543D2"/>
    <w:rsid w:val="00174026"/>
    <w:rsid w:val="00174B96"/>
    <w:rsid w:val="001856EE"/>
    <w:rsid w:val="00186E4C"/>
    <w:rsid w:val="00194C3C"/>
    <w:rsid w:val="001A017E"/>
    <w:rsid w:val="001A2A8B"/>
    <w:rsid w:val="001B1019"/>
    <w:rsid w:val="001B310D"/>
    <w:rsid w:val="001B3156"/>
    <w:rsid w:val="001C1012"/>
    <w:rsid w:val="001C112A"/>
    <w:rsid w:val="001C12E5"/>
    <w:rsid w:val="001C52B0"/>
    <w:rsid w:val="001D3C8B"/>
    <w:rsid w:val="001E0E2B"/>
    <w:rsid w:val="001E725B"/>
    <w:rsid w:val="001F3FAE"/>
    <w:rsid w:val="001F48A0"/>
    <w:rsid w:val="0020030C"/>
    <w:rsid w:val="0020711E"/>
    <w:rsid w:val="00210880"/>
    <w:rsid w:val="00217FE5"/>
    <w:rsid w:val="002257B9"/>
    <w:rsid w:val="00230D22"/>
    <w:rsid w:val="0023137D"/>
    <w:rsid w:val="00237FC8"/>
    <w:rsid w:val="00254AB1"/>
    <w:rsid w:val="002572EA"/>
    <w:rsid w:val="00257B3F"/>
    <w:rsid w:val="0026230F"/>
    <w:rsid w:val="00265CCF"/>
    <w:rsid w:val="00265F13"/>
    <w:rsid w:val="00266710"/>
    <w:rsid w:val="002805B8"/>
    <w:rsid w:val="00284299"/>
    <w:rsid w:val="00284C71"/>
    <w:rsid w:val="002938CE"/>
    <w:rsid w:val="00297384"/>
    <w:rsid w:val="002A1E5B"/>
    <w:rsid w:val="002A4B44"/>
    <w:rsid w:val="002B1DA8"/>
    <w:rsid w:val="002B6640"/>
    <w:rsid w:val="002B6B6E"/>
    <w:rsid w:val="002B6C58"/>
    <w:rsid w:val="002D61AC"/>
    <w:rsid w:val="002E36F6"/>
    <w:rsid w:val="002E4720"/>
    <w:rsid w:val="002E72B9"/>
    <w:rsid w:val="00301B96"/>
    <w:rsid w:val="00303452"/>
    <w:rsid w:val="00312589"/>
    <w:rsid w:val="003238E4"/>
    <w:rsid w:val="003324F7"/>
    <w:rsid w:val="00333353"/>
    <w:rsid w:val="00334F88"/>
    <w:rsid w:val="00341AA6"/>
    <w:rsid w:val="00350E87"/>
    <w:rsid w:val="00362643"/>
    <w:rsid w:val="00367D7A"/>
    <w:rsid w:val="003707DB"/>
    <w:rsid w:val="003709BC"/>
    <w:rsid w:val="00375AEC"/>
    <w:rsid w:val="00376236"/>
    <w:rsid w:val="0037652C"/>
    <w:rsid w:val="003800E4"/>
    <w:rsid w:val="00380FF5"/>
    <w:rsid w:val="00387469"/>
    <w:rsid w:val="00387BD9"/>
    <w:rsid w:val="00387D4A"/>
    <w:rsid w:val="00391052"/>
    <w:rsid w:val="003920B5"/>
    <w:rsid w:val="003941B9"/>
    <w:rsid w:val="003962F8"/>
    <w:rsid w:val="003A60D7"/>
    <w:rsid w:val="003A6174"/>
    <w:rsid w:val="003B56C1"/>
    <w:rsid w:val="003B693F"/>
    <w:rsid w:val="003E102D"/>
    <w:rsid w:val="003F02D4"/>
    <w:rsid w:val="003F4801"/>
    <w:rsid w:val="003F6040"/>
    <w:rsid w:val="004030AB"/>
    <w:rsid w:val="00405619"/>
    <w:rsid w:val="00412264"/>
    <w:rsid w:val="00412282"/>
    <w:rsid w:val="00423BF2"/>
    <w:rsid w:val="004256BA"/>
    <w:rsid w:val="00427A4C"/>
    <w:rsid w:val="00431999"/>
    <w:rsid w:val="00434726"/>
    <w:rsid w:val="00435008"/>
    <w:rsid w:val="00435682"/>
    <w:rsid w:val="00441779"/>
    <w:rsid w:val="00445B55"/>
    <w:rsid w:val="00456081"/>
    <w:rsid w:val="00464F5D"/>
    <w:rsid w:val="004659A2"/>
    <w:rsid w:val="0047354E"/>
    <w:rsid w:val="00474FBD"/>
    <w:rsid w:val="00487FF9"/>
    <w:rsid w:val="00490517"/>
    <w:rsid w:val="00490F0C"/>
    <w:rsid w:val="004910EE"/>
    <w:rsid w:val="00491D7D"/>
    <w:rsid w:val="00491DD9"/>
    <w:rsid w:val="00492377"/>
    <w:rsid w:val="004A3FF3"/>
    <w:rsid w:val="004B1DC6"/>
    <w:rsid w:val="004B34CF"/>
    <w:rsid w:val="004C0F68"/>
    <w:rsid w:val="004C3F45"/>
    <w:rsid w:val="004D1F83"/>
    <w:rsid w:val="004D7B54"/>
    <w:rsid w:val="004E40EF"/>
    <w:rsid w:val="004E4970"/>
    <w:rsid w:val="004E73F7"/>
    <w:rsid w:val="004F76A0"/>
    <w:rsid w:val="00500E7F"/>
    <w:rsid w:val="00520EFE"/>
    <w:rsid w:val="0052179D"/>
    <w:rsid w:val="005228A9"/>
    <w:rsid w:val="005250F0"/>
    <w:rsid w:val="00525675"/>
    <w:rsid w:val="00531299"/>
    <w:rsid w:val="005456A9"/>
    <w:rsid w:val="00546D67"/>
    <w:rsid w:val="0055037B"/>
    <w:rsid w:val="00555D52"/>
    <w:rsid w:val="005566D7"/>
    <w:rsid w:val="00556723"/>
    <w:rsid w:val="00561F7F"/>
    <w:rsid w:val="00566B35"/>
    <w:rsid w:val="005732CC"/>
    <w:rsid w:val="00575422"/>
    <w:rsid w:val="00575EA5"/>
    <w:rsid w:val="0057760F"/>
    <w:rsid w:val="00592C4C"/>
    <w:rsid w:val="005938C6"/>
    <w:rsid w:val="005966B6"/>
    <w:rsid w:val="005A0431"/>
    <w:rsid w:val="005A7D6A"/>
    <w:rsid w:val="005B00FA"/>
    <w:rsid w:val="005B0ED7"/>
    <w:rsid w:val="005B3752"/>
    <w:rsid w:val="005B52D0"/>
    <w:rsid w:val="005B5647"/>
    <w:rsid w:val="005B61C2"/>
    <w:rsid w:val="005B62C1"/>
    <w:rsid w:val="005D26B7"/>
    <w:rsid w:val="005D304B"/>
    <w:rsid w:val="005D4AA1"/>
    <w:rsid w:val="006010F3"/>
    <w:rsid w:val="006011A3"/>
    <w:rsid w:val="0060146C"/>
    <w:rsid w:val="0060207D"/>
    <w:rsid w:val="006028FB"/>
    <w:rsid w:val="006039F2"/>
    <w:rsid w:val="006061B0"/>
    <w:rsid w:val="0060732E"/>
    <w:rsid w:val="006076A9"/>
    <w:rsid w:val="00612CE4"/>
    <w:rsid w:val="006161D5"/>
    <w:rsid w:val="00624F6D"/>
    <w:rsid w:val="0062778F"/>
    <w:rsid w:val="006316F2"/>
    <w:rsid w:val="006368C9"/>
    <w:rsid w:val="006512F4"/>
    <w:rsid w:val="00651C3D"/>
    <w:rsid w:val="00651E37"/>
    <w:rsid w:val="006544EA"/>
    <w:rsid w:val="00656916"/>
    <w:rsid w:val="0066569F"/>
    <w:rsid w:val="0067331A"/>
    <w:rsid w:val="00680AD5"/>
    <w:rsid w:val="00684FCE"/>
    <w:rsid w:val="0069004B"/>
    <w:rsid w:val="00695120"/>
    <w:rsid w:val="00695A1D"/>
    <w:rsid w:val="0069635E"/>
    <w:rsid w:val="00697B49"/>
    <w:rsid w:val="006B08EB"/>
    <w:rsid w:val="006B481F"/>
    <w:rsid w:val="006B4921"/>
    <w:rsid w:val="006C3B63"/>
    <w:rsid w:val="006D184E"/>
    <w:rsid w:val="006D3546"/>
    <w:rsid w:val="006D3842"/>
    <w:rsid w:val="006D5903"/>
    <w:rsid w:val="006D69E1"/>
    <w:rsid w:val="006E3780"/>
    <w:rsid w:val="006E7929"/>
    <w:rsid w:val="006F0549"/>
    <w:rsid w:val="006F0A23"/>
    <w:rsid w:val="006F638E"/>
    <w:rsid w:val="00702A62"/>
    <w:rsid w:val="00703E42"/>
    <w:rsid w:val="00722B63"/>
    <w:rsid w:val="007332FD"/>
    <w:rsid w:val="00736015"/>
    <w:rsid w:val="007368AD"/>
    <w:rsid w:val="007516B2"/>
    <w:rsid w:val="00751D2A"/>
    <w:rsid w:val="00755095"/>
    <w:rsid w:val="00755977"/>
    <w:rsid w:val="00760499"/>
    <w:rsid w:val="00770CD6"/>
    <w:rsid w:val="007714F3"/>
    <w:rsid w:val="0078602D"/>
    <w:rsid w:val="00787A86"/>
    <w:rsid w:val="00796A07"/>
    <w:rsid w:val="007B3174"/>
    <w:rsid w:val="007B76B5"/>
    <w:rsid w:val="007C1F4A"/>
    <w:rsid w:val="007E4C8C"/>
    <w:rsid w:val="007F10E3"/>
    <w:rsid w:val="007F2C0E"/>
    <w:rsid w:val="007F3405"/>
    <w:rsid w:val="007F4817"/>
    <w:rsid w:val="00804A88"/>
    <w:rsid w:val="00804AEB"/>
    <w:rsid w:val="0080638E"/>
    <w:rsid w:val="0082236C"/>
    <w:rsid w:val="00824CC8"/>
    <w:rsid w:val="0082785D"/>
    <w:rsid w:val="00827E70"/>
    <w:rsid w:val="00836D17"/>
    <w:rsid w:val="00840A55"/>
    <w:rsid w:val="00841E25"/>
    <w:rsid w:val="00843BF9"/>
    <w:rsid w:val="008464CD"/>
    <w:rsid w:val="008515EE"/>
    <w:rsid w:val="0086162A"/>
    <w:rsid w:val="00861C4E"/>
    <w:rsid w:val="00862BB1"/>
    <w:rsid w:val="00866D21"/>
    <w:rsid w:val="00867997"/>
    <w:rsid w:val="00872D85"/>
    <w:rsid w:val="00875F1A"/>
    <w:rsid w:val="00877EDB"/>
    <w:rsid w:val="00883DDA"/>
    <w:rsid w:val="00891FF9"/>
    <w:rsid w:val="00893367"/>
    <w:rsid w:val="00894C37"/>
    <w:rsid w:val="008B7956"/>
    <w:rsid w:val="008C3B67"/>
    <w:rsid w:val="008C3F48"/>
    <w:rsid w:val="008C7275"/>
    <w:rsid w:val="008D49B4"/>
    <w:rsid w:val="008D7498"/>
    <w:rsid w:val="008F3E0A"/>
    <w:rsid w:val="008F5AFF"/>
    <w:rsid w:val="009142AC"/>
    <w:rsid w:val="00917279"/>
    <w:rsid w:val="00924793"/>
    <w:rsid w:val="009251BE"/>
    <w:rsid w:val="00927F98"/>
    <w:rsid w:val="009308D5"/>
    <w:rsid w:val="00932E96"/>
    <w:rsid w:val="00941673"/>
    <w:rsid w:val="009418E6"/>
    <w:rsid w:val="0094235F"/>
    <w:rsid w:val="0094279F"/>
    <w:rsid w:val="009453FB"/>
    <w:rsid w:val="00946B98"/>
    <w:rsid w:val="00947D4C"/>
    <w:rsid w:val="0095052A"/>
    <w:rsid w:val="009614CA"/>
    <w:rsid w:val="009658F0"/>
    <w:rsid w:val="00971655"/>
    <w:rsid w:val="00971C63"/>
    <w:rsid w:val="009804E4"/>
    <w:rsid w:val="00987007"/>
    <w:rsid w:val="00995BB8"/>
    <w:rsid w:val="009A36DC"/>
    <w:rsid w:val="009A4AE9"/>
    <w:rsid w:val="009A51E2"/>
    <w:rsid w:val="009A5D2B"/>
    <w:rsid w:val="009B480D"/>
    <w:rsid w:val="009C71D5"/>
    <w:rsid w:val="009D02B6"/>
    <w:rsid w:val="009D09A2"/>
    <w:rsid w:val="009E1F9A"/>
    <w:rsid w:val="009E37ED"/>
    <w:rsid w:val="009E3958"/>
    <w:rsid w:val="009E4D66"/>
    <w:rsid w:val="009F7205"/>
    <w:rsid w:val="009F7CE4"/>
    <w:rsid w:val="00A001EF"/>
    <w:rsid w:val="00A01894"/>
    <w:rsid w:val="00A0349C"/>
    <w:rsid w:val="00A04E48"/>
    <w:rsid w:val="00A11162"/>
    <w:rsid w:val="00A32C56"/>
    <w:rsid w:val="00A36499"/>
    <w:rsid w:val="00A37026"/>
    <w:rsid w:val="00A43227"/>
    <w:rsid w:val="00A45651"/>
    <w:rsid w:val="00A46562"/>
    <w:rsid w:val="00A46CCD"/>
    <w:rsid w:val="00A51F11"/>
    <w:rsid w:val="00A605FB"/>
    <w:rsid w:val="00A65133"/>
    <w:rsid w:val="00A652C5"/>
    <w:rsid w:val="00A71630"/>
    <w:rsid w:val="00A75D62"/>
    <w:rsid w:val="00A84371"/>
    <w:rsid w:val="00A85C5A"/>
    <w:rsid w:val="00A86110"/>
    <w:rsid w:val="00A87383"/>
    <w:rsid w:val="00A910A0"/>
    <w:rsid w:val="00A946BF"/>
    <w:rsid w:val="00A96A08"/>
    <w:rsid w:val="00AA0161"/>
    <w:rsid w:val="00AA1B51"/>
    <w:rsid w:val="00AA299C"/>
    <w:rsid w:val="00AB1D08"/>
    <w:rsid w:val="00AB4345"/>
    <w:rsid w:val="00AB5BD7"/>
    <w:rsid w:val="00AC0135"/>
    <w:rsid w:val="00AC070D"/>
    <w:rsid w:val="00AC1B94"/>
    <w:rsid w:val="00AC67A2"/>
    <w:rsid w:val="00AC6C42"/>
    <w:rsid w:val="00AD0616"/>
    <w:rsid w:val="00AD34FF"/>
    <w:rsid w:val="00AD3F1B"/>
    <w:rsid w:val="00AD4DE6"/>
    <w:rsid w:val="00AE6DBC"/>
    <w:rsid w:val="00AF0144"/>
    <w:rsid w:val="00AF3E95"/>
    <w:rsid w:val="00AF68B1"/>
    <w:rsid w:val="00AF7C67"/>
    <w:rsid w:val="00B06DF4"/>
    <w:rsid w:val="00B07808"/>
    <w:rsid w:val="00B15FE9"/>
    <w:rsid w:val="00B22C8C"/>
    <w:rsid w:val="00B24EDC"/>
    <w:rsid w:val="00B27C4D"/>
    <w:rsid w:val="00B31A40"/>
    <w:rsid w:val="00B43F71"/>
    <w:rsid w:val="00B5052D"/>
    <w:rsid w:val="00B51883"/>
    <w:rsid w:val="00B536C5"/>
    <w:rsid w:val="00B55001"/>
    <w:rsid w:val="00B61532"/>
    <w:rsid w:val="00B6196F"/>
    <w:rsid w:val="00B61FD4"/>
    <w:rsid w:val="00B633A8"/>
    <w:rsid w:val="00B656E2"/>
    <w:rsid w:val="00B674DB"/>
    <w:rsid w:val="00B7366F"/>
    <w:rsid w:val="00B777FA"/>
    <w:rsid w:val="00B82E8D"/>
    <w:rsid w:val="00B83049"/>
    <w:rsid w:val="00B9264D"/>
    <w:rsid w:val="00B94D99"/>
    <w:rsid w:val="00B97DC5"/>
    <w:rsid w:val="00BA68AD"/>
    <w:rsid w:val="00BB3FA1"/>
    <w:rsid w:val="00BB62BB"/>
    <w:rsid w:val="00BC05C5"/>
    <w:rsid w:val="00BC124F"/>
    <w:rsid w:val="00BC2FD6"/>
    <w:rsid w:val="00BD04BE"/>
    <w:rsid w:val="00BD1D04"/>
    <w:rsid w:val="00BE6F28"/>
    <w:rsid w:val="00BE7A68"/>
    <w:rsid w:val="00BF04BF"/>
    <w:rsid w:val="00BF29FA"/>
    <w:rsid w:val="00BF57C2"/>
    <w:rsid w:val="00C04CBF"/>
    <w:rsid w:val="00C04D2B"/>
    <w:rsid w:val="00C0565C"/>
    <w:rsid w:val="00C17834"/>
    <w:rsid w:val="00C200A6"/>
    <w:rsid w:val="00C32098"/>
    <w:rsid w:val="00C43D24"/>
    <w:rsid w:val="00C47159"/>
    <w:rsid w:val="00C47FA5"/>
    <w:rsid w:val="00C525E4"/>
    <w:rsid w:val="00C52F46"/>
    <w:rsid w:val="00C53F97"/>
    <w:rsid w:val="00C560F9"/>
    <w:rsid w:val="00C57638"/>
    <w:rsid w:val="00C57AC1"/>
    <w:rsid w:val="00C63CF4"/>
    <w:rsid w:val="00C673BB"/>
    <w:rsid w:val="00C737C5"/>
    <w:rsid w:val="00C8107C"/>
    <w:rsid w:val="00C91655"/>
    <w:rsid w:val="00C95136"/>
    <w:rsid w:val="00CA3540"/>
    <w:rsid w:val="00CA3ACB"/>
    <w:rsid w:val="00CA6DED"/>
    <w:rsid w:val="00CB2F68"/>
    <w:rsid w:val="00CB3D84"/>
    <w:rsid w:val="00CB40FC"/>
    <w:rsid w:val="00CC49D4"/>
    <w:rsid w:val="00CD1CCF"/>
    <w:rsid w:val="00CD7373"/>
    <w:rsid w:val="00CE0A62"/>
    <w:rsid w:val="00CE6F5A"/>
    <w:rsid w:val="00CF42CF"/>
    <w:rsid w:val="00CF4A20"/>
    <w:rsid w:val="00CF64D6"/>
    <w:rsid w:val="00D102E9"/>
    <w:rsid w:val="00D1688F"/>
    <w:rsid w:val="00D1765D"/>
    <w:rsid w:val="00D2117F"/>
    <w:rsid w:val="00D25317"/>
    <w:rsid w:val="00D41DF2"/>
    <w:rsid w:val="00D56B7B"/>
    <w:rsid w:val="00D657FA"/>
    <w:rsid w:val="00D66E8B"/>
    <w:rsid w:val="00D673DF"/>
    <w:rsid w:val="00D75B73"/>
    <w:rsid w:val="00D85715"/>
    <w:rsid w:val="00D86047"/>
    <w:rsid w:val="00D8706C"/>
    <w:rsid w:val="00D927D2"/>
    <w:rsid w:val="00D97AD6"/>
    <w:rsid w:val="00DA4C62"/>
    <w:rsid w:val="00DB6A17"/>
    <w:rsid w:val="00DC72D4"/>
    <w:rsid w:val="00DD01F2"/>
    <w:rsid w:val="00DD0536"/>
    <w:rsid w:val="00DD5520"/>
    <w:rsid w:val="00DE6F45"/>
    <w:rsid w:val="00DF16C2"/>
    <w:rsid w:val="00DF2333"/>
    <w:rsid w:val="00DF48B6"/>
    <w:rsid w:val="00DF6234"/>
    <w:rsid w:val="00E00F76"/>
    <w:rsid w:val="00E11003"/>
    <w:rsid w:val="00E12021"/>
    <w:rsid w:val="00E21E75"/>
    <w:rsid w:val="00E44108"/>
    <w:rsid w:val="00E519DC"/>
    <w:rsid w:val="00E607F5"/>
    <w:rsid w:val="00E66BE6"/>
    <w:rsid w:val="00E721D7"/>
    <w:rsid w:val="00E807DA"/>
    <w:rsid w:val="00E84E3A"/>
    <w:rsid w:val="00E90D5E"/>
    <w:rsid w:val="00E942EC"/>
    <w:rsid w:val="00EA05AF"/>
    <w:rsid w:val="00EA1113"/>
    <w:rsid w:val="00EA4F1A"/>
    <w:rsid w:val="00EB07B7"/>
    <w:rsid w:val="00EB73BB"/>
    <w:rsid w:val="00EC1BD8"/>
    <w:rsid w:val="00EC43B9"/>
    <w:rsid w:val="00ED2AB7"/>
    <w:rsid w:val="00ED4D69"/>
    <w:rsid w:val="00EE3547"/>
    <w:rsid w:val="00EE362F"/>
    <w:rsid w:val="00EE3874"/>
    <w:rsid w:val="00EE60CD"/>
    <w:rsid w:val="00EF0E19"/>
    <w:rsid w:val="00EF0F78"/>
    <w:rsid w:val="00F10FDB"/>
    <w:rsid w:val="00F114AE"/>
    <w:rsid w:val="00F11E53"/>
    <w:rsid w:val="00F24FBE"/>
    <w:rsid w:val="00F262BE"/>
    <w:rsid w:val="00F32B6D"/>
    <w:rsid w:val="00F43CA0"/>
    <w:rsid w:val="00F51B5E"/>
    <w:rsid w:val="00F55030"/>
    <w:rsid w:val="00F66C11"/>
    <w:rsid w:val="00F74494"/>
    <w:rsid w:val="00F7696F"/>
    <w:rsid w:val="00F8209B"/>
    <w:rsid w:val="00F8713A"/>
    <w:rsid w:val="00F93412"/>
    <w:rsid w:val="00F97CD9"/>
    <w:rsid w:val="00FA0576"/>
    <w:rsid w:val="00FA633D"/>
    <w:rsid w:val="00FB137F"/>
    <w:rsid w:val="00FB1423"/>
    <w:rsid w:val="00FB50B4"/>
    <w:rsid w:val="00FB7728"/>
    <w:rsid w:val="00FB7CFB"/>
    <w:rsid w:val="00FC08C4"/>
    <w:rsid w:val="00FC1D49"/>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862BB1"/>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A75D62"/>
    <w:rPr>
      <w:lang w:eastAsia="en-US"/>
    </w:rPr>
  </w:style>
  <w:style w:type="character" w:styleId="FollowedHyperlink">
    <w:name w:val="FollowedHyperlink"/>
    <w:basedOn w:val="DefaultParagraphFont"/>
    <w:uiPriority w:val="99"/>
    <w:semiHidden/>
    <w:unhideWhenUsed/>
    <w:rsid w:val="00D927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inquiry@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5899" TargetMode="External"/><Relationship Id="rId2" Type="http://schemas.openxmlformats.org/officeDocument/2006/relationships/hyperlink" Target="http://www.aer.gov.au/node/15899" TargetMode="External"/><Relationship Id="rId1" Type="http://schemas.openxmlformats.org/officeDocument/2006/relationships/hyperlink" Target="http://www.aer.gov.au/node/15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7943-F14C-45ED-9D8C-93B46FD6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4516</Words>
  <Characters>25745</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30201</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Moffitt, Shannon</cp:lastModifiedBy>
  <cp:revision>2</cp:revision>
  <cp:lastPrinted>2012-05-03T01:13:00Z</cp:lastPrinted>
  <dcterms:created xsi:type="dcterms:W3CDTF">2013-12-02T03:02:00Z</dcterms:created>
  <dcterms:modified xsi:type="dcterms:W3CDTF">2013-12-02T03:02:00Z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H:\TRIMDATA\TRIM\TEMP\HPTRIM.5072\t0NWLJWD.DOCX</vt:lpwstr>
  </property>
</Properties>
</file>