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3F7" w:rsidRDefault="00D46E7C" w:rsidP="00F97CD9">
      <w:pPr>
        <w:pStyle w:val="AERbodytextnospace"/>
      </w:pPr>
      <w:r>
        <w:rPr>
          <w:noProof/>
          <w:lang w:eastAsia="en-AU"/>
        </w:rPr>
        <w:drawing>
          <wp:anchor distT="0" distB="0" distL="114300" distR="114300" simplePos="0" relativeHeight="251667456" behindDoc="1" locked="0" layoutInCell="1" allowOverlap="1">
            <wp:simplePos x="0" y="0"/>
            <wp:positionH relativeFrom="column">
              <wp:posOffset>-927119</wp:posOffset>
            </wp:positionH>
            <wp:positionV relativeFrom="paragraph">
              <wp:posOffset>-919992</wp:posOffset>
            </wp:positionV>
            <wp:extent cx="7642746" cy="10795379"/>
            <wp:effectExtent l="0" t="0" r="0" b="0"/>
            <wp:wrapNone/>
            <wp:docPr id="1" name="Picture 1"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42746" cy="1079537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3A60" w:rsidRDefault="004E3A60" w:rsidP="004E3A60">
      <w:pPr>
        <w:pStyle w:val="AERtitle1"/>
      </w:pPr>
    </w:p>
    <w:p w:rsidR="004E3A60" w:rsidRDefault="004E3A60" w:rsidP="004E3A60">
      <w:pPr>
        <w:pStyle w:val="AERtitle1"/>
      </w:pPr>
    </w:p>
    <w:p w:rsidR="004E3A60" w:rsidRDefault="004E3A60" w:rsidP="004E3A60">
      <w:pPr>
        <w:pStyle w:val="AERtitle1"/>
      </w:pPr>
    </w:p>
    <w:p w:rsidR="004E3A60" w:rsidRDefault="004E3A60" w:rsidP="004E3A60">
      <w:pPr>
        <w:pStyle w:val="AERtitle1"/>
      </w:pPr>
    </w:p>
    <w:p w:rsidR="004E3A60" w:rsidRDefault="00D46E7C" w:rsidP="001E7961">
      <w:pPr>
        <w:pStyle w:val="AERtitle2"/>
      </w:pPr>
      <w:r>
        <w:t>Final</w:t>
      </w:r>
      <w:r w:rsidR="004E3A60">
        <w:t xml:space="preserve"> Decision</w:t>
      </w:r>
    </w:p>
    <w:p w:rsidR="001E7961" w:rsidRDefault="001E7961" w:rsidP="004E3A60">
      <w:pPr>
        <w:pStyle w:val="AERtitle1"/>
      </w:pPr>
    </w:p>
    <w:p w:rsidR="001E7961" w:rsidRDefault="001E7961" w:rsidP="004E3A60">
      <w:pPr>
        <w:pStyle w:val="AERtitle1"/>
      </w:pPr>
    </w:p>
    <w:p w:rsidR="004E3A60" w:rsidRDefault="00481A87" w:rsidP="004E3A60">
      <w:pPr>
        <w:pStyle w:val="AERtitle1"/>
      </w:pPr>
      <w:proofErr w:type="spellStart"/>
      <w:r>
        <w:t>TasNetworks</w:t>
      </w:r>
      <w:proofErr w:type="spellEnd"/>
    </w:p>
    <w:p w:rsidR="004E3A60" w:rsidRDefault="001E7961" w:rsidP="004E3A60">
      <w:pPr>
        <w:pStyle w:val="AERtitle1"/>
      </w:pPr>
      <w:r>
        <w:t xml:space="preserve">Application for Waiver from </w:t>
      </w:r>
      <w:r w:rsidR="00481A87">
        <w:t xml:space="preserve">Transmission </w:t>
      </w:r>
      <w:r>
        <w:t>Ring-fencing Guidelines</w:t>
      </w:r>
    </w:p>
    <w:p w:rsidR="004E3A60" w:rsidRDefault="004E3A60" w:rsidP="004E3A60"/>
    <w:p w:rsidR="004E3A60" w:rsidRDefault="004E3A60" w:rsidP="004E3A60"/>
    <w:p w:rsidR="004E3A60" w:rsidRPr="00F6235D" w:rsidRDefault="004E3A60" w:rsidP="004E3A60"/>
    <w:p w:rsidR="004E3A60" w:rsidRPr="00F6235D" w:rsidRDefault="00B9503E" w:rsidP="004E3A60">
      <w:pPr>
        <w:pStyle w:val="AERtitle2"/>
      </w:pPr>
      <w:r>
        <w:t>May</w:t>
      </w:r>
      <w:r w:rsidR="001E7961">
        <w:t xml:space="preserve"> 2014</w:t>
      </w:r>
    </w:p>
    <w:p w:rsidR="004E3A60" w:rsidRPr="00F6235D" w:rsidRDefault="004E3A60" w:rsidP="004E3A60">
      <w:r w:rsidRPr="00F6235D">
        <w:t xml:space="preserve"> </w:t>
      </w:r>
    </w:p>
    <w:p w:rsidR="004E3A60" w:rsidRPr="00EF0E19" w:rsidRDefault="004E3A60" w:rsidP="004E3A60">
      <w:pPr>
        <w:rPr>
          <w:rStyle w:val="AERtextbold"/>
        </w:rPr>
      </w:pPr>
      <w:r>
        <w:rPr>
          <w:rStyle w:val="AERtextbold"/>
        </w:rPr>
        <w:br w:type="page"/>
      </w:r>
    </w:p>
    <w:p w:rsidR="004E3A60" w:rsidRPr="008F1A4A" w:rsidRDefault="004E3A60" w:rsidP="004E3A60">
      <w:pPr>
        <w:pStyle w:val="AERbodytextnospace"/>
        <w:rPr>
          <w:rStyle w:val="AERtextbold"/>
        </w:rPr>
      </w:pPr>
      <w:r>
        <w:rPr>
          <w:rStyle w:val="AERtextbold"/>
        </w:rPr>
        <w:lastRenderedPageBreak/>
        <w:t>© Commonwealth of Australia 2014</w:t>
      </w:r>
    </w:p>
    <w:p w:rsidR="004E3A60" w:rsidRPr="00F6235D" w:rsidRDefault="004E3A60" w:rsidP="004E3A60">
      <w:r w:rsidRPr="00F6235D">
        <w:t>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Canberra ACT 2601.</w:t>
      </w:r>
    </w:p>
    <w:p w:rsidR="004E3A60" w:rsidRDefault="004E3A60" w:rsidP="004E3A60">
      <w:r>
        <w:t>Inquiries about this document should be addressed to:</w:t>
      </w:r>
    </w:p>
    <w:p w:rsidR="004E3A60" w:rsidRDefault="004E3A60" w:rsidP="004E3A60">
      <w:pPr>
        <w:pStyle w:val="AERbodytextnospace"/>
      </w:pPr>
      <w:r>
        <w:t>Australian Energy Regulator</w:t>
      </w:r>
    </w:p>
    <w:p w:rsidR="004E3A60" w:rsidRDefault="004E3A60" w:rsidP="004E3A60">
      <w:pPr>
        <w:pStyle w:val="AERbodytextnospace"/>
      </w:pPr>
      <w:r>
        <w:t>GPO Box 520</w:t>
      </w:r>
    </w:p>
    <w:p w:rsidR="004E3A60" w:rsidRDefault="004E3A60" w:rsidP="004E3A60">
      <w:pPr>
        <w:pStyle w:val="AERbodytextnospace"/>
      </w:pPr>
      <w:r>
        <w:t>Melbourne  Vic  3001</w:t>
      </w:r>
    </w:p>
    <w:p w:rsidR="004E3A60" w:rsidRDefault="004E3A60" w:rsidP="004E3A60">
      <w:pPr>
        <w:pStyle w:val="AERbodytextnospace"/>
      </w:pPr>
      <w:r>
        <w:t>Tel: (03) 9290 1444</w:t>
      </w:r>
    </w:p>
    <w:p w:rsidR="004E3A60" w:rsidRDefault="004E3A60" w:rsidP="004E3A60">
      <w:pPr>
        <w:pStyle w:val="AERbodytextnospace"/>
      </w:pPr>
      <w:r>
        <w:t>Fax: (03) 9290 1457</w:t>
      </w:r>
    </w:p>
    <w:p w:rsidR="004E3A60" w:rsidRDefault="004E3A60" w:rsidP="004E3A60">
      <w:pPr>
        <w:pStyle w:val="AERbodytextnospace"/>
      </w:pPr>
      <w:r>
        <w:t xml:space="preserve">Email: </w:t>
      </w:r>
      <w:hyperlink r:id="rId10" w:history="1">
        <w:r w:rsidRPr="003E184A">
          <w:rPr>
            <w:rStyle w:val="Hyperlink"/>
          </w:rPr>
          <w:t>AERInquiry@aer.gov.au</w:t>
        </w:r>
      </w:hyperlink>
    </w:p>
    <w:p w:rsidR="004E3A60" w:rsidRPr="008F1A4A" w:rsidRDefault="004E3A60" w:rsidP="004E3A60"/>
    <w:p w:rsidR="00A82462" w:rsidRDefault="00222F55" w:rsidP="004E3A60">
      <w:r>
        <w:t>AER reference:   53621</w:t>
      </w:r>
      <w:r w:rsidR="004E3A60">
        <w:t xml:space="preserve"> / </w:t>
      </w:r>
      <w:r w:rsidR="00481A87">
        <w:t>D14/</w:t>
      </w:r>
      <w:r w:rsidR="00871323">
        <w:t>34071</w:t>
      </w:r>
    </w:p>
    <w:p w:rsidR="00CC49D4" w:rsidRPr="00412D01" w:rsidRDefault="00CC49D4" w:rsidP="00DD4E84">
      <w:pPr>
        <w:pStyle w:val="AERbodytextnospace"/>
        <w:numPr>
          <w:ilvl w:val="0"/>
          <w:numId w:val="0"/>
        </w:numPr>
      </w:pPr>
    </w:p>
    <w:p w:rsidR="00AF3E95" w:rsidRDefault="00AF3E95" w:rsidP="008A6EE7">
      <w:pPr>
        <w:pStyle w:val="UnnumberedHeading"/>
        <w:numPr>
          <w:ilvl w:val="0"/>
          <w:numId w:val="1"/>
        </w:numPr>
      </w:pPr>
      <w:bookmarkStart w:id="0" w:name="_Toc360023682"/>
      <w:bookmarkStart w:id="1" w:name="_Toc360024843"/>
      <w:bookmarkStart w:id="2" w:name="_Toc386455921"/>
      <w:r>
        <w:lastRenderedPageBreak/>
        <w:t>Contents</w:t>
      </w:r>
      <w:bookmarkEnd w:id="0"/>
      <w:bookmarkEnd w:id="1"/>
      <w:bookmarkEnd w:id="2"/>
    </w:p>
    <w:p w:rsidR="00352492" w:rsidRDefault="00824CC8">
      <w:pPr>
        <w:pStyle w:val="TOC1"/>
        <w:tabs>
          <w:tab w:val="right" w:leader="dot" w:pos="9016"/>
        </w:tabs>
        <w:rPr>
          <w:rFonts w:asciiTheme="minorHAnsi" w:eastAsiaTheme="minorEastAsia" w:hAnsiTheme="minorHAnsi" w:cstheme="minorBidi"/>
          <w:b w:val="0"/>
          <w:bCs w:val="0"/>
          <w:noProof/>
          <w:sz w:val="22"/>
          <w:szCs w:val="22"/>
          <w:lang w:eastAsia="en-AU"/>
        </w:rPr>
      </w:pPr>
      <w:r w:rsidRPr="00AC1B94">
        <w:fldChar w:fldCharType="begin"/>
      </w:r>
      <w:r w:rsidRPr="00971655">
        <w:instrText xml:space="preserve"> TOC \o "1-2" \h \z \u </w:instrText>
      </w:r>
      <w:r w:rsidRPr="00AC1B94">
        <w:fldChar w:fldCharType="separate"/>
      </w:r>
      <w:hyperlink w:anchor="_Toc386455921" w:history="1">
        <w:r w:rsidR="00352492" w:rsidRPr="006F2EC6">
          <w:rPr>
            <w:rStyle w:val="Hyperlink"/>
            <w:noProof/>
          </w:rPr>
          <w:t>Contents</w:t>
        </w:r>
        <w:r w:rsidR="00352492">
          <w:rPr>
            <w:noProof/>
            <w:webHidden/>
          </w:rPr>
          <w:tab/>
        </w:r>
        <w:r w:rsidR="00352492">
          <w:rPr>
            <w:noProof/>
            <w:webHidden/>
          </w:rPr>
          <w:fldChar w:fldCharType="begin"/>
        </w:r>
        <w:r w:rsidR="00352492">
          <w:rPr>
            <w:noProof/>
            <w:webHidden/>
          </w:rPr>
          <w:instrText xml:space="preserve"> PAGEREF _Toc386455921 \h </w:instrText>
        </w:r>
        <w:r w:rsidR="00352492">
          <w:rPr>
            <w:noProof/>
            <w:webHidden/>
          </w:rPr>
        </w:r>
        <w:r w:rsidR="00352492">
          <w:rPr>
            <w:noProof/>
            <w:webHidden/>
          </w:rPr>
          <w:fldChar w:fldCharType="separate"/>
        </w:r>
        <w:r w:rsidR="00352492">
          <w:rPr>
            <w:noProof/>
            <w:webHidden/>
          </w:rPr>
          <w:t>3</w:t>
        </w:r>
        <w:r w:rsidR="00352492">
          <w:rPr>
            <w:noProof/>
            <w:webHidden/>
          </w:rPr>
          <w:fldChar w:fldCharType="end"/>
        </w:r>
      </w:hyperlink>
    </w:p>
    <w:p w:rsidR="00352492" w:rsidRDefault="00A57E5C">
      <w:pPr>
        <w:pStyle w:val="TOC1"/>
        <w:tabs>
          <w:tab w:val="right" w:leader="dot" w:pos="9016"/>
        </w:tabs>
        <w:rPr>
          <w:rFonts w:asciiTheme="minorHAnsi" w:eastAsiaTheme="minorEastAsia" w:hAnsiTheme="minorHAnsi" w:cstheme="minorBidi"/>
          <w:b w:val="0"/>
          <w:bCs w:val="0"/>
          <w:noProof/>
          <w:sz w:val="22"/>
          <w:szCs w:val="22"/>
          <w:lang w:eastAsia="en-AU"/>
        </w:rPr>
      </w:pPr>
      <w:hyperlink w:anchor="_Toc386455922" w:history="1">
        <w:r w:rsidR="00352492" w:rsidRPr="006F2EC6">
          <w:rPr>
            <w:rStyle w:val="Hyperlink"/>
            <w:noProof/>
          </w:rPr>
          <w:t>Shortened forms</w:t>
        </w:r>
        <w:r w:rsidR="00352492">
          <w:rPr>
            <w:noProof/>
            <w:webHidden/>
          </w:rPr>
          <w:tab/>
        </w:r>
        <w:r w:rsidR="00352492">
          <w:rPr>
            <w:noProof/>
            <w:webHidden/>
          </w:rPr>
          <w:fldChar w:fldCharType="begin"/>
        </w:r>
        <w:r w:rsidR="00352492">
          <w:rPr>
            <w:noProof/>
            <w:webHidden/>
          </w:rPr>
          <w:instrText xml:space="preserve"> PAGEREF _Toc386455922 \h </w:instrText>
        </w:r>
        <w:r w:rsidR="00352492">
          <w:rPr>
            <w:noProof/>
            <w:webHidden/>
          </w:rPr>
        </w:r>
        <w:r w:rsidR="00352492">
          <w:rPr>
            <w:noProof/>
            <w:webHidden/>
          </w:rPr>
          <w:fldChar w:fldCharType="separate"/>
        </w:r>
        <w:r w:rsidR="00352492">
          <w:rPr>
            <w:noProof/>
            <w:webHidden/>
          </w:rPr>
          <w:t>4</w:t>
        </w:r>
        <w:r w:rsidR="00352492">
          <w:rPr>
            <w:noProof/>
            <w:webHidden/>
          </w:rPr>
          <w:fldChar w:fldCharType="end"/>
        </w:r>
      </w:hyperlink>
    </w:p>
    <w:p w:rsidR="00352492" w:rsidRDefault="00A57E5C">
      <w:pPr>
        <w:pStyle w:val="TOC1"/>
        <w:tabs>
          <w:tab w:val="right" w:leader="dot" w:pos="9016"/>
        </w:tabs>
        <w:rPr>
          <w:rFonts w:asciiTheme="minorHAnsi" w:eastAsiaTheme="minorEastAsia" w:hAnsiTheme="minorHAnsi" w:cstheme="minorBidi"/>
          <w:b w:val="0"/>
          <w:bCs w:val="0"/>
          <w:noProof/>
          <w:sz w:val="22"/>
          <w:szCs w:val="22"/>
          <w:lang w:eastAsia="en-AU"/>
        </w:rPr>
      </w:pPr>
      <w:hyperlink w:anchor="_Toc386455923" w:history="1">
        <w:r w:rsidR="00352492" w:rsidRPr="006F2EC6">
          <w:rPr>
            <w:rStyle w:val="Hyperlink"/>
            <w:noProof/>
          </w:rPr>
          <w:t>Summary</w:t>
        </w:r>
        <w:r w:rsidR="00352492">
          <w:rPr>
            <w:noProof/>
            <w:webHidden/>
          </w:rPr>
          <w:tab/>
        </w:r>
        <w:r w:rsidR="00352492">
          <w:rPr>
            <w:noProof/>
            <w:webHidden/>
          </w:rPr>
          <w:fldChar w:fldCharType="begin"/>
        </w:r>
        <w:r w:rsidR="00352492">
          <w:rPr>
            <w:noProof/>
            <w:webHidden/>
          </w:rPr>
          <w:instrText xml:space="preserve"> PAGEREF _Toc386455923 \h </w:instrText>
        </w:r>
        <w:r w:rsidR="00352492">
          <w:rPr>
            <w:noProof/>
            <w:webHidden/>
          </w:rPr>
        </w:r>
        <w:r w:rsidR="00352492">
          <w:rPr>
            <w:noProof/>
            <w:webHidden/>
          </w:rPr>
          <w:fldChar w:fldCharType="separate"/>
        </w:r>
        <w:r w:rsidR="00352492">
          <w:rPr>
            <w:noProof/>
            <w:webHidden/>
          </w:rPr>
          <w:t>5</w:t>
        </w:r>
        <w:r w:rsidR="00352492">
          <w:rPr>
            <w:noProof/>
            <w:webHidden/>
          </w:rPr>
          <w:fldChar w:fldCharType="end"/>
        </w:r>
      </w:hyperlink>
    </w:p>
    <w:p w:rsidR="00352492" w:rsidRDefault="00A57E5C">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86455924" w:history="1">
        <w:r w:rsidR="00352492" w:rsidRPr="006F2EC6">
          <w:rPr>
            <w:rStyle w:val="Hyperlink"/>
            <w:noProof/>
          </w:rPr>
          <w:t>1</w:t>
        </w:r>
        <w:r w:rsidR="00352492">
          <w:rPr>
            <w:rFonts w:asciiTheme="minorHAnsi" w:eastAsiaTheme="minorEastAsia" w:hAnsiTheme="minorHAnsi" w:cstheme="minorBidi"/>
            <w:b w:val="0"/>
            <w:bCs w:val="0"/>
            <w:noProof/>
            <w:sz w:val="22"/>
            <w:szCs w:val="22"/>
            <w:lang w:eastAsia="en-AU"/>
          </w:rPr>
          <w:tab/>
        </w:r>
        <w:r w:rsidR="00352492" w:rsidRPr="006F2EC6">
          <w:rPr>
            <w:rStyle w:val="Hyperlink"/>
            <w:noProof/>
          </w:rPr>
          <w:t>Transmission Ring-fencing Guidelines</w:t>
        </w:r>
        <w:r w:rsidR="00352492">
          <w:rPr>
            <w:noProof/>
            <w:webHidden/>
          </w:rPr>
          <w:tab/>
        </w:r>
        <w:r w:rsidR="00352492">
          <w:rPr>
            <w:noProof/>
            <w:webHidden/>
          </w:rPr>
          <w:fldChar w:fldCharType="begin"/>
        </w:r>
        <w:r w:rsidR="00352492">
          <w:rPr>
            <w:noProof/>
            <w:webHidden/>
          </w:rPr>
          <w:instrText xml:space="preserve"> PAGEREF _Toc386455924 \h </w:instrText>
        </w:r>
        <w:r w:rsidR="00352492">
          <w:rPr>
            <w:noProof/>
            <w:webHidden/>
          </w:rPr>
        </w:r>
        <w:r w:rsidR="00352492">
          <w:rPr>
            <w:noProof/>
            <w:webHidden/>
          </w:rPr>
          <w:fldChar w:fldCharType="separate"/>
        </w:r>
        <w:r w:rsidR="00352492">
          <w:rPr>
            <w:noProof/>
            <w:webHidden/>
          </w:rPr>
          <w:t>6</w:t>
        </w:r>
        <w:r w:rsidR="00352492">
          <w:rPr>
            <w:noProof/>
            <w:webHidden/>
          </w:rPr>
          <w:fldChar w:fldCharType="end"/>
        </w:r>
      </w:hyperlink>
    </w:p>
    <w:p w:rsidR="00352492" w:rsidRDefault="00A57E5C">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6455925" w:history="1">
        <w:r w:rsidR="00352492" w:rsidRPr="006F2EC6">
          <w:rPr>
            <w:rStyle w:val="Hyperlink"/>
            <w:noProof/>
          </w:rPr>
          <w:t>1.1</w:t>
        </w:r>
        <w:r w:rsidR="00352492">
          <w:rPr>
            <w:rFonts w:asciiTheme="minorHAnsi" w:eastAsiaTheme="minorEastAsia" w:hAnsiTheme="minorHAnsi" w:cstheme="minorBidi"/>
            <w:iCs w:val="0"/>
            <w:noProof/>
            <w:sz w:val="22"/>
            <w:szCs w:val="22"/>
            <w:lang w:eastAsia="en-AU"/>
          </w:rPr>
          <w:tab/>
        </w:r>
        <w:r w:rsidR="00352492" w:rsidRPr="006F2EC6">
          <w:rPr>
            <w:rStyle w:val="Hyperlink"/>
            <w:noProof/>
          </w:rPr>
          <w:t>Procedure for waiving ring-fencing obligations</w:t>
        </w:r>
        <w:r w:rsidR="00352492">
          <w:rPr>
            <w:noProof/>
            <w:webHidden/>
          </w:rPr>
          <w:tab/>
        </w:r>
        <w:r w:rsidR="00352492">
          <w:rPr>
            <w:noProof/>
            <w:webHidden/>
          </w:rPr>
          <w:fldChar w:fldCharType="begin"/>
        </w:r>
        <w:r w:rsidR="00352492">
          <w:rPr>
            <w:noProof/>
            <w:webHidden/>
          </w:rPr>
          <w:instrText xml:space="preserve"> PAGEREF _Toc386455925 \h </w:instrText>
        </w:r>
        <w:r w:rsidR="00352492">
          <w:rPr>
            <w:noProof/>
            <w:webHidden/>
          </w:rPr>
        </w:r>
        <w:r w:rsidR="00352492">
          <w:rPr>
            <w:noProof/>
            <w:webHidden/>
          </w:rPr>
          <w:fldChar w:fldCharType="separate"/>
        </w:r>
        <w:r w:rsidR="00352492">
          <w:rPr>
            <w:noProof/>
            <w:webHidden/>
          </w:rPr>
          <w:t>6</w:t>
        </w:r>
        <w:r w:rsidR="00352492">
          <w:rPr>
            <w:noProof/>
            <w:webHidden/>
          </w:rPr>
          <w:fldChar w:fldCharType="end"/>
        </w:r>
      </w:hyperlink>
    </w:p>
    <w:p w:rsidR="00352492" w:rsidRDefault="00A57E5C">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86455926" w:history="1">
        <w:r w:rsidR="00352492" w:rsidRPr="006F2EC6">
          <w:rPr>
            <w:rStyle w:val="Hyperlink"/>
            <w:noProof/>
          </w:rPr>
          <w:t>2</w:t>
        </w:r>
        <w:r w:rsidR="00352492">
          <w:rPr>
            <w:rFonts w:asciiTheme="minorHAnsi" w:eastAsiaTheme="minorEastAsia" w:hAnsiTheme="minorHAnsi" w:cstheme="minorBidi"/>
            <w:b w:val="0"/>
            <w:bCs w:val="0"/>
            <w:noProof/>
            <w:sz w:val="22"/>
            <w:szCs w:val="22"/>
            <w:lang w:eastAsia="en-AU"/>
          </w:rPr>
          <w:tab/>
        </w:r>
        <w:r w:rsidR="00352492" w:rsidRPr="006F2EC6">
          <w:rPr>
            <w:rStyle w:val="Hyperlink"/>
            <w:noProof/>
          </w:rPr>
          <w:t>TasNetworks' waiver application</w:t>
        </w:r>
        <w:r w:rsidR="00352492">
          <w:rPr>
            <w:noProof/>
            <w:webHidden/>
          </w:rPr>
          <w:tab/>
        </w:r>
        <w:r w:rsidR="00352492">
          <w:rPr>
            <w:noProof/>
            <w:webHidden/>
          </w:rPr>
          <w:fldChar w:fldCharType="begin"/>
        </w:r>
        <w:r w:rsidR="00352492">
          <w:rPr>
            <w:noProof/>
            <w:webHidden/>
          </w:rPr>
          <w:instrText xml:space="preserve"> PAGEREF _Toc386455926 \h </w:instrText>
        </w:r>
        <w:r w:rsidR="00352492">
          <w:rPr>
            <w:noProof/>
            <w:webHidden/>
          </w:rPr>
        </w:r>
        <w:r w:rsidR="00352492">
          <w:rPr>
            <w:noProof/>
            <w:webHidden/>
          </w:rPr>
          <w:fldChar w:fldCharType="separate"/>
        </w:r>
        <w:r w:rsidR="00352492">
          <w:rPr>
            <w:noProof/>
            <w:webHidden/>
          </w:rPr>
          <w:t>7</w:t>
        </w:r>
        <w:r w:rsidR="00352492">
          <w:rPr>
            <w:noProof/>
            <w:webHidden/>
          </w:rPr>
          <w:fldChar w:fldCharType="end"/>
        </w:r>
      </w:hyperlink>
    </w:p>
    <w:p w:rsidR="00352492" w:rsidRDefault="00A57E5C">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6455927" w:history="1">
        <w:r w:rsidR="00352492" w:rsidRPr="006F2EC6">
          <w:rPr>
            <w:rStyle w:val="Hyperlink"/>
            <w:noProof/>
          </w:rPr>
          <w:t>2.1</w:t>
        </w:r>
        <w:r w:rsidR="00352492">
          <w:rPr>
            <w:rFonts w:asciiTheme="minorHAnsi" w:eastAsiaTheme="minorEastAsia" w:hAnsiTheme="minorHAnsi" w:cstheme="minorBidi"/>
            <w:iCs w:val="0"/>
            <w:noProof/>
            <w:sz w:val="22"/>
            <w:szCs w:val="22"/>
            <w:lang w:eastAsia="en-AU"/>
          </w:rPr>
          <w:tab/>
        </w:r>
        <w:r w:rsidR="00352492" w:rsidRPr="006F2EC6">
          <w:rPr>
            <w:rStyle w:val="Hyperlink"/>
            <w:noProof/>
          </w:rPr>
          <w:t>Public benefit of ring-fencing obligations</w:t>
        </w:r>
        <w:r w:rsidR="00352492">
          <w:rPr>
            <w:noProof/>
            <w:webHidden/>
          </w:rPr>
          <w:tab/>
        </w:r>
        <w:r w:rsidR="00352492">
          <w:rPr>
            <w:noProof/>
            <w:webHidden/>
          </w:rPr>
          <w:fldChar w:fldCharType="begin"/>
        </w:r>
        <w:r w:rsidR="00352492">
          <w:rPr>
            <w:noProof/>
            <w:webHidden/>
          </w:rPr>
          <w:instrText xml:space="preserve"> PAGEREF _Toc386455927 \h </w:instrText>
        </w:r>
        <w:r w:rsidR="00352492">
          <w:rPr>
            <w:noProof/>
            <w:webHidden/>
          </w:rPr>
        </w:r>
        <w:r w:rsidR="00352492">
          <w:rPr>
            <w:noProof/>
            <w:webHidden/>
          </w:rPr>
          <w:fldChar w:fldCharType="separate"/>
        </w:r>
        <w:r w:rsidR="00352492">
          <w:rPr>
            <w:noProof/>
            <w:webHidden/>
          </w:rPr>
          <w:t>7</w:t>
        </w:r>
        <w:r w:rsidR="00352492">
          <w:rPr>
            <w:noProof/>
            <w:webHidden/>
          </w:rPr>
          <w:fldChar w:fldCharType="end"/>
        </w:r>
      </w:hyperlink>
    </w:p>
    <w:p w:rsidR="00352492" w:rsidRDefault="00A57E5C">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6455928" w:history="1">
        <w:r w:rsidR="00352492" w:rsidRPr="006F2EC6">
          <w:rPr>
            <w:rStyle w:val="Hyperlink"/>
            <w:noProof/>
          </w:rPr>
          <w:t>2.2</w:t>
        </w:r>
        <w:r w:rsidR="00352492">
          <w:rPr>
            <w:rFonts w:asciiTheme="minorHAnsi" w:eastAsiaTheme="minorEastAsia" w:hAnsiTheme="minorHAnsi" w:cstheme="minorBidi"/>
            <w:iCs w:val="0"/>
            <w:noProof/>
            <w:sz w:val="22"/>
            <w:szCs w:val="22"/>
            <w:lang w:eastAsia="en-AU"/>
          </w:rPr>
          <w:tab/>
        </w:r>
        <w:r w:rsidR="00352492" w:rsidRPr="006F2EC6">
          <w:rPr>
            <w:rStyle w:val="Hyperlink"/>
            <w:noProof/>
          </w:rPr>
          <w:t>Administrative cost of ring-fencing</w:t>
        </w:r>
        <w:r w:rsidR="00352492">
          <w:rPr>
            <w:noProof/>
            <w:webHidden/>
          </w:rPr>
          <w:tab/>
        </w:r>
        <w:r w:rsidR="00352492">
          <w:rPr>
            <w:noProof/>
            <w:webHidden/>
          </w:rPr>
          <w:fldChar w:fldCharType="begin"/>
        </w:r>
        <w:r w:rsidR="00352492">
          <w:rPr>
            <w:noProof/>
            <w:webHidden/>
          </w:rPr>
          <w:instrText xml:space="preserve"> PAGEREF _Toc386455928 \h </w:instrText>
        </w:r>
        <w:r w:rsidR="00352492">
          <w:rPr>
            <w:noProof/>
            <w:webHidden/>
          </w:rPr>
        </w:r>
        <w:r w:rsidR="00352492">
          <w:rPr>
            <w:noProof/>
            <w:webHidden/>
          </w:rPr>
          <w:fldChar w:fldCharType="separate"/>
        </w:r>
        <w:r w:rsidR="00352492">
          <w:rPr>
            <w:noProof/>
            <w:webHidden/>
          </w:rPr>
          <w:t>8</w:t>
        </w:r>
        <w:r w:rsidR="00352492">
          <w:rPr>
            <w:noProof/>
            <w:webHidden/>
          </w:rPr>
          <w:fldChar w:fldCharType="end"/>
        </w:r>
      </w:hyperlink>
    </w:p>
    <w:p w:rsidR="00352492" w:rsidRDefault="00A57E5C">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86455929" w:history="1">
        <w:r w:rsidR="00352492" w:rsidRPr="006F2EC6">
          <w:rPr>
            <w:rStyle w:val="Hyperlink"/>
            <w:noProof/>
          </w:rPr>
          <w:t>3</w:t>
        </w:r>
        <w:r w:rsidR="00352492">
          <w:rPr>
            <w:rFonts w:asciiTheme="minorHAnsi" w:eastAsiaTheme="minorEastAsia" w:hAnsiTheme="minorHAnsi" w:cstheme="minorBidi"/>
            <w:b w:val="0"/>
            <w:bCs w:val="0"/>
            <w:noProof/>
            <w:sz w:val="22"/>
            <w:szCs w:val="22"/>
            <w:lang w:eastAsia="en-AU"/>
          </w:rPr>
          <w:tab/>
        </w:r>
        <w:r w:rsidR="00352492" w:rsidRPr="006F2EC6">
          <w:rPr>
            <w:rStyle w:val="Hyperlink"/>
            <w:noProof/>
          </w:rPr>
          <w:t>AER’s draft decision</w:t>
        </w:r>
        <w:r w:rsidR="00352492">
          <w:rPr>
            <w:noProof/>
            <w:webHidden/>
          </w:rPr>
          <w:tab/>
        </w:r>
        <w:r w:rsidR="00352492">
          <w:rPr>
            <w:noProof/>
            <w:webHidden/>
          </w:rPr>
          <w:fldChar w:fldCharType="begin"/>
        </w:r>
        <w:r w:rsidR="00352492">
          <w:rPr>
            <w:noProof/>
            <w:webHidden/>
          </w:rPr>
          <w:instrText xml:space="preserve"> PAGEREF _Toc386455929 \h </w:instrText>
        </w:r>
        <w:r w:rsidR="00352492">
          <w:rPr>
            <w:noProof/>
            <w:webHidden/>
          </w:rPr>
        </w:r>
        <w:r w:rsidR="00352492">
          <w:rPr>
            <w:noProof/>
            <w:webHidden/>
          </w:rPr>
          <w:fldChar w:fldCharType="separate"/>
        </w:r>
        <w:r w:rsidR="00352492">
          <w:rPr>
            <w:noProof/>
            <w:webHidden/>
          </w:rPr>
          <w:t>9</w:t>
        </w:r>
        <w:r w:rsidR="00352492">
          <w:rPr>
            <w:noProof/>
            <w:webHidden/>
          </w:rPr>
          <w:fldChar w:fldCharType="end"/>
        </w:r>
      </w:hyperlink>
    </w:p>
    <w:p w:rsidR="00352492" w:rsidRDefault="00A57E5C">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86455930" w:history="1">
        <w:r w:rsidR="00352492" w:rsidRPr="006F2EC6">
          <w:rPr>
            <w:rStyle w:val="Hyperlink"/>
            <w:noProof/>
          </w:rPr>
          <w:t>4</w:t>
        </w:r>
        <w:r w:rsidR="00352492">
          <w:rPr>
            <w:rFonts w:asciiTheme="minorHAnsi" w:eastAsiaTheme="minorEastAsia" w:hAnsiTheme="minorHAnsi" w:cstheme="minorBidi"/>
            <w:b w:val="0"/>
            <w:bCs w:val="0"/>
            <w:noProof/>
            <w:sz w:val="22"/>
            <w:szCs w:val="22"/>
            <w:lang w:eastAsia="en-AU"/>
          </w:rPr>
          <w:tab/>
        </w:r>
        <w:r w:rsidR="00352492" w:rsidRPr="006F2EC6">
          <w:rPr>
            <w:rStyle w:val="Hyperlink"/>
            <w:noProof/>
          </w:rPr>
          <w:t>AER's final decision</w:t>
        </w:r>
        <w:r w:rsidR="00352492">
          <w:rPr>
            <w:noProof/>
            <w:webHidden/>
          </w:rPr>
          <w:tab/>
        </w:r>
        <w:r w:rsidR="00352492">
          <w:rPr>
            <w:noProof/>
            <w:webHidden/>
          </w:rPr>
          <w:fldChar w:fldCharType="begin"/>
        </w:r>
        <w:r w:rsidR="00352492">
          <w:rPr>
            <w:noProof/>
            <w:webHidden/>
          </w:rPr>
          <w:instrText xml:space="preserve"> PAGEREF _Toc386455930 \h </w:instrText>
        </w:r>
        <w:r w:rsidR="00352492">
          <w:rPr>
            <w:noProof/>
            <w:webHidden/>
          </w:rPr>
        </w:r>
        <w:r w:rsidR="00352492">
          <w:rPr>
            <w:noProof/>
            <w:webHidden/>
          </w:rPr>
          <w:fldChar w:fldCharType="separate"/>
        </w:r>
        <w:r w:rsidR="00352492">
          <w:rPr>
            <w:noProof/>
            <w:webHidden/>
          </w:rPr>
          <w:t>10</w:t>
        </w:r>
        <w:r w:rsidR="00352492">
          <w:rPr>
            <w:noProof/>
            <w:webHidden/>
          </w:rPr>
          <w:fldChar w:fldCharType="end"/>
        </w:r>
      </w:hyperlink>
    </w:p>
    <w:p w:rsidR="00AF3E95" w:rsidRPr="00AF3E95" w:rsidRDefault="00824CC8" w:rsidP="00DF16C2">
      <w:pPr>
        <w:pStyle w:val="TOC1"/>
      </w:pPr>
      <w:r w:rsidRPr="00AC1B94">
        <w:fldChar w:fldCharType="end"/>
      </w:r>
    </w:p>
    <w:p w:rsidR="009658F0" w:rsidRDefault="00D16E9E" w:rsidP="008A6EE7">
      <w:pPr>
        <w:pStyle w:val="UnnumberedHeading"/>
        <w:numPr>
          <w:ilvl w:val="0"/>
          <w:numId w:val="1"/>
        </w:numPr>
      </w:pPr>
      <w:bookmarkStart w:id="3" w:name="_Toc386455922"/>
      <w:r>
        <w:lastRenderedPageBreak/>
        <w:t>Shortened forms</w:t>
      </w:r>
      <w:bookmarkEnd w:id="3"/>
    </w:p>
    <w:tbl>
      <w:tblPr>
        <w:tblStyle w:val="AERtable-text"/>
        <w:tblW w:w="0" w:type="auto"/>
        <w:tblLook w:val="04A0" w:firstRow="1" w:lastRow="0" w:firstColumn="1" w:lastColumn="0" w:noHBand="0" w:noVBand="1"/>
      </w:tblPr>
      <w:tblGrid>
        <w:gridCol w:w="3227"/>
        <w:gridCol w:w="6015"/>
      </w:tblGrid>
      <w:tr w:rsidR="00D16E9E" w:rsidTr="00D16E9E">
        <w:trPr>
          <w:cnfStyle w:val="100000000000" w:firstRow="1" w:lastRow="0" w:firstColumn="0" w:lastColumn="0" w:oddVBand="0" w:evenVBand="0" w:oddHBand="0" w:evenHBand="0" w:firstRowFirstColumn="0" w:firstRowLastColumn="0" w:lastRowFirstColumn="0" w:lastRowLastColumn="0"/>
        </w:trPr>
        <w:tc>
          <w:tcPr>
            <w:tcW w:w="3227" w:type="dxa"/>
          </w:tcPr>
          <w:p w:rsidR="00D16E9E" w:rsidRDefault="00D16E9E" w:rsidP="00F97CD9">
            <w:pPr>
              <w:pStyle w:val="AERbodytext"/>
            </w:pPr>
            <w:r>
              <w:t>Shortened form</w:t>
            </w:r>
          </w:p>
        </w:tc>
        <w:tc>
          <w:tcPr>
            <w:tcW w:w="6015" w:type="dxa"/>
          </w:tcPr>
          <w:p w:rsidR="00D16E9E" w:rsidRDefault="00D16E9E" w:rsidP="00F97CD9">
            <w:pPr>
              <w:pStyle w:val="AERbodytext"/>
            </w:pPr>
            <w:r>
              <w:t>Extended form</w:t>
            </w:r>
          </w:p>
        </w:tc>
      </w:tr>
      <w:tr w:rsidR="00D16E9E" w:rsidTr="00D16E9E">
        <w:tc>
          <w:tcPr>
            <w:tcW w:w="3227" w:type="dxa"/>
          </w:tcPr>
          <w:p w:rsidR="00D16E9E" w:rsidRPr="00AD4778" w:rsidRDefault="00D16E9E" w:rsidP="00A82462">
            <w:pPr>
              <w:pStyle w:val="AERtabletextleft"/>
            </w:pPr>
            <w:r>
              <w:t>ACCC</w:t>
            </w:r>
          </w:p>
        </w:tc>
        <w:tc>
          <w:tcPr>
            <w:tcW w:w="6015" w:type="dxa"/>
          </w:tcPr>
          <w:p w:rsidR="00D16E9E" w:rsidRDefault="00D16E9E" w:rsidP="00A82462">
            <w:pPr>
              <w:pStyle w:val="AERtabletextleft"/>
            </w:pPr>
            <w:r>
              <w:t>Australian Competition and Consumer Commission</w:t>
            </w:r>
          </w:p>
        </w:tc>
      </w:tr>
      <w:tr w:rsidR="00D16E9E" w:rsidTr="00D16E9E">
        <w:trPr>
          <w:cnfStyle w:val="000000010000" w:firstRow="0" w:lastRow="0" w:firstColumn="0" w:lastColumn="0" w:oddVBand="0" w:evenVBand="0" w:oddHBand="0" w:evenHBand="1" w:firstRowFirstColumn="0" w:firstRowLastColumn="0" w:lastRowFirstColumn="0" w:lastRowLastColumn="0"/>
        </w:trPr>
        <w:tc>
          <w:tcPr>
            <w:tcW w:w="3227" w:type="dxa"/>
          </w:tcPr>
          <w:p w:rsidR="00D16E9E" w:rsidRPr="00AD4778" w:rsidRDefault="00F7358B" w:rsidP="00A82462">
            <w:pPr>
              <w:pStyle w:val="AERtabletextleft"/>
            </w:pPr>
            <w:r>
              <w:t>Aurora</w:t>
            </w:r>
          </w:p>
        </w:tc>
        <w:tc>
          <w:tcPr>
            <w:tcW w:w="6015" w:type="dxa"/>
          </w:tcPr>
          <w:p w:rsidR="00D16E9E" w:rsidRDefault="00F7358B" w:rsidP="00A82462">
            <w:pPr>
              <w:pStyle w:val="AERtabletextleft"/>
            </w:pPr>
            <w:r>
              <w:t>Aurora Energy Pty Ltd</w:t>
            </w:r>
          </w:p>
        </w:tc>
      </w:tr>
      <w:tr w:rsidR="00F7358B" w:rsidTr="00D16E9E">
        <w:tc>
          <w:tcPr>
            <w:tcW w:w="3227" w:type="dxa"/>
          </w:tcPr>
          <w:p w:rsidR="00F7358B" w:rsidRPr="00AD4778" w:rsidRDefault="00F7358B" w:rsidP="00A82462">
            <w:pPr>
              <w:pStyle w:val="AERtabletextleft"/>
            </w:pPr>
            <w:r w:rsidRPr="00AD4778">
              <w:t>AER</w:t>
            </w:r>
          </w:p>
        </w:tc>
        <w:tc>
          <w:tcPr>
            <w:tcW w:w="6015" w:type="dxa"/>
          </w:tcPr>
          <w:p w:rsidR="00F7358B" w:rsidRDefault="00F7358B" w:rsidP="00A82462">
            <w:pPr>
              <w:pStyle w:val="AERtabletextleft"/>
            </w:pPr>
            <w:r>
              <w:t>Australian Energy Regulator</w:t>
            </w:r>
          </w:p>
        </w:tc>
      </w:tr>
      <w:tr w:rsidR="00F7358B" w:rsidTr="00D16E9E">
        <w:trPr>
          <w:cnfStyle w:val="000000010000" w:firstRow="0" w:lastRow="0" w:firstColumn="0" w:lastColumn="0" w:oddVBand="0" w:evenVBand="0" w:oddHBand="0" w:evenHBand="1" w:firstRowFirstColumn="0" w:firstRowLastColumn="0" w:lastRowFirstColumn="0" w:lastRowLastColumn="0"/>
        </w:trPr>
        <w:tc>
          <w:tcPr>
            <w:tcW w:w="3227" w:type="dxa"/>
          </w:tcPr>
          <w:p w:rsidR="00F7358B" w:rsidRPr="00AD4778" w:rsidRDefault="00F7358B" w:rsidP="00A82462">
            <w:pPr>
              <w:pStyle w:val="AERtabletextleft"/>
            </w:pPr>
            <w:r>
              <w:t>DNSP</w:t>
            </w:r>
          </w:p>
        </w:tc>
        <w:tc>
          <w:tcPr>
            <w:tcW w:w="6015" w:type="dxa"/>
          </w:tcPr>
          <w:p w:rsidR="00F7358B" w:rsidRDefault="00F7358B" w:rsidP="00A82462">
            <w:pPr>
              <w:pStyle w:val="AERtabletextleft"/>
            </w:pPr>
            <w:r>
              <w:t>Distribution Network Service Provider</w:t>
            </w:r>
          </w:p>
        </w:tc>
      </w:tr>
      <w:tr w:rsidR="00F7358B" w:rsidTr="00D16E9E">
        <w:tc>
          <w:tcPr>
            <w:tcW w:w="3227" w:type="dxa"/>
          </w:tcPr>
          <w:p w:rsidR="00F7358B" w:rsidRDefault="00F7358B" w:rsidP="00A82462">
            <w:pPr>
              <w:pStyle w:val="AERtabletextleft"/>
            </w:pPr>
            <w:r>
              <w:t>Guidelines</w:t>
            </w:r>
          </w:p>
        </w:tc>
        <w:tc>
          <w:tcPr>
            <w:tcW w:w="6015" w:type="dxa"/>
          </w:tcPr>
          <w:p w:rsidR="00F7358B" w:rsidRDefault="00F7358B" w:rsidP="00A82462">
            <w:pPr>
              <w:pStyle w:val="AERtabletextleft"/>
            </w:pPr>
            <w:r>
              <w:t xml:space="preserve">Australian Competition and Consumer Commission, </w:t>
            </w:r>
            <w:r w:rsidRPr="00A82462">
              <w:rPr>
                <w:rStyle w:val="AERtextitalic"/>
              </w:rPr>
              <w:t>Transmission Ring-Fencing Guidelines</w:t>
            </w:r>
            <w:r>
              <w:t>, August 2002</w:t>
            </w:r>
          </w:p>
        </w:tc>
      </w:tr>
      <w:tr w:rsidR="00F7358B" w:rsidTr="00D16E9E">
        <w:trPr>
          <w:cnfStyle w:val="000000010000" w:firstRow="0" w:lastRow="0" w:firstColumn="0" w:lastColumn="0" w:oddVBand="0" w:evenVBand="0" w:oddHBand="0" w:evenHBand="1" w:firstRowFirstColumn="0" w:firstRowLastColumn="0" w:lastRowFirstColumn="0" w:lastRowLastColumn="0"/>
        </w:trPr>
        <w:tc>
          <w:tcPr>
            <w:tcW w:w="3227" w:type="dxa"/>
          </w:tcPr>
          <w:p w:rsidR="00F7358B" w:rsidRPr="00D16E9E" w:rsidRDefault="00F7358B" w:rsidP="00A82462">
            <w:pPr>
              <w:pStyle w:val="AERtabletextleft"/>
            </w:pPr>
            <w:r w:rsidRPr="00D16E9E">
              <w:t>NEL</w:t>
            </w:r>
          </w:p>
        </w:tc>
        <w:tc>
          <w:tcPr>
            <w:tcW w:w="6015" w:type="dxa"/>
          </w:tcPr>
          <w:p w:rsidR="00F7358B" w:rsidRPr="00D16E9E" w:rsidRDefault="00F7358B" w:rsidP="00A82462">
            <w:pPr>
              <w:pStyle w:val="AERtabletextleft"/>
            </w:pPr>
            <w:r w:rsidRPr="00D16E9E">
              <w:t>National Electricity Law</w:t>
            </w:r>
          </w:p>
        </w:tc>
      </w:tr>
      <w:tr w:rsidR="00F7358B" w:rsidTr="00D16E9E">
        <w:tc>
          <w:tcPr>
            <w:tcW w:w="3227" w:type="dxa"/>
          </w:tcPr>
          <w:p w:rsidR="00F7358B" w:rsidRDefault="00F7358B" w:rsidP="00A82462">
            <w:pPr>
              <w:pStyle w:val="AERtabletextleft"/>
            </w:pPr>
            <w:r w:rsidRPr="00D16E9E">
              <w:t>NER</w:t>
            </w:r>
            <w:r w:rsidRPr="00D16E9E">
              <w:tab/>
            </w:r>
          </w:p>
        </w:tc>
        <w:tc>
          <w:tcPr>
            <w:tcW w:w="6015" w:type="dxa"/>
          </w:tcPr>
          <w:p w:rsidR="00F7358B" w:rsidRDefault="00F7358B" w:rsidP="00A82462">
            <w:pPr>
              <w:pStyle w:val="AERtabletextleft"/>
            </w:pPr>
            <w:r w:rsidRPr="00D16E9E">
              <w:t>National Electricity Rules</w:t>
            </w:r>
          </w:p>
        </w:tc>
      </w:tr>
      <w:tr w:rsidR="00F7358B" w:rsidTr="00D16E9E">
        <w:trPr>
          <w:cnfStyle w:val="000000010000" w:firstRow="0" w:lastRow="0" w:firstColumn="0" w:lastColumn="0" w:oddVBand="0" w:evenVBand="0" w:oddHBand="0" w:evenHBand="1" w:firstRowFirstColumn="0" w:firstRowLastColumn="0" w:lastRowFirstColumn="0" w:lastRowLastColumn="0"/>
        </w:trPr>
        <w:tc>
          <w:tcPr>
            <w:tcW w:w="3227" w:type="dxa"/>
          </w:tcPr>
          <w:p w:rsidR="00F7358B" w:rsidRDefault="00F7358B" w:rsidP="00A82462">
            <w:pPr>
              <w:pStyle w:val="AERtabletextleft"/>
            </w:pPr>
            <w:proofErr w:type="spellStart"/>
            <w:r>
              <w:t>TasNetworks</w:t>
            </w:r>
            <w:proofErr w:type="spellEnd"/>
          </w:p>
        </w:tc>
        <w:tc>
          <w:tcPr>
            <w:tcW w:w="6015" w:type="dxa"/>
          </w:tcPr>
          <w:p w:rsidR="00F7358B" w:rsidRDefault="00F7358B" w:rsidP="00A82462">
            <w:pPr>
              <w:pStyle w:val="AERtabletextleft"/>
            </w:pPr>
            <w:r>
              <w:t>Tasmanian Networks Pty Ltd</w:t>
            </w:r>
          </w:p>
        </w:tc>
      </w:tr>
      <w:tr w:rsidR="00F7358B" w:rsidTr="00D16E9E">
        <w:tc>
          <w:tcPr>
            <w:tcW w:w="3227" w:type="dxa"/>
          </w:tcPr>
          <w:p w:rsidR="00F7358B" w:rsidRDefault="00F7358B" w:rsidP="00A82462">
            <w:pPr>
              <w:pStyle w:val="AERtabletextleft"/>
            </w:pPr>
            <w:r>
              <w:t>TNSP</w:t>
            </w:r>
          </w:p>
        </w:tc>
        <w:tc>
          <w:tcPr>
            <w:tcW w:w="6015" w:type="dxa"/>
          </w:tcPr>
          <w:p w:rsidR="00F7358B" w:rsidRDefault="00F7358B" w:rsidP="00A82462">
            <w:pPr>
              <w:pStyle w:val="AERtabletextleft"/>
            </w:pPr>
            <w:r>
              <w:t>Transmission Network Service Provider</w:t>
            </w:r>
          </w:p>
        </w:tc>
      </w:tr>
      <w:tr w:rsidR="00F7358B" w:rsidTr="00D16E9E">
        <w:trPr>
          <w:cnfStyle w:val="000000010000" w:firstRow="0" w:lastRow="0" w:firstColumn="0" w:lastColumn="0" w:oddVBand="0" w:evenVBand="0" w:oddHBand="0" w:evenHBand="1" w:firstRowFirstColumn="0" w:firstRowLastColumn="0" w:lastRowFirstColumn="0" w:lastRowLastColumn="0"/>
        </w:trPr>
        <w:tc>
          <w:tcPr>
            <w:tcW w:w="3227" w:type="dxa"/>
            <w:vAlign w:val="top"/>
          </w:tcPr>
          <w:p w:rsidR="00F7358B" w:rsidRDefault="00F7358B" w:rsidP="00A82462">
            <w:pPr>
              <w:pStyle w:val="AERtabletextleft"/>
            </w:pPr>
            <w:proofErr w:type="spellStart"/>
            <w:r>
              <w:t>Transend</w:t>
            </w:r>
            <w:proofErr w:type="spellEnd"/>
          </w:p>
        </w:tc>
        <w:tc>
          <w:tcPr>
            <w:tcW w:w="6015" w:type="dxa"/>
            <w:vAlign w:val="top"/>
          </w:tcPr>
          <w:p w:rsidR="00F7358B" w:rsidRDefault="00F7358B" w:rsidP="00A82462">
            <w:pPr>
              <w:pStyle w:val="AERtabletextleft"/>
            </w:pPr>
            <w:proofErr w:type="spellStart"/>
            <w:r>
              <w:t>Transend</w:t>
            </w:r>
            <w:proofErr w:type="spellEnd"/>
            <w:r>
              <w:t xml:space="preserve"> Networks Pty Ltd</w:t>
            </w:r>
          </w:p>
        </w:tc>
      </w:tr>
    </w:tbl>
    <w:p w:rsidR="009F7CE4" w:rsidRDefault="009F7CE4" w:rsidP="00751333">
      <w:pPr>
        <w:pStyle w:val="AERbodytext"/>
        <w:numPr>
          <w:ilvl w:val="0"/>
          <w:numId w:val="0"/>
        </w:numPr>
      </w:pPr>
    </w:p>
    <w:p w:rsidR="00751333" w:rsidRDefault="001E7961" w:rsidP="00240A66">
      <w:pPr>
        <w:pStyle w:val="UnnumberedHeading"/>
      </w:pPr>
      <w:bookmarkStart w:id="4" w:name="_Toc386455923"/>
      <w:r>
        <w:lastRenderedPageBreak/>
        <w:t>Summary</w:t>
      </w:r>
      <w:bookmarkEnd w:id="4"/>
    </w:p>
    <w:p w:rsidR="002D3A00" w:rsidRPr="002D3A00" w:rsidRDefault="00DD1BBA" w:rsidP="002D3A00">
      <w:pPr>
        <w:pStyle w:val="AERbodytext"/>
      </w:pPr>
      <w:r>
        <w:t>On 5 February</w:t>
      </w:r>
      <w:r w:rsidR="002D3A00" w:rsidRPr="002D3A00">
        <w:t xml:space="preserve"> 2014, </w:t>
      </w:r>
      <w:proofErr w:type="spellStart"/>
      <w:r>
        <w:t>TasNetworks</w:t>
      </w:r>
      <w:proofErr w:type="spellEnd"/>
      <w:r w:rsidR="002D3A00" w:rsidRPr="002D3A00">
        <w:t xml:space="preserve"> applied to the AER for a waiver from </w:t>
      </w:r>
      <w:r w:rsidR="00CE0201">
        <w:t>the</w:t>
      </w:r>
      <w:r w:rsidR="00C46FD0">
        <w:t xml:space="preserve"> ring-fencing obligations </w:t>
      </w:r>
      <w:r w:rsidR="00CE0201">
        <w:t xml:space="preserve">set out in </w:t>
      </w:r>
      <w:r>
        <w:t>clause 7.1(a</w:t>
      </w:r>
      <w:proofErr w:type="gramStart"/>
      <w:r>
        <w:t>)(</w:t>
      </w:r>
      <w:proofErr w:type="gramEnd"/>
      <w:r>
        <w:t>ii) of the Guidelines</w:t>
      </w:r>
      <w:r w:rsidR="00CE0201">
        <w:t>.</w:t>
      </w:r>
      <w:r w:rsidR="004E0AF3">
        <w:rPr>
          <w:rStyle w:val="FootnoteReference"/>
        </w:rPr>
        <w:footnoteReference w:id="1"/>
      </w:r>
      <w:r w:rsidR="002D3A00" w:rsidRPr="002D3A00">
        <w:t xml:space="preserve"> </w:t>
      </w:r>
      <w:r>
        <w:t>Clause 7.1(a</w:t>
      </w:r>
      <w:proofErr w:type="gramStart"/>
      <w:r>
        <w:t>)(</w:t>
      </w:r>
      <w:proofErr w:type="gramEnd"/>
      <w:r>
        <w:t xml:space="preserve">ii) of the Guidelines provides that a TNSP must not carry on a </w:t>
      </w:r>
      <w:r w:rsidRPr="00DD1BBA">
        <w:rPr>
          <w:rStyle w:val="AERtextitalic"/>
        </w:rPr>
        <w:t>related business</w:t>
      </w:r>
      <w:r w:rsidRPr="00DD1BBA">
        <w:t xml:space="preserve">, </w:t>
      </w:r>
      <w:r>
        <w:t xml:space="preserve">which is defined as the activities of generation, distribution and electricity retail supply. </w:t>
      </w:r>
      <w:r w:rsidR="002D3A00" w:rsidRPr="002D3A00">
        <w:t xml:space="preserve"> </w:t>
      </w:r>
    </w:p>
    <w:p w:rsidR="00405557" w:rsidRDefault="004819B3" w:rsidP="002D3A00">
      <w:pPr>
        <w:pStyle w:val="AERbodytext"/>
      </w:pPr>
      <w:proofErr w:type="spellStart"/>
      <w:r>
        <w:t>TasNetworks</w:t>
      </w:r>
      <w:proofErr w:type="spellEnd"/>
      <w:r>
        <w:t xml:space="preserve"> sought a waiver of clause 7.1(a</w:t>
      </w:r>
      <w:proofErr w:type="gramStart"/>
      <w:r>
        <w:t>)(</w:t>
      </w:r>
      <w:proofErr w:type="gramEnd"/>
      <w:r>
        <w:t>ii) of the Guidelines to allow it</w:t>
      </w:r>
      <w:r w:rsidR="00405557">
        <w:t xml:space="preserve"> to</w:t>
      </w:r>
      <w:r w:rsidR="00CE0201" w:rsidRPr="002D3A00">
        <w:t xml:space="preserve"> o</w:t>
      </w:r>
      <w:r w:rsidR="00405557">
        <w:t>wn and operate</w:t>
      </w:r>
      <w:r w:rsidR="00CE0201">
        <w:t xml:space="preserve"> </w:t>
      </w:r>
      <w:r w:rsidR="00A14D94">
        <w:t xml:space="preserve">both the transmission business currently operated by </w:t>
      </w:r>
      <w:proofErr w:type="spellStart"/>
      <w:r w:rsidR="00A14D94">
        <w:t>Transend</w:t>
      </w:r>
      <w:proofErr w:type="spellEnd"/>
      <w:r w:rsidR="00A14D94">
        <w:t xml:space="preserve"> and the distribution business operated by Aurora. The integration of the two Tasmanian network businesses </w:t>
      </w:r>
      <w:r w:rsidR="00AB0AE4">
        <w:t>is one of a number of reforms to the Tasmanian electricity supply industry announced by the</w:t>
      </w:r>
      <w:r w:rsidR="0016174B">
        <w:t xml:space="preserve"> Tasmanian Government on 15 May </w:t>
      </w:r>
      <w:r w:rsidR="00AB0AE4">
        <w:t>2012.</w:t>
      </w:r>
      <w:r w:rsidR="0016174B">
        <w:rPr>
          <w:rStyle w:val="FootnoteReference"/>
        </w:rPr>
        <w:footnoteReference w:id="2"/>
      </w:r>
    </w:p>
    <w:p w:rsidR="00D56B9B" w:rsidRDefault="00AD32A8" w:rsidP="002D3A00">
      <w:pPr>
        <w:pStyle w:val="AERbodytext"/>
      </w:pPr>
      <w:r>
        <w:t xml:space="preserve">Under clause 11 of the Guidelines, the AER may waive any of the obligations under clause 7 provided that it is satisfied that the benefit, or any likely benefit, to the public is outweighed by the administrative cost of complying with the obligation. </w:t>
      </w:r>
      <w:r w:rsidR="009D2156">
        <w:t xml:space="preserve">Having considered </w:t>
      </w:r>
      <w:proofErr w:type="spellStart"/>
      <w:r w:rsidR="00AB0AE4">
        <w:t>TasNetworks</w:t>
      </w:r>
      <w:proofErr w:type="spellEnd"/>
      <w:r w:rsidR="00AB0AE4">
        <w:t>'</w:t>
      </w:r>
      <w:r w:rsidR="002D3A00" w:rsidRPr="002D3A00">
        <w:t xml:space="preserve"> application</w:t>
      </w:r>
      <w:r w:rsidR="00B9503E">
        <w:t>, we</w:t>
      </w:r>
      <w:r w:rsidR="004E0AF3">
        <w:t xml:space="preserve"> released a draft decision on 21 March 2014.</w:t>
      </w:r>
      <w:r w:rsidR="004E0AF3">
        <w:rPr>
          <w:rStyle w:val="FootnoteReference"/>
        </w:rPr>
        <w:footnoteReference w:id="3"/>
      </w:r>
      <w:r w:rsidR="00B9503E">
        <w:t xml:space="preserve"> </w:t>
      </w:r>
      <w:r w:rsidR="004E0AF3">
        <w:t>The draft decision indicated our intention to issue a notice to waive</w:t>
      </w:r>
      <w:r w:rsidR="00D56B9B">
        <w:t xml:space="preserve"> </w:t>
      </w:r>
      <w:proofErr w:type="spellStart"/>
      <w:r w:rsidR="00D56B9B">
        <w:t>TasNetworks</w:t>
      </w:r>
      <w:proofErr w:type="spellEnd"/>
      <w:r w:rsidR="00D56B9B">
        <w:t>' requirement to comply with clause 7.1(a</w:t>
      </w:r>
      <w:proofErr w:type="gramStart"/>
      <w:r w:rsidR="00D56B9B">
        <w:t>)(</w:t>
      </w:r>
      <w:proofErr w:type="gramEnd"/>
      <w:r w:rsidR="00D56B9B">
        <w:t>ii) of the Guidelines. We concluded that the administrative costs of complying with the obligation outweigh the public benefits of compliance.</w:t>
      </w:r>
    </w:p>
    <w:p w:rsidR="00240A66" w:rsidRPr="00240A66" w:rsidRDefault="00D56B9B" w:rsidP="002D3A00">
      <w:pPr>
        <w:pStyle w:val="AERbodytext"/>
      </w:pPr>
      <w:r>
        <w:t xml:space="preserve">This final decision confirms our position as set out in the draft decision. </w:t>
      </w:r>
      <w:r w:rsidR="00FB0448">
        <w:t>We consider</w:t>
      </w:r>
      <w:r w:rsidR="002D3A00" w:rsidRPr="002D3A00">
        <w:t xml:space="preserve"> that the benefit, or likely benefit, to the public </w:t>
      </w:r>
      <w:r w:rsidR="009D2156">
        <w:t xml:space="preserve">of compliance </w:t>
      </w:r>
      <w:r w:rsidR="002D3A00" w:rsidRPr="002D3A00">
        <w:t>is outweighed by the</w:t>
      </w:r>
      <w:r w:rsidR="00FB0448">
        <w:t xml:space="preserve"> administrative cost to </w:t>
      </w:r>
      <w:proofErr w:type="spellStart"/>
      <w:r w:rsidR="006705CD">
        <w:t>TasNetworks</w:t>
      </w:r>
      <w:proofErr w:type="spellEnd"/>
      <w:r w:rsidR="002D3A00" w:rsidRPr="002D3A00">
        <w:t xml:space="preserve"> of complying with the </w:t>
      </w:r>
      <w:r w:rsidR="00FB0448">
        <w:t xml:space="preserve">ring-fencing </w:t>
      </w:r>
      <w:r w:rsidR="002D3A00" w:rsidRPr="002D3A00">
        <w:t>o</w:t>
      </w:r>
      <w:r w:rsidR="00FB0448">
        <w:t>bligation</w:t>
      </w:r>
      <w:r w:rsidR="002D3A00" w:rsidRPr="002D3A00">
        <w:t>.</w:t>
      </w:r>
      <w:r>
        <w:t xml:space="preserve"> </w:t>
      </w:r>
      <w:r>
        <w:rPr>
          <w:rFonts w:eastAsia="Calibri"/>
        </w:rPr>
        <w:t>The ring-fencing obligation</w:t>
      </w:r>
      <w:r w:rsidRPr="00D56B9B">
        <w:rPr>
          <w:rFonts w:eastAsia="Calibri"/>
        </w:rPr>
        <w:t xml:space="preserve"> will impose administrative costs on </w:t>
      </w:r>
      <w:proofErr w:type="spellStart"/>
      <w:r w:rsidRPr="00D56B9B">
        <w:rPr>
          <w:rFonts w:eastAsia="Calibri"/>
        </w:rPr>
        <w:t>TasNetworks</w:t>
      </w:r>
      <w:proofErr w:type="spellEnd"/>
      <w:r w:rsidRPr="00D56B9B">
        <w:rPr>
          <w:rFonts w:eastAsia="Calibri"/>
        </w:rPr>
        <w:t xml:space="preserve"> in the form of duplicate functions, assets and staff. The public benefits lost as a result of waiving clause 7.1(a</w:t>
      </w:r>
      <w:proofErr w:type="gramStart"/>
      <w:r w:rsidRPr="00D56B9B">
        <w:rPr>
          <w:rFonts w:eastAsia="Calibri"/>
        </w:rPr>
        <w:t>)(</w:t>
      </w:r>
      <w:proofErr w:type="gramEnd"/>
      <w:r w:rsidRPr="00D56B9B">
        <w:rPr>
          <w:rFonts w:eastAsia="Calibri"/>
        </w:rPr>
        <w:t>ii) are minimal, as other key regulatory obligations in the Guidelines and the NER will continue to apply.</w:t>
      </w:r>
    </w:p>
    <w:p w:rsidR="00E807DA" w:rsidRPr="000A1CC2" w:rsidRDefault="009028F5" w:rsidP="00BD791A">
      <w:pPr>
        <w:pStyle w:val="Heading1"/>
      </w:pPr>
      <w:bookmarkStart w:id="5" w:name="_Toc386455924"/>
      <w:r>
        <w:lastRenderedPageBreak/>
        <w:t>Transmission</w:t>
      </w:r>
      <w:r w:rsidR="00FB0448">
        <w:t xml:space="preserve"> Ring-</w:t>
      </w:r>
      <w:r w:rsidR="00FB0448" w:rsidRPr="00BD791A">
        <w:t>fencing</w:t>
      </w:r>
      <w:r w:rsidR="00FB0448">
        <w:t xml:space="preserve"> Guidelines</w:t>
      </w:r>
      <w:bookmarkEnd w:id="5"/>
    </w:p>
    <w:p w:rsidR="009028F5" w:rsidRDefault="009028F5" w:rsidP="009028F5">
      <w:r w:rsidRPr="00B215AD">
        <w:t xml:space="preserve">The </w:t>
      </w:r>
      <w:r>
        <w:t>ACCC</w:t>
      </w:r>
      <w:r w:rsidRPr="00B215AD">
        <w:t xml:space="preserve"> published </w:t>
      </w:r>
      <w:r>
        <w:t>the</w:t>
      </w:r>
      <w:r w:rsidRPr="00B215AD">
        <w:t xml:space="preserve"> </w:t>
      </w:r>
      <w:r>
        <w:t xml:space="preserve">Guidelines </w:t>
      </w:r>
      <w:r w:rsidRPr="00B215AD">
        <w:t xml:space="preserve">in </w:t>
      </w:r>
      <w:r>
        <w:t>August 2002</w:t>
      </w:r>
      <w:r w:rsidRPr="00B215AD">
        <w:t>.</w:t>
      </w:r>
      <w:r>
        <w:rPr>
          <w:rStyle w:val="FootnoteReference"/>
        </w:rPr>
        <w:footnoteReference w:id="4"/>
      </w:r>
      <w:r w:rsidRPr="00B215AD">
        <w:t xml:space="preserve"> </w:t>
      </w:r>
      <w:r>
        <w:t>The Guidelines separate the accounting and functional aspects of ring-fenced services from other services provided by TNSPs. The objective of the Guidelines is to separate as far as possible the monopoly powers of TNSPs from the contestable activities of generation and retail supply.</w:t>
      </w:r>
      <w:r>
        <w:rPr>
          <w:rStyle w:val="FootnoteReference"/>
        </w:rPr>
        <w:footnoteReference w:id="5"/>
      </w:r>
      <w:r>
        <w:t xml:space="preserve"> In establishing the G</w:t>
      </w:r>
      <w:r w:rsidR="00D47479">
        <w:t>uidelines, the ACCC retained</w:t>
      </w:r>
      <w:r>
        <w:t xml:space="preserve"> flexibility to wai</w:t>
      </w:r>
      <w:r w:rsidR="00D47479">
        <w:t xml:space="preserve">ve elements of the </w:t>
      </w:r>
      <w:r>
        <w:t>arrangements where the costs of compliance outweigh the benefits.</w:t>
      </w:r>
    </w:p>
    <w:p w:rsidR="009A5777" w:rsidRDefault="009A5777" w:rsidP="009A5777">
      <w:r w:rsidRPr="00B11325">
        <w:t xml:space="preserve">The AER </w:t>
      </w:r>
      <w:r w:rsidR="00D63B45">
        <w:t>assumed the ACCC's responsibilities for the economic regulation of TNSPs in the NEM from 1 July 2005. Clause 6A.21.1 of the NER obliges TNSPs to comply with the Guidelines</w:t>
      </w:r>
      <w:r>
        <w:t xml:space="preserve">. Ring-fencing obligations </w:t>
      </w:r>
      <w:r w:rsidR="00BE7769">
        <w:t xml:space="preserve">under the Guidelines </w:t>
      </w:r>
      <w:r w:rsidR="00D63B45">
        <w:t>include the requirement that a T</w:t>
      </w:r>
      <w:r>
        <w:t>NSP:</w:t>
      </w:r>
    </w:p>
    <w:p w:rsidR="009A5777" w:rsidRDefault="009A5777" w:rsidP="008168D7">
      <w:pPr>
        <w:pStyle w:val="AERbulletlistfirststyle"/>
        <w:rPr>
          <w:rFonts w:eastAsia="Calibri"/>
        </w:rPr>
      </w:pPr>
      <w:r w:rsidRPr="009A5777">
        <w:rPr>
          <w:rFonts w:eastAsia="Calibri"/>
        </w:rPr>
        <w:t>not carry on a</w:t>
      </w:r>
      <w:r w:rsidR="00F219A4">
        <w:rPr>
          <w:rFonts w:eastAsia="Calibri"/>
        </w:rPr>
        <w:t xml:space="preserve"> related business</w:t>
      </w:r>
    </w:p>
    <w:p w:rsidR="00D63B45" w:rsidRPr="009A5777" w:rsidRDefault="00D63B45" w:rsidP="008168D7">
      <w:pPr>
        <w:pStyle w:val="AERbulletlistfirststyle"/>
        <w:rPr>
          <w:rFonts w:eastAsia="Calibri"/>
        </w:rPr>
      </w:pPr>
      <w:r w:rsidRPr="00D63B45">
        <w:rPr>
          <w:rFonts w:eastAsia="Calibri"/>
        </w:rPr>
        <w:t>not act in a manner that discriminates in favour of an associate</w:t>
      </w:r>
    </w:p>
    <w:p w:rsidR="009A5777" w:rsidRPr="009A5777" w:rsidRDefault="009A5777" w:rsidP="008168D7">
      <w:pPr>
        <w:pStyle w:val="AERbulletlistfirststyle"/>
        <w:rPr>
          <w:rFonts w:eastAsia="Calibri"/>
        </w:rPr>
      </w:pPr>
      <w:r w:rsidRPr="009A5777">
        <w:rPr>
          <w:rFonts w:eastAsia="Calibri"/>
        </w:rPr>
        <w:t>maintain a sepa</w:t>
      </w:r>
      <w:r w:rsidR="00D63B45">
        <w:rPr>
          <w:rFonts w:eastAsia="Calibri"/>
        </w:rPr>
        <w:t>rate set of accounts for its ring-fenced services and consolidated accounts for its entire business</w:t>
      </w:r>
    </w:p>
    <w:p w:rsidR="009A5777" w:rsidRPr="009A5777" w:rsidRDefault="009A5777" w:rsidP="008168D7">
      <w:pPr>
        <w:pStyle w:val="AERbulletlistfirststyle"/>
        <w:rPr>
          <w:rFonts w:eastAsia="Calibri"/>
        </w:rPr>
      </w:pPr>
      <w:proofErr w:type="gramStart"/>
      <w:r w:rsidRPr="009A5777">
        <w:rPr>
          <w:rFonts w:eastAsia="Calibri"/>
        </w:rPr>
        <w:t>allocate</w:t>
      </w:r>
      <w:proofErr w:type="gramEnd"/>
      <w:r w:rsidRPr="009A5777">
        <w:rPr>
          <w:rFonts w:eastAsia="Calibri"/>
        </w:rPr>
        <w:t xml:space="preserve"> any shared costs between ring-fenced services and any other activity </w:t>
      </w:r>
      <w:r w:rsidR="00D63B45" w:rsidRPr="00D63B45">
        <w:rPr>
          <w:rFonts w:eastAsia="Calibri"/>
        </w:rPr>
        <w:t>in accordance with any guidelines published or approved by the ACCC</w:t>
      </w:r>
      <w:r w:rsidR="00D47479">
        <w:rPr>
          <w:rFonts w:eastAsia="Calibri"/>
        </w:rPr>
        <w:t>.</w:t>
      </w:r>
      <w:r w:rsidR="00F219A4">
        <w:rPr>
          <w:rFonts w:eastAsia="Calibri"/>
        </w:rPr>
        <w:t xml:space="preserve"> </w:t>
      </w:r>
    </w:p>
    <w:p w:rsidR="007F2C0E" w:rsidRDefault="009D1679" w:rsidP="008A6EE7">
      <w:pPr>
        <w:pStyle w:val="Heading2"/>
        <w:numPr>
          <w:ilvl w:val="2"/>
          <w:numId w:val="1"/>
        </w:numPr>
      </w:pPr>
      <w:bookmarkStart w:id="6" w:name="_Toc386455925"/>
      <w:r>
        <w:t>Procedure for waiving ring-fencing obligations</w:t>
      </w:r>
      <w:bookmarkEnd w:id="6"/>
    </w:p>
    <w:p w:rsidR="00CA6B8D" w:rsidRDefault="00CA6B8D" w:rsidP="00CA6B8D">
      <w:pPr>
        <w:pStyle w:val="AERbodytext"/>
      </w:pPr>
      <w:r>
        <w:t>Clause 7 of the Guidelines sets out the minimum ring-fencing obligatio</w:t>
      </w:r>
      <w:r w:rsidR="00352492">
        <w:t xml:space="preserve">ns imposed on TNSPs. </w:t>
      </w:r>
      <w:r>
        <w:t>TNSP</w:t>
      </w:r>
      <w:r w:rsidR="00352492">
        <w:t>s</w:t>
      </w:r>
      <w:r>
        <w:t xml:space="preserve"> </w:t>
      </w:r>
      <w:r w:rsidR="00D53C92">
        <w:t>may</w:t>
      </w:r>
      <w:r>
        <w:t xml:space="preserve"> seek a waiver from these obligations under section 11 of the Guidelines. Section 11 states:</w:t>
      </w:r>
    </w:p>
    <w:p w:rsidR="00CA6B8D" w:rsidRDefault="00CA6B8D" w:rsidP="00CA6B8D">
      <w:pPr>
        <w:pStyle w:val="AERquote"/>
      </w:pPr>
      <w:r>
        <w:t>The ACCC may, by notice to the TNSP, waive any of the TNSP's obligations under clause 7 provided that the ACCC is satisfied that the benefit, or any likely benefit, to the public is outweighed by the administrative cost to the TNSP and its associates of complying with the obligation.</w:t>
      </w:r>
    </w:p>
    <w:p w:rsidR="00CA6B8D" w:rsidRDefault="00CA6B8D" w:rsidP="00CA6B8D">
      <w:pPr>
        <w:pStyle w:val="AERbodytext"/>
      </w:pPr>
      <w:r>
        <w:t>Where a TNSP applies for a waiver from requirements of the Guidelines, we must follow the consultation procedure set out in section 17 of the Guidelines in assessing the application. The table below sets out this procedure.</w:t>
      </w:r>
    </w:p>
    <w:p w:rsidR="009D1679" w:rsidRPr="009D1679" w:rsidRDefault="009D1679" w:rsidP="009D1679">
      <w:pPr>
        <w:pStyle w:val="Caption"/>
      </w:pPr>
      <w:bookmarkStart w:id="7" w:name="_Ref234297185"/>
      <w:r w:rsidRPr="009D1679">
        <w:t>Table 1</w:t>
      </w:r>
      <w:bookmarkEnd w:id="7"/>
      <w:r w:rsidR="002E079A">
        <w:t xml:space="preserve">: </w:t>
      </w:r>
      <w:r w:rsidR="002E079A">
        <w:tab/>
      </w:r>
      <w:r w:rsidRPr="009D1679">
        <w:t>Time</w:t>
      </w:r>
      <w:r w:rsidR="00CA6B8D">
        <w:t xml:space="preserve">table for assessing </w:t>
      </w:r>
      <w:proofErr w:type="spellStart"/>
      <w:r w:rsidR="00CA6B8D">
        <w:t>TasNetworks</w:t>
      </w:r>
      <w:proofErr w:type="spellEnd"/>
      <w:r w:rsidR="00CA6B8D">
        <w:t>'</w:t>
      </w:r>
      <w:r w:rsidRPr="009D1679">
        <w:t xml:space="preserve"> waiver application</w:t>
      </w:r>
    </w:p>
    <w:tbl>
      <w:tblPr>
        <w:tblStyle w:val="AERtable-text"/>
        <w:tblW w:w="0" w:type="auto"/>
        <w:tblLook w:val="01E0" w:firstRow="1" w:lastRow="1" w:firstColumn="1" w:lastColumn="1" w:noHBand="0" w:noVBand="0"/>
      </w:tblPr>
      <w:tblGrid>
        <w:gridCol w:w="5508"/>
        <w:gridCol w:w="3014"/>
      </w:tblGrid>
      <w:tr w:rsidR="009D1679" w:rsidTr="009D1679">
        <w:trPr>
          <w:cnfStyle w:val="100000000000" w:firstRow="1" w:lastRow="0" w:firstColumn="0" w:lastColumn="0" w:oddVBand="0" w:evenVBand="0" w:oddHBand="0" w:evenHBand="0" w:firstRowFirstColumn="0" w:firstRowLastColumn="0" w:lastRowFirstColumn="0" w:lastRowLastColumn="0"/>
        </w:trPr>
        <w:tc>
          <w:tcPr>
            <w:tcW w:w="5508" w:type="dxa"/>
          </w:tcPr>
          <w:p w:rsidR="009D1679" w:rsidRPr="00D47479" w:rsidRDefault="009D1679" w:rsidP="00D47479">
            <w:pPr>
              <w:pStyle w:val="AERtabletextleft"/>
            </w:pPr>
            <w:r w:rsidRPr="00D47479">
              <w:t>Event</w:t>
            </w:r>
          </w:p>
        </w:tc>
        <w:tc>
          <w:tcPr>
            <w:tcW w:w="3014" w:type="dxa"/>
          </w:tcPr>
          <w:p w:rsidR="009D1679" w:rsidRPr="00D47479" w:rsidRDefault="009D1679" w:rsidP="00D47479">
            <w:pPr>
              <w:pStyle w:val="AERtabletextleft"/>
            </w:pPr>
            <w:r w:rsidRPr="00D47479">
              <w:t>Date</w:t>
            </w:r>
          </w:p>
        </w:tc>
      </w:tr>
      <w:tr w:rsidR="009D1679" w:rsidTr="009D1679">
        <w:tc>
          <w:tcPr>
            <w:tcW w:w="5508" w:type="dxa"/>
          </w:tcPr>
          <w:p w:rsidR="009D1679" w:rsidRPr="00D47479" w:rsidRDefault="009D1679" w:rsidP="00D47479">
            <w:pPr>
              <w:pStyle w:val="AERtabletextleft"/>
            </w:pPr>
            <w:r w:rsidRPr="00D47479">
              <w:t xml:space="preserve">Waiver application received from </w:t>
            </w:r>
            <w:proofErr w:type="spellStart"/>
            <w:r w:rsidR="00CA6B8D" w:rsidRPr="00D47479">
              <w:t>TasNetworks</w:t>
            </w:r>
            <w:proofErr w:type="spellEnd"/>
          </w:p>
        </w:tc>
        <w:tc>
          <w:tcPr>
            <w:tcW w:w="3014" w:type="dxa"/>
          </w:tcPr>
          <w:p w:rsidR="009D1679" w:rsidRPr="00D47479" w:rsidRDefault="00CA6B8D" w:rsidP="00D47479">
            <w:pPr>
              <w:pStyle w:val="AERtabletextleft"/>
              <w:rPr>
                <w:highlight w:val="yellow"/>
              </w:rPr>
            </w:pPr>
            <w:r w:rsidRPr="00D47479">
              <w:t>5 February</w:t>
            </w:r>
            <w:r w:rsidR="009D1679" w:rsidRPr="00D47479">
              <w:t xml:space="preserve"> </w:t>
            </w:r>
            <w:r w:rsidR="002E079A" w:rsidRPr="00D47479">
              <w:t>2014</w:t>
            </w:r>
          </w:p>
        </w:tc>
      </w:tr>
      <w:tr w:rsidR="009D1679" w:rsidTr="009D1679">
        <w:trPr>
          <w:cnfStyle w:val="000000010000" w:firstRow="0" w:lastRow="0" w:firstColumn="0" w:lastColumn="0" w:oddVBand="0" w:evenVBand="0" w:oddHBand="0" w:evenHBand="1" w:firstRowFirstColumn="0" w:firstRowLastColumn="0" w:lastRowFirstColumn="0" w:lastRowLastColumn="0"/>
        </w:trPr>
        <w:tc>
          <w:tcPr>
            <w:tcW w:w="5508" w:type="dxa"/>
          </w:tcPr>
          <w:p w:rsidR="009D1679" w:rsidRPr="00D47479" w:rsidRDefault="009D1679" w:rsidP="00D47479">
            <w:pPr>
              <w:pStyle w:val="AERtabletextleft"/>
            </w:pPr>
            <w:r w:rsidRPr="00D47479">
              <w:t xml:space="preserve">Notice of application released </w:t>
            </w:r>
          </w:p>
        </w:tc>
        <w:tc>
          <w:tcPr>
            <w:tcW w:w="3014" w:type="dxa"/>
          </w:tcPr>
          <w:p w:rsidR="009D1679" w:rsidRPr="00D47479" w:rsidRDefault="00CA6B8D" w:rsidP="00D47479">
            <w:pPr>
              <w:pStyle w:val="AERtabletextleft"/>
              <w:rPr>
                <w:highlight w:val="yellow"/>
              </w:rPr>
            </w:pPr>
            <w:r w:rsidRPr="00D47479">
              <w:t>7 February</w:t>
            </w:r>
            <w:r w:rsidR="009D1679" w:rsidRPr="00D47479">
              <w:t xml:space="preserve"> </w:t>
            </w:r>
            <w:r w:rsidR="002E079A" w:rsidRPr="00D47479">
              <w:t>2014</w:t>
            </w:r>
          </w:p>
        </w:tc>
      </w:tr>
      <w:tr w:rsidR="009D1679" w:rsidTr="009D1679">
        <w:tc>
          <w:tcPr>
            <w:tcW w:w="5508" w:type="dxa"/>
          </w:tcPr>
          <w:p w:rsidR="009D1679" w:rsidRPr="00D47479" w:rsidRDefault="009D1679" w:rsidP="00D47479">
            <w:pPr>
              <w:pStyle w:val="AERtabletextleft"/>
            </w:pPr>
            <w:r w:rsidRPr="00D47479">
              <w:t>Submissions on application due</w:t>
            </w:r>
          </w:p>
        </w:tc>
        <w:tc>
          <w:tcPr>
            <w:tcW w:w="3014" w:type="dxa"/>
          </w:tcPr>
          <w:p w:rsidR="009D1679" w:rsidRPr="00D47479" w:rsidRDefault="00CA6B8D" w:rsidP="00D47479">
            <w:pPr>
              <w:pStyle w:val="AERtabletextleft"/>
              <w:rPr>
                <w:highlight w:val="yellow"/>
              </w:rPr>
            </w:pPr>
            <w:r w:rsidRPr="00D47479">
              <w:t>3 March</w:t>
            </w:r>
            <w:r w:rsidR="009D1679" w:rsidRPr="00D47479">
              <w:t xml:space="preserve"> </w:t>
            </w:r>
            <w:r w:rsidR="002E079A" w:rsidRPr="00D47479">
              <w:t>2014</w:t>
            </w:r>
          </w:p>
        </w:tc>
      </w:tr>
      <w:tr w:rsidR="009D1679" w:rsidTr="009D1679">
        <w:trPr>
          <w:cnfStyle w:val="000000010000" w:firstRow="0" w:lastRow="0" w:firstColumn="0" w:lastColumn="0" w:oddVBand="0" w:evenVBand="0" w:oddHBand="0" w:evenHBand="1" w:firstRowFirstColumn="0" w:firstRowLastColumn="0" w:lastRowFirstColumn="0" w:lastRowLastColumn="0"/>
        </w:trPr>
        <w:tc>
          <w:tcPr>
            <w:tcW w:w="5508" w:type="dxa"/>
          </w:tcPr>
          <w:p w:rsidR="009D1679" w:rsidRPr="00D47479" w:rsidRDefault="009D1679" w:rsidP="00D47479">
            <w:pPr>
              <w:pStyle w:val="AERtabletextleft"/>
            </w:pPr>
            <w:r w:rsidRPr="00D47479">
              <w:t>AER’s draft decision released</w:t>
            </w:r>
          </w:p>
        </w:tc>
        <w:tc>
          <w:tcPr>
            <w:tcW w:w="3014" w:type="dxa"/>
          </w:tcPr>
          <w:p w:rsidR="009D1679" w:rsidRPr="00D47479" w:rsidRDefault="00CA6B8D" w:rsidP="00D47479">
            <w:pPr>
              <w:pStyle w:val="AERtabletextleft"/>
              <w:rPr>
                <w:highlight w:val="yellow"/>
              </w:rPr>
            </w:pPr>
            <w:r w:rsidRPr="00D47479">
              <w:t>2</w:t>
            </w:r>
            <w:r w:rsidR="00CE2697" w:rsidRPr="00D47479">
              <w:t>1</w:t>
            </w:r>
            <w:r w:rsidR="007A5071" w:rsidRPr="00D47479">
              <w:t xml:space="preserve"> March 2014</w:t>
            </w:r>
          </w:p>
        </w:tc>
      </w:tr>
      <w:tr w:rsidR="009D1679" w:rsidTr="009D1679">
        <w:tc>
          <w:tcPr>
            <w:tcW w:w="5508" w:type="dxa"/>
          </w:tcPr>
          <w:p w:rsidR="009D1679" w:rsidRPr="00D47479" w:rsidRDefault="009D1679" w:rsidP="00D47479">
            <w:pPr>
              <w:pStyle w:val="AERtabletextleft"/>
            </w:pPr>
            <w:r w:rsidRPr="00D47479">
              <w:t>Submissions on the draft decision due</w:t>
            </w:r>
          </w:p>
        </w:tc>
        <w:tc>
          <w:tcPr>
            <w:tcW w:w="3014" w:type="dxa"/>
          </w:tcPr>
          <w:p w:rsidR="009D1679" w:rsidRPr="00D47479" w:rsidRDefault="00CA6B8D" w:rsidP="00D47479">
            <w:pPr>
              <w:pStyle w:val="AERtabletextleft"/>
              <w:rPr>
                <w:highlight w:val="yellow"/>
              </w:rPr>
            </w:pPr>
            <w:r w:rsidRPr="00D47479">
              <w:t>9</w:t>
            </w:r>
            <w:r w:rsidR="007A5071" w:rsidRPr="00D47479">
              <w:t xml:space="preserve"> </w:t>
            </w:r>
            <w:r w:rsidRPr="00D47479">
              <w:t>April</w:t>
            </w:r>
            <w:r w:rsidR="007A5071" w:rsidRPr="00D47479">
              <w:t xml:space="preserve"> 2014</w:t>
            </w:r>
          </w:p>
        </w:tc>
      </w:tr>
      <w:tr w:rsidR="009D1679" w:rsidTr="009D1679">
        <w:trPr>
          <w:cnfStyle w:val="000000010000" w:firstRow="0" w:lastRow="0" w:firstColumn="0" w:lastColumn="0" w:oddVBand="0" w:evenVBand="0" w:oddHBand="0" w:evenHBand="1" w:firstRowFirstColumn="0" w:firstRowLastColumn="0" w:lastRowFirstColumn="0" w:lastRowLastColumn="0"/>
        </w:trPr>
        <w:tc>
          <w:tcPr>
            <w:tcW w:w="5508" w:type="dxa"/>
          </w:tcPr>
          <w:p w:rsidR="009D1679" w:rsidRPr="00D47479" w:rsidRDefault="009D1679" w:rsidP="00D47479">
            <w:pPr>
              <w:pStyle w:val="AERtabletextleft"/>
            </w:pPr>
            <w:r w:rsidRPr="00D47479">
              <w:t>AER’s final decision released</w:t>
            </w:r>
          </w:p>
        </w:tc>
        <w:tc>
          <w:tcPr>
            <w:tcW w:w="3014" w:type="dxa"/>
          </w:tcPr>
          <w:p w:rsidR="009D1679" w:rsidRPr="00D47479" w:rsidRDefault="00CA6B8D" w:rsidP="00D47479">
            <w:pPr>
              <w:pStyle w:val="AERtabletextleft"/>
              <w:rPr>
                <w:highlight w:val="yellow"/>
              </w:rPr>
            </w:pPr>
            <w:r w:rsidRPr="00D47479">
              <w:t>1</w:t>
            </w:r>
            <w:r w:rsidR="00E953F2" w:rsidRPr="00D47479">
              <w:t>2</w:t>
            </w:r>
            <w:r w:rsidRPr="00D47479">
              <w:t xml:space="preserve"> May</w:t>
            </w:r>
            <w:r w:rsidR="007A5071" w:rsidRPr="00D47479">
              <w:t xml:space="preserve"> 2014</w:t>
            </w:r>
          </w:p>
        </w:tc>
      </w:tr>
    </w:tbl>
    <w:p w:rsidR="009D1679" w:rsidRDefault="002D124A" w:rsidP="00BD791A">
      <w:pPr>
        <w:pStyle w:val="Heading1"/>
      </w:pPr>
      <w:bookmarkStart w:id="8" w:name="_Toc386455926"/>
      <w:proofErr w:type="spellStart"/>
      <w:r w:rsidRPr="00BD791A">
        <w:lastRenderedPageBreak/>
        <w:t>TasNetworks</w:t>
      </w:r>
      <w:proofErr w:type="spellEnd"/>
      <w:r w:rsidRPr="00BD791A">
        <w:t>'</w:t>
      </w:r>
      <w:r w:rsidR="00F219A4">
        <w:t xml:space="preserve"> waiver application</w:t>
      </w:r>
      <w:bookmarkEnd w:id="8"/>
    </w:p>
    <w:p w:rsidR="00F219A4" w:rsidRPr="00F219A4" w:rsidRDefault="002D124A" w:rsidP="00093F65">
      <w:pPr>
        <w:pStyle w:val="AERbodytext"/>
      </w:pPr>
      <w:r>
        <w:t xml:space="preserve">On 5 February 2014, </w:t>
      </w:r>
      <w:proofErr w:type="spellStart"/>
      <w:r>
        <w:t>TasNetworks</w:t>
      </w:r>
      <w:proofErr w:type="spellEnd"/>
      <w:r w:rsidR="00F219A4">
        <w:t xml:space="preserve"> applied to the AER for a waiver from the ring-fencing</w:t>
      </w:r>
      <w:r>
        <w:t xml:space="preserve"> Guidelines requirement that a T</w:t>
      </w:r>
      <w:r w:rsidR="00F219A4">
        <w:t>NSP not carry o</w:t>
      </w:r>
      <w:r>
        <w:t>n a related business</w:t>
      </w:r>
      <w:r w:rsidR="0016667D">
        <w:t xml:space="preserve">. </w:t>
      </w:r>
      <w:r w:rsidR="00F219A4" w:rsidRPr="00F219A4">
        <w:t xml:space="preserve">A ‘related business’ is defined in </w:t>
      </w:r>
      <w:r>
        <w:t>section 4 of the Guidelines as the activities</w:t>
      </w:r>
      <w:r w:rsidR="00F219A4" w:rsidRPr="00F219A4">
        <w:t xml:space="preserve"> of </w:t>
      </w:r>
      <w:r w:rsidR="00282CDA">
        <w:t>generation, distribution and electricity retail supply</w:t>
      </w:r>
      <w:r w:rsidR="00093F65">
        <w:t xml:space="preserve">. </w:t>
      </w:r>
      <w:proofErr w:type="spellStart"/>
      <w:r w:rsidR="00282CDA">
        <w:t>TasNetworks</w:t>
      </w:r>
      <w:proofErr w:type="spellEnd"/>
      <w:r w:rsidR="00F219A4" w:rsidRPr="00F219A4">
        <w:t xml:space="preserve"> </w:t>
      </w:r>
      <w:r w:rsidR="004526EE">
        <w:t>sought</w:t>
      </w:r>
      <w:r w:rsidR="00F219A4" w:rsidRPr="00F219A4">
        <w:t xml:space="preserve"> a waiver of these obligations </w:t>
      </w:r>
      <w:r w:rsidR="00424AD5">
        <w:t xml:space="preserve">in relation to the </w:t>
      </w:r>
      <w:r w:rsidR="00282CDA">
        <w:t xml:space="preserve">integration of </w:t>
      </w:r>
      <w:proofErr w:type="spellStart"/>
      <w:r w:rsidR="00282CDA">
        <w:t>Transend’s</w:t>
      </w:r>
      <w:proofErr w:type="spellEnd"/>
      <w:r w:rsidR="00282CDA">
        <w:t xml:space="preserve"> transmission business and Aurora’s distribution business under </w:t>
      </w:r>
      <w:proofErr w:type="spellStart"/>
      <w:r w:rsidR="00282CDA">
        <w:t>TasNetworks</w:t>
      </w:r>
      <w:proofErr w:type="spellEnd"/>
      <w:r w:rsidR="00282CDA">
        <w:t xml:space="preserve">. </w:t>
      </w:r>
    </w:p>
    <w:p w:rsidR="00F219A4" w:rsidRDefault="00282CDA" w:rsidP="00F219A4">
      <w:pPr>
        <w:pStyle w:val="AERbodytext"/>
      </w:pPr>
      <w:proofErr w:type="spellStart"/>
      <w:r>
        <w:t>TasNetworks</w:t>
      </w:r>
      <w:proofErr w:type="spellEnd"/>
      <w:r>
        <w:t xml:space="preserve"> submitted that the cost of complying with the obligations imposed by clause 7.1(a)(ii) of the Guideline, which would require the maintenance of two separate businesses, far outweighs the negligible public benefit, or likely benefit, of compliance in the Tasmanian jurisdict</w:t>
      </w:r>
      <w:r w:rsidR="0049318A">
        <w:t>ion</w:t>
      </w:r>
      <w:r>
        <w:t>.</w:t>
      </w:r>
      <w:r>
        <w:rPr>
          <w:rStyle w:val="FootnoteReference"/>
        </w:rPr>
        <w:footnoteReference w:id="6"/>
      </w:r>
    </w:p>
    <w:p w:rsidR="00AC1270" w:rsidRPr="00AC1270" w:rsidRDefault="00E61CBF" w:rsidP="00AC1270">
      <w:pPr>
        <w:pStyle w:val="Heading2"/>
      </w:pPr>
      <w:bookmarkStart w:id="9" w:name="_Toc379285646"/>
      <w:bookmarkStart w:id="10" w:name="_Toc386455927"/>
      <w:r>
        <w:t xml:space="preserve">Public benefit </w:t>
      </w:r>
      <w:r w:rsidR="00AC1270" w:rsidRPr="00AC1270">
        <w:t>of ring-fencing</w:t>
      </w:r>
      <w:bookmarkEnd w:id="9"/>
      <w:r w:rsidR="003E5D6E">
        <w:t xml:space="preserve"> obligations</w:t>
      </w:r>
      <w:bookmarkEnd w:id="10"/>
    </w:p>
    <w:p w:rsidR="00E61CBF" w:rsidRDefault="00E61CBF" w:rsidP="00E61CBF">
      <w:pPr>
        <w:pStyle w:val="AERbodytext"/>
      </w:pPr>
      <w:bookmarkStart w:id="11" w:name="_Toc379285647"/>
      <w:proofErr w:type="spellStart"/>
      <w:r>
        <w:t>TasN</w:t>
      </w:r>
      <w:r w:rsidR="00BD791A">
        <w:t>etworks</w:t>
      </w:r>
      <w:proofErr w:type="spellEnd"/>
      <w:r w:rsidR="00BD791A">
        <w:t xml:space="preserve"> addressed the </w:t>
      </w:r>
      <w:r>
        <w:t>potential benefits of full separation of transmission and distribution businesses</w:t>
      </w:r>
      <w:r w:rsidR="00BD6EFE">
        <w:t xml:space="preserve"> </w:t>
      </w:r>
      <w:r w:rsidR="00BD791A">
        <w:t>previously identified by the ACCC.</w:t>
      </w:r>
      <w:r w:rsidR="00BD791A">
        <w:rPr>
          <w:rStyle w:val="FootnoteReference"/>
        </w:rPr>
        <w:footnoteReference w:id="7"/>
      </w:r>
      <w:r w:rsidR="00090E56">
        <w:t xml:space="preserve"> These </w:t>
      </w:r>
      <w:r w:rsidR="00BD791A">
        <w:t>benefits relate to</w:t>
      </w:r>
      <w:r w:rsidR="00BD6EFE">
        <w:t xml:space="preserve"> reducing a TNSP's ability to</w:t>
      </w:r>
      <w:r>
        <w:t>:</w:t>
      </w:r>
    </w:p>
    <w:p w:rsidR="00E61CBF" w:rsidRDefault="00BD6EFE" w:rsidP="00E61CBF">
      <w:pPr>
        <w:pStyle w:val="AERbulletlistfirststyle"/>
      </w:pPr>
      <w:r>
        <w:t>discriminate</w:t>
      </w:r>
      <w:r w:rsidR="00E61CBF">
        <w:t xml:space="preserve"> in favour</w:t>
      </w:r>
      <w:r>
        <w:t xml:space="preserve"> of, or give preferential treatment to,</w:t>
      </w:r>
      <w:r w:rsidR="00E61CBF">
        <w:t xml:space="preserve"> a related business</w:t>
      </w:r>
    </w:p>
    <w:p w:rsidR="00E61CBF" w:rsidRPr="00E61CBF" w:rsidRDefault="00E61CBF" w:rsidP="00E61CBF">
      <w:pPr>
        <w:pStyle w:val="AERbulletlistfirststyle"/>
      </w:pPr>
      <w:r>
        <w:t>s</w:t>
      </w:r>
      <w:r w:rsidRPr="00E61CBF">
        <w:t>hare confidential informat</w:t>
      </w:r>
      <w:r w:rsidR="00BD6EFE">
        <w:t>ion with a related business</w:t>
      </w:r>
    </w:p>
    <w:p w:rsidR="00E61CBF" w:rsidRDefault="00E61CBF" w:rsidP="00E61CBF">
      <w:pPr>
        <w:pStyle w:val="AERbulletlistfirststyle"/>
      </w:pPr>
      <w:proofErr w:type="gramStart"/>
      <w:r>
        <w:t>s</w:t>
      </w:r>
      <w:r w:rsidRPr="00E61CBF">
        <w:t>hift</w:t>
      </w:r>
      <w:proofErr w:type="gramEnd"/>
      <w:r w:rsidRPr="00E61CBF">
        <w:t xml:space="preserve"> costs within the integrated businesses.</w:t>
      </w:r>
    </w:p>
    <w:p w:rsidR="00BD6EFE" w:rsidRDefault="00BD6EFE" w:rsidP="00BD6EFE">
      <w:pPr>
        <w:pStyle w:val="AERbodytext"/>
      </w:pPr>
      <w:proofErr w:type="spellStart"/>
      <w:r>
        <w:t>TasNetworks</w:t>
      </w:r>
      <w:proofErr w:type="spellEnd"/>
      <w:r>
        <w:t xml:space="preserve"> submitted that in respect to the provision of contestable services, there is little scope for competition between </w:t>
      </w:r>
      <w:proofErr w:type="spellStart"/>
      <w:r>
        <w:t>Transend’s</w:t>
      </w:r>
      <w:proofErr w:type="spellEnd"/>
      <w:r>
        <w:t xml:space="preserve"> transmission business and Aurora’s distribution business</w:t>
      </w:r>
      <w:r w:rsidR="00020931">
        <w:t>. T</w:t>
      </w:r>
      <w:r>
        <w:t xml:space="preserve">he clearly defined electrical functions and capabilities of each network generally </w:t>
      </w:r>
      <w:proofErr w:type="gramStart"/>
      <w:r>
        <w:t>means</w:t>
      </w:r>
      <w:proofErr w:type="gramEnd"/>
      <w:r>
        <w:t xml:space="preserve"> that a customer service could only practically be performed by one network or the other. Further, </w:t>
      </w:r>
      <w:proofErr w:type="spellStart"/>
      <w:r>
        <w:t>TasNetworks</w:t>
      </w:r>
      <w:proofErr w:type="spellEnd"/>
      <w:r>
        <w:t xml:space="preserve"> stated that </w:t>
      </w:r>
      <w:r w:rsidR="001C5D08">
        <w:t xml:space="preserve">a </w:t>
      </w:r>
      <w:r>
        <w:t>waiver of clause 7.2(b) of the Guidelines is not being sought</w:t>
      </w:r>
      <w:r w:rsidR="00020931">
        <w:t xml:space="preserve">, so the </w:t>
      </w:r>
      <w:r>
        <w:t>application will not affect the public benefit arising from protection against the risk of discrimination in favou</w:t>
      </w:r>
      <w:r w:rsidR="00020931">
        <w:t>r of itself</w:t>
      </w:r>
      <w:r>
        <w:t>.</w:t>
      </w:r>
      <w:r>
        <w:rPr>
          <w:rStyle w:val="FootnoteReference"/>
        </w:rPr>
        <w:footnoteReference w:id="8"/>
      </w:r>
    </w:p>
    <w:p w:rsidR="00BD6EFE" w:rsidRDefault="00BD6EFE" w:rsidP="00BD6EFE">
      <w:pPr>
        <w:pStyle w:val="AERbodytext"/>
      </w:pPr>
      <w:proofErr w:type="spellStart"/>
      <w:r>
        <w:t>TasNetworks</w:t>
      </w:r>
      <w:proofErr w:type="spellEnd"/>
      <w:r>
        <w:t xml:space="preserve"> submitted that </w:t>
      </w:r>
      <w:r w:rsidR="00A4209E">
        <w:t xml:space="preserve">a </w:t>
      </w:r>
      <w:r>
        <w:t>waiver of clause 7.1(a</w:t>
      </w:r>
      <w:proofErr w:type="gramStart"/>
      <w:r>
        <w:t>)(</w:t>
      </w:r>
      <w:proofErr w:type="gramEnd"/>
      <w:r>
        <w:t xml:space="preserve">ii) of the Guidelines would not alter </w:t>
      </w:r>
      <w:r w:rsidR="00CA4E67">
        <w:t>existing obligations in relation to the sharing of information</w:t>
      </w:r>
      <w:r w:rsidR="00A4209E">
        <w:t xml:space="preserve">. The existing </w:t>
      </w:r>
      <w:r>
        <w:t>information provision obligations under the NER</w:t>
      </w:r>
      <w:r w:rsidR="00A4209E">
        <w:t>, the NEL</w:t>
      </w:r>
      <w:r>
        <w:t xml:space="preserve"> and jurisdictional regulatory regimes would still apply to a DNSP and TNSP that are part of an integrated business. </w:t>
      </w:r>
      <w:proofErr w:type="spellStart"/>
      <w:r>
        <w:t>TasNetworks</w:t>
      </w:r>
      <w:proofErr w:type="spellEnd"/>
      <w:r>
        <w:t xml:space="preserve"> also submitted that the </w:t>
      </w:r>
      <w:r w:rsidRPr="00A4209E">
        <w:rPr>
          <w:rStyle w:val="AERtextitalic"/>
        </w:rPr>
        <w:t>Tasmanian Electricity Reform Act 2012</w:t>
      </w:r>
      <w:r>
        <w:t xml:space="preserve"> will preserve all existing contractual arrangements, rights and liabilities of the separate businesses when transferred to the new integrated entity. </w:t>
      </w:r>
    </w:p>
    <w:p w:rsidR="00BD6EFE" w:rsidRPr="00E61CBF" w:rsidRDefault="00BD6EFE" w:rsidP="006D5BCD">
      <w:pPr>
        <w:pStyle w:val="AERbodytext"/>
      </w:pPr>
      <w:proofErr w:type="spellStart"/>
      <w:r w:rsidRPr="00BD6EFE">
        <w:t>TasNetworks</w:t>
      </w:r>
      <w:proofErr w:type="spellEnd"/>
      <w:r w:rsidRPr="00BD6EFE">
        <w:t xml:space="preserve"> submitted that it will maintain accounting </w:t>
      </w:r>
      <w:r w:rsidR="004D250E">
        <w:t xml:space="preserve">separation </w:t>
      </w:r>
      <w:r w:rsidRPr="00BD6EFE">
        <w:t xml:space="preserve">of its transmission </w:t>
      </w:r>
      <w:r w:rsidR="004D250E">
        <w:t>and distribution businesses</w:t>
      </w:r>
      <w:r w:rsidR="006D5BCD">
        <w:t xml:space="preserve">, which will </w:t>
      </w:r>
      <w:r w:rsidR="006D5BCD" w:rsidRPr="00BD6EFE">
        <w:t>assist in reducing opportunitie</w:t>
      </w:r>
      <w:r w:rsidR="006D5BCD">
        <w:t>s for cost shifting</w:t>
      </w:r>
      <w:r w:rsidR="004D250E">
        <w:t>. T</w:t>
      </w:r>
      <w:r w:rsidRPr="00BD6EFE">
        <w:t>he requirement to maintain separate regulatory accounts is necessary to maintain compliance with chapter 6 and 6A of the NER and because both businesses are operating within different revenue setting</w:t>
      </w:r>
      <w:r w:rsidR="00E657FC">
        <w:t xml:space="preserve">s, </w:t>
      </w:r>
      <w:r w:rsidRPr="00BD6EFE">
        <w:t>pricing rules and incentive arr</w:t>
      </w:r>
      <w:r w:rsidR="00020931">
        <w:t>angements</w:t>
      </w:r>
      <w:r w:rsidRPr="00BD6EFE">
        <w:t xml:space="preserve">. </w:t>
      </w:r>
      <w:proofErr w:type="spellStart"/>
      <w:r w:rsidR="004D250E">
        <w:t>TasNetworks</w:t>
      </w:r>
      <w:proofErr w:type="spellEnd"/>
      <w:r w:rsidR="004D250E">
        <w:t xml:space="preserve"> </w:t>
      </w:r>
      <w:r w:rsidRPr="00BD6EFE">
        <w:t>will have in place procedures that will enable the appropriate identification and allocation of costs in accordance with the NER and associated AER guidelines</w:t>
      </w:r>
      <w:r w:rsidR="004D250E">
        <w:t xml:space="preserve"> and approved cost allocation methodologies</w:t>
      </w:r>
      <w:r w:rsidRPr="00BD6EFE">
        <w:t>.</w:t>
      </w:r>
      <w:r w:rsidR="00866D62">
        <w:rPr>
          <w:rStyle w:val="FootnoteReference"/>
        </w:rPr>
        <w:footnoteReference w:id="9"/>
      </w:r>
      <w:r w:rsidRPr="00BD6EFE">
        <w:t xml:space="preserve"> </w:t>
      </w:r>
    </w:p>
    <w:p w:rsidR="004D250E" w:rsidRDefault="004D250E" w:rsidP="004D250E">
      <w:pPr>
        <w:pStyle w:val="Heading2"/>
      </w:pPr>
      <w:bookmarkStart w:id="12" w:name="_Toc377718652"/>
      <w:bookmarkStart w:id="13" w:name="_Toc386455928"/>
      <w:bookmarkEnd w:id="11"/>
      <w:r w:rsidRPr="004D250E">
        <w:lastRenderedPageBreak/>
        <w:t>Administrative</w:t>
      </w:r>
      <w:r>
        <w:t xml:space="preserve"> cost of ring-fencing</w:t>
      </w:r>
      <w:bookmarkEnd w:id="12"/>
      <w:bookmarkEnd w:id="13"/>
    </w:p>
    <w:p w:rsidR="00900835" w:rsidRDefault="00016AF9" w:rsidP="00900835">
      <w:pPr>
        <w:pStyle w:val="AERbodytext"/>
      </w:pPr>
      <w:proofErr w:type="spellStart"/>
      <w:r>
        <w:t>TasNetworks</w:t>
      </w:r>
      <w:proofErr w:type="spellEnd"/>
      <w:r w:rsidR="004D250E">
        <w:t xml:space="preserve"> identified a number of </w:t>
      </w:r>
      <w:r w:rsidR="00E9602D">
        <w:t xml:space="preserve">administrative </w:t>
      </w:r>
      <w:r w:rsidR="004D250E">
        <w:t xml:space="preserve">costs </w:t>
      </w:r>
      <w:r w:rsidR="00E9602D">
        <w:t>that would be incurred in order to comply with clause 7.1(a</w:t>
      </w:r>
      <w:proofErr w:type="gramStart"/>
      <w:r w:rsidR="00E9602D">
        <w:t>)(</w:t>
      </w:r>
      <w:proofErr w:type="gramEnd"/>
      <w:r w:rsidR="00E9602D">
        <w:t>ii)</w:t>
      </w:r>
      <w:r w:rsidR="00900835">
        <w:t xml:space="preserve"> of the Guidelines. Duplicate functions identified by </w:t>
      </w:r>
      <w:proofErr w:type="spellStart"/>
      <w:r w:rsidR="00900835">
        <w:t>TasNetworks</w:t>
      </w:r>
      <w:proofErr w:type="spellEnd"/>
      <w:r w:rsidR="00900835">
        <w:t xml:space="preserve"> include:</w:t>
      </w:r>
    </w:p>
    <w:p w:rsidR="00900835" w:rsidRDefault="00900835" w:rsidP="00900835">
      <w:pPr>
        <w:pStyle w:val="AERbulletlistfirststyle"/>
      </w:pPr>
      <w:r>
        <w:t>corporate services - administrative support, human resource management, legal services, information technology, finance and office accommodation</w:t>
      </w:r>
    </w:p>
    <w:p w:rsidR="00900835" w:rsidRDefault="00900835" w:rsidP="00900835">
      <w:pPr>
        <w:pStyle w:val="AERbulletlistfirststyle"/>
      </w:pPr>
      <w:r>
        <w:t>governance, risk and compliance systems</w:t>
      </w:r>
    </w:p>
    <w:p w:rsidR="00900835" w:rsidRDefault="00900835" w:rsidP="00900835">
      <w:pPr>
        <w:pStyle w:val="AERbulletlistfirststyle"/>
      </w:pPr>
      <w:proofErr w:type="gramStart"/>
      <w:r>
        <w:t>personnel</w:t>
      </w:r>
      <w:proofErr w:type="gramEnd"/>
      <w:r>
        <w:t xml:space="preserve"> for common support and operations functions. </w:t>
      </w:r>
    </w:p>
    <w:p w:rsidR="004D250E" w:rsidRDefault="00900835" w:rsidP="004B6387">
      <w:pPr>
        <w:pStyle w:val="AERbodytext"/>
      </w:pPr>
      <w:proofErr w:type="spellStart"/>
      <w:r>
        <w:t>TasNetworks</w:t>
      </w:r>
      <w:proofErr w:type="spellEnd"/>
      <w:r>
        <w:t xml:space="preserve"> quantified the administrative costs arising from compliance with the ring-fencing obligations </w:t>
      </w:r>
      <w:r w:rsidR="008A0C81">
        <w:t>in clause 7.1(a</w:t>
      </w:r>
      <w:proofErr w:type="gramStart"/>
      <w:r w:rsidR="008A0C81">
        <w:t>)(</w:t>
      </w:r>
      <w:proofErr w:type="gramEnd"/>
      <w:r w:rsidR="008A0C81">
        <w:t>ii) of the Guidelines in the order of $2.4 million to $5.6 million per annum.</w:t>
      </w:r>
      <w:r w:rsidR="004B6387">
        <w:t xml:space="preserve"> This estimate of administrative costs was made as part of t</w:t>
      </w:r>
      <w:r w:rsidR="004D250E">
        <w:t xml:space="preserve">he </w:t>
      </w:r>
      <w:r w:rsidR="004B6387">
        <w:t xml:space="preserve">2012 </w:t>
      </w:r>
      <w:r w:rsidR="004D250E">
        <w:t>review of Tasmania’s ele</w:t>
      </w:r>
      <w:r w:rsidR="004B6387">
        <w:t>ctricity supply industry, which</w:t>
      </w:r>
      <w:r w:rsidR="004D250E">
        <w:t xml:space="preserve"> identified potential saving</w:t>
      </w:r>
      <w:r w:rsidR="00E9602D">
        <w:t xml:space="preserve">s </w:t>
      </w:r>
      <w:r w:rsidR="004D250E">
        <w:t xml:space="preserve">from </w:t>
      </w:r>
      <w:r w:rsidR="004B6387">
        <w:t xml:space="preserve">the </w:t>
      </w:r>
      <w:r w:rsidR="004D250E">
        <w:t>integration of the network businesses.</w:t>
      </w:r>
      <w:r w:rsidR="004D250E">
        <w:rPr>
          <w:rStyle w:val="FootnoteReference"/>
        </w:rPr>
        <w:footnoteReference w:id="10"/>
      </w:r>
      <w:r w:rsidR="004D250E">
        <w:t xml:space="preserve"> </w:t>
      </w:r>
    </w:p>
    <w:p w:rsidR="00AC1270" w:rsidRPr="00F219A4" w:rsidRDefault="009F699D" w:rsidP="009F699D">
      <w:pPr>
        <w:pStyle w:val="AERbodytext"/>
        <w:numPr>
          <w:ilvl w:val="0"/>
          <w:numId w:val="0"/>
        </w:numPr>
      </w:pPr>
      <w:r>
        <w:t> </w:t>
      </w:r>
    </w:p>
    <w:p w:rsidR="00CB2D8F" w:rsidRPr="00CB2D8F" w:rsidRDefault="00CB2D8F" w:rsidP="00CB2D8F">
      <w:pPr>
        <w:pStyle w:val="Heading1"/>
      </w:pPr>
      <w:bookmarkStart w:id="14" w:name="_Toc379285648"/>
      <w:bookmarkStart w:id="15" w:name="_Toc386455929"/>
      <w:r w:rsidRPr="00CB2D8F">
        <w:lastRenderedPageBreak/>
        <w:t xml:space="preserve">AER’s </w:t>
      </w:r>
      <w:bookmarkEnd w:id="14"/>
      <w:r w:rsidR="00372BD5">
        <w:t>draft decision</w:t>
      </w:r>
      <w:bookmarkEnd w:id="15"/>
    </w:p>
    <w:p w:rsidR="00CB2D8F" w:rsidRPr="00CB2D8F" w:rsidRDefault="00372BD5" w:rsidP="00AA05AE">
      <w:r>
        <w:t xml:space="preserve">The AER released its draft decision on </w:t>
      </w:r>
      <w:proofErr w:type="spellStart"/>
      <w:r>
        <w:t>TasNetworks</w:t>
      </w:r>
      <w:proofErr w:type="spellEnd"/>
      <w:r>
        <w:t xml:space="preserve">' </w:t>
      </w:r>
      <w:r w:rsidR="00AA05AE">
        <w:t xml:space="preserve">ring-fencing </w:t>
      </w:r>
      <w:r>
        <w:t xml:space="preserve">waiver application on </w:t>
      </w:r>
      <w:r w:rsidR="001514BF">
        <w:t>21 March </w:t>
      </w:r>
      <w:r w:rsidR="00AA05AE">
        <w:t>2014. In the draft decision, w</w:t>
      </w:r>
      <w:r w:rsidR="0017442A">
        <w:t>e</w:t>
      </w:r>
      <w:r w:rsidR="00C03150">
        <w:t xml:space="preserve"> accept</w:t>
      </w:r>
      <w:r w:rsidR="00AA05AE">
        <w:t>ed</w:t>
      </w:r>
      <w:r w:rsidR="00DE1DFA">
        <w:t xml:space="preserve"> </w:t>
      </w:r>
      <w:proofErr w:type="spellStart"/>
      <w:r w:rsidR="00DE1DFA">
        <w:t>TasNetworks</w:t>
      </w:r>
      <w:proofErr w:type="spellEnd"/>
      <w:r w:rsidR="00DE1DFA">
        <w:t>’</w:t>
      </w:r>
      <w:r w:rsidR="00CB2D8F" w:rsidRPr="00CB2D8F">
        <w:t xml:space="preserve"> submission that the administrative cost of complying with the obligations under </w:t>
      </w:r>
      <w:r w:rsidR="00DE1DFA">
        <w:t>clause 7.1(a</w:t>
      </w:r>
      <w:proofErr w:type="gramStart"/>
      <w:r w:rsidR="00DE1DFA">
        <w:t>)(</w:t>
      </w:r>
      <w:proofErr w:type="gramEnd"/>
      <w:r w:rsidR="00DE1DFA">
        <w:t>ii)</w:t>
      </w:r>
      <w:r w:rsidR="00CB2D8F" w:rsidRPr="00CB2D8F">
        <w:t xml:space="preserve"> of the Guidelines outweighs the public benefit of complianc</w:t>
      </w:r>
      <w:r w:rsidR="00DE1DFA">
        <w:t>e in respect of the integration of the transmission and distribution businesses in Tasmania</w:t>
      </w:r>
      <w:r w:rsidR="00C03150">
        <w:t>.</w:t>
      </w:r>
      <w:r w:rsidR="00CB2D8F" w:rsidRPr="00CB2D8F">
        <w:t xml:space="preserve"> </w:t>
      </w:r>
    </w:p>
    <w:p w:rsidR="00AA05AE" w:rsidRDefault="00AA05AE" w:rsidP="00CB2D8F">
      <w:pPr>
        <w:pStyle w:val="AERbodytext"/>
      </w:pPr>
      <w:r>
        <w:t>W</w:t>
      </w:r>
      <w:r w:rsidR="00C03150">
        <w:t>e accept</w:t>
      </w:r>
      <w:r>
        <w:t>ed</w:t>
      </w:r>
      <w:r w:rsidR="00DE1DFA">
        <w:t xml:space="preserve"> that </w:t>
      </w:r>
      <w:proofErr w:type="spellStart"/>
      <w:r w:rsidR="00DE1DFA">
        <w:t>TasNetworks</w:t>
      </w:r>
      <w:proofErr w:type="spellEnd"/>
      <w:r>
        <w:t xml:space="preserve"> would</w:t>
      </w:r>
      <w:r w:rsidR="00A5256E">
        <w:t xml:space="preserve"> incur</w:t>
      </w:r>
      <w:r w:rsidR="00CB2D8F" w:rsidRPr="00CB2D8F">
        <w:t xml:space="preserve"> administrative cost</w:t>
      </w:r>
      <w:r w:rsidR="00A5256E">
        <w:t>s in complying with section 7.1(a</w:t>
      </w:r>
      <w:proofErr w:type="gramStart"/>
      <w:r w:rsidR="00A5256E">
        <w:t>)(</w:t>
      </w:r>
      <w:proofErr w:type="gramEnd"/>
      <w:r w:rsidR="00A5256E">
        <w:t>ii)</w:t>
      </w:r>
      <w:r w:rsidR="00CB2D8F" w:rsidRPr="00CB2D8F">
        <w:t xml:space="preserve"> of the</w:t>
      </w:r>
      <w:r w:rsidR="00C03150">
        <w:t xml:space="preserve"> Guidelines</w:t>
      </w:r>
      <w:r w:rsidR="001514BF">
        <w:t xml:space="preserve"> in the form of duplicate functions, assets and staff</w:t>
      </w:r>
      <w:r w:rsidR="00C03150">
        <w:t xml:space="preserve">. </w:t>
      </w:r>
      <w:r w:rsidR="00D84BDF">
        <w:t>T</w:t>
      </w:r>
      <w:r w:rsidR="00CB2D8F" w:rsidRPr="00CB2D8F">
        <w:t xml:space="preserve">hese costs </w:t>
      </w:r>
      <w:r w:rsidR="00C03150">
        <w:t xml:space="preserve">are </w:t>
      </w:r>
      <w:r w:rsidR="00A5256E">
        <w:t>potentially significant and would be</w:t>
      </w:r>
      <w:r w:rsidR="00CB2D8F" w:rsidRPr="00CB2D8F">
        <w:t xml:space="preserve"> reflected in </w:t>
      </w:r>
      <w:r w:rsidR="00BC0DCD">
        <w:t xml:space="preserve">transmission and </w:t>
      </w:r>
      <w:r w:rsidR="00CB2D8F" w:rsidRPr="00CB2D8F">
        <w:t>distribution tariffs.</w:t>
      </w:r>
      <w:r>
        <w:rPr>
          <w:rStyle w:val="FootnoteReference"/>
        </w:rPr>
        <w:footnoteReference w:id="11"/>
      </w:r>
      <w:r w:rsidR="00A5256E">
        <w:t xml:space="preserve"> </w:t>
      </w:r>
    </w:p>
    <w:p w:rsidR="0005182A" w:rsidRDefault="00E13CF5" w:rsidP="00CA5C1A">
      <w:pPr>
        <w:pStyle w:val="AERbodytext"/>
      </w:pPr>
      <w:r>
        <w:t>Further, we considered</w:t>
      </w:r>
      <w:r w:rsidR="001514BF">
        <w:t xml:space="preserve"> that t</w:t>
      </w:r>
      <w:r w:rsidR="00A5256E">
        <w:t xml:space="preserve">he public benefit of compliance </w:t>
      </w:r>
      <w:r w:rsidR="001514BF">
        <w:t>through the maintenance of legall</w:t>
      </w:r>
      <w:r>
        <w:t>y</w:t>
      </w:r>
      <w:r w:rsidR="001514BF">
        <w:t xml:space="preserve"> separate transmission and distribution businesses is minimal. </w:t>
      </w:r>
      <w:r w:rsidR="0005182A">
        <w:t xml:space="preserve">The waiver will not affect </w:t>
      </w:r>
      <w:r w:rsidR="00870483">
        <w:t>other</w:t>
      </w:r>
      <w:r w:rsidR="0005182A">
        <w:t xml:space="preserve"> existing obligations on the TNSP and DNSP businesses which protect the interests of consumers</w:t>
      </w:r>
      <w:r w:rsidR="00870483">
        <w:t>, such as the regulatory accounting regime and restrictions on preferential dealing and sharing confidential information</w:t>
      </w:r>
      <w:r w:rsidR="0005182A">
        <w:t>.</w:t>
      </w:r>
      <w:r>
        <w:rPr>
          <w:rStyle w:val="FootnoteReference"/>
        </w:rPr>
        <w:footnoteReference w:id="12"/>
      </w:r>
    </w:p>
    <w:p w:rsidR="004526EE" w:rsidRDefault="00E13CF5" w:rsidP="00CA5C1A">
      <w:pPr>
        <w:pStyle w:val="AERbodytext"/>
      </w:pPr>
      <w:r>
        <w:t xml:space="preserve">Having considered </w:t>
      </w:r>
      <w:proofErr w:type="spellStart"/>
      <w:r>
        <w:t>TasNetworks</w:t>
      </w:r>
      <w:proofErr w:type="spellEnd"/>
      <w:r>
        <w:t xml:space="preserve">' ring-fencing waiver application, we concluded that requiring </w:t>
      </w:r>
      <w:proofErr w:type="spellStart"/>
      <w:r>
        <w:t>TasNetworks</w:t>
      </w:r>
      <w:proofErr w:type="spellEnd"/>
      <w:r>
        <w:t xml:space="preserve"> to comply with the</w:t>
      </w:r>
      <w:r w:rsidR="004526EE">
        <w:t xml:space="preserve"> ring-fencing obligations</w:t>
      </w:r>
      <w:r>
        <w:t xml:space="preserve"> of </w:t>
      </w:r>
      <w:r w:rsidR="004526EE">
        <w:t>clause 7.1(a</w:t>
      </w:r>
      <w:proofErr w:type="gramStart"/>
      <w:r w:rsidR="004526EE">
        <w:t>)(</w:t>
      </w:r>
      <w:proofErr w:type="gramEnd"/>
      <w:r w:rsidR="004526EE">
        <w:t xml:space="preserve">ii) of the Guidelines in this case would not achieve a public benefit sufficient to offset </w:t>
      </w:r>
      <w:proofErr w:type="spellStart"/>
      <w:r w:rsidR="004526EE">
        <w:t>TasNetworks</w:t>
      </w:r>
      <w:proofErr w:type="spellEnd"/>
      <w:r w:rsidR="004526EE">
        <w:t xml:space="preserve">' administrative costs. The draft decision therefore set out our intention to issue a notice under section 11 of the Guidelines to waive </w:t>
      </w:r>
      <w:proofErr w:type="spellStart"/>
      <w:r w:rsidR="004526EE">
        <w:t>TasNetworks</w:t>
      </w:r>
      <w:proofErr w:type="spellEnd"/>
      <w:r w:rsidR="004526EE">
        <w:t>' obligation to comply with clause 7.1(a</w:t>
      </w:r>
      <w:proofErr w:type="gramStart"/>
      <w:r w:rsidR="004526EE">
        <w:t>)(</w:t>
      </w:r>
      <w:proofErr w:type="gramEnd"/>
      <w:r w:rsidR="004526EE">
        <w:t>ii).</w:t>
      </w:r>
      <w:r w:rsidR="004526EE">
        <w:rPr>
          <w:rStyle w:val="FootnoteReference"/>
        </w:rPr>
        <w:footnoteReference w:id="13"/>
      </w:r>
      <w:r w:rsidR="004526EE">
        <w:t xml:space="preserve"> </w:t>
      </w:r>
    </w:p>
    <w:p w:rsidR="00E13CF5" w:rsidRDefault="004526EE" w:rsidP="00CA5C1A">
      <w:pPr>
        <w:pStyle w:val="AERbodytext"/>
      </w:pPr>
      <w:r>
        <w:t>We sought submissions on our draft decision from interested parties.</w:t>
      </w:r>
      <w:r w:rsidR="00E13CF5">
        <w:t xml:space="preserve"> </w:t>
      </w:r>
      <w:r>
        <w:t xml:space="preserve">No submissions were received. </w:t>
      </w:r>
    </w:p>
    <w:p w:rsidR="008460D5" w:rsidRDefault="004526EE" w:rsidP="004526EE">
      <w:pPr>
        <w:pStyle w:val="Heading1"/>
        <w:rPr>
          <w:rFonts w:eastAsia="Calibri"/>
        </w:rPr>
      </w:pPr>
      <w:bookmarkStart w:id="16" w:name="_Toc386455930"/>
      <w:r>
        <w:rPr>
          <w:rFonts w:eastAsia="Calibri"/>
        </w:rPr>
        <w:lastRenderedPageBreak/>
        <w:t>AER's final decision</w:t>
      </w:r>
      <w:bookmarkEnd w:id="16"/>
    </w:p>
    <w:p w:rsidR="00D47479" w:rsidRDefault="00D47479" w:rsidP="00E63F73">
      <w:pPr>
        <w:pStyle w:val="AERbodytext"/>
        <w:rPr>
          <w:rFonts w:eastAsia="Calibri"/>
        </w:rPr>
      </w:pPr>
      <w:r>
        <w:rPr>
          <w:rFonts w:eastAsia="Calibri"/>
        </w:rPr>
        <w:t xml:space="preserve">The AER's final decision is to issue a notice to waive </w:t>
      </w:r>
      <w:proofErr w:type="spellStart"/>
      <w:r>
        <w:rPr>
          <w:rFonts w:eastAsia="Calibri"/>
        </w:rPr>
        <w:t>TasNetworks</w:t>
      </w:r>
      <w:proofErr w:type="spellEnd"/>
      <w:r>
        <w:rPr>
          <w:rFonts w:eastAsia="Calibri"/>
        </w:rPr>
        <w:t xml:space="preserve">' obligation to comply </w:t>
      </w:r>
      <w:r w:rsidRPr="00D47479">
        <w:rPr>
          <w:rFonts w:eastAsia="Calibri"/>
        </w:rPr>
        <w:t>with clause 7.1(a</w:t>
      </w:r>
      <w:proofErr w:type="gramStart"/>
      <w:r w:rsidRPr="00D47479">
        <w:rPr>
          <w:rFonts w:eastAsia="Calibri"/>
        </w:rPr>
        <w:t>)(</w:t>
      </w:r>
      <w:proofErr w:type="gramEnd"/>
      <w:r w:rsidRPr="00D47479">
        <w:rPr>
          <w:rFonts w:eastAsia="Calibri"/>
        </w:rPr>
        <w:t>ii)</w:t>
      </w:r>
      <w:r>
        <w:rPr>
          <w:rFonts w:eastAsia="Calibri"/>
        </w:rPr>
        <w:t xml:space="preserve"> of the Guidelines</w:t>
      </w:r>
      <w:r w:rsidRPr="00D47479">
        <w:rPr>
          <w:rFonts w:eastAsia="Calibri"/>
        </w:rPr>
        <w:t>. The waiver of clause 7.1(a</w:t>
      </w:r>
      <w:proofErr w:type="gramStart"/>
      <w:r w:rsidRPr="00D47479">
        <w:rPr>
          <w:rFonts w:eastAsia="Calibri"/>
        </w:rPr>
        <w:t>)(</w:t>
      </w:r>
      <w:proofErr w:type="gramEnd"/>
      <w:r w:rsidRPr="00D47479">
        <w:rPr>
          <w:rFonts w:eastAsia="Calibri"/>
        </w:rPr>
        <w:t xml:space="preserve">ii) </w:t>
      </w:r>
      <w:r>
        <w:rPr>
          <w:rFonts w:eastAsia="Calibri"/>
        </w:rPr>
        <w:t xml:space="preserve">also </w:t>
      </w:r>
      <w:r w:rsidRPr="00D47479">
        <w:rPr>
          <w:rFonts w:eastAsia="Calibri"/>
        </w:rPr>
        <w:t>has the effect of making clauses 7.6, 7.7 and 7.8 of the Guidelines redundant.</w:t>
      </w:r>
      <w:r w:rsidR="008F6CED">
        <w:rPr>
          <w:rStyle w:val="FootnoteReference"/>
          <w:rFonts w:eastAsia="Calibri"/>
        </w:rPr>
        <w:footnoteReference w:id="14"/>
      </w:r>
      <w:r>
        <w:rPr>
          <w:rFonts w:eastAsia="Calibri"/>
        </w:rPr>
        <w:t xml:space="preserve"> In this case, we consider there is little public benefit in requiring </w:t>
      </w:r>
      <w:proofErr w:type="spellStart"/>
      <w:r>
        <w:rPr>
          <w:rFonts w:eastAsia="Calibri"/>
        </w:rPr>
        <w:t>TasNetworks</w:t>
      </w:r>
      <w:proofErr w:type="spellEnd"/>
      <w:r>
        <w:rPr>
          <w:rFonts w:eastAsia="Calibri"/>
        </w:rPr>
        <w:t xml:space="preserve"> to comply with its ring-fencing obligations under clause 7.1(a</w:t>
      </w:r>
      <w:proofErr w:type="gramStart"/>
      <w:r>
        <w:rPr>
          <w:rFonts w:eastAsia="Calibri"/>
        </w:rPr>
        <w:t>)(</w:t>
      </w:r>
      <w:proofErr w:type="gramEnd"/>
      <w:r>
        <w:rPr>
          <w:rFonts w:eastAsia="Calibri"/>
        </w:rPr>
        <w:t>ii)</w:t>
      </w:r>
      <w:r w:rsidR="00352492">
        <w:rPr>
          <w:rFonts w:eastAsia="Calibri"/>
        </w:rPr>
        <w:t xml:space="preserve"> by maintaining legally separate transmission and di</w:t>
      </w:r>
      <w:bookmarkStart w:id="17" w:name="_GoBack"/>
      <w:bookmarkEnd w:id="17"/>
      <w:r w:rsidR="00352492">
        <w:rPr>
          <w:rFonts w:eastAsia="Calibri"/>
        </w:rPr>
        <w:t>stribution businesses</w:t>
      </w:r>
      <w:r>
        <w:rPr>
          <w:rFonts w:eastAsia="Calibri"/>
        </w:rPr>
        <w:t xml:space="preserve">. Consistent with our draft decision, we accept </w:t>
      </w:r>
      <w:proofErr w:type="spellStart"/>
      <w:r>
        <w:rPr>
          <w:rFonts w:eastAsia="Calibri"/>
        </w:rPr>
        <w:t>TasNetworks</w:t>
      </w:r>
      <w:proofErr w:type="spellEnd"/>
      <w:r>
        <w:rPr>
          <w:rFonts w:eastAsia="Calibri"/>
        </w:rPr>
        <w:t xml:space="preserve">' submission that </w:t>
      </w:r>
      <w:r w:rsidRPr="00D47479">
        <w:rPr>
          <w:rFonts w:eastAsia="Calibri"/>
        </w:rPr>
        <w:t>the administrative costs of compliance with clause 7.</w:t>
      </w:r>
      <w:r>
        <w:rPr>
          <w:rFonts w:eastAsia="Calibri"/>
        </w:rPr>
        <w:t>1(a</w:t>
      </w:r>
      <w:proofErr w:type="gramStart"/>
      <w:r>
        <w:rPr>
          <w:rFonts w:eastAsia="Calibri"/>
        </w:rPr>
        <w:t>)(</w:t>
      </w:r>
      <w:proofErr w:type="gramEnd"/>
      <w:r>
        <w:rPr>
          <w:rFonts w:eastAsia="Calibri"/>
        </w:rPr>
        <w:t>ii) of the Guidelines outweigh the benefit, or any likely benefit,</w:t>
      </w:r>
      <w:r w:rsidRPr="00D47479">
        <w:rPr>
          <w:rFonts w:eastAsia="Calibri"/>
        </w:rPr>
        <w:t xml:space="preserve"> </w:t>
      </w:r>
      <w:r>
        <w:rPr>
          <w:rFonts w:eastAsia="Calibri"/>
        </w:rPr>
        <w:t xml:space="preserve">to the public </w:t>
      </w:r>
      <w:r w:rsidRPr="00D47479">
        <w:rPr>
          <w:rFonts w:eastAsia="Calibri"/>
        </w:rPr>
        <w:t>of compliance</w:t>
      </w:r>
      <w:r>
        <w:rPr>
          <w:rFonts w:eastAsia="Calibri"/>
        </w:rPr>
        <w:t>.</w:t>
      </w:r>
    </w:p>
    <w:p w:rsidR="00CB2D8F" w:rsidRDefault="009961CE" w:rsidP="00CB2D8F">
      <w:pPr>
        <w:pStyle w:val="AERrevisionbox"/>
      </w:pPr>
      <w:r>
        <w:t>The AER will</w:t>
      </w:r>
      <w:r w:rsidR="00CB2D8F" w:rsidRPr="00CB2D8F">
        <w:t xml:space="preserve"> issue a notice </w:t>
      </w:r>
      <w:r w:rsidR="006E38CB">
        <w:t xml:space="preserve">under </w:t>
      </w:r>
      <w:r w:rsidR="00C743A0" w:rsidRPr="00E33549">
        <w:t xml:space="preserve">section </w:t>
      </w:r>
      <w:r w:rsidR="00C743A0">
        <w:t>1</w:t>
      </w:r>
      <w:r w:rsidR="00C743A0" w:rsidRPr="00E33549">
        <w:t>1 of the Guidelines to waive</w:t>
      </w:r>
      <w:r w:rsidR="00C743A0">
        <w:t xml:space="preserve"> </w:t>
      </w:r>
      <w:proofErr w:type="spellStart"/>
      <w:r w:rsidR="00C743A0">
        <w:t>TasNetworks</w:t>
      </w:r>
      <w:proofErr w:type="spellEnd"/>
      <w:r w:rsidR="00C743A0">
        <w:t>’</w:t>
      </w:r>
      <w:r w:rsidR="00C743A0" w:rsidRPr="00E33549">
        <w:t xml:space="preserve"> obligation to comply with </w:t>
      </w:r>
      <w:r w:rsidR="00C743A0">
        <w:t>clause</w:t>
      </w:r>
      <w:r w:rsidR="00C743A0" w:rsidRPr="00E33549">
        <w:t xml:space="preserve"> </w:t>
      </w:r>
      <w:r w:rsidR="00C743A0">
        <w:t>7.1(a</w:t>
      </w:r>
      <w:proofErr w:type="gramStart"/>
      <w:r w:rsidR="00C743A0">
        <w:t>)(</w:t>
      </w:r>
      <w:proofErr w:type="gramEnd"/>
      <w:r w:rsidR="00C743A0">
        <w:t>ii)</w:t>
      </w:r>
      <w:r w:rsidR="00764C02">
        <w:t xml:space="preserve"> of the Guidelines</w:t>
      </w:r>
      <w:r w:rsidR="00C743A0">
        <w:t>.</w:t>
      </w:r>
    </w:p>
    <w:sectPr w:rsidR="00CB2D8F" w:rsidSect="00864D4D">
      <w:footerReference w:type="even" r:id="rId11"/>
      <w:footerReference w:type="default" r:id="rId12"/>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22B" w:rsidRPr="00AB4345" w:rsidRDefault="00E6622B" w:rsidP="00AB4345">
      <w:r>
        <w:separator/>
      </w:r>
    </w:p>
  </w:endnote>
  <w:endnote w:type="continuationSeparator" w:id="0">
    <w:p w:rsidR="00E6622B" w:rsidRPr="00AB4345" w:rsidRDefault="00E6622B"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E6622B" w:rsidRPr="00824CC8" w:rsidRDefault="00E6622B" w:rsidP="00824CC8">
        <w:pPr>
          <w:pStyle w:val="Footer"/>
        </w:pPr>
        <w:r w:rsidRPr="00824CC8">
          <w:fldChar w:fldCharType="begin"/>
        </w:r>
        <w:r w:rsidRPr="00824CC8">
          <w:instrText xml:space="preserve"> PAGE   \* MERGEFORMAT </w:instrText>
        </w:r>
        <w:r w:rsidRPr="00824CC8">
          <w:fldChar w:fldCharType="separate"/>
        </w:r>
        <w:r w:rsidR="00A57E5C">
          <w:rPr>
            <w:noProof/>
          </w:rPr>
          <w:t>10</w:t>
        </w:r>
        <w:r w:rsidRPr="00824CC8">
          <w:fldChar w:fldCharType="end"/>
        </w:r>
        <w:r w:rsidRPr="00824CC8">
          <w:tab/>
        </w:r>
        <w:r w:rsidR="00D46E7C">
          <w:rPr>
            <w:rStyle w:val="AERbody"/>
          </w:rPr>
          <w:t>Final</w:t>
        </w:r>
        <w:r>
          <w:rPr>
            <w:rStyle w:val="AERbody"/>
          </w:rPr>
          <w:t xml:space="preserve"> Decision | </w:t>
        </w:r>
        <w:proofErr w:type="spellStart"/>
        <w:r>
          <w:rPr>
            <w:rStyle w:val="AERbody"/>
          </w:rPr>
          <w:t>TasNetworks</w:t>
        </w:r>
        <w:proofErr w:type="spellEnd"/>
        <w:r>
          <w:rPr>
            <w:rStyle w:val="AERbody"/>
          </w:rPr>
          <w:t>' Transmission Ring-fencing Waiver Application</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22B" w:rsidRPr="00824CC8" w:rsidRDefault="00B9503E" w:rsidP="00824CC8">
    <w:pPr>
      <w:pStyle w:val="Footer"/>
      <w:rPr>
        <w:rStyle w:val="AERbody"/>
      </w:rPr>
    </w:pPr>
    <w:r>
      <w:rPr>
        <w:rStyle w:val="AERbody"/>
      </w:rPr>
      <w:t xml:space="preserve">Final </w:t>
    </w:r>
    <w:r w:rsidR="00E6622B">
      <w:rPr>
        <w:rStyle w:val="AERbody"/>
      </w:rPr>
      <w:t xml:space="preserve">Decision | </w:t>
    </w:r>
    <w:proofErr w:type="spellStart"/>
    <w:r w:rsidR="00E6622B">
      <w:rPr>
        <w:rStyle w:val="AERbody"/>
      </w:rPr>
      <w:t>TasNetworks</w:t>
    </w:r>
    <w:proofErr w:type="spellEnd"/>
    <w:r w:rsidR="00E6622B">
      <w:rPr>
        <w:rStyle w:val="AERbody"/>
      </w:rPr>
      <w:t>' Transmission Ring-Fencing Waiver Application</w:t>
    </w:r>
    <w:r w:rsidR="00E6622B" w:rsidRPr="00210880">
      <w:rPr>
        <w:rStyle w:val="AERbody"/>
      </w:rPr>
      <w:tab/>
    </w:r>
    <w:r w:rsidR="00E6622B" w:rsidRPr="00824CC8">
      <w:rPr>
        <w:rStyle w:val="AERbody"/>
      </w:rPr>
      <w:fldChar w:fldCharType="begin"/>
    </w:r>
    <w:r w:rsidR="00E6622B" w:rsidRPr="00824CC8">
      <w:rPr>
        <w:rStyle w:val="AERbody"/>
      </w:rPr>
      <w:instrText xml:space="preserve"> PAGE   \* MERGEFORMAT </w:instrText>
    </w:r>
    <w:r w:rsidR="00E6622B" w:rsidRPr="00824CC8">
      <w:rPr>
        <w:rStyle w:val="AERbody"/>
      </w:rPr>
      <w:fldChar w:fldCharType="separate"/>
    </w:r>
    <w:r w:rsidR="00A57E5C">
      <w:rPr>
        <w:rStyle w:val="AERbody"/>
        <w:noProof/>
      </w:rPr>
      <w:t>9</w:t>
    </w:r>
    <w:r w:rsidR="00E6622B"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22B" w:rsidRPr="00AB4345" w:rsidRDefault="00E6622B" w:rsidP="00AB4345">
      <w:r>
        <w:separator/>
      </w:r>
    </w:p>
  </w:footnote>
  <w:footnote w:type="continuationSeparator" w:id="0">
    <w:p w:rsidR="00E6622B" w:rsidRPr="00AB4345" w:rsidRDefault="00E6622B" w:rsidP="00AB4345">
      <w:r>
        <w:continuationSeparator/>
      </w:r>
    </w:p>
  </w:footnote>
  <w:footnote w:id="1">
    <w:p w:rsidR="004E0AF3" w:rsidRDefault="004E0AF3">
      <w:pPr>
        <w:pStyle w:val="FootnoteText"/>
      </w:pPr>
      <w:r>
        <w:rPr>
          <w:rStyle w:val="FootnoteReference"/>
        </w:rPr>
        <w:footnoteRef/>
      </w:r>
      <w:r>
        <w:t xml:space="preserve"> </w:t>
      </w:r>
      <w:r>
        <w:tab/>
      </w:r>
      <w:proofErr w:type="spellStart"/>
      <w:r w:rsidRPr="00B8188A">
        <w:t>TasNetworks</w:t>
      </w:r>
      <w:proofErr w:type="spellEnd"/>
      <w:r w:rsidRPr="00B8188A">
        <w:t xml:space="preserve">, </w:t>
      </w:r>
      <w:r w:rsidRPr="004E0AF3">
        <w:rPr>
          <w:rStyle w:val="AERtextitalic"/>
        </w:rPr>
        <w:t>Transmission Ring Fencing Guidelines Waiver Application</w:t>
      </w:r>
      <w:r w:rsidRPr="00B8188A">
        <w:t>, 5 February 2014</w:t>
      </w:r>
      <w:r>
        <w:t>.</w:t>
      </w:r>
    </w:p>
  </w:footnote>
  <w:footnote w:id="2">
    <w:p w:rsidR="0016174B" w:rsidRDefault="0016174B">
      <w:pPr>
        <w:pStyle w:val="FootnoteText"/>
      </w:pPr>
      <w:r>
        <w:rPr>
          <w:rStyle w:val="FootnoteReference"/>
        </w:rPr>
        <w:footnoteRef/>
      </w:r>
      <w:r>
        <w:t xml:space="preserve"> </w:t>
      </w:r>
      <w:r>
        <w:tab/>
        <w:t xml:space="preserve">Tasmanian Minister for Energy and Resources, Ministerial Statement, </w:t>
      </w:r>
      <w:r w:rsidRPr="0016174B">
        <w:rPr>
          <w:rStyle w:val="AERtextitalic"/>
        </w:rPr>
        <w:t>Energy for the Future</w:t>
      </w:r>
      <w:r>
        <w:t>, 15 May 2012, p. 6.</w:t>
      </w:r>
    </w:p>
  </w:footnote>
  <w:footnote w:id="3">
    <w:p w:rsidR="004E0AF3" w:rsidRDefault="004E0AF3">
      <w:pPr>
        <w:pStyle w:val="FootnoteText"/>
      </w:pPr>
      <w:r>
        <w:rPr>
          <w:rStyle w:val="FootnoteReference"/>
        </w:rPr>
        <w:footnoteRef/>
      </w:r>
      <w:r>
        <w:t xml:space="preserve"> </w:t>
      </w:r>
      <w:r>
        <w:tab/>
      </w:r>
      <w:proofErr w:type="gramStart"/>
      <w:r>
        <w:t xml:space="preserve">AER, Draft decision, </w:t>
      </w:r>
      <w:proofErr w:type="spellStart"/>
      <w:r w:rsidRPr="004E0AF3">
        <w:rPr>
          <w:rStyle w:val="AERtextitalic"/>
        </w:rPr>
        <w:t>TasNetworks</w:t>
      </w:r>
      <w:proofErr w:type="spellEnd"/>
      <w:r w:rsidRPr="004E0AF3">
        <w:rPr>
          <w:rStyle w:val="AERtextitalic"/>
        </w:rPr>
        <w:t xml:space="preserve"> - Application for waiver from transmission ring-fencing guidelines</w:t>
      </w:r>
      <w:r>
        <w:t>, March 2014.</w:t>
      </w:r>
      <w:proofErr w:type="gramEnd"/>
    </w:p>
  </w:footnote>
  <w:footnote w:id="4">
    <w:p w:rsidR="00E6622B" w:rsidRDefault="00E6622B" w:rsidP="009028F5">
      <w:pPr>
        <w:pStyle w:val="FootnoteText"/>
      </w:pPr>
      <w:r>
        <w:rPr>
          <w:rStyle w:val="FootnoteReference"/>
        </w:rPr>
        <w:footnoteRef/>
      </w:r>
      <w:r>
        <w:t xml:space="preserve"> </w:t>
      </w:r>
      <w:r>
        <w:tab/>
        <w:t xml:space="preserve">ACCC, </w:t>
      </w:r>
      <w:r>
        <w:rPr>
          <w:i/>
        </w:rPr>
        <w:t xml:space="preserve">Statement </w:t>
      </w:r>
      <w:r>
        <w:t>of</w:t>
      </w:r>
      <w:r>
        <w:rPr>
          <w:i/>
        </w:rPr>
        <w:t xml:space="preserve"> Principles for the Regulation of Transmission Revenues: Transmission Ring-Fencing Guidelines</w:t>
      </w:r>
      <w:r>
        <w:t>, 15 August 2002.</w:t>
      </w:r>
    </w:p>
  </w:footnote>
  <w:footnote w:id="5">
    <w:p w:rsidR="00E6622B" w:rsidRDefault="00E6622B" w:rsidP="009028F5">
      <w:pPr>
        <w:pStyle w:val="FootnoteText"/>
      </w:pPr>
      <w:r>
        <w:rPr>
          <w:rStyle w:val="FootnoteReference"/>
        </w:rPr>
        <w:footnoteRef/>
      </w:r>
      <w:r>
        <w:t xml:space="preserve"> </w:t>
      </w:r>
      <w:r>
        <w:tab/>
        <w:t xml:space="preserve">ACCC, </w:t>
      </w:r>
      <w:r>
        <w:rPr>
          <w:i/>
        </w:rPr>
        <w:t xml:space="preserve">Statement </w:t>
      </w:r>
      <w:r>
        <w:t>of</w:t>
      </w:r>
      <w:r>
        <w:rPr>
          <w:i/>
        </w:rPr>
        <w:t xml:space="preserve"> Principles for the Regulation of Transmission Revenues: Transmission Ring-Fencing Guidelines</w:t>
      </w:r>
      <w:r>
        <w:t>, 15 August 2002, pp. 1-2.</w:t>
      </w:r>
    </w:p>
  </w:footnote>
  <w:footnote w:id="6">
    <w:p w:rsidR="00E6622B" w:rsidRDefault="00E6622B" w:rsidP="00282CDA">
      <w:pPr>
        <w:pStyle w:val="FootnoteText"/>
      </w:pPr>
      <w:r w:rsidRPr="00B8188A">
        <w:rPr>
          <w:rStyle w:val="FootnoteReference"/>
        </w:rPr>
        <w:footnoteRef/>
      </w:r>
      <w:r w:rsidRPr="00B8188A">
        <w:t xml:space="preserve"> </w:t>
      </w:r>
      <w:r w:rsidRPr="00B8188A">
        <w:tab/>
      </w:r>
      <w:proofErr w:type="spellStart"/>
      <w:r w:rsidRPr="00B8188A">
        <w:t>TasNetworks</w:t>
      </w:r>
      <w:proofErr w:type="spellEnd"/>
      <w:r w:rsidRPr="00B8188A">
        <w:t xml:space="preserve">, </w:t>
      </w:r>
      <w:r w:rsidRPr="00B8188A">
        <w:rPr>
          <w:i/>
        </w:rPr>
        <w:t>Transmission Ring Fencing Guidelines Waiver Application</w:t>
      </w:r>
      <w:r w:rsidRPr="00B8188A">
        <w:t>, 5 February 2014, p</w:t>
      </w:r>
      <w:r>
        <w:t>p</w:t>
      </w:r>
      <w:r w:rsidRPr="00B8188A">
        <w:t xml:space="preserve">. </w:t>
      </w:r>
      <w:r>
        <w:t>4-</w:t>
      </w:r>
      <w:r w:rsidRPr="00B8188A">
        <w:t>5.</w:t>
      </w:r>
    </w:p>
  </w:footnote>
  <w:footnote w:id="7">
    <w:p w:rsidR="00E6622B" w:rsidRDefault="00E6622B">
      <w:pPr>
        <w:pStyle w:val="FootnoteText"/>
      </w:pPr>
      <w:r>
        <w:rPr>
          <w:rStyle w:val="FootnoteReference"/>
        </w:rPr>
        <w:footnoteRef/>
      </w:r>
      <w:r>
        <w:t xml:space="preserve"> </w:t>
      </w:r>
      <w:r>
        <w:tab/>
      </w:r>
      <w:proofErr w:type="gramStart"/>
      <w:r>
        <w:t xml:space="preserve">ACCC, Draft Decision, </w:t>
      </w:r>
      <w:r w:rsidRPr="006B3EF6">
        <w:rPr>
          <w:rStyle w:val="AERtextitalic"/>
        </w:rPr>
        <w:t xml:space="preserve">SPI </w:t>
      </w:r>
      <w:proofErr w:type="spellStart"/>
      <w:r w:rsidRPr="006B3EF6">
        <w:rPr>
          <w:rStyle w:val="AERtextitalic"/>
        </w:rPr>
        <w:t>PowerNet</w:t>
      </w:r>
      <w:proofErr w:type="spellEnd"/>
      <w:r w:rsidRPr="006B3EF6">
        <w:rPr>
          <w:rStyle w:val="AERtextitalic"/>
        </w:rPr>
        <w:t xml:space="preserve"> Application for Waiver of Ring-fencing Arrangements</w:t>
      </w:r>
      <w:r>
        <w:t>, 15 December 2004, p. 9.</w:t>
      </w:r>
      <w:proofErr w:type="gramEnd"/>
    </w:p>
  </w:footnote>
  <w:footnote w:id="8">
    <w:p w:rsidR="00E6622B" w:rsidRDefault="00E6622B" w:rsidP="00BD6EFE">
      <w:pPr>
        <w:pStyle w:val="FootnoteText"/>
      </w:pPr>
      <w:r>
        <w:rPr>
          <w:rStyle w:val="FootnoteReference"/>
        </w:rPr>
        <w:footnoteRef/>
      </w:r>
      <w:r>
        <w:t xml:space="preserve"> </w:t>
      </w:r>
      <w:r>
        <w:tab/>
        <w:t>Clause 7.2(b) of the Guideline stipulates that a TNSP that provides ring-fenced services must offer those services to its customers on terms and conditions no less favourable than it provides to itself or its associates.</w:t>
      </w:r>
    </w:p>
  </w:footnote>
  <w:footnote w:id="9">
    <w:p w:rsidR="00E6622B" w:rsidRDefault="00E6622B">
      <w:pPr>
        <w:pStyle w:val="FootnoteText"/>
      </w:pPr>
      <w:r>
        <w:rPr>
          <w:rStyle w:val="FootnoteReference"/>
        </w:rPr>
        <w:footnoteRef/>
      </w:r>
      <w:r>
        <w:t xml:space="preserve"> </w:t>
      </w:r>
      <w:r>
        <w:tab/>
      </w:r>
      <w:proofErr w:type="spellStart"/>
      <w:r w:rsidRPr="00B8188A">
        <w:t>TasNetworks</w:t>
      </w:r>
      <w:proofErr w:type="spellEnd"/>
      <w:r w:rsidRPr="00B8188A">
        <w:t xml:space="preserve">, </w:t>
      </w:r>
      <w:r w:rsidRPr="00866D62">
        <w:rPr>
          <w:rStyle w:val="AERtextitalic"/>
        </w:rPr>
        <w:t>Transmission Ring Fencing Guidelines Waiver Application</w:t>
      </w:r>
      <w:r w:rsidRPr="00B8188A">
        <w:t>, 5 February 2014, p</w:t>
      </w:r>
      <w:r>
        <w:t>p</w:t>
      </w:r>
      <w:r w:rsidRPr="00B8188A">
        <w:t xml:space="preserve">. </w:t>
      </w:r>
      <w:r>
        <w:t>6-7</w:t>
      </w:r>
      <w:r w:rsidRPr="00B8188A">
        <w:t>.</w:t>
      </w:r>
    </w:p>
  </w:footnote>
  <w:footnote w:id="10">
    <w:p w:rsidR="00E6622B" w:rsidRDefault="00E6622B" w:rsidP="004D250E">
      <w:pPr>
        <w:pStyle w:val="FootnoteText"/>
      </w:pPr>
      <w:r>
        <w:rPr>
          <w:rStyle w:val="FootnoteReference"/>
        </w:rPr>
        <w:footnoteRef/>
      </w:r>
      <w:r>
        <w:t xml:space="preserve"> </w:t>
      </w:r>
      <w:r>
        <w:tab/>
        <w:t xml:space="preserve">Electricity Supply Industry Expert Panel, </w:t>
      </w:r>
      <w:r w:rsidRPr="009F699D">
        <w:rPr>
          <w:rStyle w:val="AERtextitalic"/>
        </w:rPr>
        <w:t>Draft Report - An</w:t>
      </w:r>
      <w:r>
        <w:rPr>
          <w:rStyle w:val="AERtextitalic"/>
        </w:rPr>
        <w:t xml:space="preserve"> I</w:t>
      </w:r>
      <w:r w:rsidRPr="009F699D">
        <w:rPr>
          <w:rStyle w:val="AERtextitalic"/>
        </w:rPr>
        <w:t>ndependent Assessment of the Tasmanian Electricity Supply Industry</w:t>
      </w:r>
      <w:r>
        <w:t>, December 2011, p. 264.</w:t>
      </w:r>
    </w:p>
  </w:footnote>
  <w:footnote w:id="11">
    <w:p w:rsidR="00AA05AE" w:rsidRDefault="00AA05AE">
      <w:pPr>
        <w:pStyle w:val="FootnoteText"/>
      </w:pPr>
      <w:r>
        <w:rPr>
          <w:rStyle w:val="FootnoteReference"/>
        </w:rPr>
        <w:footnoteRef/>
      </w:r>
      <w:r>
        <w:t xml:space="preserve"> </w:t>
      </w:r>
      <w:r>
        <w:tab/>
      </w:r>
      <w:proofErr w:type="gramStart"/>
      <w:r>
        <w:t xml:space="preserve">AER, Draft decision, </w:t>
      </w:r>
      <w:proofErr w:type="spellStart"/>
      <w:r w:rsidRPr="004E0AF3">
        <w:rPr>
          <w:rStyle w:val="AERtextitalic"/>
        </w:rPr>
        <w:t>TasNetworks</w:t>
      </w:r>
      <w:proofErr w:type="spellEnd"/>
      <w:r w:rsidRPr="004E0AF3">
        <w:rPr>
          <w:rStyle w:val="AERtextitalic"/>
        </w:rPr>
        <w:t xml:space="preserve"> - Application for waiver from transmission ring-fencing guidelines</w:t>
      </w:r>
      <w:r>
        <w:t>, March 2014, p.</w:t>
      </w:r>
      <w:r w:rsidR="001514BF">
        <w:t xml:space="preserve"> 11.</w:t>
      </w:r>
      <w:proofErr w:type="gramEnd"/>
      <w:r>
        <w:t xml:space="preserve"> </w:t>
      </w:r>
    </w:p>
  </w:footnote>
  <w:footnote w:id="12">
    <w:p w:rsidR="00E13CF5" w:rsidRDefault="00E13CF5">
      <w:pPr>
        <w:pStyle w:val="FootnoteText"/>
      </w:pPr>
      <w:r>
        <w:rPr>
          <w:rStyle w:val="FootnoteReference"/>
        </w:rPr>
        <w:footnoteRef/>
      </w:r>
      <w:r>
        <w:t xml:space="preserve"> </w:t>
      </w:r>
      <w:r>
        <w:tab/>
      </w:r>
      <w:proofErr w:type="gramStart"/>
      <w:r>
        <w:t xml:space="preserve">AER, Draft decision, </w:t>
      </w:r>
      <w:proofErr w:type="spellStart"/>
      <w:r w:rsidRPr="004E0AF3">
        <w:rPr>
          <w:rStyle w:val="AERtextitalic"/>
        </w:rPr>
        <w:t>TasNetworks</w:t>
      </w:r>
      <w:proofErr w:type="spellEnd"/>
      <w:r w:rsidRPr="004E0AF3">
        <w:rPr>
          <w:rStyle w:val="AERtextitalic"/>
        </w:rPr>
        <w:t xml:space="preserve"> - Application for waiver from transmission ring-fencing guidelines</w:t>
      </w:r>
      <w:r>
        <w:t>, March 2014, p. 11.</w:t>
      </w:r>
      <w:proofErr w:type="gramEnd"/>
    </w:p>
  </w:footnote>
  <w:footnote w:id="13">
    <w:p w:rsidR="004526EE" w:rsidRDefault="004526EE">
      <w:pPr>
        <w:pStyle w:val="FootnoteText"/>
      </w:pPr>
      <w:r>
        <w:rPr>
          <w:rStyle w:val="FootnoteReference"/>
        </w:rPr>
        <w:footnoteRef/>
      </w:r>
      <w:r>
        <w:t xml:space="preserve"> </w:t>
      </w:r>
      <w:r>
        <w:tab/>
      </w:r>
      <w:proofErr w:type="gramStart"/>
      <w:r>
        <w:t xml:space="preserve">AER, Draft decision, </w:t>
      </w:r>
      <w:proofErr w:type="spellStart"/>
      <w:r w:rsidRPr="004E0AF3">
        <w:rPr>
          <w:rStyle w:val="AERtextitalic"/>
        </w:rPr>
        <w:t>TasNetworks</w:t>
      </w:r>
      <w:proofErr w:type="spellEnd"/>
      <w:r w:rsidRPr="004E0AF3">
        <w:rPr>
          <w:rStyle w:val="AERtextitalic"/>
        </w:rPr>
        <w:t xml:space="preserve"> - Application for waiver from transmission ring-fencing guidelines</w:t>
      </w:r>
      <w:r>
        <w:t>, March 2014, p. 13.</w:t>
      </w:r>
      <w:proofErr w:type="gramEnd"/>
    </w:p>
  </w:footnote>
  <w:footnote w:id="14">
    <w:p w:rsidR="008F6CED" w:rsidRDefault="008F6CED">
      <w:pPr>
        <w:pStyle w:val="FootnoteText"/>
      </w:pPr>
      <w:r>
        <w:rPr>
          <w:rStyle w:val="FootnoteReference"/>
        </w:rPr>
        <w:footnoteRef/>
      </w:r>
      <w:r>
        <w:t xml:space="preserve"> </w:t>
      </w:r>
      <w:r>
        <w:tab/>
        <w:t xml:space="preserve">Clauses 7.6, 7.7 and 7.8 </w:t>
      </w:r>
      <w:r w:rsidR="00680561">
        <w:t>govern</w:t>
      </w:r>
      <w:r>
        <w:t xml:space="preserve"> the relationship between a TNSP and an associate</w:t>
      </w:r>
      <w:r w:rsidR="00680561">
        <w:t xml:space="preserve"> carrying on a related business</w:t>
      </w:r>
      <w:r w:rsidR="00932431">
        <w:t>,</w:t>
      </w:r>
      <w:r w:rsidR="00680561">
        <w:t xml:space="preserve"> </w:t>
      </w:r>
      <w:r w:rsidR="00A57E5C">
        <w:t>specifically</w:t>
      </w:r>
      <w:r w:rsidR="00680561">
        <w:t xml:space="preserve"> th</w:t>
      </w:r>
      <w:r>
        <w:t>e preferential treatment of associates, the separation of marketing staff between TNSPs and associates, and notification requirements for staff movements between TNSPs and associates.</w:t>
      </w:r>
      <w:r w:rsidR="00680561">
        <w:t xml:space="preserve"> The merged transmission and distribution businesses operated by </w:t>
      </w:r>
      <w:proofErr w:type="spellStart"/>
      <w:r w:rsidR="00680561">
        <w:t>TasNetworks</w:t>
      </w:r>
      <w:proofErr w:type="spellEnd"/>
      <w:r w:rsidR="00680561">
        <w:t xml:space="preserve"> from 1 July 2014 will not be associates for the purposes of clause 7 of the Guidelines.</w:t>
      </w:r>
      <w:r w:rsidR="00680561" w:rsidRPr="00680561">
        <w:t xml:space="preserve"> </w:t>
      </w:r>
      <w:r w:rsidR="00680561">
        <w:t xml:space="preserve">Refer to AER, Draft decision, </w:t>
      </w:r>
      <w:proofErr w:type="spellStart"/>
      <w:r w:rsidR="00680561" w:rsidRPr="004E0AF3">
        <w:rPr>
          <w:rStyle w:val="AERtextitalic"/>
        </w:rPr>
        <w:t>TasNetworks</w:t>
      </w:r>
      <w:proofErr w:type="spellEnd"/>
      <w:r w:rsidR="00680561" w:rsidRPr="004E0AF3">
        <w:rPr>
          <w:rStyle w:val="AERtextitalic"/>
        </w:rPr>
        <w:t xml:space="preserve"> - Application fo</w:t>
      </w:r>
      <w:r w:rsidR="00680561">
        <w:rPr>
          <w:rStyle w:val="AERtextitalic"/>
        </w:rPr>
        <w:t>r waiver from transmission ring</w:t>
      </w:r>
      <w:r w:rsidR="00680561">
        <w:rPr>
          <w:rStyle w:val="AERtextitalic"/>
        </w:rPr>
        <w:noBreakHyphen/>
      </w:r>
      <w:r w:rsidR="00680561" w:rsidRPr="004E0AF3">
        <w:rPr>
          <w:rStyle w:val="AERtextitalic"/>
        </w:rPr>
        <w:t>fencing guidelines</w:t>
      </w:r>
      <w:r w:rsidR="00680561">
        <w:t>, March 2014, p. 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nsid w:val="1A3A6266"/>
    <w:multiLevelType w:val="multilevel"/>
    <w:tmpl w:val="47CAA82A"/>
    <w:lvl w:ilvl="0">
      <w:start w:val="1"/>
      <w:numFmt w:val="bullet"/>
      <w:lvlText w:val=""/>
      <w:lvlJc w:val="left"/>
      <w:pPr>
        <w:tabs>
          <w:tab w:val="num" w:pos="714"/>
        </w:tabs>
        <w:ind w:left="714" w:hanging="357"/>
      </w:pPr>
      <w:rPr>
        <w:rFonts w:ascii="Wingdings" w:hAnsi="Wingdings" w:hint="default"/>
        <w:sz w:val="24"/>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21805366"/>
    <w:multiLevelType w:val="hybridMultilevel"/>
    <w:tmpl w:val="746A7B84"/>
    <w:lvl w:ilvl="0" w:tplc="E2649A8A">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2C57382C"/>
    <w:multiLevelType w:val="multilevel"/>
    <w:tmpl w:val="BBC61C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720" w:hanging="720"/>
      </w:pPr>
      <w:rPr>
        <w:rFonts w:hint="default"/>
      </w:rPr>
    </w:lvl>
    <w:lvl w:ilvl="4">
      <w:start w:val="1"/>
      <w:numFmt w:val="decimal"/>
      <w:lvlText w:val="%1.%2.%3.%4.%5"/>
      <w:lvlJc w:val="left"/>
      <w:pPr>
        <w:tabs>
          <w:tab w:val="num" w:pos="144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5">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2CA085C"/>
    <w:multiLevelType w:val="singleLevel"/>
    <w:tmpl w:val="9AF06992"/>
    <w:lvl w:ilvl="0">
      <w:start w:val="1"/>
      <w:numFmt w:val="bullet"/>
      <w:lvlText w:val=""/>
      <w:lvlJc w:val="left"/>
      <w:pPr>
        <w:tabs>
          <w:tab w:val="num" w:pos="360"/>
        </w:tabs>
        <w:ind w:left="360" w:hanging="360"/>
      </w:pPr>
      <w:rPr>
        <w:rFonts w:ascii="Wingdings" w:hAnsi="Wingdings" w:hint="default"/>
        <w:sz w:val="28"/>
      </w:rPr>
    </w:lvl>
  </w:abstractNum>
  <w:abstractNum w:abstractNumId="9">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7AAC6DD7"/>
    <w:multiLevelType w:val="multilevel"/>
    <w:tmpl w:val="950A1C52"/>
    <w:numStyleLink w:val="AERHeadings"/>
  </w:abstractNum>
  <w:abstractNum w:abstractNumId="11">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5"/>
  </w:num>
  <w:num w:numId="4">
    <w:abstractNumId w:val="11"/>
  </w:num>
  <w:num w:numId="5">
    <w:abstractNumId w:val="0"/>
  </w:num>
  <w:num w:numId="6">
    <w:abstractNumId w:val="9"/>
  </w:num>
  <w:num w:numId="7">
    <w:abstractNumId w:val="6"/>
  </w:num>
  <w:num w:numId="8">
    <w:abstractNumId w:val="10"/>
  </w:num>
  <w:num w:numId="9">
    <w:abstractNumId w:val="8"/>
  </w:num>
  <w:num w:numId="10">
    <w:abstractNumId w:val="2"/>
  </w:num>
  <w:num w:numId="11">
    <w:abstractNumId w:val="3"/>
  </w:num>
  <w:num w:numId="1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cumentProtection w:formatting="1" w:enforcement="1" w:cryptProviderType="rsaFull" w:cryptAlgorithmClass="hash" w:cryptAlgorithmType="typeAny" w:cryptAlgorithmSid="4" w:cryptSpinCount="100000" w:hash="XbKrjc+OK8pcsxC8Tr0X+N6ptzQ=" w:salt="REliLWc8yRvU5hrgJa3XHA=="/>
  <w:defaultTabStop w:val="720"/>
  <w:evenAndOddHeaders/>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docVars>
    <w:docVar w:name="currentname" w:val="H:\TRIMDATA\TRIM\TEMP\HPTRIM.6112\D14 24735  Draft decision - TasNetworks - Application for waiver of distribution ring fencing guidelines.DOCX"/>
  </w:docVars>
  <w:rsids>
    <w:rsidRoot w:val="000C052F"/>
    <w:rsid w:val="00011129"/>
    <w:rsid w:val="00016AF9"/>
    <w:rsid w:val="00020931"/>
    <w:rsid w:val="00022606"/>
    <w:rsid w:val="00023967"/>
    <w:rsid w:val="00040599"/>
    <w:rsid w:val="00040749"/>
    <w:rsid w:val="0005182A"/>
    <w:rsid w:val="00090E56"/>
    <w:rsid w:val="00093F65"/>
    <w:rsid w:val="000A1CC2"/>
    <w:rsid w:val="000A5342"/>
    <w:rsid w:val="000B15CA"/>
    <w:rsid w:val="000B2E67"/>
    <w:rsid w:val="000C052F"/>
    <w:rsid w:val="000C3430"/>
    <w:rsid w:val="000C5DAD"/>
    <w:rsid w:val="000D03C2"/>
    <w:rsid w:val="000D04B1"/>
    <w:rsid w:val="000D18D5"/>
    <w:rsid w:val="000D401F"/>
    <w:rsid w:val="000E1598"/>
    <w:rsid w:val="000E1A25"/>
    <w:rsid w:val="000F3A6A"/>
    <w:rsid w:val="001033B3"/>
    <w:rsid w:val="00104B51"/>
    <w:rsid w:val="00105636"/>
    <w:rsid w:val="00117CD3"/>
    <w:rsid w:val="0013022D"/>
    <w:rsid w:val="001514BF"/>
    <w:rsid w:val="001543D2"/>
    <w:rsid w:val="0016174B"/>
    <w:rsid w:val="00162790"/>
    <w:rsid w:val="0016667D"/>
    <w:rsid w:val="00174026"/>
    <w:rsid w:val="0017442A"/>
    <w:rsid w:val="001856EE"/>
    <w:rsid w:val="00191471"/>
    <w:rsid w:val="00194C3C"/>
    <w:rsid w:val="001B2BBE"/>
    <w:rsid w:val="001C12E5"/>
    <w:rsid w:val="001C5D08"/>
    <w:rsid w:val="001D3246"/>
    <w:rsid w:val="001E7961"/>
    <w:rsid w:val="0020711E"/>
    <w:rsid w:val="00210880"/>
    <w:rsid w:val="00222F55"/>
    <w:rsid w:val="002257B9"/>
    <w:rsid w:val="0023137D"/>
    <w:rsid w:val="00240A66"/>
    <w:rsid w:val="00252AB4"/>
    <w:rsid w:val="00263252"/>
    <w:rsid w:val="00266710"/>
    <w:rsid w:val="00275A8B"/>
    <w:rsid w:val="002805B8"/>
    <w:rsid w:val="00282CDA"/>
    <w:rsid w:val="002852D8"/>
    <w:rsid w:val="002938CE"/>
    <w:rsid w:val="002B6640"/>
    <w:rsid w:val="002D124A"/>
    <w:rsid w:val="002D3A00"/>
    <w:rsid w:val="002D61AC"/>
    <w:rsid w:val="002E079A"/>
    <w:rsid w:val="002E4720"/>
    <w:rsid w:val="002E6721"/>
    <w:rsid w:val="00303452"/>
    <w:rsid w:val="003056C7"/>
    <w:rsid w:val="003176A6"/>
    <w:rsid w:val="003324F7"/>
    <w:rsid w:val="00334F88"/>
    <w:rsid w:val="00352492"/>
    <w:rsid w:val="003707DB"/>
    <w:rsid w:val="00372BD5"/>
    <w:rsid w:val="00375AEC"/>
    <w:rsid w:val="00376236"/>
    <w:rsid w:val="0037652C"/>
    <w:rsid w:val="003800E4"/>
    <w:rsid w:val="00380FF5"/>
    <w:rsid w:val="003A6174"/>
    <w:rsid w:val="003D0D80"/>
    <w:rsid w:val="003E5D6E"/>
    <w:rsid w:val="0040212F"/>
    <w:rsid w:val="004030AB"/>
    <w:rsid w:val="00405557"/>
    <w:rsid w:val="00412193"/>
    <w:rsid w:val="00412282"/>
    <w:rsid w:val="00424AD5"/>
    <w:rsid w:val="004256BA"/>
    <w:rsid w:val="00431999"/>
    <w:rsid w:val="00435682"/>
    <w:rsid w:val="004526EE"/>
    <w:rsid w:val="00456081"/>
    <w:rsid w:val="00464F5D"/>
    <w:rsid w:val="00474FBD"/>
    <w:rsid w:val="004819B3"/>
    <w:rsid w:val="00481A87"/>
    <w:rsid w:val="00491D7D"/>
    <w:rsid w:val="0049318A"/>
    <w:rsid w:val="004B6387"/>
    <w:rsid w:val="004C317D"/>
    <w:rsid w:val="004C3F45"/>
    <w:rsid w:val="004D250E"/>
    <w:rsid w:val="004E0AF3"/>
    <w:rsid w:val="004E3A60"/>
    <w:rsid w:val="004E40EF"/>
    <w:rsid w:val="004E73F7"/>
    <w:rsid w:val="004F76A0"/>
    <w:rsid w:val="00500E7F"/>
    <w:rsid w:val="0052179D"/>
    <w:rsid w:val="005447D6"/>
    <w:rsid w:val="005456A9"/>
    <w:rsid w:val="0054772C"/>
    <w:rsid w:val="00550781"/>
    <w:rsid w:val="00554BF8"/>
    <w:rsid w:val="00555D46"/>
    <w:rsid w:val="00555D52"/>
    <w:rsid w:val="005566D7"/>
    <w:rsid w:val="00561F7F"/>
    <w:rsid w:val="005635B5"/>
    <w:rsid w:val="00566B35"/>
    <w:rsid w:val="00567954"/>
    <w:rsid w:val="005732CC"/>
    <w:rsid w:val="00575422"/>
    <w:rsid w:val="00583B57"/>
    <w:rsid w:val="0058505F"/>
    <w:rsid w:val="00593424"/>
    <w:rsid w:val="005938C6"/>
    <w:rsid w:val="005A0431"/>
    <w:rsid w:val="005B3752"/>
    <w:rsid w:val="005B61C2"/>
    <w:rsid w:val="005C7C22"/>
    <w:rsid w:val="005D26B7"/>
    <w:rsid w:val="005D4AA1"/>
    <w:rsid w:val="005D54D0"/>
    <w:rsid w:val="0060146C"/>
    <w:rsid w:val="0060207D"/>
    <w:rsid w:val="006039F2"/>
    <w:rsid w:val="006061B0"/>
    <w:rsid w:val="0060732E"/>
    <w:rsid w:val="006076A9"/>
    <w:rsid w:val="006544EA"/>
    <w:rsid w:val="0066569F"/>
    <w:rsid w:val="006705CD"/>
    <w:rsid w:val="00675816"/>
    <w:rsid w:val="00680561"/>
    <w:rsid w:val="0069004B"/>
    <w:rsid w:val="006A330C"/>
    <w:rsid w:val="006B08EB"/>
    <w:rsid w:val="006B3EF6"/>
    <w:rsid w:val="006B481F"/>
    <w:rsid w:val="006D2BB8"/>
    <w:rsid w:val="006D5BCD"/>
    <w:rsid w:val="006E38CB"/>
    <w:rsid w:val="006F414E"/>
    <w:rsid w:val="006F638E"/>
    <w:rsid w:val="00703E42"/>
    <w:rsid w:val="00735BF7"/>
    <w:rsid w:val="007368AD"/>
    <w:rsid w:val="00743F43"/>
    <w:rsid w:val="00751333"/>
    <w:rsid w:val="00751D2A"/>
    <w:rsid w:val="00755095"/>
    <w:rsid w:val="007612BC"/>
    <w:rsid w:val="00764C02"/>
    <w:rsid w:val="00775A9E"/>
    <w:rsid w:val="00796A07"/>
    <w:rsid w:val="007A5071"/>
    <w:rsid w:val="007A5228"/>
    <w:rsid w:val="007B27C7"/>
    <w:rsid w:val="007F10E3"/>
    <w:rsid w:val="007F2C0E"/>
    <w:rsid w:val="007F7D20"/>
    <w:rsid w:val="00804AEB"/>
    <w:rsid w:val="008168D7"/>
    <w:rsid w:val="00823B56"/>
    <w:rsid w:val="00824CC8"/>
    <w:rsid w:val="00836D17"/>
    <w:rsid w:val="00840A55"/>
    <w:rsid w:val="00841E25"/>
    <w:rsid w:val="008460D5"/>
    <w:rsid w:val="008464CD"/>
    <w:rsid w:val="00846B26"/>
    <w:rsid w:val="008515EE"/>
    <w:rsid w:val="00861C4E"/>
    <w:rsid w:val="00864D4D"/>
    <w:rsid w:val="00866D21"/>
    <w:rsid w:val="00866D62"/>
    <w:rsid w:val="00870483"/>
    <w:rsid w:val="00871323"/>
    <w:rsid w:val="00872D85"/>
    <w:rsid w:val="00883DDA"/>
    <w:rsid w:val="00891FF9"/>
    <w:rsid w:val="00893367"/>
    <w:rsid w:val="00893D07"/>
    <w:rsid w:val="008A0C81"/>
    <w:rsid w:val="008A2699"/>
    <w:rsid w:val="008A6EE7"/>
    <w:rsid w:val="008B7956"/>
    <w:rsid w:val="008C3722"/>
    <w:rsid w:val="008C3B67"/>
    <w:rsid w:val="008C3F48"/>
    <w:rsid w:val="008D49B4"/>
    <w:rsid w:val="008D7498"/>
    <w:rsid w:val="008F6CED"/>
    <w:rsid w:val="00900835"/>
    <w:rsid w:val="009028F5"/>
    <w:rsid w:val="009144D1"/>
    <w:rsid w:val="00932431"/>
    <w:rsid w:val="00932E96"/>
    <w:rsid w:val="00940A37"/>
    <w:rsid w:val="009418E6"/>
    <w:rsid w:val="0094191B"/>
    <w:rsid w:val="0094235F"/>
    <w:rsid w:val="0094279F"/>
    <w:rsid w:val="00946B98"/>
    <w:rsid w:val="0095052A"/>
    <w:rsid w:val="009658F0"/>
    <w:rsid w:val="00971655"/>
    <w:rsid w:val="00971C63"/>
    <w:rsid w:val="009961CE"/>
    <w:rsid w:val="009A4AE9"/>
    <w:rsid w:val="009A5777"/>
    <w:rsid w:val="009C71D5"/>
    <w:rsid w:val="009D1679"/>
    <w:rsid w:val="009D2156"/>
    <w:rsid w:val="009D62C1"/>
    <w:rsid w:val="009F699D"/>
    <w:rsid w:val="009F7CE4"/>
    <w:rsid w:val="00A11162"/>
    <w:rsid w:val="00A14D94"/>
    <w:rsid w:val="00A309B7"/>
    <w:rsid w:val="00A4209E"/>
    <w:rsid w:val="00A43227"/>
    <w:rsid w:val="00A46CCD"/>
    <w:rsid w:val="00A5256E"/>
    <w:rsid w:val="00A57E5C"/>
    <w:rsid w:val="00A65133"/>
    <w:rsid w:val="00A652C5"/>
    <w:rsid w:val="00A82462"/>
    <w:rsid w:val="00A85C5A"/>
    <w:rsid w:val="00A96A08"/>
    <w:rsid w:val="00A971A6"/>
    <w:rsid w:val="00AA0161"/>
    <w:rsid w:val="00AA05AE"/>
    <w:rsid w:val="00AB0AE4"/>
    <w:rsid w:val="00AB1D08"/>
    <w:rsid w:val="00AB2F1D"/>
    <w:rsid w:val="00AB4345"/>
    <w:rsid w:val="00AB5BD7"/>
    <w:rsid w:val="00AC0135"/>
    <w:rsid w:val="00AC070D"/>
    <w:rsid w:val="00AC1270"/>
    <w:rsid w:val="00AC1B94"/>
    <w:rsid w:val="00AD0616"/>
    <w:rsid w:val="00AD32A8"/>
    <w:rsid w:val="00AD34FF"/>
    <w:rsid w:val="00AD4DE6"/>
    <w:rsid w:val="00AD7D23"/>
    <w:rsid w:val="00AE6DBC"/>
    <w:rsid w:val="00AF3E95"/>
    <w:rsid w:val="00AF7C67"/>
    <w:rsid w:val="00B15FE9"/>
    <w:rsid w:val="00B16130"/>
    <w:rsid w:val="00B17093"/>
    <w:rsid w:val="00B22B0F"/>
    <w:rsid w:val="00B362FC"/>
    <w:rsid w:val="00B40A6B"/>
    <w:rsid w:val="00B51883"/>
    <w:rsid w:val="00B61FD4"/>
    <w:rsid w:val="00B674DB"/>
    <w:rsid w:val="00B82E8D"/>
    <w:rsid w:val="00B90192"/>
    <w:rsid w:val="00B9264D"/>
    <w:rsid w:val="00B94D99"/>
    <w:rsid w:val="00B9503E"/>
    <w:rsid w:val="00B954B7"/>
    <w:rsid w:val="00BB3FA1"/>
    <w:rsid w:val="00BB51FD"/>
    <w:rsid w:val="00BB62BB"/>
    <w:rsid w:val="00BC05C5"/>
    <w:rsid w:val="00BC0DCD"/>
    <w:rsid w:val="00BD04BE"/>
    <w:rsid w:val="00BD0676"/>
    <w:rsid w:val="00BD6EFE"/>
    <w:rsid w:val="00BD791A"/>
    <w:rsid w:val="00BE6F28"/>
    <w:rsid w:val="00BE7769"/>
    <w:rsid w:val="00BF29FA"/>
    <w:rsid w:val="00C03150"/>
    <w:rsid w:val="00C04D2B"/>
    <w:rsid w:val="00C46FD0"/>
    <w:rsid w:val="00C737C5"/>
    <w:rsid w:val="00C743A0"/>
    <w:rsid w:val="00C82961"/>
    <w:rsid w:val="00CA3540"/>
    <w:rsid w:val="00CA4E67"/>
    <w:rsid w:val="00CA5C1A"/>
    <w:rsid w:val="00CA5E71"/>
    <w:rsid w:val="00CA6B8D"/>
    <w:rsid w:val="00CA6DED"/>
    <w:rsid w:val="00CB2D8F"/>
    <w:rsid w:val="00CC49D4"/>
    <w:rsid w:val="00CC4FBF"/>
    <w:rsid w:val="00CE0201"/>
    <w:rsid w:val="00CE030D"/>
    <w:rsid w:val="00CE2697"/>
    <w:rsid w:val="00CE6F5A"/>
    <w:rsid w:val="00CF42CF"/>
    <w:rsid w:val="00D07B51"/>
    <w:rsid w:val="00D102E9"/>
    <w:rsid w:val="00D1688F"/>
    <w:rsid w:val="00D16E9E"/>
    <w:rsid w:val="00D2117F"/>
    <w:rsid w:val="00D25317"/>
    <w:rsid w:val="00D42CE5"/>
    <w:rsid w:val="00D46E7C"/>
    <w:rsid w:val="00D47479"/>
    <w:rsid w:val="00D53C92"/>
    <w:rsid w:val="00D56B9B"/>
    <w:rsid w:val="00D63B45"/>
    <w:rsid w:val="00D63FEC"/>
    <w:rsid w:val="00D66E8B"/>
    <w:rsid w:val="00D84BDF"/>
    <w:rsid w:val="00D85715"/>
    <w:rsid w:val="00D8706C"/>
    <w:rsid w:val="00DA320A"/>
    <w:rsid w:val="00DA4C62"/>
    <w:rsid w:val="00DB6A17"/>
    <w:rsid w:val="00DB6E04"/>
    <w:rsid w:val="00DD1BBA"/>
    <w:rsid w:val="00DD4E84"/>
    <w:rsid w:val="00DD5520"/>
    <w:rsid w:val="00DE1DFA"/>
    <w:rsid w:val="00DE28BE"/>
    <w:rsid w:val="00DF16C2"/>
    <w:rsid w:val="00E00F76"/>
    <w:rsid w:val="00E13CF5"/>
    <w:rsid w:val="00E1662F"/>
    <w:rsid w:val="00E21E75"/>
    <w:rsid w:val="00E26247"/>
    <w:rsid w:val="00E2783C"/>
    <w:rsid w:val="00E40008"/>
    <w:rsid w:val="00E519DC"/>
    <w:rsid w:val="00E61CBF"/>
    <w:rsid w:val="00E63F73"/>
    <w:rsid w:val="00E657FC"/>
    <w:rsid w:val="00E6622B"/>
    <w:rsid w:val="00E807DA"/>
    <w:rsid w:val="00E84E3A"/>
    <w:rsid w:val="00E953F2"/>
    <w:rsid w:val="00E95942"/>
    <w:rsid w:val="00E9602D"/>
    <w:rsid w:val="00EA05AF"/>
    <w:rsid w:val="00EB5BA0"/>
    <w:rsid w:val="00EB5CDF"/>
    <w:rsid w:val="00EC43B9"/>
    <w:rsid w:val="00EC785A"/>
    <w:rsid w:val="00ED22FB"/>
    <w:rsid w:val="00ED4D69"/>
    <w:rsid w:val="00EE1B9E"/>
    <w:rsid w:val="00EE362F"/>
    <w:rsid w:val="00EE52D8"/>
    <w:rsid w:val="00EF0E19"/>
    <w:rsid w:val="00F114AE"/>
    <w:rsid w:val="00F219A4"/>
    <w:rsid w:val="00F43A21"/>
    <w:rsid w:val="00F43CA0"/>
    <w:rsid w:val="00F55030"/>
    <w:rsid w:val="00F64A43"/>
    <w:rsid w:val="00F7358B"/>
    <w:rsid w:val="00F75CEA"/>
    <w:rsid w:val="00F7696F"/>
    <w:rsid w:val="00F8209B"/>
    <w:rsid w:val="00F87BDD"/>
    <w:rsid w:val="00F906EC"/>
    <w:rsid w:val="00F97CD9"/>
    <w:rsid w:val="00FA0576"/>
    <w:rsid w:val="00FB0448"/>
    <w:rsid w:val="00FB50B4"/>
    <w:rsid w:val="00FD21A7"/>
    <w:rsid w:val="00FD4B97"/>
    <w:rsid w:val="00FE55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uiPriority="0" w:qFormat="1"/>
    <w:lsdException w:name="header" w:locked="0"/>
    <w:lsdException w:name="footer" w:locked="0" w:qFormat="1"/>
    <w:lsdException w:name="index heading" w:locked="0"/>
    <w:lsdException w:name="caption" w:locked="0" w:uiPriority="0" w:qFormat="1"/>
    <w:lsdException w:name="table of figures" w:locked="0"/>
    <w:lsdException w:name="envelope address" w:locked="0"/>
    <w:lsdException w:name="envelope return" w:locked="0"/>
    <w:lsdException w:name="footnote reference" w:locked="0" w:uiPriority="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qFormat/>
    <w:rsid w:val="004E3A60"/>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8"/>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5A0431"/>
    <w:pPr>
      <w:numPr>
        <w:ilvl w:val="5"/>
      </w:numPr>
      <w:outlineLvl w:val="4"/>
    </w:pPr>
    <w:rPr>
      <w:i/>
      <w:sz w:val="20"/>
    </w:rPr>
  </w:style>
  <w:style w:type="paragraph" w:styleId="Heading6">
    <w:name w:val="heading 6"/>
    <w:basedOn w:val="Heading5"/>
    <w:next w:val="AERbodytext"/>
    <w:link w:val="Heading6Char"/>
    <w:uiPriority w:val="9"/>
    <w:semiHidden/>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1"/>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eastAsia="Times New Roman"/>
      <w:b/>
      <w:color w:val="E36C0A"/>
      <w:sz w:val="28"/>
      <w:szCs w:val="26"/>
      <w:lang w:eastAsia="en-US"/>
    </w:rPr>
  </w:style>
  <w:style w:type="character" w:customStyle="1" w:styleId="Heading3Char">
    <w:name w:val="Heading 3 Char"/>
    <w:basedOn w:val="DefaultParagraphFont"/>
    <w:link w:val="Heading3"/>
    <w:uiPriority w:val="9"/>
    <w:rsid w:val="000A1CC2"/>
    <w:rPr>
      <w:rFonts w:eastAsia="Times New Roman"/>
      <w:b/>
      <w:bCs/>
      <w:color w:val="E36C0A"/>
      <w:sz w:val="24"/>
      <w:szCs w:val="26"/>
      <w:lang w:eastAsia="en-US"/>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eastAsia="Times New Roman"/>
      <w:b/>
      <w:bCs/>
      <w:iCs/>
      <w:color w:val="E36C0A"/>
      <w:sz w:val="36"/>
      <w:szCs w:val="24"/>
      <w:lang w:eastAsia="en-US"/>
    </w:rPr>
  </w:style>
  <w:style w:type="character" w:customStyle="1" w:styleId="Heading8Char">
    <w:name w:val="Heading 8 Char"/>
    <w:basedOn w:val="DefaultParagraphFont"/>
    <w:link w:val="Heading8"/>
    <w:uiPriority w:val="9"/>
    <w:rsid w:val="00303452"/>
    <w:rPr>
      <w:rFonts w:eastAsia="Times New Roman"/>
      <w:b/>
      <w:bCs/>
      <w:iCs/>
      <w:color w:val="E36C0A"/>
      <w:sz w:val="28"/>
      <w:lang w:eastAsia="en-US"/>
    </w:rPr>
  </w:style>
  <w:style w:type="character" w:customStyle="1" w:styleId="Heading9Char">
    <w:name w:val="Heading 9 Char"/>
    <w:basedOn w:val="DefaultParagraphFont"/>
    <w:link w:val="Heading9"/>
    <w:uiPriority w:val="9"/>
    <w:rsid w:val="00303452"/>
    <w:rPr>
      <w:rFonts w:eastAsia="Times New Roman"/>
      <w:b/>
      <w:bCs/>
      <w:color w:val="E36C0A"/>
      <w:sz w:val="24"/>
      <w:lang w:eastAsia="en-US"/>
    </w:rPr>
  </w:style>
  <w:style w:type="paragraph" w:styleId="Caption">
    <w:name w:val="caption"/>
    <w:basedOn w:val="AERbodytext"/>
    <w:next w:val="AERbodytext"/>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6"/>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2"/>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5"/>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3"/>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4"/>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basedOn w:val="AERbodytext"/>
    <w:link w:val="FootnoteTextChar"/>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basedOn w:val="DefaultParagraphFont"/>
    <w:semiHidden/>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6"/>
      </w:numPr>
    </w:pPr>
  </w:style>
  <w:style w:type="numbering" w:customStyle="1" w:styleId="OldAERheadings">
    <w:name w:val="Old AER headings"/>
    <w:uiPriority w:val="99"/>
    <w:locked/>
    <w:rsid w:val="008515EE"/>
    <w:pPr>
      <w:numPr>
        <w:numId w:val="7"/>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semiHidden/>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semiHidden/>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1"/>
      </w:numPr>
    </w:pPr>
  </w:style>
  <w:style w:type="numbering" w:customStyle="1" w:styleId="Heading1Char">
    <w:name w:val="OldAERheadings"/>
    <w:pPr>
      <w:numPr>
        <w:numId w:val="7"/>
      </w:numPr>
    </w:pPr>
  </w:style>
  <w:style w:type="numbering" w:customStyle="1" w:styleId="Heading2Char">
    <w:name w:val="AERnumbered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21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B1C9C-6AE4-4F09-B7BF-5A794DE36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402C5F54.dotm</Template>
  <TotalTime>369</TotalTime>
  <Pages>10</Pages>
  <Words>1922</Words>
  <Characters>10961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12858</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AER</dc:creator>
  <cp:keywords/>
  <cp:lastModifiedBy>Monk, David</cp:lastModifiedBy>
  <cp:revision>8</cp:revision>
  <cp:lastPrinted>2012-05-03T01:13:00Z</cp:lastPrinted>
  <dcterms:created xsi:type="dcterms:W3CDTF">2014-03-20T05:50:00Z</dcterms:created>
  <dcterms:modified xsi:type="dcterms:W3CDTF">2014-05-01T01:26:00Z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8158207</vt:lpwstr>
  </property>
  <property fmtid="{D5CDD505-2E9C-101B-9397-08002B2CF9AE}" pid="3" name="currfile">
    <vt:lpwstr>\\SCBRFS001\Home$\dmonk\final decision - tasnetworks r (D2014-00034071).docx</vt:lpwstr>
  </property>
</Properties>
</file>