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4EF8" w:rsidRPr="00C4712A" w:rsidRDefault="002A4EF8" w:rsidP="00C823CE">
      <w:pPr>
        <w:pStyle w:val="Heading1"/>
        <w:spacing w:before="120"/>
        <w:rPr>
          <w:rFonts w:asciiTheme="minorHAnsi" w:hAnsiTheme="minorHAnsi" w:cstheme="minorHAnsi"/>
          <w:b/>
          <w:sz w:val="36"/>
          <w:szCs w:val="36"/>
        </w:rPr>
      </w:pPr>
      <w:bookmarkStart w:id="0" w:name="_Toc305751931"/>
      <w:bookmarkStart w:id="1" w:name="_Toc308601044"/>
      <w:bookmarkStart w:id="2" w:name="_Toc316978870"/>
      <w:bookmarkStart w:id="3" w:name="_Toc317520246"/>
      <w:bookmarkStart w:id="4" w:name="OLE_LINK72"/>
      <w:bookmarkStart w:id="5" w:name="OLE_LINK73"/>
      <w:r w:rsidRPr="00C4712A">
        <w:rPr>
          <w:rFonts w:asciiTheme="minorHAnsi" w:hAnsiTheme="minorHAnsi" w:cstheme="minorHAnsi"/>
          <w:b/>
          <w:noProof/>
          <w:color w:val="FFFFFF" w:themeColor="background1"/>
          <w:sz w:val="36"/>
          <w:szCs w:val="36"/>
          <w:lang w:eastAsia="en-AU"/>
        </w:rPr>
        <w:drawing>
          <wp:anchor distT="0" distB="0" distL="114300" distR="114300" simplePos="0" relativeHeight="251666432" behindDoc="1" locked="0" layoutInCell="1" allowOverlap="1" wp14:anchorId="61063001" wp14:editId="456C76CC">
            <wp:simplePos x="0" y="0"/>
            <wp:positionH relativeFrom="column">
              <wp:posOffset>0</wp:posOffset>
            </wp:positionH>
            <wp:positionV relativeFrom="paragraph">
              <wp:posOffset>7800</wp:posOffset>
            </wp:positionV>
            <wp:extent cx="5693434" cy="923502"/>
            <wp:effectExtent l="0" t="0" r="2540" b="0"/>
            <wp:wrapNone/>
            <wp:docPr id="1" name="Picture 1" descr="Australian Energy Regulato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Energy Regulator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94619" cy="923694"/>
                    </a:xfrm>
                    <a:prstGeom prst="rect">
                      <a:avLst/>
                    </a:prstGeom>
                    <a:noFill/>
                  </pic:spPr>
                </pic:pic>
              </a:graphicData>
            </a:graphic>
            <wp14:sizeRelH relativeFrom="page">
              <wp14:pctWidth>0</wp14:pctWidth>
            </wp14:sizeRelH>
            <wp14:sizeRelV relativeFrom="page">
              <wp14:pctHeight>0</wp14:pctHeight>
            </wp14:sizeRelV>
          </wp:anchor>
        </w:drawing>
      </w:r>
      <w:r w:rsidR="003171C6">
        <w:rPr>
          <w:rFonts w:asciiTheme="minorHAnsi" w:hAnsiTheme="minorHAnsi" w:cstheme="minorHAnsi"/>
          <w:b/>
          <w:color w:val="FFFFFF" w:themeColor="background1"/>
          <w:sz w:val="36"/>
          <w:szCs w:val="36"/>
        </w:rPr>
        <w:t>Gas Market</w:t>
      </w:r>
      <w:r w:rsidRPr="00C4712A">
        <w:rPr>
          <w:rFonts w:asciiTheme="minorHAnsi" w:hAnsiTheme="minorHAnsi" w:cstheme="minorHAnsi"/>
          <w:b/>
          <w:color w:val="FFFFFF" w:themeColor="background1"/>
          <w:sz w:val="36"/>
          <w:szCs w:val="36"/>
        </w:rPr>
        <w:t xml:space="preserve"> Report</w:t>
      </w:r>
    </w:p>
    <w:p w:rsidR="002A4EF8" w:rsidRPr="00C4712A" w:rsidRDefault="002A4EF8" w:rsidP="002A4EF8"/>
    <w:p w:rsidR="002A4EF8" w:rsidRDefault="002A4EF8" w:rsidP="002A4EF8"/>
    <w:p w:rsidR="00286866" w:rsidRPr="00AC3047" w:rsidRDefault="003A5878" w:rsidP="00286866">
      <w:pPr>
        <w:pStyle w:val="Heading2"/>
        <w:rPr>
          <w:i/>
        </w:rPr>
      </w:pPr>
      <w:r w:rsidRPr="003A5878">
        <w:rPr>
          <w:sz w:val="36"/>
          <w:szCs w:val="36"/>
        </w:rPr>
        <w:t>1 – 7</w:t>
      </w:r>
      <w:r w:rsidR="00286866" w:rsidRPr="003A5878">
        <w:rPr>
          <w:sz w:val="36"/>
          <w:szCs w:val="36"/>
        </w:rPr>
        <w:t xml:space="preserve"> </w:t>
      </w:r>
      <w:r w:rsidRPr="003A5878">
        <w:rPr>
          <w:sz w:val="36"/>
          <w:szCs w:val="36"/>
        </w:rPr>
        <w:t>January</w:t>
      </w:r>
      <w:r w:rsidR="00286866" w:rsidRPr="003A5878">
        <w:rPr>
          <w:sz w:val="36"/>
          <w:szCs w:val="36"/>
        </w:rPr>
        <w:t xml:space="preserve"> </w:t>
      </w:r>
      <w:r w:rsidRPr="003A5878">
        <w:rPr>
          <w:sz w:val="36"/>
          <w:szCs w:val="36"/>
        </w:rPr>
        <w:t>2017</w:t>
      </w:r>
    </w:p>
    <w:p w:rsidR="000835F4" w:rsidRPr="000835F4" w:rsidRDefault="000835F4" w:rsidP="000835F4">
      <w:pPr>
        <w:pStyle w:val="Heading2"/>
        <w:rPr>
          <w:rFonts w:eastAsia="Times New Roman" w:cs="Times New Roman"/>
          <w:color w:val="2272A3" w:themeColor="accent4" w:themeShade="80"/>
          <w:sz w:val="32"/>
          <w:szCs w:val="20"/>
        </w:rPr>
      </w:pPr>
      <w:r w:rsidRPr="000835F4">
        <w:rPr>
          <w:rFonts w:eastAsia="Times New Roman" w:cs="Times New Roman"/>
          <w:color w:val="2272A3" w:themeColor="accent4" w:themeShade="80"/>
          <w:sz w:val="32"/>
          <w:szCs w:val="20"/>
        </w:rPr>
        <w:t>Weekly Summary</w:t>
      </w:r>
    </w:p>
    <w:p w:rsidR="00C402E0" w:rsidRDefault="0016152D" w:rsidP="0046128B">
      <w:pPr>
        <w:spacing w:after="240"/>
        <w:jc w:val="both"/>
        <w:rPr>
          <w:rStyle w:val="a501"/>
          <w:rFonts w:eastAsia="Times New Roman"/>
          <w:bCs/>
          <w:color w:val="auto"/>
          <w:sz w:val="22"/>
          <w:szCs w:val="22"/>
          <w:lang w:val="en-US"/>
        </w:rPr>
      </w:pPr>
      <w:r w:rsidRPr="00C402E0">
        <w:rPr>
          <w:rStyle w:val="a501"/>
          <w:rFonts w:eastAsia="Times New Roman"/>
          <w:bCs/>
          <w:color w:val="auto"/>
          <w:sz w:val="22"/>
          <w:szCs w:val="22"/>
          <w:lang w:val="en-US"/>
        </w:rPr>
        <w:t>Gas prices increased significantly in Victoria, Sydney and Wallumbilla from the last week. Prices in the second half of this week reach above $6/GJ in all markets, concentrating around the $8/GJ mark</w:t>
      </w:r>
      <w:r w:rsidR="007768E1" w:rsidRPr="00C402E0">
        <w:rPr>
          <w:rStyle w:val="a501"/>
          <w:rFonts w:eastAsia="Times New Roman"/>
          <w:bCs/>
          <w:color w:val="auto"/>
          <w:sz w:val="22"/>
          <w:szCs w:val="22"/>
          <w:lang w:val="en-US"/>
        </w:rPr>
        <w:t xml:space="preserve"> at the end of the week</w:t>
      </w:r>
      <w:r w:rsidRPr="00C402E0">
        <w:rPr>
          <w:rStyle w:val="a501"/>
          <w:rFonts w:eastAsia="Times New Roman"/>
          <w:bCs/>
          <w:color w:val="auto"/>
          <w:sz w:val="22"/>
          <w:szCs w:val="22"/>
          <w:lang w:val="en-US"/>
        </w:rPr>
        <w:t xml:space="preserve">. </w:t>
      </w:r>
      <w:r w:rsidR="00D631F0" w:rsidRPr="00C402E0">
        <w:rPr>
          <w:rStyle w:val="a501"/>
          <w:rFonts w:eastAsia="Times New Roman"/>
          <w:bCs/>
          <w:color w:val="auto"/>
          <w:sz w:val="22"/>
          <w:szCs w:val="22"/>
          <w:lang w:val="en-US"/>
        </w:rPr>
        <w:t>Large</w:t>
      </w:r>
      <w:r w:rsidRPr="00C402E0">
        <w:rPr>
          <w:rStyle w:val="a501"/>
          <w:rFonts w:eastAsia="Times New Roman"/>
          <w:bCs/>
          <w:color w:val="auto"/>
          <w:sz w:val="22"/>
          <w:szCs w:val="22"/>
          <w:lang w:val="en-US"/>
        </w:rPr>
        <w:t xml:space="preserve"> increases in gas usage by generators in all states</w:t>
      </w:r>
      <w:r w:rsidR="007768E1" w:rsidRPr="00C402E0">
        <w:rPr>
          <w:rStyle w:val="a501"/>
          <w:rFonts w:eastAsia="Times New Roman"/>
          <w:bCs/>
          <w:color w:val="auto"/>
          <w:sz w:val="22"/>
          <w:szCs w:val="22"/>
          <w:lang w:val="en-US"/>
        </w:rPr>
        <w:t xml:space="preserve"> </w:t>
      </w:r>
      <w:r w:rsidR="00D631F0" w:rsidRPr="00C402E0">
        <w:rPr>
          <w:rStyle w:val="a501"/>
          <w:rFonts w:eastAsia="Times New Roman"/>
          <w:bCs/>
          <w:color w:val="auto"/>
          <w:sz w:val="22"/>
          <w:szCs w:val="22"/>
          <w:lang w:val="en-US"/>
        </w:rPr>
        <w:t>contributed to higher prices</w:t>
      </w:r>
      <w:r w:rsidR="004D4072">
        <w:rPr>
          <w:rStyle w:val="a501"/>
          <w:rFonts w:eastAsia="Times New Roman"/>
          <w:bCs/>
          <w:color w:val="auto"/>
          <w:sz w:val="22"/>
          <w:szCs w:val="22"/>
          <w:lang w:val="en-US"/>
        </w:rPr>
        <w:t>, coinciding with a number of high temperature conditions across the east coast</w:t>
      </w:r>
      <w:r w:rsidR="00D631F0" w:rsidRPr="00C402E0">
        <w:rPr>
          <w:rStyle w:val="a501"/>
          <w:rFonts w:eastAsia="Times New Roman"/>
          <w:bCs/>
          <w:color w:val="auto"/>
          <w:sz w:val="22"/>
          <w:szCs w:val="22"/>
          <w:lang w:val="en-US"/>
        </w:rPr>
        <w:t xml:space="preserve">. Record </w:t>
      </w:r>
      <w:r w:rsidR="007C152C">
        <w:rPr>
          <w:rStyle w:val="a501"/>
          <w:rFonts w:eastAsia="Times New Roman"/>
          <w:bCs/>
          <w:color w:val="auto"/>
          <w:sz w:val="22"/>
          <w:szCs w:val="22"/>
          <w:lang w:val="en-US"/>
        </w:rPr>
        <w:t xml:space="preserve">northerly </w:t>
      </w:r>
      <w:r w:rsidR="00D631F0" w:rsidRPr="00C402E0">
        <w:rPr>
          <w:rStyle w:val="a501"/>
          <w:rFonts w:eastAsia="Times New Roman"/>
          <w:bCs/>
          <w:color w:val="auto"/>
          <w:sz w:val="22"/>
          <w:szCs w:val="22"/>
          <w:lang w:val="en-US"/>
        </w:rPr>
        <w:t xml:space="preserve">flows of gas out of Victoria </w:t>
      </w:r>
      <w:r w:rsidR="007768E1" w:rsidRPr="00C402E0">
        <w:rPr>
          <w:rStyle w:val="a501"/>
          <w:rFonts w:eastAsia="Times New Roman"/>
          <w:bCs/>
          <w:color w:val="auto"/>
          <w:sz w:val="22"/>
          <w:szCs w:val="22"/>
          <w:lang w:val="en-US"/>
        </w:rPr>
        <w:t>occurred</w:t>
      </w:r>
      <w:r w:rsidR="00D631F0" w:rsidRPr="00C402E0">
        <w:rPr>
          <w:rStyle w:val="a501"/>
          <w:rFonts w:eastAsia="Times New Roman"/>
          <w:bCs/>
          <w:color w:val="auto"/>
          <w:sz w:val="22"/>
          <w:szCs w:val="22"/>
          <w:lang w:val="en-US"/>
        </w:rPr>
        <w:t>,</w:t>
      </w:r>
      <w:r w:rsidR="007768E1" w:rsidRPr="00C402E0">
        <w:rPr>
          <w:rStyle w:val="a501"/>
          <w:rFonts w:eastAsia="Times New Roman"/>
          <w:bCs/>
          <w:color w:val="auto"/>
          <w:sz w:val="22"/>
          <w:szCs w:val="22"/>
          <w:lang w:val="en-US"/>
        </w:rPr>
        <w:t xml:space="preserve"> </w:t>
      </w:r>
      <w:r w:rsidR="007C152C">
        <w:rPr>
          <w:rStyle w:val="a501"/>
          <w:rFonts w:eastAsia="Times New Roman"/>
          <w:bCs/>
          <w:color w:val="auto"/>
          <w:sz w:val="22"/>
          <w:szCs w:val="22"/>
          <w:lang w:val="en-US"/>
        </w:rPr>
        <w:t xml:space="preserve">reaching close to 150 TJ on 5 January, following </w:t>
      </w:r>
      <w:r w:rsidR="00D631F0" w:rsidRPr="00C402E0">
        <w:rPr>
          <w:rStyle w:val="a501"/>
          <w:rFonts w:eastAsia="Times New Roman"/>
          <w:bCs/>
          <w:color w:val="auto"/>
          <w:sz w:val="22"/>
          <w:szCs w:val="22"/>
          <w:lang w:val="en-US"/>
        </w:rPr>
        <w:t>the expansion of</w:t>
      </w:r>
      <w:r w:rsidR="00715AD1" w:rsidRPr="00C402E0">
        <w:rPr>
          <w:rStyle w:val="a501"/>
          <w:rFonts w:eastAsia="Times New Roman"/>
          <w:bCs/>
          <w:color w:val="auto"/>
          <w:sz w:val="22"/>
          <w:szCs w:val="22"/>
          <w:lang w:val="en-US"/>
        </w:rPr>
        <w:t xml:space="preserve"> </w:t>
      </w:r>
      <w:r w:rsidR="00D631F0" w:rsidRPr="00C402E0">
        <w:rPr>
          <w:rStyle w:val="a501"/>
          <w:rFonts w:eastAsia="Times New Roman"/>
          <w:bCs/>
          <w:color w:val="auto"/>
          <w:sz w:val="22"/>
          <w:szCs w:val="22"/>
          <w:lang w:val="en-US"/>
        </w:rPr>
        <w:t>NSW-VIC interconnect</w:t>
      </w:r>
      <w:r w:rsidR="007768E1" w:rsidRPr="00C402E0">
        <w:rPr>
          <w:rStyle w:val="a501"/>
          <w:rFonts w:eastAsia="Times New Roman"/>
          <w:bCs/>
          <w:color w:val="auto"/>
          <w:sz w:val="22"/>
          <w:szCs w:val="22"/>
          <w:lang w:val="en-US"/>
        </w:rPr>
        <w:t xml:space="preserve"> in late 2016</w:t>
      </w:r>
      <w:r w:rsidR="00D631F0" w:rsidRPr="00C402E0">
        <w:rPr>
          <w:rStyle w:val="a501"/>
          <w:rFonts w:eastAsia="Times New Roman"/>
          <w:bCs/>
          <w:color w:val="auto"/>
          <w:sz w:val="22"/>
          <w:szCs w:val="22"/>
          <w:lang w:val="en-US"/>
        </w:rPr>
        <w:t>.</w:t>
      </w:r>
      <w:r w:rsidR="00375C60" w:rsidRPr="00C402E0">
        <w:rPr>
          <w:rStyle w:val="FootnoteReference"/>
          <w:rFonts w:eastAsia="Times New Roman" w:cs="Arial"/>
          <w:bCs/>
          <w:lang w:val="en-US"/>
        </w:rPr>
        <w:footnoteReference w:id="1"/>
      </w:r>
      <w:r w:rsidR="00D631F0" w:rsidRPr="00C402E0">
        <w:rPr>
          <w:rStyle w:val="a501"/>
          <w:rFonts w:eastAsia="Times New Roman"/>
          <w:bCs/>
          <w:color w:val="auto"/>
          <w:sz w:val="22"/>
          <w:szCs w:val="22"/>
          <w:lang w:val="en-US"/>
        </w:rPr>
        <w:t xml:space="preserve"> </w:t>
      </w:r>
    </w:p>
    <w:p w:rsidR="00F6307C" w:rsidRDefault="00D631F0" w:rsidP="00C402E0">
      <w:pPr>
        <w:spacing w:after="240"/>
        <w:jc w:val="both"/>
        <w:rPr>
          <w:rStyle w:val="a501"/>
          <w:rFonts w:eastAsia="Times New Roman"/>
          <w:bCs/>
          <w:color w:val="auto"/>
          <w:sz w:val="22"/>
          <w:szCs w:val="22"/>
          <w:lang w:val="en-US"/>
        </w:rPr>
      </w:pPr>
      <w:r w:rsidRPr="00C402E0">
        <w:rPr>
          <w:rStyle w:val="a501"/>
          <w:rFonts w:eastAsia="Times New Roman"/>
          <w:bCs/>
          <w:color w:val="auto"/>
          <w:sz w:val="22"/>
          <w:szCs w:val="22"/>
          <w:lang w:val="en-US"/>
        </w:rPr>
        <w:t xml:space="preserve">A constraint imposed at the Longford gas production plant due to planned maintenance also weighed on prices later in the week. </w:t>
      </w:r>
      <w:r w:rsidR="00C402E0">
        <w:rPr>
          <w:rStyle w:val="a501"/>
          <w:rFonts w:eastAsia="Times New Roman"/>
          <w:bCs/>
          <w:color w:val="auto"/>
          <w:sz w:val="22"/>
          <w:szCs w:val="22"/>
          <w:lang w:val="en-US"/>
        </w:rPr>
        <w:t>Storage levels at Iona increases by around 1 PJ this week. T</w:t>
      </w:r>
      <w:r w:rsidR="00EA550B" w:rsidRPr="00C402E0">
        <w:rPr>
          <w:rStyle w:val="a501"/>
          <w:rFonts w:eastAsia="Times New Roman"/>
          <w:bCs/>
          <w:color w:val="auto"/>
          <w:sz w:val="22"/>
          <w:szCs w:val="22"/>
          <w:lang w:val="en-US"/>
        </w:rPr>
        <w:t xml:space="preserve">his follows </w:t>
      </w:r>
      <w:r w:rsidRPr="00C402E0">
        <w:rPr>
          <w:rStyle w:val="a501"/>
          <w:rFonts w:eastAsia="Times New Roman"/>
          <w:bCs/>
          <w:color w:val="auto"/>
          <w:sz w:val="22"/>
          <w:szCs w:val="22"/>
          <w:lang w:val="en-US"/>
        </w:rPr>
        <w:t xml:space="preserve">Iona </w:t>
      </w:r>
      <w:r w:rsidR="00EA550B" w:rsidRPr="00C402E0">
        <w:rPr>
          <w:rStyle w:val="a501"/>
          <w:rFonts w:eastAsia="Times New Roman"/>
          <w:bCs/>
          <w:color w:val="auto"/>
          <w:sz w:val="22"/>
          <w:szCs w:val="22"/>
          <w:lang w:val="en-US"/>
        </w:rPr>
        <w:t xml:space="preserve">being </w:t>
      </w:r>
      <w:r w:rsidRPr="00C402E0">
        <w:rPr>
          <w:rStyle w:val="a501"/>
          <w:rFonts w:eastAsia="Times New Roman"/>
          <w:bCs/>
          <w:color w:val="auto"/>
          <w:sz w:val="22"/>
          <w:szCs w:val="22"/>
          <w:lang w:val="en-US"/>
        </w:rPr>
        <w:t xml:space="preserve">relied upon to supply the market during </w:t>
      </w:r>
      <w:r w:rsidR="00EA550B" w:rsidRPr="00C402E0">
        <w:rPr>
          <w:rStyle w:val="a501"/>
          <w:rFonts w:eastAsia="Times New Roman"/>
          <w:bCs/>
          <w:color w:val="auto"/>
          <w:sz w:val="22"/>
          <w:szCs w:val="22"/>
          <w:lang w:val="en-US"/>
        </w:rPr>
        <w:t xml:space="preserve">recent </w:t>
      </w:r>
      <w:r w:rsidRPr="00C402E0">
        <w:rPr>
          <w:rStyle w:val="a501"/>
          <w:rFonts w:eastAsia="Times New Roman"/>
          <w:bCs/>
          <w:color w:val="auto"/>
          <w:sz w:val="22"/>
          <w:szCs w:val="22"/>
          <w:lang w:val="en-US"/>
        </w:rPr>
        <w:t>reduction</w:t>
      </w:r>
      <w:r w:rsidR="00EA550B" w:rsidRPr="00C402E0">
        <w:rPr>
          <w:rStyle w:val="a501"/>
          <w:rFonts w:eastAsia="Times New Roman"/>
          <w:bCs/>
          <w:color w:val="auto"/>
          <w:sz w:val="22"/>
          <w:szCs w:val="22"/>
          <w:lang w:val="en-US"/>
        </w:rPr>
        <w:t>s</w:t>
      </w:r>
      <w:r w:rsidRPr="00C402E0">
        <w:rPr>
          <w:rStyle w:val="a501"/>
          <w:rFonts w:eastAsia="Times New Roman"/>
          <w:bCs/>
          <w:color w:val="auto"/>
          <w:sz w:val="22"/>
          <w:szCs w:val="22"/>
          <w:lang w:val="en-US"/>
        </w:rPr>
        <w:t xml:space="preserve"> in supply from Longford.</w:t>
      </w:r>
    </w:p>
    <w:p w:rsidR="00C402E0" w:rsidRPr="00C402E0" w:rsidRDefault="007C152C" w:rsidP="00C402E0">
      <w:pPr>
        <w:spacing w:after="240"/>
        <w:jc w:val="both"/>
        <w:rPr>
          <w:rStyle w:val="a501"/>
          <w:rFonts w:eastAsia="Times New Roman"/>
          <w:bCs/>
          <w:color w:val="auto"/>
          <w:sz w:val="22"/>
          <w:szCs w:val="22"/>
          <w:lang w:val="en-US"/>
        </w:rPr>
      </w:pPr>
      <w:r>
        <w:rPr>
          <w:rStyle w:val="a501"/>
          <w:rFonts w:eastAsia="Times New Roman"/>
          <w:bCs/>
          <w:color w:val="auto"/>
          <w:sz w:val="22"/>
          <w:szCs w:val="22"/>
          <w:lang w:val="en-US"/>
        </w:rPr>
        <w:t xml:space="preserve">Figure 3 shows </w:t>
      </w:r>
      <w:r w:rsidR="00C402E0" w:rsidRPr="00C402E0">
        <w:rPr>
          <w:rStyle w:val="a501"/>
          <w:rFonts w:eastAsia="Times New Roman"/>
          <w:bCs/>
          <w:color w:val="auto"/>
          <w:sz w:val="22"/>
          <w:szCs w:val="22"/>
          <w:lang w:val="en-US"/>
        </w:rPr>
        <w:t>MOS payments were down sharply from the previous week.</w:t>
      </w:r>
    </w:p>
    <w:p w:rsidR="000835F4" w:rsidRPr="000835F4" w:rsidRDefault="000835F4" w:rsidP="001521CB">
      <w:pPr>
        <w:pStyle w:val="Heading3"/>
        <w:rPr>
          <w:rFonts w:eastAsia="Times New Roman" w:cs="Times New Roman"/>
          <w:color w:val="2272A3" w:themeColor="accent4" w:themeShade="80"/>
          <w:sz w:val="32"/>
          <w:szCs w:val="20"/>
        </w:rPr>
      </w:pPr>
      <w:r w:rsidRPr="000835F4">
        <w:rPr>
          <w:rFonts w:eastAsia="Times New Roman" w:cs="Times New Roman"/>
          <w:color w:val="2272A3" w:themeColor="accent4" w:themeShade="80"/>
          <w:sz w:val="32"/>
          <w:szCs w:val="20"/>
        </w:rPr>
        <w:t>Long term statistics and explanatory material</w:t>
      </w:r>
    </w:p>
    <w:p w:rsidR="000835F4" w:rsidRPr="00AF2164" w:rsidRDefault="000835F4" w:rsidP="000835F4">
      <w:pPr>
        <w:jc w:val="both"/>
      </w:pPr>
      <w:r>
        <w:t xml:space="preserve">The AER has published an </w:t>
      </w:r>
      <w:hyperlink r:id="rId10" w:history="1">
        <w:r>
          <w:rPr>
            <w:rStyle w:val="Hyperlink"/>
          </w:rPr>
          <w:t>explanatory note</w:t>
        </w:r>
      </w:hyperlink>
      <w:r>
        <w:t xml:space="preserve"> to assist with interpreting the data presented in its weekly gas market reports. The AER also publish a range of </w:t>
      </w:r>
      <w:hyperlink r:id="rId11" w:history="1">
        <w:r>
          <w:rPr>
            <w:rStyle w:val="Hyperlink"/>
          </w:rPr>
          <w:t>longer term statistics</w:t>
        </w:r>
      </w:hyperlink>
      <w:r>
        <w:t xml:space="preserve"> on the performance of the gas sector including gas prices, production, pipeline flows and consumer demand.</w:t>
      </w:r>
    </w:p>
    <w:p w:rsidR="000835F4" w:rsidRPr="000835F4" w:rsidRDefault="000835F4" w:rsidP="001521CB">
      <w:pPr>
        <w:pStyle w:val="Heading3"/>
        <w:rPr>
          <w:rFonts w:eastAsia="Times New Roman" w:cs="Times New Roman"/>
          <w:color w:val="2272A3" w:themeColor="accent4" w:themeShade="80"/>
          <w:sz w:val="32"/>
          <w:szCs w:val="20"/>
        </w:rPr>
      </w:pPr>
      <w:r w:rsidRPr="000835F4">
        <w:rPr>
          <w:rFonts w:eastAsia="Times New Roman" w:cs="Times New Roman"/>
          <w:color w:val="2272A3" w:themeColor="accent4" w:themeShade="80"/>
          <w:sz w:val="32"/>
          <w:szCs w:val="20"/>
        </w:rPr>
        <w:t>Market overview</w:t>
      </w:r>
    </w:p>
    <w:p w:rsidR="000835F4" w:rsidRDefault="000835F4" w:rsidP="000835F4">
      <w:pPr>
        <w:jc w:val="both"/>
      </w:pPr>
      <w:r w:rsidRPr="00EC137F">
        <w:t>Figure 1 sets out the average daily prices ($/GJ) for the current week</w:t>
      </w:r>
      <w:r w:rsidR="003106BC" w:rsidRPr="00EC137F">
        <w:t>, and demand levels,</w:t>
      </w:r>
      <w:r w:rsidRPr="00EC137F">
        <w:t xml:space="preserve"> compared to historical averages. </w:t>
      </w:r>
      <w:r w:rsidR="003106BC" w:rsidRPr="00EC137F">
        <w:t>Regions shown include</w:t>
      </w:r>
      <w:r w:rsidRPr="00EC137F">
        <w:t xml:space="preserve"> the Victorian Declared Wholesale Market </w:t>
      </w:r>
      <w:r w:rsidRPr="00EC137F">
        <w:rPr>
          <w:b/>
        </w:rPr>
        <w:t>(VGM or Victorian gas market)</w:t>
      </w:r>
      <w:r w:rsidRPr="00EC137F">
        <w:t xml:space="preserve"> and for the Sydney </w:t>
      </w:r>
      <w:r w:rsidRPr="00EC137F">
        <w:rPr>
          <w:b/>
        </w:rPr>
        <w:t>(SYD)</w:t>
      </w:r>
      <w:r w:rsidRPr="00EC137F">
        <w:t xml:space="preserve">, Adelaide </w:t>
      </w:r>
      <w:r w:rsidRPr="00EC137F">
        <w:rPr>
          <w:b/>
        </w:rPr>
        <w:t xml:space="preserve">(ADL) </w:t>
      </w:r>
      <w:r w:rsidRPr="00EC137F">
        <w:t xml:space="preserve">and Brisbane </w:t>
      </w:r>
      <w:r w:rsidRPr="00EC137F">
        <w:rPr>
          <w:b/>
        </w:rPr>
        <w:t xml:space="preserve">(BRI) </w:t>
      </w:r>
      <w:r w:rsidRPr="00EC137F">
        <w:t xml:space="preserve">Short Term Trading Market hubs </w:t>
      </w:r>
      <w:r w:rsidRPr="00EC137F">
        <w:rPr>
          <w:b/>
        </w:rPr>
        <w:t>(STTM)</w:t>
      </w:r>
      <w:r w:rsidRPr="00EC137F">
        <w:t xml:space="preserve">. </w:t>
      </w:r>
      <w:r w:rsidR="003106BC" w:rsidRPr="00EC137F">
        <w:t>Price and demand information</w:t>
      </w:r>
      <w:r w:rsidRPr="00EC137F">
        <w:t xml:space="preserve"> </w:t>
      </w:r>
      <w:r w:rsidR="003106BC" w:rsidRPr="00EC137F">
        <w:t>is</w:t>
      </w:r>
      <w:r w:rsidRPr="00EC137F">
        <w:t xml:space="preserve"> also shown for the voluntary Wallumbilla and Moomba Gas Supply Hubs </w:t>
      </w:r>
      <w:r w:rsidR="006621AB" w:rsidRPr="00EC137F">
        <w:rPr>
          <w:b/>
        </w:rPr>
        <w:t>(GSH</w:t>
      </w:r>
      <w:r w:rsidRPr="00EC137F">
        <w:rPr>
          <w:b/>
        </w:rPr>
        <w:t>)</w:t>
      </w:r>
      <w:r w:rsidRPr="00EC137F">
        <w:t>.</w:t>
      </w:r>
    </w:p>
    <w:p w:rsidR="002B5F16" w:rsidRDefault="002B5F16">
      <w:pPr>
        <w:spacing w:line="240" w:lineRule="auto"/>
        <w:rPr>
          <w:b/>
          <w:bCs/>
          <w:color w:val="2272A3" w:themeColor="accent4" w:themeShade="80"/>
          <w:sz w:val="24"/>
          <w:szCs w:val="18"/>
        </w:rPr>
      </w:pPr>
      <w:r>
        <w:br w:type="page"/>
      </w:r>
    </w:p>
    <w:p w:rsidR="000835F4" w:rsidRDefault="000835F4" w:rsidP="000835F4">
      <w:pPr>
        <w:pStyle w:val="Caption"/>
        <w:rPr>
          <w:color w:val="2272A3"/>
          <w:szCs w:val="24"/>
        </w:rPr>
      </w:pPr>
      <w:r w:rsidRPr="00BE2075">
        <w:lastRenderedPageBreak/>
        <w:t xml:space="preserve">Figure </w:t>
      </w:r>
      <w:fldSimple w:instr=" SEQ Figure \* ARABIC ">
        <w:r w:rsidR="002B5F16">
          <w:rPr>
            <w:noProof/>
          </w:rPr>
          <w:t>1</w:t>
        </w:r>
      </w:fldSimple>
      <w:r w:rsidRPr="00BE2075">
        <w:t xml:space="preserve">: </w:t>
      </w:r>
      <w:r w:rsidRPr="006E7E57">
        <w:rPr>
          <w:color w:val="2272A3"/>
          <w:szCs w:val="24"/>
        </w:rPr>
        <w:t>Average daily prices</w:t>
      </w:r>
      <w:r w:rsidR="003106BC">
        <w:rPr>
          <w:color w:val="2272A3"/>
          <w:szCs w:val="24"/>
        </w:rPr>
        <w:t xml:space="preserve"> and demand</w:t>
      </w:r>
      <w:r w:rsidRPr="006E7E57">
        <w:rPr>
          <w:color w:val="2272A3"/>
          <w:szCs w:val="24"/>
        </w:rPr>
        <w:t xml:space="preserve"> – all markets ($/GJ</w:t>
      </w:r>
      <w:r w:rsidR="003106BC" w:rsidRPr="00EC137F">
        <w:rPr>
          <w:color w:val="2272A3"/>
          <w:szCs w:val="24"/>
        </w:rPr>
        <w:t>, TJ</w:t>
      </w:r>
      <w:r w:rsidRPr="00EC137F">
        <w:rPr>
          <w:color w:val="2272A3"/>
          <w:szCs w:val="24"/>
        </w:rPr>
        <w:t>)</w:t>
      </w:r>
      <w:r w:rsidRPr="00EC137F">
        <w:rPr>
          <w:color w:val="2272A3"/>
          <w:szCs w:val="24"/>
          <w:vertAlign w:val="superscript"/>
        </w:rPr>
        <w:footnoteReference w:id="2"/>
      </w:r>
    </w:p>
    <w:tbl>
      <w:tblPr>
        <w:tblStyle w:val="AERTable-Text"/>
        <w:tblW w:w="4991" w:type="pct"/>
        <w:tblLayout w:type="fixed"/>
        <w:tblLook w:val="04A0" w:firstRow="1" w:lastRow="0" w:firstColumn="1" w:lastColumn="0" w:noHBand="0" w:noVBand="1"/>
      </w:tblPr>
      <w:tblGrid>
        <w:gridCol w:w="1382"/>
        <w:gridCol w:w="607"/>
        <w:gridCol w:w="814"/>
        <w:gridCol w:w="607"/>
        <w:gridCol w:w="769"/>
        <w:gridCol w:w="607"/>
        <w:gridCol w:w="572"/>
        <w:gridCol w:w="607"/>
        <w:gridCol w:w="670"/>
        <w:gridCol w:w="609"/>
        <w:gridCol w:w="662"/>
        <w:gridCol w:w="79"/>
        <w:gridCol w:w="480"/>
        <w:gridCol w:w="760"/>
      </w:tblGrid>
      <w:tr w:rsidR="00546B16" w:rsidRPr="002861A9" w:rsidTr="00C5766F">
        <w:trPr>
          <w:cnfStyle w:val="100000000000" w:firstRow="1" w:lastRow="0" w:firstColumn="0" w:lastColumn="0" w:oddVBand="0" w:evenVBand="0" w:oddHBand="0" w:evenHBand="0" w:firstRowFirstColumn="0" w:firstRowLastColumn="0" w:lastRowFirstColumn="0" w:lastRowLastColumn="0"/>
          <w:trHeight w:val="404"/>
          <w:tblHeader/>
        </w:trPr>
        <w:tc>
          <w:tcPr>
            <w:tcW w:w="749" w:type="pct"/>
            <w:tcBorders>
              <w:bottom w:val="nil"/>
            </w:tcBorders>
            <w:vAlign w:val="center"/>
          </w:tcPr>
          <w:p w:rsidR="00546B16" w:rsidRPr="00E16EDC" w:rsidRDefault="00546B16" w:rsidP="00546B16">
            <w:pPr>
              <w:pStyle w:val="TableHeading"/>
              <w:spacing w:before="120" w:after="0" w:line="240" w:lineRule="auto"/>
              <w:jc w:val="center"/>
              <w:rPr>
                <w:rFonts w:cs="Arial"/>
                <w:sz w:val="20"/>
                <w:szCs w:val="20"/>
              </w:rPr>
            </w:pPr>
          </w:p>
        </w:tc>
        <w:tc>
          <w:tcPr>
            <w:tcW w:w="770" w:type="pct"/>
            <w:gridSpan w:val="2"/>
            <w:tcBorders>
              <w:bottom w:val="nil"/>
            </w:tcBorders>
            <w:vAlign w:val="center"/>
          </w:tcPr>
          <w:p w:rsidR="00546B16" w:rsidRPr="00E95390" w:rsidRDefault="00546B16" w:rsidP="00546B16">
            <w:pPr>
              <w:spacing w:before="120" w:line="240" w:lineRule="auto"/>
              <w:jc w:val="center"/>
              <w:rPr>
                <w:rFonts w:eastAsia="Times New Roman" w:cs="Arial"/>
                <w:b w:val="0"/>
                <w:bCs/>
                <w:color w:val="FFFFFF"/>
                <w:sz w:val="20"/>
                <w:szCs w:val="20"/>
                <w:lang w:eastAsia="en-AU"/>
              </w:rPr>
            </w:pPr>
            <w:r w:rsidRPr="00E95390">
              <w:rPr>
                <w:rFonts w:eastAsia="Times New Roman" w:cs="Arial"/>
                <w:bCs/>
                <w:color w:val="FFFFFF"/>
                <w:sz w:val="20"/>
                <w:szCs w:val="20"/>
                <w:lang w:eastAsia="en-AU"/>
              </w:rPr>
              <w:t>Victoria</w:t>
            </w:r>
          </w:p>
        </w:tc>
        <w:tc>
          <w:tcPr>
            <w:tcW w:w="746" w:type="pct"/>
            <w:gridSpan w:val="2"/>
            <w:tcBorders>
              <w:bottom w:val="nil"/>
            </w:tcBorders>
            <w:vAlign w:val="center"/>
          </w:tcPr>
          <w:p w:rsidR="00546B16" w:rsidRPr="00E95390" w:rsidRDefault="00546B16" w:rsidP="00546B16">
            <w:pPr>
              <w:spacing w:before="120" w:line="240" w:lineRule="auto"/>
              <w:jc w:val="center"/>
              <w:rPr>
                <w:rFonts w:eastAsia="Times New Roman" w:cs="Arial"/>
                <w:b w:val="0"/>
                <w:bCs/>
                <w:color w:val="FFFFFF"/>
                <w:sz w:val="20"/>
                <w:szCs w:val="20"/>
                <w:lang w:eastAsia="en-AU"/>
              </w:rPr>
            </w:pPr>
            <w:r w:rsidRPr="00E95390">
              <w:rPr>
                <w:rFonts w:eastAsia="Times New Roman" w:cs="Arial"/>
                <w:bCs/>
                <w:color w:val="FFFFFF"/>
                <w:sz w:val="20"/>
                <w:szCs w:val="20"/>
                <w:lang w:eastAsia="en-AU"/>
              </w:rPr>
              <w:t>Sydney</w:t>
            </w:r>
          </w:p>
        </w:tc>
        <w:tc>
          <w:tcPr>
            <w:tcW w:w="639" w:type="pct"/>
            <w:gridSpan w:val="2"/>
            <w:tcBorders>
              <w:bottom w:val="nil"/>
            </w:tcBorders>
            <w:vAlign w:val="center"/>
          </w:tcPr>
          <w:p w:rsidR="00546B16" w:rsidRPr="00E95390" w:rsidRDefault="00546B16" w:rsidP="00546B16">
            <w:pPr>
              <w:spacing w:before="120" w:line="240" w:lineRule="auto"/>
              <w:jc w:val="center"/>
              <w:rPr>
                <w:rFonts w:eastAsia="Times New Roman" w:cs="Arial"/>
                <w:b w:val="0"/>
                <w:bCs/>
                <w:color w:val="FFFFFF"/>
                <w:sz w:val="20"/>
                <w:szCs w:val="20"/>
                <w:lang w:eastAsia="en-AU"/>
              </w:rPr>
            </w:pPr>
            <w:r w:rsidRPr="00E95390">
              <w:rPr>
                <w:rFonts w:eastAsia="Times New Roman" w:cs="Arial"/>
                <w:bCs/>
                <w:color w:val="FFFFFF"/>
                <w:sz w:val="20"/>
                <w:szCs w:val="20"/>
                <w:lang w:eastAsia="en-AU"/>
              </w:rPr>
              <w:t>Adelaide</w:t>
            </w:r>
          </w:p>
        </w:tc>
        <w:tc>
          <w:tcPr>
            <w:tcW w:w="692" w:type="pct"/>
            <w:gridSpan w:val="2"/>
            <w:tcBorders>
              <w:bottom w:val="nil"/>
            </w:tcBorders>
            <w:vAlign w:val="center"/>
          </w:tcPr>
          <w:p w:rsidR="00546B16" w:rsidRPr="00E95390" w:rsidRDefault="00546B16" w:rsidP="00546B16">
            <w:pPr>
              <w:spacing w:before="120" w:line="240" w:lineRule="auto"/>
              <w:jc w:val="center"/>
              <w:rPr>
                <w:rFonts w:eastAsia="Times New Roman" w:cs="Arial"/>
                <w:b w:val="0"/>
                <w:bCs/>
                <w:color w:val="FFFFFF"/>
                <w:sz w:val="20"/>
                <w:szCs w:val="20"/>
                <w:lang w:eastAsia="en-AU"/>
              </w:rPr>
            </w:pPr>
            <w:r w:rsidRPr="00E95390">
              <w:rPr>
                <w:rFonts w:eastAsia="Times New Roman" w:cs="Arial"/>
                <w:bCs/>
                <w:color w:val="FFFFFF"/>
                <w:sz w:val="20"/>
                <w:szCs w:val="20"/>
                <w:lang w:eastAsia="en-AU"/>
              </w:rPr>
              <w:t>Brisbane</w:t>
            </w:r>
          </w:p>
        </w:tc>
        <w:tc>
          <w:tcPr>
            <w:tcW w:w="732" w:type="pct"/>
            <w:gridSpan w:val="3"/>
            <w:tcBorders>
              <w:bottom w:val="nil"/>
            </w:tcBorders>
            <w:vAlign w:val="center"/>
          </w:tcPr>
          <w:p w:rsidR="00546B16" w:rsidRPr="00E95390" w:rsidRDefault="00546B16" w:rsidP="00546B16">
            <w:pPr>
              <w:spacing w:before="120" w:line="240" w:lineRule="auto"/>
              <w:jc w:val="center"/>
              <w:rPr>
                <w:rFonts w:eastAsia="Times New Roman" w:cs="Arial"/>
                <w:b w:val="0"/>
                <w:bCs/>
                <w:color w:val="FFFFFF"/>
                <w:sz w:val="20"/>
                <w:szCs w:val="20"/>
                <w:lang w:eastAsia="en-AU"/>
              </w:rPr>
            </w:pPr>
            <w:r w:rsidRPr="00E95390">
              <w:rPr>
                <w:rFonts w:eastAsia="Times New Roman" w:cs="Arial"/>
                <w:bCs/>
                <w:color w:val="FFFFFF"/>
                <w:sz w:val="20"/>
                <w:szCs w:val="20"/>
                <w:lang w:eastAsia="en-AU"/>
              </w:rPr>
              <w:t>Wallumbilla</w:t>
            </w:r>
          </w:p>
        </w:tc>
        <w:tc>
          <w:tcPr>
            <w:tcW w:w="672" w:type="pct"/>
            <w:gridSpan w:val="2"/>
            <w:tcBorders>
              <w:bottom w:val="nil"/>
            </w:tcBorders>
            <w:vAlign w:val="center"/>
          </w:tcPr>
          <w:p w:rsidR="00546B16" w:rsidRPr="00E95390" w:rsidRDefault="00546B16" w:rsidP="00546B16">
            <w:pPr>
              <w:spacing w:before="120" w:line="240" w:lineRule="auto"/>
              <w:jc w:val="center"/>
              <w:rPr>
                <w:rFonts w:eastAsia="Times New Roman" w:cs="Arial"/>
                <w:b w:val="0"/>
                <w:bCs/>
                <w:color w:val="FFFFFF"/>
                <w:sz w:val="20"/>
                <w:szCs w:val="20"/>
                <w:lang w:eastAsia="en-AU"/>
              </w:rPr>
            </w:pPr>
            <w:r w:rsidRPr="00E95390">
              <w:rPr>
                <w:rFonts w:eastAsia="Times New Roman" w:cs="Arial"/>
                <w:bCs/>
                <w:color w:val="FFFFFF"/>
                <w:sz w:val="20"/>
                <w:szCs w:val="20"/>
                <w:lang w:eastAsia="en-AU"/>
              </w:rPr>
              <w:t>Moomba</w:t>
            </w:r>
          </w:p>
        </w:tc>
      </w:tr>
      <w:tr w:rsidR="00534DD9" w:rsidRPr="002861A9" w:rsidTr="00534DD9">
        <w:trPr>
          <w:cnfStyle w:val="100000000000" w:firstRow="1" w:lastRow="0" w:firstColumn="0" w:lastColumn="0" w:oddVBand="0" w:evenVBand="0" w:oddHBand="0" w:evenHBand="0" w:firstRowFirstColumn="0" w:firstRowLastColumn="0" w:lastRowFirstColumn="0" w:lastRowLastColumn="0"/>
          <w:tblHeader/>
        </w:trPr>
        <w:tc>
          <w:tcPr>
            <w:tcW w:w="749" w:type="pct"/>
            <w:tcBorders>
              <w:bottom w:val="nil"/>
            </w:tcBorders>
            <w:vAlign w:val="center"/>
            <w:hideMark/>
          </w:tcPr>
          <w:p w:rsidR="00546B16" w:rsidRPr="00A226E9" w:rsidRDefault="00546B16" w:rsidP="00546B16">
            <w:pPr>
              <w:spacing w:before="0" w:line="240" w:lineRule="auto"/>
              <w:rPr>
                <w:rFonts w:cs="Arial"/>
                <w:sz w:val="20"/>
                <w:szCs w:val="20"/>
                <w:highlight w:val="yellow"/>
              </w:rPr>
            </w:pPr>
          </w:p>
        </w:tc>
        <w:tc>
          <w:tcPr>
            <w:tcW w:w="329" w:type="pct"/>
            <w:tcBorders>
              <w:bottom w:val="nil"/>
            </w:tcBorders>
            <w:vAlign w:val="center"/>
            <w:hideMark/>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Price</w:t>
            </w:r>
          </w:p>
        </w:tc>
        <w:tc>
          <w:tcPr>
            <w:tcW w:w="441" w:type="pct"/>
            <w:tcBorders>
              <w:bottom w:val="nil"/>
            </w:tcBorders>
            <w:vAlign w:val="center"/>
            <w:hideMark/>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Demand</w:t>
            </w:r>
          </w:p>
        </w:tc>
        <w:tc>
          <w:tcPr>
            <w:tcW w:w="329" w:type="pct"/>
            <w:tcBorders>
              <w:bottom w:val="nil"/>
            </w:tcBorders>
            <w:vAlign w:val="center"/>
            <w:hideMark/>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Price</w:t>
            </w:r>
          </w:p>
        </w:tc>
        <w:tc>
          <w:tcPr>
            <w:tcW w:w="417" w:type="pct"/>
            <w:tcBorders>
              <w:bottom w:val="nil"/>
            </w:tcBorders>
            <w:vAlign w:val="center"/>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Demand</w:t>
            </w:r>
          </w:p>
        </w:tc>
        <w:tc>
          <w:tcPr>
            <w:tcW w:w="329" w:type="pct"/>
            <w:tcBorders>
              <w:bottom w:val="nil"/>
            </w:tcBorders>
            <w:vAlign w:val="center"/>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Price</w:t>
            </w:r>
          </w:p>
        </w:tc>
        <w:tc>
          <w:tcPr>
            <w:tcW w:w="310" w:type="pct"/>
            <w:tcBorders>
              <w:bottom w:val="nil"/>
            </w:tcBorders>
            <w:vAlign w:val="center"/>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Demand</w:t>
            </w:r>
          </w:p>
        </w:tc>
        <w:tc>
          <w:tcPr>
            <w:tcW w:w="329" w:type="pct"/>
            <w:tcBorders>
              <w:bottom w:val="nil"/>
            </w:tcBorders>
            <w:vAlign w:val="center"/>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Price</w:t>
            </w:r>
          </w:p>
        </w:tc>
        <w:tc>
          <w:tcPr>
            <w:tcW w:w="363" w:type="pct"/>
            <w:tcBorders>
              <w:bottom w:val="nil"/>
            </w:tcBorders>
            <w:vAlign w:val="center"/>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Demand</w:t>
            </w:r>
          </w:p>
        </w:tc>
        <w:tc>
          <w:tcPr>
            <w:tcW w:w="330" w:type="pct"/>
            <w:tcBorders>
              <w:bottom w:val="nil"/>
            </w:tcBorders>
            <w:vAlign w:val="center"/>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Price</w:t>
            </w:r>
          </w:p>
        </w:tc>
        <w:tc>
          <w:tcPr>
            <w:tcW w:w="359" w:type="pct"/>
            <w:tcBorders>
              <w:bottom w:val="nil"/>
            </w:tcBorders>
            <w:vAlign w:val="center"/>
          </w:tcPr>
          <w:p w:rsidR="00546B16" w:rsidRPr="00E16EDC" w:rsidRDefault="00506624" w:rsidP="00534DD9">
            <w:pPr>
              <w:spacing w:before="120" w:line="240" w:lineRule="auto"/>
              <w:ind w:left="-113" w:right="-113"/>
              <w:jc w:val="center"/>
              <w:rPr>
                <w:rFonts w:cs="Arial"/>
                <w:bCs/>
                <w:color w:val="FFFFFF"/>
                <w:sz w:val="14"/>
                <w:szCs w:val="20"/>
              </w:rPr>
            </w:pPr>
            <w:r>
              <w:rPr>
                <w:rFonts w:cs="Arial"/>
                <w:bCs/>
                <w:color w:val="FFFFFF"/>
                <w:sz w:val="14"/>
                <w:szCs w:val="20"/>
              </w:rPr>
              <w:t>Quantity</w:t>
            </w:r>
          </w:p>
        </w:tc>
        <w:tc>
          <w:tcPr>
            <w:tcW w:w="303" w:type="pct"/>
            <w:gridSpan w:val="2"/>
            <w:tcBorders>
              <w:bottom w:val="nil"/>
            </w:tcBorders>
            <w:vAlign w:val="center"/>
          </w:tcPr>
          <w:p w:rsidR="00546B16" w:rsidRPr="00E16EDC" w:rsidRDefault="00546B16" w:rsidP="00534DD9">
            <w:pPr>
              <w:spacing w:before="120" w:line="240" w:lineRule="auto"/>
              <w:ind w:left="-113" w:right="-113"/>
              <w:jc w:val="center"/>
              <w:rPr>
                <w:rFonts w:cs="Arial"/>
                <w:bCs/>
                <w:color w:val="FFFFFF"/>
                <w:sz w:val="14"/>
                <w:szCs w:val="20"/>
              </w:rPr>
            </w:pPr>
            <w:r>
              <w:rPr>
                <w:rFonts w:cs="Arial"/>
                <w:bCs/>
                <w:color w:val="FFFFFF"/>
                <w:sz w:val="14"/>
                <w:szCs w:val="20"/>
              </w:rPr>
              <w:t>Price</w:t>
            </w:r>
          </w:p>
        </w:tc>
        <w:tc>
          <w:tcPr>
            <w:tcW w:w="412" w:type="pct"/>
            <w:tcBorders>
              <w:bottom w:val="nil"/>
            </w:tcBorders>
            <w:vAlign w:val="center"/>
          </w:tcPr>
          <w:p w:rsidR="00546B16" w:rsidRPr="00E16EDC" w:rsidRDefault="00506624" w:rsidP="00534DD9">
            <w:pPr>
              <w:spacing w:before="120" w:line="240" w:lineRule="auto"/>
              <w:ind w:left="-113" w:right="-113"/>
              <w:jc w:val="center"/>
              <w:rPr>
                <w:rFonts w:cs="Arial"/>
                <w:bCs/>
                <w:color w:val="FFFFFF"/>
                <w:sz w:val="14"/>
                <w:szCs w:val="20"/>
              </w:rPr>
            </w:pPr>
            <w:r>
              <w:rPr>
                <w:rFonts w:cs="Arial"/>
                <w:bCs/>
                <w:color w:val="FFFFFF"/>
                <w:sz w:val="14"/>
                <w:szCs w:val="20"/>
              </w:rPr>
              <w:t>Quantity</w:t>
            </w:r>
          </w:p>
        </w:tc>
      </w:tr>
      <w:tr w:rsidR="003A5878" w:rsidRPr="006A7228" w:rsidTr="00534DD9">
        <w:trPr>
          <w:trHeight w:val="510"/>
        </w:trPr>
        <w:tc>
          <w:tcPr>
            <w:tcW w:w="749" w:type="pct"/>
            <w:tcBorders>
              <w:top w:val="nil"/>
              <w:bottom w:val="nil"/>
            </w:tcBorders>
            <w:vAlign w:val="center"/>
          </w:tcPr>
          <w:p w:rsidR="003A5878" w:rsidRDefault="003A5878">
            <w:pPr>
              <w:rPr>
                <w:rFonts w:cs="Arial"/>
                <w:sz w:val="16"/>
                <w:szCs w:val="16"/>
              </w:rPr>
            </w:pPr>
            <w:r>
              <w:rPr>
                <w:rFonts w:cs="Arial"/>
                <w:sz w:val="16"/>
                <w:szCs w:val="16"/>
              </w:rPr>
              <w:t>01 Jan - 07 Jan 2017</w:t>
            </w:r>
          </w:p>
        </w:tc>
        <w:tc>
          <w:tcPr>
            <w:tcW w:w="329" w:type="pct"/>
            <w:tcBorders>
              <w:top w:val="nil"/>
              <w:bottom w:val="nil"/>
            </w:tcBorders>
            <w:vAlign w:val="center"/>
          </w:tcPr>
          <w:p w:rsidR="003A5878" w:rsidRDefault="003A5878">
            <w:pPr>
              <w:jc w:val="center"/>
              <w:rPr>
                <w:rFonts w:cs="Arial"/>
                <w:sz w:val="20"/>
                <w:szCs w:val="20"/>
              </w:rPr>
            </w:pPr>
            <w:r>
              <w:rPr>
                <w:rFonts w:cs="Arial"/>
                <w:sz w:val="20"/>
                <w:szCs w:val="20"/>
              </w:rPr>
              <w:t>6.07</w:t>
            </w:r>
          </w:p>
        </w:tc>
        <w:tc>
          <w:tcPr>
            <w:tcW w:w="441" w:type="pct"/>
            <w:tcBorders>
              <w:top w:val="nil"/>
              <w:bottom w:val="nil"/>
            </w:tcBorders>
            <w:vAlign w:val="center"/>
          </w:tcPr>
          <w:p w:rsidR="003A5878" w:rsidRDefault="003A5878">
            <w:pPr>
              <w:jc w:val="center"/>
              <w:rPr>
                <w:rFonts w:cs="Arial"/>
                <w:sz w:val="20"/>
                <w:szCs w:val="20"/>
              </w:rPr>
            </w:pPr>
            <w:r>
              <w:rPr>
                <w:rFonts w:cs="Arial"/>
                <w:sz w:val="20"/>
                <w:szCs w:val="20"/>
              </w:rPr>
              <w:t>277</w:t>
            </w:r>
          </w:p>
        </w:tc>
        <w:tc>
          <w:tcPr>
            <w:tcW w:w="329" w:type="pct"/>
            <w:tcBorders>
              <w:top w:val="nil"/>
              <w:bottom w:val="nil"/>
            </w:tcBorders>
            <w:vAlign w:val="center"/>
          </w:tcPr>
          <w:p w:rsidR="003A5878" w:rsidRDefault="003A5878">
            <w:pPr>
              <w:jc w:val="center"/>
              <w:rPr>
                <w:rFonts w:cs="Arial"/>
                <w:sz w:val="20"/>
                <w:szCs w:val="20"/>
              </w:rPr>
            </w:pPr>
            <w:r>
              <w:rPr>
                <w:rFonts w:cs="Arial"/>
                <w:sz w:val="20"/>
                <w:szCs w:val="20"/>
              </w:rPr>
              <w:t>6.37</w:t>
            </w:r>
          </w:p>
        </w:tc>
        <w:tc>
          <w:tcPr>
            <w:tcW w:w="417" w:type="pct"/>
            <w:tcBorders>
              <w:top w:val="nil"/>
              <w:bottom w:val="nil"/>
            </w:tcBorders>
            <w:vAlign w:val="center"/>
          </w:tcPr>
          <w:p w:rsidR="003A5878" w:rsidRDefault="003A5878">
            <w:pPr>
              <w:jc w:val="center"/>
              <w:rPr>
                <w:rFonts w:cs="Arial"/>
                <w:sz w:val="20"/>
                <w:szCs w:val="20"/>
              </w:rPr>
            </w:pPr>
            <w:r>
              <w:rPr>
                <w:rFonts w:cs="Arial"/>
                <w:sz w:val="20"/>
                <w:szCs w:val="20"/>
              </w:rPr>
              <w:t>186</w:t>
            </w:r>
          </w:p>
        </w:tc>
        <w:tc>
          <w:tcPr>
            <w:tcW w:w="329" w:type="pct"/>
            <w:tcBorders>
              <w:top w:val="nil"/>
              <w:bottom w:val="nil"/>
            </w:tcBorders>
            <w:vAlign w:val="center"/>
          </w:tcPr>
          <w:p w:rsidR="003A5878" w:rsidRDefault="003A5878">
            <w:pPr>
              <w:jc w:val="center"/>
              <w:rPr>
                <w:rFonts w:cs="Arial"/>
                <w:sz w:val="20"/>
                <w:szCs w:val="20"/>
              </w:rPr>
            </w:pPr>
            <w:r>
              <w:rPr>
                <w:rFonts w:cs="Arial"/>
                <w:sz w:val="20"/>
                <w:szCs w:val="20"/>
              </w:rPr>
              <w:t>6.10</w:t>
            </w:r>
          </w:p>
        </w:tc>
        <w:tc>
          <w:tcPr>
            <w:tcW w:w="310" w:type="pct"/>
            <w:tcBorders>
              <w:top w:val="nil"/>
              <w:bottom w:val="nil"/>
            </w:tcBorders>
            <w:vAlign w:val="center"/>
          </w:tcPr>
          <w:p w:rsidR="003A5878" w:rsidRDefault="003A5878">
            <w:pPr>
              <w:jc w:val="center"/>
              <w:rPr>
                <w:rFonts w:cs="Arial"/>
                <w:sz w:val="20"/>
                <w:szCs w:val="20"/>
              </w:rPr>
            </w:pPr>
            <w:r>
              <w:rPr>
                <w:rFonts w:cs="Arial"/>
                <w:sz w:val="20"/>
                <w:szCs w:val="20"/>
              </w:rPr>
              <w:t>40</w:t>
            </w:r>
          </w:p>
        </w:tc>
        <w:tc>
          <w:tcPr>
            <w:tcW w:w="329" w:type="pct"/>
            <w:tcBorders>
              <w:top w:val="nil"/>
              <w:bottom w:val="nil"/>
            </w:tcBorders>
            <w:vAlign w:val="center"/>
          </w:tcPr>
          <w:p w:rsidR="003A5878" w:rsidRDefault="003A5878">
            <w:pPr>
              <w:jc w:val="center"/>
              <w:rPr>
                <w:rFonts w:cs="Arial"/>
                <w:sz w:val="20"/>
                <w:szCs w:val="20"/>
              </w:rPr>
            </w:pPr>
            <w:r>
              <w:rPr>
                <w:rFonts w:cs="Arial"/>
                <w:sz w:val="20"/>
                <w:szCs w:val="20"/>
              </w:rPr>
              <w:t>7.88</w:t>
            </w:r>
          </w:p>
        </w:tc>
        <w:tc>
          <w:tcPr>
            <w:tcW w:w="363" w:type="pct"/>
            <w:tcBorders>
              <w:top w:val="nil"/>
              <w:bottom w:val="nil"/>
            </w:tcBorders>
            <w:vAlign w:val="center"/>
          </w:tcPr>
          <w:p w:rsidR="003A5878" w:rsidRDefault="003A5878">
            <w:pPr>
              <w:jc w:val="center"/>
              <w:rPr>
                <w:rFonts w:cs="Arial"/>
                <w:sz w:val="20"/>
                <w:szCs w:val="20"/>
              </w:rPr>
            </w:pPr>
            <w:r>
              <w:rPr>
                <w:rFonts w:cs="Arial"/>
                <w:sz w:val="20"/>
                <w:szCs w:val="20"/>
              </w:rPr>
              <w:t>74</w:t>
            </w:r>
          </w:p>
        </w:tc>
        <w:tc>
          <w:tcPr>
            <w:tcW w:w="330" w:type="pct"/>
            <w:tcBorders>
              <w:top w:val="nil"/>
              <w:bottom w:val="nil"/>
            </w:tcBorders>
            <w:vAlign w:val="center"/>
          </w:tcPr>
          <w:p w:rsidR="003A5878" w:rsidRDefault="003A5878">
            <w:pPr>
              <w:jc w:val="center"/>
              <w:rPr>
                <w:rFonts w:cs="Arial"/>
                <w:sz w:val="20"/>
                <w:szCs w:val="20"/>
              </w:rPr>
            </w:pPr>
            <w:r>
              <w:rPr>
                <w:rFonts w:cs="Arial"/>
                <w:sz w:val="20"/>
                <w:szCs w:val="20"/>
              </w:rPr>
              <w:t>8.65</w:t>
            </w:r>
          </w:p>
        </w:tc>
        <w:tc>
          <w:tcPr>
            <w:tcW w:w="359" w:type="pct"/>
            <w:tcBorders>
              <w:top w:val="nil"/>
              <w:bottom w:val="nil"/>
            </w:tcBorders>
            <w:vAlign w:val="center"/>
          </w:tcPr>
          <w:p w:rsidR="003A5878" w:rsidRDefault="003A5878">
            <w:pPr>
              <w:jc w:val="center"/>
              <w:rPr>
                <w:rFonts w:cs="Arial"/>
                <w:sz w:val="20"/>
                <w:szCs w:val="20"/>
              </w:rPr>
            </w:pPr>
            <w:r>
              <w:rPr>
                <w:rFonts w:cs="Arial"/>
                <w:sz w:val="20"/>
                <w:szCs w:val="20"/>
              </w:rPr>
              <w:t>77</w:t>
            </w:r>
          </w:p>
        </w:tc>
        <w:tc>
          <w:tcPr>
            <w:tcW w:w="303" w:type="pct"/>
            <w:gridSpan w:val="2"/>
            <w:tcBorders>
              <w:top w:val="nil"/>
              <w:bottom w:val="nil"/>
            </w:tcBorders>
            <w:vAlign w:val="center"/>
          </w:tcPr>
          <w:p w:rsidR="003A5878" w:rsidRDefault="003A5878">
            <w:pPr>
              <w:jc w:val="center"/>
              <w:rPr>
                <w:rFonts w:cs="Arial"/>
                <w:sz w:val="20"/>
                <w:szCs w:val="20"/>
              </w:rPr>
            </w:pPr>
            <w:r>
              <w:rPr>
                <w:rFonts w:cs="Arial"/>
                <w:sz w:val="20"/>
                <w:szCs w:val="20"/>
              </w:rPr>
              <w:t>-</w:t>
            </w:r>
          </w:p>
        </w:tc>
        <w:tc>
          <w:tcPr>
            <w:tcW w:w="412" w:type="pct"/>
            <w:tcBorders>
              <w:top w:val="nil"/>
              <w:bottom w:val="nil"/>
            </w:tcBorders>
            <w:vAlign w:val="center"/>
          </w:tcPr>
          <w:p w:rsidR="003A5878" w:rsidRDefault="003A5878">
            <w:pPr>
              <w:jc w:val="center"/>
              <w:rPr>
                <w:rFonts w:cs="Arial"/>
                <w:sz w:val="20"/>
                <w:szCs w:val="20"/>
              </w:rPr>
            </w:pPr>
            <w:r>
              <w:rPr>
                <w:rFonts w:cs="Arial"/>
                <w:sz w:val="20"/>
                <w:szCs w:val="20"/>
              </w:rPr>
              <w:t>-</w:t>
            </w:r>
          </w:p>
        </w:tc>
      </w:tr>
      <w:tr w:rsidR="003A5878" w:rsidRPr="006A7228" w:rsidTr="00534DD9">
        <w:trPr>
          <w:cnfStyle w:val="000000010000" w:firstRow="0" w:lastRow="0" w:firstColumn="0" w:lastColumn="0" w:oddVBand="0" w:evenVBand="0" w:oddHBand="0" w:evenHBand="1" w:firstRowFirstColumn="0" w:firstRowLastColumn="0" w:lastRowFirstColumn="0" w:lastRowLastColumn="0"/>
          <w:trHeight w:val="510"/>
        </w:trPr>
        <w:tc>
          <w:tcPr>
            <w:tcW w:w="749" w:type="pct"/>
            <w:tcBorders>
              <w:top w:val="nil"/>
              <w:bottom w:val="nil"/>
            </w:tcBorders>
            <w:vAlign w:val="center"/>
          </w:tcPr>
          <w:p w:rsidR="003A5878" w:rsidRDefault="003A5878">
            <w:pPr>
              <w:rPr>
                <w:rFonts w:cs="Arial"/>
                <w:sz w:val="16"/>
                <w:szCs w:val="16"/>
              </w:rPr>
            </w:pPr>
            <w:r>
              <w:rPr>
                <w:rFonts w:cs="Arial"/>
                <w:sz w:val="16"/>
                <w:szCs w:val="16"/>
              </w:rPr>
              <w:t>% change from previous week</w:t>
            </w:r>
          </w:p>
        </w:tc>
        <w:tc>
          <w:tcPr>
            <w:tcW w:w="329" w:type="pct"/>
            <w:tcBorders>
              <w:top w:val="nil"/>
              <w:bottom w:val="nil"/>
            </w:tcBorders>
            <w:vAlign w:val="center"/>
          </w:tcPr>
          <w:p w:rsidR="003A5878" w:rsidRDefault="003A5878">
            <w:pPr>
              <w:jc w:val="center"/>
              <w:rPr>
                <w:rFonts w:cs="Arial"/>
                <w:szCs w:val="20"/>
              </w:rPr>
            </w:pPr>
            <w:r>
              <w:rPr>
                <w:rFonts w:cs="Arial"/>
                <w:szCs w:val="20"/>
              </w:rPr>
              <w:t>55</w:t>
            </w:r>
          </w:p>
        </w:tc>
        <w:tc>
          <w:tcPr>
            <w:tcW w:w="441" w:type="pct"/>
            <w:tcBorders>
              <w:top w:val="nil"/>
              <w:bottom w:val="nil"/>
            </w:tcBorders>
            <w:vAlign w:val="center"/>
          </w:tcPr>
          <w:p w:rsidR="003A5878" w:rsidRDefault="003A5878">
            <w:pPr>
              <w:jc w:val="center"/>
              <w:rPr>
                <w:rFonts w:cs="Arial"/>
                <w:szCs w:val="20"/>
              </w:rPr>
            </w:pPr>
            <w:r>
              <w:rPr>
                <w:rFonts w:cs="Arial"/>
                <w:szCs w:val="20"/>
              </w:rPr>
              <w:t>12</w:t>
            </w:r>
          </w:p>
        </w:tc>
        <w:tc>
          <w:tcPr>
            <w:tcW w:w="329" w:type="pct"/>
            <w:tcBorders>
              <w:top w:val="nil"/>
              <w:bottom w:val="nil"/>
            </w:tcBorders>
            <w:vAlign w:val="center"/>
          </w:tcPr>
          <w:p w:rsidR="003A5878" w:rsidRDefault="003A5878">
            <w:pPr>
              <w:jc w:val="center"/>
              <w:rPr>
                <w:rFonts w:cs="Arial"/>
                <w:szCs w:val="20"/>
              </w:rPr>
            </w:pPr>
            <w:r>
              <w:rPr>
                <w:rFonts w:cs="Arial"/>
                <w:szCs w:val="20"/>
              </w:rPr>
              <w:t>38</w:t>
            </w:r>
          </w:p>
        </w:tc>
        <w:tc>
          <w:tcPr>
            <w:tcW w:w="417" w:type="pct"/>
            <w:tcBorders>
              <w:top w:val="nil"/>
              <w:bottom w:val="nil"/>
            </w:tcBorders>
            <w:vAlign w:val="center"/>
          </w:tcPr>
          <w:p w:rsidR="003A5878" w:rsidRDefault="003A5878">
            <w:pPr>
              <w:jc w:val="center"/>
              <w:rPr>
                <w:rFonts w:cs="Arial"/>
                <w:szCs w:val="20"/>
              </w:rPr>
            </w:pPr>
            <w:r>
              <w:rPr>
                <w:rFonts w:cs="Arial"/>
                <w:szCs w:val="20"/>
              </w:rPr>
              <w:t>3</w:t>
            </w:r>
          </w:p>
        </w:tc>
        <w:tc>
          <w:tcPr>
            <w:tcW w:w="329" w:type="pct"/>
            <w:tcBorders>
              <w:top w:val="nil"/>
              <w:bottom w:val="nil"/>
            </w:tcBorders>
            <w:vAlign w:val="center"/>
          </w:tcPr>
          <w:p w:rsidR="003A5878" w:rsidRDefault="003A5878">
            <w:pPr>
              <w:jc w:val="center"/>
              <w:rPr>
                <w:rFonts w:cs="Arial"/>
                <w:szCs w:val="20"/>
              </w:rPr>
            </w:pPr>
            <w:r>
              <w:rPr>
                <w:rFonts w:cs="Arial"/>
                <w:szCs w:val="20"/>
              </w:rPr>
              <w:t>-5</w:t>
            </w:r>
          </w:p>
        </w:tc>
        <w:tc>
          <w:tcPr>
            <w:tcW w:w="310" w:type="pct"/>
            <w:tcBorders>
              <w:top w:val="nil"/>
              <w:bottom w:val="nil"/>
            </w:tcBorders>
            <w:vAlign w:val="center"/>
          </w:tcPr>
          <w:p w:rsidR="003A5878" w:rsidRDefault="003A5878">
            <w:pPr>
              <w:jc w:val="center"/>
              <w:rPr>
                <w:rFonts w:cs="Arial"/>
                <w:szCs w:val="20"/>
              </w:rPr>
            </w:pPr>
            <w:r>
              <w:rPr>
                <w:rFonts w:cs="Arial"/>
                <w:szCs w:val="20"/>
              </w:rPr>
              <w:t>9</w:t>
            </w:r>
          </w:p>
        </w:tc>
        <w:tc>
          <w:tcPr>
            <w:tcW w:w="329" w:type="pct"/>
            <w:tcBorders>
              <w:top w:val="nil"/>
              <w:bottom w:val="nil"/>
            </w:tcBorders>
            <w:vAlign w:val="center"/>
          </w:tcPr>
          <w:p w:rsidR="003A5878" w:rsidRDefault="003A5878">
            <w:pPr>
              <w:jc w:val="center"/>
              <w:rPr>
                <w:rFonts w:cs="Arial"/>
                <w:szCs w:val="20"/>
              </w:rPr>
            </w:pPr>
            <w:r>
              <w:rPr>
                <w:rFonts w:cs="Arial"/>
                <w:szCs w:val="20"/>
              </w:rPr>
              <w:t>2</w:t>
            </w:r>
          </w:p>
        </w:tc>
        <w:tc>
          <w:tcPr>
            <w:tcW w:w="363" w:type="pct"/>
            <w:tcBorders>
              <w:top w:val="nil"/>
              <w:bottom w:val="nil"/>
            </w:tcBorders>
            <w:vAlign w:val="center"/>
          </w:tcPr>
          <w:p w:rsidR="003A5878" w:rsidRDefault="003A5878">
            <w:pPr>
              <w:jc w:val="center"/>
              <w:rPr>
                <w:rFonts w:cs="Arial"/>
                <w:szCs w:val="20"/>
              </w:rPr>
            </w:pPr>
            <w:r>
              <w:rPr>
                <w:rFonts w:cs="Arial"/>
                <w:szCs w:val="20"/>
              </w:rPr>
              <w:t>15</w:t>
            </w:r>
          </w:p>
        </w:tc>
        <w:tc>
          <w:tcPr>
            <w:tcW w:w="330" w:type="pct"/>
            <w:tcBorders>
              <w:top w:val="nil"/>
              <w:bottom w:val="nil"/>
            </w:tcBorders>
            <w:vAlign w:val="center"/>
          </w:tcPr>
          <w:p w:rsidR="003A5878" w:rsidRDefault="003A5878">
            <w:pPr>
              <w:jc w:val="center"/>
              <w:rPr>
                <w:rFonts w:cs="Arial"/>
                <w:szCs w:val="20"/>
              </w:rPr>
            </w:pPr>
            <w:r>
              <w:rPr>
                <w:rFonts w:cs="Arial"/>
                <w:szCs w:val="20"/>
              </w:rPr>
              <w:t>21</w:t>
            </w:r>
          </w:p>
        </w:tc>
        <w:tc>
          <w:tcPr>
            <w:tcW w:w="359" w:type="pct"/>
            <w:tcBorders>
              <w:top w:val="nil"/>
              <w:bottom w:val="nil"/>
            </w:tcBorders>
            <w:vAlign w:val="center"/>
          </w:tcPr>
          <w:p w:rsidR="003A5878" w:rsidRDefault="003A5878">
            <w:pPr>
              <w:jc w:val="center"/>
              <w:rPr>
                <w:rFonts w:cs="Arial"/>
                <w:szCs w:val="20"/>
              </w:rPr>
            </w:pPr>
            <w:r>
              <w:rPr>
                <w:rFonts w:cs="Arial"/>
                <w:szCs w:val="20"/>
              </w:rPr>
              <w:t>-42</w:t>
            </w:r>
          </w:p>
        </w:tc>
        <w:tc>
          <w:tcPr>
            <w:tcW w:w="303" w:type="pct"/>
            <w:gridSpan w:val="2"/>
            <w:tcBorders>
              <w:top w:val="nil"/>
              <w:bottom w:val="nil"/>
            </w:tcBorders>
            <w:vAlign w:val="center"/>
          </w:tcPr>
          <w:p w:rsidR="003A5878" w:rsidRDefault="003A5878">
            <w:pPr>
              <w:jc w:val="center"/>
              <w:rPr>
                <w:rFonts w:cs="Arial"/>
                <w:szCs w:val="20"/>
              </w:rPr>
            </w:pPr>
            <w:r>
              <w:rPr>
                <w:rFonts w:cs="Arial"/>
                <w:szCs w:val="20"/>
              </w:rPr>
              <w:t>-</w:t>
            </w:r>
          </w:p>
        </w:tc>
        <w:tc>
          <w:tcPr>
            <w:tcW w:w="412" w:type="pct"/>
            <w:tcBorders>
              <w:top w:val="nil"/>
              <w:bottom w:val="nil"/>
            </w:tcBorders>
            <w:vAlign w:val="center"/>
          </w:tcPr>
          <w:p w:rsidR="003A5878" w:rsidRDefault="003A5878">
            <w:pPr>
              <w:jc w:val="center"/>
              <w:rPr>
                <w:rFonts w:cs="Arial"/>
                <w:szCs w:val="20"/>
              </w:rPr>
            </w:pPr>
            <w:r>
              <w:rPr>
                <w:rFonts w:cs="Arial"/>
                <w:szCs w:val="20"/>
              </w:rPr>
              <w:t>-</w:t>
            </w:r>
          </w:p>
        </w:tc>
      </w:tr>
      <w:tr w:rsidR="003A5878" w:rsidRPr="006A7228" w:rsidTr="00534DD9">
        <w:trPr>
          <w:trHeight w:val="510"/>
        </w:trPr>
        <w:tc>
          <w:tcPr>
            <w:tcW w:w="749" w:type="pct"/>
            <w:tcBorders>
              <w:top w:val="nil"/>
              <w:bottom w:val="nil"/>
            </w:tcBorders>
            <w:vAlign w:val="center"/>
          </w:tcPr>
          <w:p w:rsidR="003A5878" w:rsidRDefault="003A5878">
            <w:pPr>
              <w:rPr>
                <w:rFonts w:cs="Arial"/>
                <w:sz w:val="16"/>
                <w:szCs w:val="16"/>
              </w:rPr>
            </w:pPr>
            <w:r>
              <w:rPr>
                <w:rFonts w:cs="Arial"/>
                <w:sz w:val="16"/>
                <w:szCs w:val="16"/>
              </w:rPr>
              <w:t>16-17 financial YTD</w:t>
            </w:r>
          </w:p>
        </w:tc>
        <w:tc>
          <w:tcPr>
            <w:tcW w:w="329" w:type="pct"/>
            <w:tcBorders>
              <w:top w:val="nil"/>
              <w:bottom w:val="nil"/>
            </w:tcBorders>
            <w:vAlign w:val="center"/>
          </w:tcPr>
          <w:p w:rsidR="003A5878" w:rsidRDefault="003A5878">
            <w:pPr>
              <w:jc w:val="center"/>
              <w:rPr>
                <w:rFonts w:cs="Arial"/>
                <w:sz w:val="20"/>
                <w:szCs w:val="20"/>
              </w:rPr>
            </w:pPr>
            <w:r>
              <w:rPr>
                <w:rFonts w:cs="Arial"/>
                <w:sz w:val="20"/>
                <w:szCs w:val="20"/>
              </w:rPr>
              <w:t>7.78</w:t>
            </w:r>
          </w:p>
        </w:tc>
        <w:tc>
          <w:tcPr>
            <w:tcW w:w="441" w:type="pct"/>
            <w:tcBorders>
              <w:top w:val="nil"/>
              <w:bottom w:val="nil"/>
            </w:tcBorders>
            <w:vAlign w:val="center"/>
          </w:tcPr>
          <w:p w:rsidR="003A5878" w:rsidRDefault="003A5878">
            <w:pPr>
              <w:jc w:val="center"/>
              <w:rPr>
                <w:rFonts w:cs="Arial"/>
                <w:sz w:val="20"/>
                <w:szCs w:val="20"/>
              </w:rPr>
            </w:pPr>
            <w:r>
              <w:rPr>
                <w:rFonts w:cs="Arial"/>
                <w:sz w:val="20"/>
                <w:szCs w:val="20"/>
              </w:rPr>
              <w:t>606</w:t>
            </w:r>
          </w:p>
        </w:tc>
        <w:tc>
          <w:tcPr>
            <w:tcW w:w="329" w:type="pct"/>
            <w:tcBorders>
              <w:top w:val="nil"/>
              <w:bottom w:val="nil"/>
            </w:tcBorders>
            <w:vAlign w:val="center"/>
          </w:tcPr>
          <w:p w:rsidR="003A5878" w:rsidRDefault="003A5878">
            <w:pPr>
              <w:jc w:val="center"/>
              <w:rPr>
                <w:rFonts w:cs="Arial"/>
                <w:sz w:val="20"/>
                <w:szCs w:val="20"/>
              </w:rPr>
            </w:pPr>
            <w:r>
              <w:rPr>
                <w:rFonts w:cs="Arial"/>
                <w:sz w:val="20"/>
                <w:szCs w:val="20"/>
              </w:rPr>
              <w:t>7.28</w:t>
            </w:r>
          </w:p>
        </w:tc>
        <w:tc>
          <w:tcPr>
            <w:tcW w:w="417" w:type="pct"/>
            <w:tcBorders>
              <w:top w:val="nil"/>
              <w:bottom w:val="nil"/>
            </w:tcBorders>
            <w:vAlign w:val="center"/>
          </w:tcPr>
          <w:p w:rsidR="003A5878" w:rsidRDefault="003A5878">
            <w:pPr>
              <w:jc w:val="center"/>
              <w:rPr>
                <w:rFonts w:cs="Arial"/>
                <w:sz w:val="20"/>
                <w:szCs w:val="20"/>
              </w:rPr>
            </w:pPr>
            <w:r>
              <w:rPr>
                <w:rFonts w:cs="Arial"/>
                <w:sz w:val="20"/>
                <w:szCs w:val="20"/>
              </w:rPr>
              <w:t>251</w:t>
            </w:r>
          </w:p>
        </w:tc>
        <w:tc>
          <w:tcPr>
            <w:tcW w:w="329" w:type="pct"/>
            <w:tcBorders>
              <w:top w:val="nil"/>
              <w:bottom w:val="nil"/>
            </w:tcBorders>
            <w:vAlign w:val="center"/>
          </w:tcPr>
          <w:p w:rsidR="003A5878" w:rsidRDefault="003A5878">
            <w:pPr>
              <w:jc w:val="center"/>
              <w:rPr>
                <w:rFonts w:cs="Arial"/>
                <w:sz w:val="20"/>
                <w:szCs w:val="20"/>
              </w:rPr>
            </w:pPr>
            <w:r>
              <w:rPr>
                <w:rFonts w:cs="Arial"/>
                <w:sz w:val="20"/>
                <w:szCs w:val="20"/>
              </w:rPr>
              <w:t>8.29</w:t>
            </w:r>
          </w:p>
        </w:tc>
        <w:tc>
          <w:tcPr>
            <w:tcW w:w="310" w:type="pct"/>
            <w:tcBorders>
              <w:top w:val="nil"/>
              <w:bottom w:val="nil"/>
            </w:tcBorders>
            <w:vAlign w:val="center"/>
          </w:tcPr>
          <w:p w:rsidR="003A5878" w:rsidRDefault="003A5878">
            <w:pPr>
              <w:jc w:val="center"/>
              <w:rPr>
                <w:rFonts w:cs="Arial"/>
                <w:sz w:val="20"/>
                <w:szCs w:val="20"/>
              </w:rPr>
            </w:pPr>
            <w:r>
              <w:rPr>
                <w:rFonts w:cs="Arial"/>
                <w:sz w:val="20"/>
                <w:szCs w:val="20"/>
              </w:rPr>
              <w:t>67</w:t>
            </w:r>
          </w:p>
        </w:tc>
        <w:tc>
          <w:tcPr>
            <w:tcW w:w="329" w:type="pct"/>
            <w:tcBorders>
              <w:top w:val="nil"/>
              <w:bottom w:val="nil"/>
            </w:tcBorders>
            <w:vAlign w:val="center"/>
          </w:tcPr>
          <w:p w:rsidR="003A5878" w:rsidRDefault="003A5878">
            <w:pPr>
              <w:jc w:val="center"/>
              <w:rPr>
                <w:rFonts w:cs="Arial"/>
                <w:sz w:val="20"/>
                <w:szCs w:val="20"/>
              </w:rPr>
            </w:pPr>
            <w:r>
              <w:rPr>
                <w:rFonts w:cs="Arial"/>
                <w:sz w:val="20"/>
                <w:szCs w:val="20"/>
              </w:rPr>
              <w:t>7.32</w:t>
            </w:r>
          </w:p>
        </w:tc>
        <w:tc>
          <w:tcPr>
            <w:tcW w:w="363" w:type="pct"/>
            <w:tcBorders>
              <w:top w:val="nil"/>
              <w:bottom w:val="nil"/>
            </w:tcBorders>
            <w:vAlign w:val="center"/>
          </w:tcPr>
          <w:p w:rsidR="003A5878" w:rsidRDefault="003A5878">
            <w:pPr>
              <w:jc w:val="center"/>
              <w:rPr>
                <w:rFonts w:cs="Arial"/>
                <w:sz w:val="20"/>
                <w:szCs w:val="20"/>
              </w:rPr>
            </w:pPr>
            <w:r>
              <w:rPr>
                <w:rFonts w:cs="Arial"/>
                <w:sz w:val="20"/>
                <w:szCs w:val="20"/>
              </w:rPr>
              <w:t>84</w:t>
            </w:r>
          </w:p>
        </w:tc>
        <w:tc>
          <w:tcPr>
            <w:tcW w:w="330" w:type="pct"/>
            <w:tcBorders>
              <w:top w:val="nil"/>
              <w:bottom w:val="nil"/>
            </w:tcBorders>
            <w:vAlign w:val="center"/>
          </w:tcPr>
          <w:p w:rsidR="003A5878" w:rsidRDefault="003A5878">
            <w:pPr>
              <w:jc w:val="center"/>
              <w:rPr>
                <w:rFonts w:cs="Arial"/>
                <w:sz w:val="20"/>
                <w:szCs w:val="20"/>
              </w:rPr>
            </w:pPr>
            <w:r>
              <w:rPr>
                <w:rFonts w:cs="Arial"/>
                <w:sz w:val="20"/>
                <w:szCs w:val="20"/>
              </w:rPr>
              <w:t>7.89</w:t>
            </w:r>
          </w:p>
        </w:tc>
        <w:tc>
          <w:tcPr>
            <w:tcW w:w="359" w:type="pct"/>
            <w:tcBorders>
              <w:top w:val="nil"/>
              <w:bottom w:val="nil"/>
            </w:tcBorders>
            <w:vAlign w:val="center"/>
          </w:tcPr>
          <w:p w:rsidR="003A5878" w:rsidRDefault="003A5878">
            <w:pPr>
              <w:jc w:val="center"/>
              <w:rPr>
                <w:rFonts w:cs="Arial"/>
                <w:sz w:val="20"/>
                <w:szCs w:val="20"/>
              </w:rPr>
            </w:pPr>
            <w:r>
              <w:rPr>
                <w:rFonts w:cs="Arial"/>
                <w:sz w:val="20"/>
                <w:szCs w:val="20"/>
              </w:rPr>
              <w:t>5353</w:t>
            </w:r>
          </w:p>
        </w:tc>
        <w:tc>
          <w:tcPr>
            <w:tcW w:w="303" w:type="pct"/>
            <w:gridSpan w:val="2"/>
            <w:tcBorders>
              <w:top w:val="nil"/>
              <w:bottom w:val="nil"/>
            </w:tcBorders>
            <w:vAlign w:val="center"/>
          </w:tcPr>
          <w:p w:rsidR="003A5878" w:rsidRDefault="003A5878">
            <w:pPr>
              <w:jc w:val="center"/>
              <w:rPr>
                <w:rFonts w:cs="Arial"/>
                <w:sz w:val="20"/>
                <w:szCs w:val="20"/>
              </w:rPr>
            </w:pPr>
            <w:r>
              <w:rPr>
                <w:rFonts w:cs="Arial"/>
                <w:sz w:val="20"/>
                <w:szCs w:val="20"/>
              </w:rPr>
              <w:t>-</w:t>
            </w:r>
          </w:p>
        </w:tc>
        <w:tc>
          <w:tcPr>
            <w:tcW w:w="412" w:type="pct"/>
            <w:tcBorders>
              <w:top w:val="nil"/>
              <w:bottom w:val="nil"/>
            </w:tcBorders>
            <w:vAlign w:val="center"/>
          </w:tcPr>
          <w:p w:rsidR="003A5878" w:rsidRDefault="003A5878">
            <w:pPr>
              <w:jc w:val="center"/>
              <w:rPr>
                <w:rFonts w:cs="Arial"/>
                <w:sz w:val="20"/>
                <w:szCs w:val="20"/>
              </w:rPr>
            </w:pPr>
            <w:r>
              <w:rPr>
                <w:rFonts w:cs="Arial"/>
                <w:sz w:val="20"/>
                <w:szCs w:val="20"/>
              </w:rPr>
              <w:t>-</w:t>
            </w:r>
          </w:p>
        </w:tc>
      </w:tr>
      <w:tr w:rsidR="003A5878" w:rsidRPr="006A7228" w:rsidTr="00534DD9">
        <w:trPr>
          <w:cnfStyle w:val="000000010000" w:firstRow="0" w:lastRow="0" w:firstColumn="0" w:lastColumn="0" w:oddVBand="0" w:evenVBand="0" w:oddHBand="0" w:evenHBand="1" w:firstRowFirstColumn="0" w:firstRowLastColumn="0" w:lastRowFirstColumn="0" w:lastRowLastColumn="0"/>
          <w:trHeight w:val="510"/>
        </w:trPr>
        <w:tc>
          <w:tcPr>
            <w:tcW w:w="749" w:type="pct"/>
            <w:tcBorders>
              <w:top w:val="nil"/>
              <w:bottom w:val="single" w:sz="4" w:space="0" w:color="auto"/>
            </w:tcBorders>
            <w:vAlign w:val="center"/>
          </w:tcPr>
          <w:p w:rsidR="003A5878" w:rsidRDefault="003A5878">
            <w:pPr>
              <w:rPr>
                <w:rFonts w:cs="Arial"/>
                <w:sz w:val="16"/>
                <w:szCs w:val="16"/>
              </w:rPr>
            </w:pPr>
            <w:r>
              <w:rPr>
                <w:rFonts w:cs="Arial"/>
                <w:sz w:val="16"/>
                <w:szCs w:val="16"/>
              </w:rPr>
              <w:t>% change from previous financial YTD</w:t>
            </w:r>
          </w:p>
        </w:tc>
        <w:tc>
          <w:tcPr>
            <w:tcW w:w="329" w:type="pct"/>
            <w:tcBorders>
              <w:top w:val="nil"/>
              <w:bottom w:val="single" w:sz="4" w:space="0" w:color="auto"/>
            </w:tcBorders>
            <w:vAlign w:val="center"/>
          </w:tcPr>
          <w:p w:rsidR="003A5878" w:rsidRDefault="003A5878">
            <w:pPr>
              <w:jc w:val="center"/>
              <w:rPr>
                <w:rFonts w:cs="Arial"/>
                <w:szCs w:val="20"/>
              </w:rPr>
            </w:pPr>
            <w:r>
              <w:rPr>
                <w:rFonts w:cs="Arial"/>
                <w:szCs w:val="20"/>
              </w:rPr>
              <w:t>76</w:t>
            </w:r>
          </w:p>
        </w:tc>
        <w:tc>
          <w:tcPr>
            <w:tcW w:w="441" w:type="pct"/>
            <w:tcBorders>
              <w:top w:val="nil"/>
              <w:bottom w:val="single" w:sz="4" w:space="0" w:color="auto"/>
            </w:tcBorders>
            <w:vAlign w:val="center"/>
          </w:tcPr>
          <w:p w:rsidR="003A5878" w:rsidRDefault="003A5878">
            <w:pPr>
              <w:jc w:val="center"/>
              <w:rPr>
                <w:rFonts w:cs="Arial"/>
                <w:szCs w:val="20"/>
              </w:rPr>
            </w:pPr>
            <w:r>
              <w:rPr>
                <w:rFonts w:cs="Arial"/>
                <w:szCs w:val="20"/>
              </w:rPr>
              <w:t>-2</w:t>
            </w:r>
          </w:p>
        </w:tc>
        <w:tc>
          <w:tcPr>
            <w:tcW w:w="329" w:type="pct"/>
            <w:tcBorders>
              <w:top w:val="nil"/>
              <w:bottom w:val="single" w:sz="4" w:space="0" w:color="auto"/>
            </w:tcBorders>
            <w:vAlign w:val="center"/>
          </w:tcPr>
          <w:p w:rsidR="003A5878" w:rsidRDefault="003A5878">
            <w:pPr>
              <w:jc w:val="center"/>
              <w:rPr>
                <w:rFonts w:cs="Arial"/>
                <w:szCs w:val="20"/>
              </w:rPr>
            </w:pPr>
            <w:r>
              <w:rPr>
                <w:rFonts w:cs="Arial"/>
                <w:szCs w:val="20"/>
              </w:rPr>
              <w:t>56</w:t>
            </w:r>
          </w:p>
        </w:tc>
        <w:tc>
          <w:tcPr>
            <w:tcW w:w="417" w:type="pct"/>
            <w:tcBorders>
              <w:top w:val="nil"/>
              <w:bottom w:val="single" w:sz="4" w:space="0" w:color="auto"/>
            </w:tcBorders>
            <w:vAlign w:val="center"/>
          </w:tcPr>
          <w:p w:rsidR="003A5878" w:rsidRDefault="003A5878">
            <w:pPr>
              <w:jc w:val="center"/>
              <w:rPr>
                <w:rFonts w:cs="Arial"/>
                <w:szCs w:val="20"/>
              </w:rPr>
            </w:pPr>
            <w:r>
              <w:rPr>
                <w:rFonts w:cs="Arial"/>
                <w:szCs w:val="20"/>
              </w:rPr>
              <w:t>5</w:t>
            </w:r>
          </w:p>
        </w:tc>
        <w:tc>
          <w:tcPr>
            <w:tcW w:w="329" w:type="pct"/>
            <w:tcBorders>
              <w:top w:val="nil"/>
              <w:bottom w:val="single" w:sz="4" w:space="0" w:color="auto"/>
            </w:tcBorders>
            <w:vAlign w:val="center"/>
          </w:tcPr>
          <w:p w:rsidR="003A5878" w:rsidRDefault="003A5878">
            <w:pPr>
              <w:jc w:val="center"/>
              <w:rPr>
                <w:rFonts w:cs="Arial"/>
                <w:szCs w:val="20"/>
              </w:rPr>
            </w:pPr>
            <w:r>
              <w:rPr>
                <w:rFonts w:cs="Arial"/>
                <w:szCs w:val="20"/>
              </w:rPr>
              <w:t>63</w:t>
            </w:r>
          </w:p>
        </w:tc>
        <w:tc>
          <w:tcPr>
            <w:tcW w:w="310" w:type="pct"/>
            <w:tcBorders>
              <w:top w:val="nil"/>
              <w:bottom w:val="single" w:sz="4" w:space="0" w:color="auto"/>
            </w:tcBorders>
            <w:vAlign w:val="center"/>
          </w:tcPr>
          <w:p w:rsidR="003A5878" w:rsidRDefault="003A5878">
            <w:pPr>
              <w:jc w:val="center"/>
              <w:rPr>
                <w:rFonts w:cs="Arial"/>
                <w:szCs w:val="20"/>
              </w:rPr>
            </w:pPr>
            <w:r>
              <w:rPr>
                <w:rFonts w:cs="Arial"/>
                <w:szCs w:val="20"/>
              </w:rPr>
              <w:t>2</w:t>
            </w:r>
          </w:p>
        </w:tc>
        <w:tc>
          <w:tcPr>
            <w:tcW w:w="329" w:type="pct"/>
            <w:tcBorders>
              <w:top w:val="nil"/>
              <w:bottom w:val="single" w:sz="4" w:space="0" w:color="auto"/>
            </w:tcBorders>
            <w:vAlign w:val="center"/>
          </w:tcPr>
          <w:p w:rsidR="003A5878" w:rsidRDefault="003A5878">
            <w:pPr>
              <w:jc w:val="center"/>
              <w:rPr>
                <w:rFonts w:cs="Arial"/>
                <w:szCs w:val="20"/>
              </w:rPr>
            </w:pPr>
            <w:r>
              <w:rPr>
                <w:rFonts w:cs="Arial"/>
                <w:szCs w:val="20"/>
              </w:rPr>
              <w:t>96</w:t>
            </w:r>
          </w:p>
        </w:tc>
        <w:tc>
          <w:tcPr>
            <w:tcW w:w="363" w:type="pct"/>
            <w:tcBorders>
              <w:top w:val="nil"/>
              <w:bottom w:val="single" w:sz="4" w:space="0" w:color="auto"/>
            </w:tcBorders>
            <w:vAlign w:val="center"/>
          </w:tcPr>
          <w:p w:rsidR="003A5878" w:rsidRDefault="003A5878">
            <w:pPr>
              <w:jc w:val="center"/>
              <w:rPr>
                <w:rFonts w:cs="Arial"/>
                <w:szCs w:val="20"/>
              </w:rPr>
            </w:pPr>
            <w:r>
              <w:rPr>
                <w:rFonts w:cs="Arial"/>
                <w:szCs w:val="20"/>
              </w:rPr>
              <w:t>-5</w:t>
            </w:r>
          </w:p>
        </w:tc>
        <w:tc>
          <w:tcPr>
            <w:tcW w:w="330" w:type="pct"/>
            <w:tcBorders>
              <w:top w:val="nil"/>
              <w:bottom w:val="single" w:sz="4" w:space="0" w:color="auto"/>
            </w:tcBorders>
            <w:vAlign w:val="center"/>
          </w:tcPr>
          <w:p w:rsidR="003A5878" w:rsidRDefault="003A5878">
            <w:pPr>
              <w:jc w:val="center"/>
              <w:rPr>
                <w:rFonts w:cs="Arial"/>
                <w:szCs w:val="20"/>
              </w:rPr>
            </w:pPr>
            <w:r>
              <w:rPr>
                <w:rFonts w:cs="Arial"/>
                <w:szCs w:val="20"/>
              </w:rPr>
              <w:t>119</w:t>
            </w:r>
          </w:p>
        </w:tc>
        <w:tc>
          <w:tcPr>
            <w:tcW w:w="359" w:type="pct"/>
            <w:tcBorders>
              <w:top w:val="nil"/>
              <w:bottom w:val="single" w:sz="4" w:space="0" w:color="auto"/>
            </w:tcBorders>
            <w:vAlign w:val="center"/>
          </w:tcPr>
          <w:p w:rsidR="003A5878" w:rsidRDefault="003A5878">
            <w:pPr>
              <w:jc w:val="center"/>
              <w:rPr>
                <w:rFonts w:cs="Arial"/>
                <w:szCs w:val="20"/>
              </w:rPr>
            </w:pPr>
            <w:r>
              <w:rPr>
                <w:rFonts w:cs="Arial"/>
                <w:szCs w:val="20"/>
              </w:rPr>
              <w:t>7</w:t>
            </w:r>
          </w:p>
        </w:tc>
        <w:tc>
          <w:tcPr>
            <w:tcW w:w="303" w:type="pct"/>
            <w:gridSpan w:val="2"/>
            <w:tcBorders>
              <w:top w:val="nil"/>
              <w:bottom w:val="single" w:sz="4" w:space="0" w:color="auto"/>
            </w:tcBorders>
            <w:vAlign w:val="center"/>
          </w:tcPr>
          <w:p w:rsidR="003A5878" w:rsidRDefault="003A5878">
            <w:pPr>
              <w:jc w:val="center"/>
              <w:rPr>
                <w:rFonts w:cs="Arial"/>
                <w:szCs w:val="20"/>
              </w:rPr>
            </w:pPr>
            <w:r>
              <w:rPr>
                <w:rFonts w:cs="Arial"/>
                <w:szCs w:val="20"/>
              </w:rPr>
              <w:t>-</w:t>
            </w:r>
          </w:p>
        </w:tc>
        <w:tc>
          <w:tcPr>
            <w:tcW w:w="412" w:type="pct"/>
            <w:tcBorders>
              <w:top w:val="nil"/>
              <w:bottom w:val="single" w:sz="4" w:space="0" w:color="auto"/>
            </w:tcBorders>
            <w:vAlign w:val="center"/>
          </w:tcPr>
          <w:p w:rsidR="003A5878" w:rsidRDefault="003A5878">
            <w:pPr>
              <w:jc w:val="center"/>
              <w:rPr>
                <w:rFonts w:cs="Arial"/>
                <w:szCs w:val="20"/>
              </w:rPr>
            </w:pPr>
            <w:r>
              <w:rPr>
                <w:rFonts w:cs="Arial"/>
                <w:szCs w:val="20"/>
              </w:rPr>
              <w:t>-</w:t>
            </w:r>
          </w:p>
        </w:tc>
      </w:tr>
    </w:tbl>
    <w:p w:rsidR="002B5F16" w:rsidRDefault="002B5F16" w:rsidP="00A226E9">
      <w:pPr>
        <w:pStyle w:val="AERbodytext"/>
        <w:keepNext/>
      </w:pPr>
    </w:p>
    <w:p w:rsidR="002B5F16" w:rsidRDefault="002B5F16" w:rsidP="00A226E9">
      <w:pPr>
        <w:pStyle w:val="AERbodytext"/>
        <w:keepNext/>
      </w:pPr>
    </w:p>
    <w:p w:rsidR="001521CB" w:rsidRPr="008D4DAB" w:rsidRDefault="001521CB" w:rsidP="00A226E9">
      <w:pPr>
        <w:pStyle w:val="AERbodytext"/>
        <w:keepNext/>
      </w:pPr>
      <w:r w:rsidRPr="00EC137F">
        <w:t>Figure 2 illustrates the daily prices in each gas market</w:t>
      </w:r>
      <w:r w:rsidR="00580E72" w:rsidRPr="00EC137F">
        <w:t>, as defined in figure 1</w:t>
      </w:r>
      <w:r w:rsidRPr="00EC137F">
        <w:t>.</w:t>
      </w:r>
    </w:p>
    <w:p w:rsidR="001521CB" w:rsidRPr="001521CB" w:rsidRDefault="001521CB" w:rsidP="001521CB">
      <w:pPr>
        <w:pStyle w:val="Caption"/>
      </w:pPr>
      <w:r w:rsidRPr="001521CB">
        <w:t xml:space="preserve">Figure </w:t>
      </w:r>
      <w:fldSimple w:instr=" SEQ Figure \* ARABIC ">
        <w:r w:rsidR="002B5F16">
          <w:rPr>
            <w:noProof/>
          </w:rPr>
          <w:t>2</w:t>
        </w:r>
      </w:fldSimple>
      <w:r w:rsidRPr="001521CB">
        <w:t xml:space="preserve">: </w:t>
      </w:r>
      <w:r w:rsidRPr="001521CB">
        <w:rPr>
          <w:color w:val="2272A3"/>
          <w:szCs w:val="24"/>
        </w:rPr>
        <w:t>Daily gas market prices</w:t>
      </w:r>
      <w:r w:rsidR="00A84149">
        <w:rPr>
          <w:color w:val="2272A3"/>
          <w:szCs w:val="24"/>
        </w:rPr>
        <w:t xml:space="preserve"> ($/GJ)</w:t>
      </w:r>
    </w:p>
    <w:p w:rsidR="001521CB" w:rsidRDefault="004C70C9" w:rsidP="001521CB">
      <w:r w:rsidRPr="004C70C9">
        <w:rPr>
          <w:noProof/>
          <w:lang w:eastAsia="en-AU"/>
        </w:rPr>
        <w:drawing>
          <wp:inline distT="0" distB="0" distL="0" distR="0" wp14:anchorId="3C1BE5F8" wp14:editId="15522E6B">
            <wp:extent cx="5731510" cy="3547765"/>
            <wp:effectExtent l="0" t="0" r="2540" b="0"/>
            <wp:docPr id="12" name="Picture 12" descr="Figure 2 shows the daily price of gas in the mandatory gas markets and voluntary gas supply hubs (GSH). The weighted average daily imbalance price applies for Victoria. The prices shown for the GSH in Wallumbilla and Moomba are volume weighted average prices for all products traded on each 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31510" cy="3547765"/>
                    </a:xfrm>
                    <a:prstGeom prst="rect">
                      <a:avLst/>
                    </a:prstGeom>
                    <a:noFill/>
                    <a:ln>
                      <a:noFill/>
                    </a:ln>
                  </pic:spPr>
                </pic:pic>
              </a:graphicData>
            </a:graphic>
          </wp:inline>
        </w:drawing>
      </w:r>
    </w:p>
    <w:p w:rsidR="002B5F16" w:rsidRDefault="002B5F16">
      <w:pPr>
        <w:spacing w:line="240" w:lineRule="auto"/>
        <w:rPr>
          <w:rFonts w:eastAsia="Times New Roman" w:cs="Arial"/>
          <w:bCs/>
          <w:lang w:eastAsia="en-AU"/>
        </w:rPr>
      </w:pPr>
      <w:r>
        <w:br w:type="page"/>
      </w:r>
    </w:p>
    <w:p w:rsidR="001521CB" w:rsidRPr="008D4DAB" w:rsidRDefault="001521CB" w:rsidP="00F26128">
      <w:pPr>
        <w:pStyle w:val="AERbodytext"/>
      </w:pPr>
      <w:r w:rsidRPr="00EC137F">
        <w:lastRenderedPageBreak/>
        <w:t xml:space="preserve">Figure 3 compares average ancillary market payments </w:t>
      </w:r>
      <w:r w:rsidR="006621AB" w:rsidRPr="00EC137F">
        <w:t xml:space="preserve">(VGM) </w:t>
      </w:r>
      <w:r w:rsidRPr="00EC137F">
        <w:t xml:space="preserve">and </w:t>
      </w:r>
      <w:r w:rsidR="006621AB" w:rsidRPr="00EC137F">
        <w:t xml:space="preserve">balancing gas service payments (STTM) </w:t>
      </w:r>
      <w:r w:rsidRPr="00EC137F">
        <w:t>against historical averages.</w:t>
      </w:r>
    </w:p>
    <w:p w:rsidR="001521CB" w:rsidRPr="001521CB" w:rsidRDefault="001521CB" w:rsidP="001521CB">
      <w:pPr>
        <w:pStyle w:val="Caption"/>
      </w:pPr>
      <w:r w:rsidRPr="001521CB">
        <w:t xml:space="preserve">Figure </w:t>
      </w:r>
      <w:fldSimple w:instr=" SEQ Figure \* ARABIC ">
        <w:r w:rsidR="002B5F16">
          <w:rPr>
            <w:noProof/>
          </w:rPr>
          <w:t>3</w:t>
        </w:r>
      </w:fldSimple>
      <w:r w:rsidRPr="001521CB">
        <w:t xml:space="preserve">: </w:t>
      </w:r>
      <w:r w:rsidR="00E95390">
        <w:rPr>
          <w:color w:val="2272A3"/>
          <w:szCs w:val="24"/>
        </w:rPr>
        <w:t xml:space="preserve">Average ancillary </w:t>
      </w:r>
      <w:r w:rsidR="00E7180D">
        <w:rPr>
          <w:color w:val="2272A3"/>
          <w:szCs w:val="24"/>
        </w:rPr>
        <w:t>payments</w:t>
      </w:r>
      <w:r w:rsidR="0092084D">
        <w:rPr>
          <w:color w:val="2272A3"/>
          <w:szCs w:val="24"/>
        </w:rPr>
        <w:t xml:space="preserve"> ($000)</w:t>
      </w:r>
    </w:p>
    <w:tbl>
      <w:tblPr>
        <w:tblStyle w:val="AERTable-Text"/>
        <w:tblW w:w="5000" w:type="pct"/>
        <w:tblLook w:val="04A0" w:firstRow="1" w:lastRow="0" w:firstColumn="1" w:lastColumn="0" w:noHBand="0" w:noVBand="1"/>
      </w:tblPr>
      <w:tblGrid>
        <w:gridCol w:w="2930"/>
        <w:gridCol w:w="1835"/>
        <w:gridCol w:w="1401"/>
        <w:gridCol w:w="1536"/>
        <w:gridCol w:w="1540"/>
      </w:tblGrid>
      <w:tr w:rsidR="00534DD9" w:rsidRPr="00405CDE" w:rsidTr="00534DD9">
        <w:trPr>
          <w:cnfStyle w:val="100000000000" w:firstRow="1" w:lastRow="0" w:firstColumn="0" w:lastColumn="0" w:oddVBand="0" w:evenVBand="0" w:oddHBand="0" w:evenHBand="0" w:firstRowFirstColumn="0" w:firstRowLastColumn="0" w:lastRowFirstColumn="0" w:lastRowLastColumn="0"/>
          <w:tblHeader/>
        </w:trPr>
        <w:tc>
          <w:tcPr>
            <w:tcW w:w="1585" w:type="pct"/>
            <w:tcBorders>
              <w:bottom w:val="nil"/>
            </w:tcBorders>
            <w:vAlign w:val="center"/>
            <w:hideMark/>
          </w:tcPr>
          <w:p w:rsidR="00534DD9" w:rsidRPr="00DC24BF" w:rsidRDefault="001521CB" w:rsidP="00534DD9">
            <w:pPr>
              <w:pStyle w:val="TableHeading"/>
              <w:spacing w:before="120" w:after="120" w:line="240" w:lineRule="auto"/>
              <w:jc w:val="center"/>
              <w:rPr>
                <w:rFonts w:cs="Arial"/>
                <w:sz w:val="20"/>
                <w:szCs w:val="20"/>
              </w:rPr>
            </w:pPr>
            <w:r w:rsidRPr="00D329E0">
              <w:t xml:space="preserve"> </w:t>
            </w:r>
          </w:p>
        </w:tc>
        <w:tc>
          <w:tcPr>
            <w:tcW w:w="993" w:type="pct"/>
            <w:tcBorders>
              <w:bottom w:val="nil"/>
            </w:tcBorders>
            <w:vAlign w:val="center"/>
            <w:hideMark/>
          </w:tcPr>
          <w:p w:rsidR="00534DD9" w:rsidRPr="00534DD9" w:rsidRDefault="00534DD9" w:rsidP="00534DD9">
            <w:pPr>
              <w:spacing w:before="120" w:line="240" w:lineRule="auto"/>
              <w:jc w:val="center"/>
              <w:rPr>
                <w:rFonts w:eastAsia="Times New Roman" w:cs="Arial"/>
                <w:bCs/>
                <w:color w:val="FFFFFF"/>
                <w:sz w:val="20"/>
                <w:szCs w:val="20"/>
                <w:lang w:eastAsia="en-AU"/>
              </w:rPr>
            </w:pPr>
            <w:r w:rsidRPr="00534DD9">
              <w:rPr>
                <w:rFonts w:eastAsia="Times New Roman" w:cs="Arial"/>
                <w:bCs/>
                <w:color w:val="FFFFFF"/>
                <w:sz w:val="20"/>
                <w:szCs w:val="20"/>
                <w:lang w:eastAsia="en-AU"/>
              </w:rPr>
              <w:t xml:space="preserve">Victoria                                   </w:t>
            </w:r>
            <w:r w:rsidRPr="00534DD9">
              <w:rPr>
                <w:rFonts w:eastAsia="Times New Roman" w:cs="Arial"/>
                <w:b w:val="0"/>
                <w:color w:val="FFFFFF"/>
                <w:sz w:val="16"/>
                <w:szCs w:val="16"/>
                <w:lang w:eastAsia="en-AU"/>
              </w:rPr>
              <w:t>Ancillary Payments</w:t>
            </w:r>
            <w:r>
              <w:rPr>
                <w:rFonts w:eastAsia="Times New Roman" w:cs="Arial"/>
                <w:b w:val="0"/>
                <w:color w:val="FFFFFF"/>
                <w:sz w:val="16"/>
                <w:szCs w:val="16"/>
                <w:lang w:eastAsia="en-AU"/>
              </w:rPr>
              <w:t>*</w:t>
            </w:r>
          </w:p>
        </w:tc>
        <w:tc>
          <w:tcPr>
            <w:tcW w:w="758" w:type="pct"/>
            <w:tcBorders>
              <w:bottom w:val="nil"/>
            </w:tcBorders>
            <w:vAlign w:val="center"/>
          </w:tcPr>
          <w:p w:rsidR="00534DD9" w:rsidRPr="00534DD9" w:rsidRDefault="00534DD9" w:rsidP="00534DD9">
            <w:pPr>
              <w:spacing w:before="120" w:line="240" w:lineRule="auto"/>
              <w:jc w:val="center"/>
              <w:rPr>
                <w:rFonts w:eastAsia="Times New Roman" w:cs="Arial"/>
                <w:bCs/>
                <w:color w:val="FFFFFF"/>
                <w:sz w:val="20"/>
                <w:szCs w:val="20"/>
                <w:lang w:eastAsia="en-AU"/>
              </w:rPr>
            </w:pPr>
            <w:r w:rsidRPr="00534DD9">
              <w:rPr>
                <w:rFonts w:eastAsia="Times New Roman" w:cs="Arial"/>
                <w:bCs/>
                <w:color w:val="FFFFFF"/>
                <w:sz w:val="20"/>
                <w:szCs w:val="20"/>
                <w:lang w:eastAsia="en-AU"/>
              </w:rPr>
              <w:t xml:space="preserve">Sydney                                    </w:t>
            </w:r>
            <w:r w:rsidRPr="00534DD9">
              <w:rPr>
                <w:rFonts w:eastAsia="Times New Roman" w:cs="Arial"/>
                <w:b w:val="0"/>
                <w:color w:val="FFFFFF"/>
                <w:sz w:val="16"/>
                <w:szCs w:val="16"/>
                <w:lang w:eastAsia="en-AU"/>
              </w:rPr>
              <w:t>MOS</w:t>
            </w:r>
          </w:p>
        </w:tc>
        <w:tc>
          <w:tcPr>
            <w:tcW w:w="831" w:type="pct"/>
            <w:tcBorders>
              <w:bottom w:val="nil"/>
            </w:tcBorders>
            <w:vAlign w:val="center"/>
          </w:tcPr>
          <w:p w:rsidR="00534DD9" w:rsidRPr="00534DD9" w:rsidRDefault="00534DD9" w:rsidP="00534DD9">
            <w:pPr>
              <w:spacing w:before="120" w:line="240" w:lineRule="auto"/>
              <w:jc w:val="center"/>
              <w:rPr>
                <w:rFonts w:eastAsia="Times New Roman" w:cs="Arial"/>
                <w:bCs/>
                <w:color w:val="FFFFFF"/>
                <w:sz w:val="20"/>
                <w:szCs w:val="20"/>
                <w:lang w:eastAsia="en-AU"/>
              </w:rPr>
            </w:pPr>
            <w:r w:rsidRPr="00534DD9">
              <w:rPr>
                <w:rFonts w:eastAsia="Times New Roman" w:cs="Arial"/>
                <w:bCs/>
                <w:color w:val="FFFFFF"/>
                <w:sz w:val="20"/>
                <w:szCs w:val="20"/>
                <w:lang w:eastAsia="en-AU"/>
              </w:rPr>
              <w:t xml:space="preserve">Adelaide                                    </w:t>
            </w:r>
            <w:r w:rsidRPr="00534DD9">
              <w:rPr>
                <w:rFonts w:eastAsia="Times New Roman" w:cs="Arial"/>
                <w:b w:val="0"/>
                <w:color w:val="FFFFFF"/>
                <w:sz w:val="16"/>
                <w:szCs w:val="16"/>
                <w:lang w:eastAsia="en-AU"/>
              </w:rPr>
              <w:t>MOS</w:t>
            </w:r>
          </w:p>
        </w:tc>
        <w:tc>
          <w:tcPr>
            <w:tcW w:w="833" w:type="pct"/>
            <w:tcBorders>
              <w:bottom w:val="nil"/>
            </w:tcBorders>
            <w:vAlign w:val="center"/>
          </w:tcPr>
          <w:p w:rsidR="00534DD9" w:rsidRPr="00534DD9" w:rsidRDefault="00534DD9" w:rsidP="00534DD9">
            <w:pPr>
              <w:spacing w:before="120" w:line="240" w:lineRule="auto"/>
              <w:jc w:val="center"/>
              <w:rPr>
                <w:rFonts w:eastAsia="Times New Roman" w:cs="Arial"/>
                <w:bCs/>
                <w:color w:val="FFFFFF"/>
                <w:sz w:val="20"/>
                <w:szCs w:val="20"/>
                <w:lang w:eastAsia="en-AU"/>
              </w:rPr>
            </w:pPr>
            <w:r w:rsidRPr="00534DD9">
              <w:rPr>
                <w:rFonts w:eastAsia="Times New Roman" w:cs="Arial"/>
                <w:bCs/>
                <w:color w:val="FFFFFF"/>
                <w:sz w:val="20"/>
                <w:szCs w:val="20"/>
                <w:lang w:eastAsia="en-AU"/>
              </w:rPr>
              <w:t xml:space="preserve">Brisbane                                    </w:t>
            </w:r>
            <w:r w:rsidRPr="00534DD9">
              <w:rPr>
                <w:rFonts w:eastAsia="Times New Roman" w:cs="Arial"/>
                <w:b w:val="0"/>
                <w:color w:val="FFFFFF"/>
                <w:sz w:val="16"/>
                <w:szCs w:val="16"/>
                <w:lang w:eastAsia="en-AU"/>
              </w:rPr>
              <w:t>MOS</w:t>
            </w:r>
          </w:p>
        </w:tc>
      </w:tr>
      <w:tr w:rsidR="004C70C9" w:rsidRPr="00405CDE" w:rsidTr="00534DD9">
        <w:trPr>
          <w:trHeight w:val="510"/>
        </w:trPr>
        <w:tc>
          <w:tcPr>
            <w:tcW w:w="1585" w:type="pct"/>
            <w:tcBorders>
              <w:top w:val="nil"/>
              <w:bottom w:val="nil"/>
            </w:tcBorders>
            <w:vAlign w:val="center"/>
          </w:tcPr>
          <w:p w:rsidR="004C70C9" w:rsidRDefault="004C70C9">
            <w:pPr>
              <w:rPr>
                <w:rFonts w:cs="Arial"/>
                <w:sz w:val="16"/>
                <w:szCs w:val="16"/>
              </w:rPr>
            </w:pPr>
            <w:r>
              <w:rPr>
                <w:rFonts w:cs="Arial"/>
                <w:sz w:val="16"/>
                <w:szCs w:val="16"/>
              </w:rPr>
              <w:t>01 Jan - 07 Jan 2017</w:t>
            </w:r>
          </w:p>
        </w:tc>
        <w:tc>
          <w:tcPr>
            <w:tcW w:w="993" w:type="pct"/>
            <w:tcBorders>
              <w:top w:val="nil"/>
              <w:bottom w:val="nil"/>
            </w:tcBorders>
            <w:vAlign w:val="center"/>
          </w:tcPr>
          <w:p w:rsidR="004C70C9" w:rsidRDefault="004C70C9">
            <w:pPr>
              <w:jc w:val="center"/>
              <w:rPr>
                <w:rFonts w:cs="Arial"/>
                <w:sz w:val="20"/>
                <w:szCs w:val="20"/>
              </w:rPr>
            </w:pPr>
            <w:r>
              <w:rPr>
                <w:rFonts w:cs="Arial"/>
                <w:sz w:val="20"/>
                <w:szCs w:val="20"/>
              </w:rPr>
              <w:t>-</w:t>
            </w:r>
          </w:p>
        </w:tc>
        <w:tc>
          <w:tcPr>
            <w:tcW w:w="758" w:type="pct"/>
            <w:tcBorders>
              <w:top w:val="nil"/>
              <w:bottom w:val="nil"/>
            </w:tcBorders>
            <w:vAlign w:val="center"/>
          </w:tcPr>
          <w:p w:rsidR="004C70C9" w:rsidRDefault="004C70C9">
            <w:pPr>
              <w:jc w:val="center"/>
              <w:rPr>
                <w:rFonts w:cs="Arial"/>
                <w:sz w:val="20"/>
                <w:szCs w:val="20"/>
              </w:rPr>
            </w:pPr>
            <w:r>
              <w:rPr>
                <w:rFonts w:cs="Arial"/>
                <w:sz w:val="20"/>
                <w:szCs w:val="20"/>
              </w:rPr>
              <w:t>24.18</w:t>
            </w:r>
          </w:p>
        </w:tc>
        <w:tc>
          <w:tcPr>
            <w:tcW w:w="831" w:type="pct"/>
            <w:tcBorders>
              <w:top w:val="nil"/>
              <w:bottom w:val="nil"/>
            </w:tcBorders>
            <w:vAlign w:val="center"/>
          </w:tcPr>
          <w:p w:rsidR="004C70C9" w:rsidRDefault="004C70C9">
            <w:pPr>
              <w:jc w:val="center"/>
              <w:rPr>
                <w:rFonts w:cs="Arial"/>
                <w:sz w:val="20"/>
                <w:szCs w:val="20"/>
              </w:rPr>
            </w:pPr>
            <w:r>
              <w:rPr>
                <w:rFonts w:cs="Arial"/>
                <w:sz w:val="20"/>
                <w:szCs w:val="20"/>
              </w:rPr>
              <w:t>4.18</w:t>
            </w:r>
          </w:p>
        </w:tc>
        <w:tc>
          <w:tcPr>
            <w:tcW w:w="833" w:type="pct"/>
            <w:tcBorders>
              <w:top w:val="nil"/>
              <w:bottom w:val="nil"/>
            </w:tcBorders>
            <w:vAlign w:val="center"/>
          </w:tcPr>
          <w:p w:rsidR="004C70C9" w:rsidRDefault="004C70C9">
            <w:pPr>
              <w:jc w:val="center"/>
              <w:rPr>
                <w:rFonts w:cs="Arial"/>
                <w:sz w:val="20"/>
                <w:szCs w:val="20"/>
              </w:rPr>
            </w:pPr>
            <w:r>
              <w:rPr>
                <w:rFonts w:cs="Arial"/>
                <w:sz w:val="20"/>
                <w:szCs w:val="20"/>
              </w:rPr>
              <w:t>1.95</w:t>
            </w:r>
          </w:p>
        </w:tc>
      </w:tr>
      <w:tr w:rsidR="004C70C9" w:rsidRPr="00405CDE" w:rsidTr="00534DD9">
        <w:trPr>
          <w:cnfStyle w:val="000000010000" w:firstRow="0" w:lastRow="0" w:firstColumn="0" w:lastColumn="0" w:oddVBand="0" w:evenVBand="0" w:oddHBand="0" w:evenHBand="1" w:firstRowFirstColumn="0" w:firstRowLastColumn="0" w:lastRowFirstColumn="0" w:lastRowLastColumn="0"/>
          <w:trHeight w:val="510"/>
        </w:trPr>
        <w:tc>
          <w:tcPr>
            <w:tcW w:w="1585" w:type="pct"/>
            <w:tcBorders>
              <w:top w:val="nil"/>
              <w:bottom w:val="nil"/>
            </w:tcBorders>
            <w:vAlign w:val="center"/>
          </w:tcPr>
          <w:p w:rsidR="004C70C9" w:rsidRDefault="004C70C9">
            <w:pPr>
              <w:rPr>
                <w:rFonts w:cs="Arial"/>
                <w:sz w:val="16"/>
                <w:szCs w:val="16"/>
              </w:rPr>
            </w:pPr>
            <w:r>
              <w:rPr>
                <w:rFonts w:cs="Arial"/>
                <w:sz w:val="16"/>
                <w:szCs w:val="16"/>
              </w:rPr>
              <w:t>% change from previous week</w:t>
            </w:r>
          </w:p>
        </w:tc>
        <w:tc>
          <w:tcPr>
            <w:tcW w:w="993" w:type="pct"/>
            <w:tcBorders>
              <w:top w:val="nil"/>
              <w:bottom w:val="nil"/>
            </w:tcBorders>
            <w:vAlign w:val="center"/>
          </w:tcPr>
          <w:p w:rsidR="004C70C9" w:rsidRDefault="004C70C9">
            <w:pPr>
              <w:jc w:val="center"/>
              <w:rPr>
                <w:rFonts w:cs="Arial"/>
                <w:szCs w:val="20"/>
              </w:rPr>
            </w:pPr>
            <w:r>
              <w:rPr>
                <w:rFonts w:cs="Arial"/>
                <w:szCs w:val="20"/>
              </w:rPr>
              <w:t>-</w:t>
            </w:r>
          </w:p>
        </w:tc>
        <w:tc>
          <w:tcPr>
            <w:tcW w:w="758" w:type="pct"/>
            <w:tcBorders>
              <w:top w:val="nil"/>
              <w:bottom w:val="nil"/>
            </w:tcBorders>
            <w:vAlign w:val="center"/>
          </w:tcPr>
          <w:p w:rsidR="004C70C9" w:rsidRDefault="004C70C9">
            <w:pPr>
              <w:jc w:val="center"/>
              <w:rPr>
                <w:rFonts w:cs="Arial"/>
                <w:szCs w:val="20"/>
              </w:rPr>
            </w:pPr>
            <w:r>
              <w:rPr>
                <w:rFonts w:cs="Arial"/>
                <w:szCs w:val="20"/>
              </w:rPr>
              <w:t>-64</w:t>
            </w:r>
          </w:p>
        </w:tc>
        <w:tc>
          <w:tcPr>
            <w:tcW w:w="831" w:type="pct"/>
            <w:tcBorders>
              <w:top w:val="nil"/>
              <w:bottom w:val="nil"/>
            </w:tcBorders>
            <w:vAlign w:val="center"/>
          </w:tcPr>
          <w:p w:rsidR="004C70C9" w:rsidRDefault="004C70C9">
            <w:pPr>
              <w:jc w:val="center"/>
              <w:rPr>
                <w:rFonts w:cs="Arial"/>
                <w:szCs w:val="20"/>
              </w:rPr>
            </w:pPr>
            <w:r>
              <w:rPr>
                <w:rFonts w:cs="Arial"/>
                <w:szCs w:val="20"/>
              </w:rPr>
              <w:t>-81</w:t>
            </w:r>
          </w:p>
        </w:tc>
        <w:tc>
          <w:tcPr>
            <w:tcW w:w="833" w:type="pct"/>
            <w:tcBorders>
              <w:top w:val="nil"/>
              <w:bottom w:val="nil"/>
            </w:tcBorders>
            <w:vAlign w:val="center"/>
          </w:tcPr>
          <w:p w:rsidR="004C70C9" w:rsidRDefault="004C70C9">
            <w:pPr>
              <w:jc w:val="center"/>
              <w:rPr>
                <w:rFonts w:cs="Arial"/>
                <w:szCs w:val="20"/>
              </w:rPr>
            </w:pPr>
            <w:r>
              <w:rPr>
                <w:rFonts w:cs="Arial"/>
                <w:szCs w:val="20"/>
              </w:rPr>
              <w:t>-26</w:t>
            </w:r>
          </w:p>
        </w:tc>
      </w:tr>
      <w:tr w:rsidR="004C70C9" w:rsidRPr="00405CDE" w:rsidTr="00534DD9">
        <w:trPr>
          <w:trHeight w:val="510"/>
        </w:trPr>
        <w:tc>
          <w:tcPr>
            <w:tcW w:w="1585" w:type="pct"/>
            <w:tcBorders>
              <w:top w:val="nil"/>
              <w:bottom w:val="nil"/>
            </w:tcBorders>
            <w:vAlign w:val="center"/>
          </w:tcPr>
          <w:p w:rsidR="004C70C9" w:rsidRDefault="004C70C9">
            <w:pPr>
              <w:rPr>
                <w:rFonts w:cs="Arial"/>
                <w:sz w:val="16"/>
                <w:szCs w:val="16"/>
              </w:rPr>
            </w:pPr>
            <w:r>
              <w:rPr>
                <w:rFonts w:cs="Arial"/>
                <w:sz w:val="16"/>
                <w:szCs w:val="16"/>
              </w:rPr>
              <w:t>16-17 financial YTD</w:t>
            </w:r>
          </w:p>
        </w:tc>
        <w:tc>
          <w:tcPr>
            <w:tcW w:w="993" w:type="pct"/>
            <w:tcBorders>
              <w:top w:val="nil"/>
              <w:bottom w:val="nil"/>
            </w:tcBorders>
            <w:vAlign w:val="center"/>
          </w:tcPr>
          <w:p w:rsidR="004C70C9" w:rsidRDefault="004C70C9">
            <w:pPr>
              <w:jc w:val="center"/>
              <w:rPr>
                <w:rFonts w:cs="Arial"/>
                <w:sz w:val="20"/>
                <w:szCs w:val="20"/>
              </w:rPr>
            </w:pPr>
            <w:r>
              <w:rPr>
                <w:rFonts w:cs="Arial"/>
                <w:sz w:val="20"/>
                <w:szCs w:val="20"/>
              </w:rPr>
              <w:t> </w:t>
            </w:r>
          </w:p>
        </w:tc>
        <w:tc>
          <w:tcPr>
            <w:tcW w:w="758" w:type="pct"/>
            <w:tcBorders>
              <w:top w:val="nil"/>
              <w:bottom w:val="nil"/>
            </w:tcBorders>
            <w:vAlign w:val="center"/>
          </w:tcPr>
          <w:p w:rsidR="004C70C9" w:rsidRDefault="004C70C9">
            <w:pPr>
              <w:jc w:val="center"/>
              <w:rPr>
                <w:rFonts w:cs="Arial"/>
                <w:sz w:val="20"/>
                <w:szCs w:val="20"/>
              </w:rPr>
            </w:pPr>
            <w:r>
              <w:rPr>
                <w:rFonts w:cs="Arial"/>
                <w:sz w:val="20"/>
                <w:szCs w:val="20"/>
              </w:rPr>
              <w:t>58.52</w:t>
            </w:r>
          </w:p>
        </w:tc>
        <w:tc>
          <w:tcPr>
            <w:tcW w:w="831" w:type="pct"/>
            <w:tcBorders>
              <w:top w:val="nil"/>
              <w:bottom w:val="nil"/>
            </w:tcBorders>
            <w:vAlign w:val="center"/>
          </w:tcPr>
          <w:p w:rsidR="004C70C9" w:rsidRDefault="004C70C9">
            <w:pPr>
              <w:jc w:val="center"/>
              <w:rPr>
                <w:rFonts w:cs="Arial"/>
                <w:sz w:val="20"/>
                <w:szCs w:val="20"/>
              </w:rPr>
            </w:pPr>
            <w:r>
              <w:rPr>
                <w:rFonts w:cs="Arial"/>
                <w:sz w:val="20"/>
                <w:szCs w:val="20"/>
              </w:rPr>
              <w:t>25.73</w:t>
            </w:r>
          </w:p>
        </w:tc>
        <w:tc>
          <w:tcPr>
            <w:tcW w:w="833" w:type="pct"/>
            <w:tcBorders>
              <w:top w:val="nil"/>
              <w:bottom w:val="nil"/>
            </w:tcBorders>
            <w:vAlign w:val="center"/>
          </w:tcPr>
          <w:p w:rsidR="004C70C9" w:rsidRDefault="004C70C9">
            <w:pPr>
              <w:jc w:val="center"/>
              <w:rPr>
                <w:rFonts w:cs="Arial"/>
                <w:sz w:val="20"/>
                <w:szCs w:val="20"/>
              </w:rPr>
            </w:pPr>
            <w:r>
              <w:rPr>
                <w:rFonts w:cs="Arial"/>
                <w:sz w:val="20"/>
                <w:szCs w:val="20"/>
              </w:rPr>
              <w:t>1.54</w:t>
            </w:r>
          </w:p>
        </w:tc>
      </w:tr>
      <w:tr w:rsidR="004C70C9" w:rsidRPr="00405CDE" w:rsidTr="00534DD9">
        <w:trPr>
          <w:cnfStyle w:val="000000010000" w:firstRow="0" w:lastRow="0" w:firstColumn="0" w:lastColumn="0" w:oddVBand="0" w:evenVBand="0" w:oddHBand="0" w:evenHBand="1" w:firstRowFirstColumn="0" w:firstRowLastColumn="0" w:lastRowFirstColumn="0" w:lastRowLastColumn="0"/>
          <w:trHeight w:val="510"/>
        </w:trPr>
        <w:tc>
          <w:tcPr>
            <w:tcW w:w="1585" w:type="pct"/>
            <w:tcBorders>
              <w:top w:val="nil"/>
              <w:bottom w:val="single" w:sz="4" w:space="0" w:color="auto"/>
            </w:tcBorders>
            <w:vAlign w:val="center"/>
          </w:tcPr>
          <w:p w:rsidR="004C70C9" w:rsidRDefault="004C70C9">
            <w:pPr>
              <w:rPr>
                <w:rFonts w:cs="Arial"/>
                <w:sz w:val="16"/>
                <w:szCs w:val="16"/>
              </w:rPr>
            </w:pPr>
            <w:r>
              <w:rPr>
                <w:rFonts w:cs="Arial"/>
                <w:sz w:val="16"/>
                <w:szCs w:val="16"/>
              </w:rPr>
              <w:t xml:space="preserve">% change from previous financial YTD </w:t>
            </w:r>
          </w:p>
        </w:tc>
        <w:tc>
          <w:tcPr>
            <w:tcW w:w="993" w:type="pct"/>
            <w:tcBorders>
              <w:top w:val="nil"/>
              <w:bottom w:val="single" w:sz="4" w:space="0" w:color="auto"/>
            </w:tcBorders>
            <w:vAlign w:val="center"/>
          </w:tcPr>
          <w:p w:rsidR="004C70C9" w:rsidRDefault="004C70C9">
            <w:pPr>
              <w:jc w:val="center"/>
              <w:rPr>
                <w:rFonts w:cs="Arial"/>
                <w:szCs w:val="20"/>
              </w:rPr>
            </w:pPr>
            <w:r>
              <w:rPr>
                <w:rFonts w:cs="Arial"/>
                <w:szCs w:val="20"/>
              </w:rPr>
              <w:t> </w:t>
            </w:r>
          </w:p>
        </w:tc>
        <w:tc>
          <w:tcPr>
            <w:tcW w:w="758" w:type="pct"/>
            <w:tcBorders>
              <w:top w:val="nil"/>
              <w:bottom w:val="single" w:sz="4" w:space="0" w:color="auto"/>
            </w:tcBorders>
            <w:vAlign w:val="center"/>
          </w:tcPr>
          <w:p w:rsidR="004C70C9" w:rsidRDefault="004C70C9">
            <w:pPr>
              <w:jc w:val="center"/>
              <w:rPr>
                <w:rFonts w:cs="Arial"/>
                <w:szCs w:val="20"/>
              </w:rPr>
            </w:pPr>
            <w:r>
              <w:rPr>
                <w:rFonts w:cs="Arial"/>
                <w:szCs w:val="20"/>
              </w:rPr>
              <w:t>141</w:t>
            </w:r>
          </w:p>
        </w:tc>
        <w:tc>
          <w:tcPr>
            <w:tcW w:w="831" w:type="pct"/>
            <w:tcBorders>
              <w:top w:val="nil"/>
              <w:bottom w:val="single" w:sz="4" w:space="0" w:color="auto"/>
            </w:tcBorders>
            <w:vAlign w:val="center"/>
          </w:tcPr>
          <w:p w:rsidR="004C70C9" w:rsidRDefault="004C70C9">
            <w:pPr>
              <w:jc w:val="center"/>
              <w:rPr>
                <w:rFonts w:cs="Arial"/>
                <w:szCs w:val="20"/>
              </w:rPr>
            </w:pPr>
            <w:r>
              <w:rPr>
                <w:rFonts w:cs="Arial"/>
                <w:szCs w:val="20"/>
              </w:rPr>
              <w:t>191</w:t>
            </w:r>
          </w:p>
        </w:tc>
        <w:tc>
          <w:tcPr>
            <w:tcW w:w="833" w:type="pct"/>
            <w:tcBorders>
              <w:top w:val="nil"/>
              <w:bottom w:val="single" w:sz="4" w:space="0" w:color="auto"/>
            </w:tcBorders>
            <w:vAlign w:val="center"/>
          </w:tcPr>
          <w:p w:rsidR="004C70C9" w:rsidRDefault="004C70C9">
            <w:pPr>
              <w:jc w:val="center"/>
              <w:rPr>
                <w:rFonts w:cs="Arial"/>
                <w:szCs w:val="20"/>
              </w:rPr>
            </w:pPr>
            <w:r>
              <w:rPr>
                <w:rFonts w:cs="Arial"/>
                <w:szCs w:val="20"/>
              </w:rPr>
              <w:t>1</w:t>
            </w:r>
          </w:p>
        </w:tc>
      </w:tr>
    </w:tbl>
    <w:p w:rsidR="00534DD9" w:rsidRPr="001521CB" w:rsidRDefault="00534DD9" w:rsidP="00534DD9">
      <w:pPr>
        <w:pStyle w:val="AERbodytext"/>
        <w:rPr>
          <w:sz w:val="16"/>
        </w:rPr>
      </w:pPr>
      <w:r w:rsidRPr="00EC137F">
        <w:rPr>
          <w:sz w:val="16"/>
        </w:rPr>
        <w:t xml:space="preserve">* </w:t>
      </w:r>
      <w:r w:rsidR="00A16975" w:rsidRPr="00EC137F">
        <w:rPr>
          <w:sz w:val="16"/>
        </w:rPr>
        <w:t xml:space="preserve">Ancillary payments reflect </w:t>
      </w:r>
      <w:r w:rsidR="00963914" w:rsidRPr="00EC137F">
        <w:rPr>
          <w:sz w:val="16"/>
        </w:rPr>
        <w:t xml:space="preserve">the compensation costs for any </w:t>
      </w:r>
      <w:r w:rsidR="00A16975" w:rsidRPr="00EC137F">
        <w:rPr>
          <w:sz w:val="16"/>
        </w:rPr>
        <w:t>additional injections offered at a price higher than the market price.</w:t>
      </w:r>
      <w:r w:rsidR="00963914">
        <w:rPr>
          <w:sz w:val="16"/>
        </w:rPr>
        <w:t xml:space="preserve"> </w:t>
      </w:r>
      <w:r w:rsidRPr="001521CB">
        <w:rPr>
          <w:sz w:val="16"/>
        </w:rPr>
        <w:t>Note: only positive ancillary payments, reflecting system constraints will be shown here.</w:t>
      </w:r>
    </w:p>
    <w:p w:rsidR="00F26128" w:rsidRDefault="00534DD9" w:rsidP="00534DD9">
      <w:pPr>
        <w:pStyle w:val="AERbodytext"/>
      </w:pPr>
      <w:r>
        <w:t>More</w:t>
      </w:r>
      <w:r w:rsidRPr="00D329E0">
        <w:t xml:space="preserve"> </w:t>
      </w:r>
      <w:r>
        <w:t xml:space="preserve">detailed </w:t>
      </w:r>
      <w:r w:rsidRPr="00D329E0">
        <w:t xml:space="preserve">analysis on the </w:t>
      </w:r>
      <w:r>
        <w:t>VGM is provided in section 1</w:t>
      </w:r>
      <w:r w:rsidRPr="00D329E0">
        <w:t>.</w:t>
      </w:r>
    </w:p>
    <w:p w:rsidR="00AC5A66" w:rsidRDefault="00AC5A66" w:rsidP="00F26128">
      <w:pPr>
        <w:keepNext/>
      </w:pPr>
    </w:p>
    <w:p w:rsidR="004C571B" w:rsidRPr="00552F68" w:rsidRDefault="004C571B" w:rsidP="00F26128">
      <w:pPr>
        <w:keepNext/>
      </w:pPr>
      <w:bookmarkStart w:id="6" w:name="_GoBack"/>
      <w:bookmarkEnd w:id="6"/>
      <w:r w:rsidRPr="00552F68">
        <w:t xml:space="preserve">Figure </w:t>
      </w:r>
      <w:r w:rsidR="00534DD9" w:rsidRPr="00552F68">
        <w:t>4</w:t>
      </w:r>
      <w:r w:rsidRPr="00552F68">
        <w:t xml:space="preserve"> shows</w:t>
      </w:r>
      <w:r w:rsidR="001934E9" w:rsidRPr="00552F68">
        <w:t xml:space="preserve"> the quantity and v</w:t>
      </w:r>
      <w:r w:rsidR="00A226E9" w:rsidRPr="00552F68">
        <w:t>o</w:t>
      </w:r>
      <w:r w:rsidR="001934E9" w:rsidRPr="00552F68">
        <w:t>lume weighted pr</w:t>
      </w:r>
      <w:r w:rsidR="00A226E9" w:rsidRPr="00552F68">
        <w:t>ices of products traded in the Gas Supply Hub locations at Wallumbilla and Moomba.</w:t>
      </w:r>
    </w:p>
    <w:p w:rsidR="001521CB" w:rsidRDefault="001521CB" w:rsidP="001521CB">
      <w:pPr>
        <w:pStyle w:val="Caption"/>
        <w:rPr>
          <w:color w:val="2272A3"/>
          <w:szCs w:val="24"/>
        </w:rPr>
      </w:pPr>
      <w:r w:rsidRPr="00552F68">
        <w:t xml:space="preserve">Figure </w:t>
      </w:r>
      <w:fldSimple w:instr=" SEQ Figure \* ARABIC ">
        <w:r w:rsidR="002B5F16">
          <w:rPr>
            <w:noProof/>
          </w:rPr>
          <w:t>4</w:t>
        </w:r>
      </w:fldSimple>
      <w:r w:rsidRPr="00552F68">
        <w:t xml:space="preserve">: </w:t>
      </w:r>
      <w:r w:rsidR="004C571B" w:rsidRPr="00552F68">
        <w:rPr>
          <w:color w:val="2272A3"/>
          <w:szCs w:val="24"/>
        </w:rPr>
        <w:t>Gas supply hub products traded</w:t>
      </w:r>
      <w:r w:rsidR="00C5766F" w:rsidRPr="00552F68">
        <w:rPr>
          <w:color w:val="2272A3"/>
          <w:szCs w:val="24"/>
        </w:rPr>
        <w:t xml:space="preserve"> for the current week</w:t>
      </w:r>
      <w:r w:rsidR="004C690D" w:rsidRPr="00552F68">
        <w:rPr>
          <w:color w:val="2272A3"/>
          <w:szCs w:val="24"/>
        </w:rPr>
        <w:t xml:space="preserve"> </w:t>
      </w:r>
      <w:r w:rsidR="00B302BF" w:rsidRPr="00552F68">
        <w:rPr>
          <w:color w:val="2272A3"/>
          <w:szCs w:val="24"/>
        </w:rPr>
        <w:t>(</w:t>
      </w:r>
      <w:r w:rsidR="004C690D" w:rsidRPr="00552F68">
        <w:rPr>
          <w:color w:val="2272A3"/>
          <w:szCs w:val="24"/>
        </w:rPr>
        <w:t>$/GJ</w:t>
      </w:r>
      <w:r w:rsidR="00B302BF" w:rsidRPr="00552F68">
        <w:rPr>
          <w:color w:val="2272A3"/>
          <w:szCs w:val="24"/>
        </w:rPr>
        <w:t>, TJ</w:t>
      </w:r>
      <w:r w:rsidR="004C690D" w:rsidRPr="00552F68">
        <w:rPr>
          <w:color w:val="2272A3"/>
          <w:szCs w:val="24"/>
        </w:rPr>
        <w:t>)</w:t>
      </w:r>
      <w:r w:rsidR="00410584" w:rsidRPr="00552F68">
        <w:rPr>
          <w:color w:val="2272A3"/>
          <w:szCs w:val="24"/>
        </w:rPr>
        <w:t>*</w:t>
      </w:r>
    </w:p>
    <w:tbl>
      <w:tblPr>
        <w:tblStyle w:val="AERTable-Text"/>
        <w:tblW w:w="4830" w:type="pct"/>
        <w:tblLayout w:type="fixed"/>
        <w:tblLook w:val="04A0" w:firstRow="1" w:lastRow="0" w:firstColumn="1" w:lastColumn="0" w:noHBand="0" w:noVBand="1"/>
      </w:tblPr>
      <w:tblGrid>
        <w:gridCol w:w="1665"/>
        <w:gridCol w:w="625"/>
        <w:gridCol w:w="795"/>
        <w:gridCol w:w="714"/>
        <w:gridCol w:w="787"/>
        <w:gridCol w:w="634"/>
        <w:gridCol w:w="789"/>
        <w:gridCol w:w="723"/>
        <w:gridCol w:w="787"/>
        <w:gridCol w:w="623"/>
        <w:gridCol w:w="786"/>
      </w:tblGrid>
      <w:tr w:rsidR="00B302BF" w:rsidRPr="002861A9" w:rsidTr="00B302BF">
        <w:trPr>
          <w:cnfStyle w:val="100000000000" w:firstRow="1" w:lastRow="0" w:firstColumn="0" w:lastColumn="0" w:oddVBand="0" w:evenVBand="0" w:oddHBand="0" w:evenHBand="0" w:firstRowFirstColumn="0" w:firstRowLastColumn="0" w:lastRowFirstColumn="0" w:lastRowLastColumn="0"/>
          <w:trHeight w:val="404"/>
          <w:tblHeader/>
        </w:trPr>
        <w:tc>
          <w:tcPr>
            <w:tcW w:w="932" w:type="pct"/>
            <w:tcBorders>
              <w:bottom w:val="nil"/>
            </w:tcBorders>
            <w:vAlign w:val="center"/>
          </w:tcPr>
          <w:p w:rsidR="00A226E9" w:rsidRPr="00E16EDC" w:rsidRDefault="00A226E9" w:rsidP="00A226E9">
            <w:pPr>
              <w:pStyle w:val="TableHeading"/>
              <w:spacing w:before="120" w:after="0" w:line="240" w:lineRule="auto"/>
              <w:jc w:val="center"/>
              <w:rPr>
                <w:rFonts w:cs="Arial"/>
                <w:sz w:val="20"/>
                <w:szCs w:val="20"/>
              </w:rPr>
            </w:pPr>
          </w:p>
        </w:tc>
        <w:tc>
          <w:tcPr>
            <w:tcW w:w="795" w:type="pct"/>
            <w:gridSpan w:val="2"/>
            <w:tcBorders>
              <w:bottom w:val="nil"/>
            </w:tcBorders>
            <w:vAlign w:val="center"/>
          </w:tcPr>
          <w:p w:rsidR="00A226E9" w:rsidRPr="00E16EDC" w:rsidRDefault="00A226E9" w:rsidP="00A226E9">
            <w:pPr>
              <w:spacing w:before="120" w:after="0" w:line="240" w:lineRule="auto"/>
              <w:jc w:val="center"/>
              <w:rPr>
                <w:rFonts w:cs="Arial"/>
                <w:bCs/>
                <w:color w:val="FFFFFF"/>
                <w:sz w:val="20"/>
                <w:szCs w:val="20"/>
              </w:rPr>
            </w:pPr>
            <w:r w:rsidRPr="00E16EDC">
              <w:rPr>
                <w:rFonts w:cs="Arial"/>
                <w:bCs/>
                <w:color w:val="FFFFFF"/>
                <w:sz w:val="20"/>
                <w:szCs w:val="20"/>
              </w:rPr>
              <w:t>RBP</w:t>
            </w:r>
          </w:p>
        </w:tc>
        <w:tc>
          <w:tcPr>
            <w:tcW w:w="841" w:type="pct"/>
            <w:gridSpan w:val="2"/>
            <w:tcBorders>
              <w:bottom w:val="nil"/>
            </w:tcBorders>
            <w:vAlign w:val="center"/>
          </w:tcPr>
          <w:p w:rsidR="00A226E9" w:rsidRPr="00E16EDC" w:rsidRDefault="00A226E9" w:rsidP="00A226E9">
            <w:pPr>
              <w:spacing w:before="120" w:after="0" w:line="240" w:lineRule="auto"/>
              <w:jc w:val="center"/>
              <w:rPr>
                <w:rFonts w:cs="Arial"/>
                <w:bCs/>
                <w:color w:val="FFFFFF"/>
                <w:sz w:val="20"/>
                <w:szCs w:val="20"/>
              </w:rPr>
            </w:pPr>
            <w:r>
              <w:rPr>
                <w:rFonts w:cs="Arial"/>
                <w:bCs/>
                <w:color w:val="FFFFFF"/>
                <w:sz w:val="20"/>
                <w:szCs w:val="20"/>
              </w:rPr>
              <w:t>SWQP</w:t>
            </w:r>
          </w:p>
        </w:tc>
        <w:tc>
          <w:tcPr>
            <w:tcW w:w="797" w:type="pct"/>
            <w:gridSpan w:val="2"/>
            <w:tcBorders>
              <w:bottom w:val="nil"/>
            </w:tcBorders>
            <w:vAlign w:val="center"/>
          </w:tcPr>
          <w:p w:rsidR="00A226E9" w:rsidRPr="00E16EDC" w:rsidRDefault="00A226E9" w:rsidP="00A226E9">
            <w:pPr>
              <w:spacing w:before="120" w:after="0" w:line="240" w:lineRule="auto"/>
              <w:jc w:val="center"/>
              <w:rPr>
                <w:rFonts w:cs="Arial"/>
                <w:bCs/>
                <w:color w:val="FFFFFF"/>
                <w:sz w:val="20"/>
                <w:szCs w:val="20"/>
              </w:rPr>
            </w:pPr>
            <w:r w:rsidRPr="00E16EDC">
              <w:rPr>
                <w:rFonts w:cs="Arial"/>
                <w:bCs/>
                <w:color w:val="FFFFFF"/>
                <w:sz w:val="20"/>
                <w:szCs w:val="20"/>
              </w:rPr>
              <w:t>MAP</w:t>
            </w:r>
          </w:p>
        </w:tc>
        <w:tc>
          <w:tcPr>
            <w:tcW w:w="846" w:type="pct"/>
            <w:gridSpan w:val="2"/>
            <w:tcBorders>
              <w:bottom w:val="nil"/>
            </w:tcBorders>
            <w:vAlign w:val="center"/>
          </w:tcPr>
          <w:p w:rsidR="00A226E9" w:rsidRPr="00E16EDC" w:rsidRDefault="00A226E9" w:rsidP="00A226E9">
            <w:pPr>
              <w:spacing w:before="120" w:after="0" w:line="240" w:lineRule="auto"/>
              <w:jc w:val="center"/>
              <w:rPr>
                <w:rFonts w:cs="Arial"/>
                <w:bCs/>
                <w:color w:val="FFFFFF"/>
                <w:sz w:val="20"/>
                <w:szCs w:val="20"/>
              </w:rPr>
            </w:pPr>
            <w:r w:rsidRPr="00E16EDC">
              <w:rPr>
                <w:rFonts w:cs="Arial"/>
                <w:bCs/>
                <w:color w:val="FFFFFF"/>
                <w:sz w:val="20"/>
                <w:szCs w:val="20"/>
              </w:rPr>
              <w:t>MSP</w:t>
            </w:r>
          </w:p>
        </w:tc>
        <w:tc>
          <w:tcPr>
            <w:tcW w:w="789" w:type="pct"/>
            <w:gridSpan w:val="2"/>
            <w:tcBorders>
              <w:bottom w:val="nil"/>
            </w:tcBorders>
            <w:vAlign w:val="center"/>
          </w:tcPr>
          <w:p w:rsidR="00A226E9" w:rsidRPr="00E16EDC" w:rsidRDefault="00A226E9" w:rsidP="00A226E9">
            <w:pPr>
              <w:spacing w:before="120" w:after="0" w:line="240" w:lineRule="auto"/>
              <w:jc w:val="center"/>
              <w:rPr>
                <w:rFonts w:cs="Arial"/>
                <w:bCs/>
                <w:color w:val="FFFFFF"/>
                <w:sz w:val="20"/>
                <w:szCs w:val="20"/>
              </w:rPr>
            </w:pPr>
            <w:r w:rsidRPr="00E16EDC">
              <w:rPr>
                <w:rFonts w:cs="Arial"/>
                <w:bCs/>
                <w:color w:val="FFFFFF"/>
                <w:sz w:val="20"/>
                <w:szCs w:val="20"/>
              </w:rPr>
              <w:t>QGP</w:t>
            </w:r>
          </w:p>
        </w:tc>
      </w:tr>
      <w:tr w:rsidR="00B302BF" w:rsidRPr="002861A9" w:rsidTr="00B302BF">
        <w:trPr>
          <w:cnfStyle w:val="100000000000" w:firstRow="1" w:lastRow="0" w:firstColumn="0" w:lastColumn="0" w:oddVBand="0" w:evenVBand="0" w:oddHBand="0" w:evenHBand="0" w:firstRowFirstColumn="0" w:firstRowLastColumn="0" w:lastRowFirstColumn="0" w:lastRowLastColumn="0"/>
          <w:tblHeader/>
        </w:trPr>
        <w:tc>
          <w:tcPr>
            <w:tcW w:w="932" w:type="pct"/>
            <w:tcBorders>
              <w:bottom w:val="nil"/>
            </w:tcBorders>
            <w:vAlign w:val="center"/>
          </w:tcPr>
          <w:p w:rsidR="00B302BF" w:rsidRPr="00587CFB" w:rsidRDefault="00B302BF" w:rsidP="00A226E9">
            <w:pPr>
              <w:pStyle w:val="TableHeading"/>
              <w:jc w:val="center"/>
              <w:rPr>
                <w:rFonts w:cs="Arial"/>
                <w:sz w:val="20"/>
                <w:szCs w:val="20"/>
              </w:rPr>
            </w:pPr>
          </w:p>
        </w:tc>
        <w:tc>
          <w:tcPr>
            <w:tcW w:w="350" w:type="pct"/>
            <w:tcBorders>
              <w:bottom w:val="nil"/>
            </w:tcBorders>
            <w:vAlign w:val="center"/>
            <w:hideMark/>
          </w:tcPr>
          <w:p w:rsidR="00B302BF" w:rsidRPr="00587CFB" w:rsidRDefault="00B302BF" w:rsidP="00A226E9">
            <w:pPr>
              <w:jc w:val="center"/>
              <w:rPr>
                <w:rFonts w:cs="Arial"/>
                <w:bCs/>
                <w:color w:val="FFFFFF"/>
                <w:sz w:val="14"/>
                <w:szCs w:val="20"/>
                <w:highlight w:val="cyan"/>
              </w:rPr>
            </w:pPr>
            <w:r w:rsidRPr="00587CFB">
              <w:rPr>
                <w:rFonts w:cs="Arial"/>
                <w:bCs/>
                <w:color w:val="FFFFFF"/>
                <w:sz w:val="14"/>
                <w:szCs w:val="20"/>
              </w:rPr>
              <w:t>VWA price</w:t>
            </w:r>
          </w:p>
        </w:tc>
        <w:tc>
          <w:tcPr>
            <w:tcW w:w="445" w:type="pct"/>
            <w:tcBorders>
              <w:bottom w:val="nil"/>
            </w:tcBorders>
            <w:vAlign w:val="center"/>
            <w:hideMark/>
          </w:tcPr>
          <w:p w:rsidR="00B302BF" w:rsidRPr="00587CFB" w:rsidRDefault="00B302BF" w:rsidP="00A226E9">
            <w:pPr>
              <w:jc w:val="center"/>
              <w:rPr>
                <w:rFonts w:cs="Arial"/>
                <w:bCs/>
                <w:color w:val="FFFFFF"/>
                <w:sz w:val="14"/>
                <w:szCs w:val="20"/>
                <w:highlight w:val="cyan"/>
              </w:rPr>
            </w:pPr>
            <w:r>
              <w:rPr>
                <w:rFonts w:cs="Arial"/>
                <w:bCs/>
                <w:color w:val="FFFFFF"/>
                <w:sz w:val="14"/>
                <w:szCs w:val="20"/>
              </w:rPr>
              <w:t>Quantity</w:t>
            </w:r>
          </w:p>
        </w:tc>
        <w:tc>
          <w:tcPr>
            <w:tcW w:w="400" w:type="pct"/>
            <w:tcBorders>
              <w:bottom w:val="nil"/>
            </w:tcBorders>
            <w:vAlign w:val="center"/>
            <w:hideMark/>
          </w:tcPr>
          <w:p w:rsidR="00B302BF" w:rsidRPr="00587CFB" w:rsidRDefault="00B302BF" w:rsidP="007768E1">
            <w:pPr>
              <w:jc w:val="center"/>
              <w:rPr>
                <w:rFonts w:cs="Arial"/>
                <w:bCs/>
                <w:color w:val="FFFFFF"/>
                <w:sz w:val="14"/>
                <w:szCs w:val="20"/>
                <w:highlight w:val="cyan"/>
              </w:rPr>
            </w:pPr>
            <w:r w:rsidRPr="00587CFB">
              <w:rPr>
                <w:rFonts w:cs="Arial"/>
                <w:bCs/>
                <w:color w:val="FFFFFF"/>
                <w:sz w:val="14"/>
                <w:szCs w:val="20"/>
              </w:rPr>
              <w:t>VWA price</w:t>
            </w:r>
          </w:p>
        </w:tc>
        <w:tc>
          <w:tcPr>
            <w:tcW w:w="441" w:type="pct"/>
            <w:tcBorders>
              <w:bottom w:val="nil"/>
            </w:tcBorders>
            <w:vAlign w:val="center"/>
          </w:tcPr>
          <w:p w:rsidR="00B302BF" w:rsidRPr="00587CFB" w:rsidRDefault="00B302BF" w:rsidP="007768E1">
            <w:pPr>
              <w:jc w:val="center"/>
              <w:rPr>
                <w:rFonts w:cs="Arial"/>
                <w:bCs/>
                <w:color w:val="FFFFFF"/>
                <w:sz w:val="14"/>
                <w:szCs w:val="20"/>
                <w:highlight w:val="cyan"/>
              </w:rPr>
            </w:pPr>
            <w:r>
              <w:rPr>
                <w:rFonts w:cs="Arial"/>
                <w:bCs/>
                <w:color w:val="FFFFFF"/>
                <w:sz w:val="14"/>
                <w:szCs w:val="20"/>
              </w:rPr>
              <w:t>Quantity</w:t>
            </w:r>
          </w:p>
        </w:tc>
        <w:tc>
          <w:tcPr>
            <w:tcW w:w="355" w:type="pct"/>
            <w:tcBorders>
              <w:bottom w:val="nil"/>
            </w:tcBorders>
            <w:vAlign w:val="center"/>
          </w:tcPr>
          <w:p w:rsidR="00B302BF" w:rsidRPr="00587CFB" w:rsidRDefault="00B302BF" w:rsidP="007768E1">
            <w:pPr>
              <w:jc w:val="center"/>
              <w:rPr>
                <w:rFonts w:cs="Arial"/>
                <w:bCs/>
                <w:color w:val="FFFFFF"/>
                <w:sz w:val="14"/>
                <w:szCs w:val="20"/>
                <w:highlight w:val="cyan"/>
              </w:rPr>
            </w:pPr>
            <w:r w:rsidRPr="00587CFB">
              <w:rPr>
                <w:rFonts w:cs="Arial"/>
                <w:bCs/>
                <w:color w:val="FFFFFF"/>
                <w:sz w:val="14"/>
                <w:szCs w:val="20"/>
              </w:rPr>
              <w:t>VWA price</w:t>
            </w:r>
          </w:p>
        </w:tc>
        <w:tc>
          <w:tcPr>
            <w:tcW w:w="442" w:type="pct"/>
            <w:tcBorders>
              <w:bottom w:val="nil"/>
            </w:tcBorders>
            <w:vAlign w:val="center"/>
          </w:tcPr>
          <w:p w:rsidR="00B302BF" w:rsidRPr="00587CFB" w:rsidRDefault="00B302BF" w:rsidP="007768E1">
            <w:pPr>
              <w:jc w:val="center"/>
              <w:rPr>
                <w:rFonts w:cs="Arial"/>
                <w:bCs/>
                <w:color w:val="FFFFFF"/>
                <w:sz w:val="14"/>
                <w:szCs w:val="20"/>
                <w:highlight w:val="cyan"/>
              </w:rPr>
            </w:pPr>
            <w:r>
              <w:rPr>
                <w:rFonts w:cs="Arial"/>
                <w:bCs/>
                <w:color w:val="FFFFFF"/>
                <w:sz w:val="14"/>
                <w:szCs w:val="20"/>
              </w:rPr>
              <w:t>Quantity</w:t>
            </w:r>
          </w:p>
        </w:tc>
        <w:tc>
          <w:tcPr>
            <w:tcW w:w="405" w:type="pct"/>
            <w:tcBorders>
              <w:bottom w:val="nil"/>
            </w:tcBorders>
            <w:vAlign w:val="center"/>
          </w:tcPr>
          <w:p w:rsidR="00B302BF" w:rsidRPr="00587CFB" w:rsidRDefault="00B302BF" w:rsidP="007768E1">
            <w:pPr>
              <w:jc w:val="center"/>
              <w:rPr>
                <w:rFonts w:cs="Arial"/>
                <w:bCs/>
                <w:color w:val="FFFFFF"/>
                <w:sz w:val="14"/>
                <w:szCs w:val="20"/>
                <w:highlight w:val="cyan"/>
              </w:rPr>
            </w:pPr>
            <w:r w:rsidRPr="00587CFB">
              <w:rPr>
                <w:rFonts w:cs="Arial"/>
                <w:bCs/>
                <w:color w:val="FFFFFF"/>
                <w:sz w:val="14"/>
                <w:szCs w:val="20"/>
              </w:rPr>
              <w:t>VWA price</w:t>
            </w:r>
          </w:p>
        </w:tc>
        <w:tc>
          <w:tcPr>
            <w:tcW w:w="441" w:type="pct"/>
            <w:tcBorders>
              <w:bottom w:val="nil"/>
            </w:tcBorders>
            <w:vAlign w:val="center"/>
          </w:tcPr>
          <w:p w:rsidR="00B302BF" w:rsidRPr="00587CFB" w:rsidRDefault="00B302BF" w:rsidP="007768E1">
            <w:pPr>
              <w:jc w:val="center"/>
              <w:rPr>
                <w:rFonts w:cs="Arial"/>
                <w:bCs/>
                <w:color w:val="FFFFFF"/>
                <w:sz w:val="14"/>
                <w:szCs w:val="20"/>
                <w:highlight w:val="cyan"/>
              </w:rPr>
            </w:pPr>
            <w:r>
              <w:rPr>
                <w:rFonts w:cs="Arial"/>
                <w:bCs/>
                <w:color w:val="FFFFFF"/>
                <w:sz w:val="14"/>
                <w:szCs w:val="20"/>
              </w:rPr>
              <w:t>Quantity</w:t>
            </w:r>
          </w:p>
        </w:tc>
        <w:tc>
          <w:tcPr>
            <w:tcW w:w="349" w:type="pct"/>
            <w:tcBorders>
              <w:bottom w:val="nil"/>
            </w:tcBorders>
            <w:vAlign w:val="center"/>
          </w:tcPr>
          <w:p w:rsidR="00B302BF" w:rsidRPr="00587CFB" w:rsidRDefault="00B302BF" w:rsidP="007768E1">
            <w:pPr>
              <w:jc w:val="center"/>
              <w:rPr>
                <w:rFonts w:cs="Arial"/>
                <w:bCs/>
                <w:color w:val="FFFFFF"/>
                <w:sz w:val="14"/>
                <w:szCs w:val="20"/>
                <w:highlight w:val="cyan"/>
              </w:rPr>
            </w:pPr>
            <w:r w:rsidRPr="00587CFB">
              <w:rPr>
                <w:rFonts w:cs="Arial"/>
                <w:bCs/>
                <w:color w:val="FFFFFF"/>
                <w:sz w:val="14"/>
                <w:szCs w:val="20"/>
              </w:rPr>
              <w:t>VWA price</w:t>
            </w:r>
          </w:p>
        </w:tc>
        <w:tc>
          <w:tcPr>
            <w:tcW w:w="440" w:type="pct"/>
            <w:tcBorders>
              <w:bottom w:val="nil"/>
            </w:tcBorders>
            <w:vAlign w:val="center"/>
          </w:tcPr>
          <w:p w:rsidR="00B302BF" w:rsidRPr="00587CFB" w:rsidRDefault="00B302BF" w:rsidP="007768E1">
            <w:pPr>
              <w:jc w:val="center"/>
              <w:rPr>
                <w:rFonts w:cs="Arial"/>
                <w:bCs/>
                <w:color w:val="FFFFFF"/>
                <w:sz w:val="14"/>
                <w:szCs w:val="20"/>
                <w:highlight w:val="cyan"/>
              </w:rPr>
            </w:pPr>
            <w:r>
              <w:rPr>
                <w:rFonts w:cs="Arial"/>
                <w:bCs/>
                <w:color w:val="FFFFFF"/>
                <w:sz w:val="14"/>
                <w:szCs w:val="20"/>
              </w:rPr>
              <w:t>Quantity</w:t>
            </w:r>
          </w:p>
        </w:tc>
      </w:tr>
      <w:tr w:rsidR="00AD23A4" w:rsidRPr="006A7228" w:rsidTr="00B302BF">
        <w:trPr>
          <w:trHeight w:val="510"/>
        </w:trPr>
        <w:tc>
          <w:tcPr>
            <w:tcW w:w="932" w:type="pct"/>
            <w:tcBorders>
              <w:top w:val="nil"/>
              <w:bottom w:val="nil"/>
            </w:tcBorders>
            <w:vAlign w:val="center"/>
          </w:tcPr>
          <w:p w:rsidR="00AD23A4" w:rsidRDefault="00AD23A4">
            <w:pPr>
              <w:rPr>
                <w:rFonts w:cs="Arial"/>
                <w:b/>
                <w:bCs/>
                <w:sz w:val="20"/>
                <w:szCs w:val="20"/>
              </w:rPr>
            </w:pPr>
            <w:r>
              <w:rPr>
                <w:rFonts w:cs="Arial"/>
                <w:b/>
                <w:bCs/>
                <w:sz w:val="20"/>
                <w:szCs w:val="20"/>
              </w:rPr>
              <w:t>Balance of day</w:t>
            </w:r>
          </w:p>
        </w:tc>
        <w:tc>
          <w:tcPr>
            <w:tcW w:w="350" w:type="pct"/>
            <w:tcBorders>
              <w:top w:val="nil"/>
              <w:bottom w:val="nil"/>
            </w:tcBorders>
            <w:vAlign w:val="center"/>
          </w:tcPr>
          <w:p w:rsidR="00AD23A4" w:rsidRDefault="00AD23A4">
            <w:pPr>
              <w:jc w:val="center"/>
              <w:rPr>
                <w:rFonts w:cs="Arial"/>
                <w:sz w:val="20"/>
                <w:szCs w:val="20"/>
              </w:rPr>
            </w:pPr>
            <w:r>
              <w:rPr>
                <w:rFonts w:cs="Arial"/>
                <w:sz w:val="20"/>
                <w:szCs w:val="20"/>
              </w:rPr>
              <w:t>8.72</w:t>
            </w:r>
          </w:p>
        </w:tc>
        <w:tc>
          <w:tcPr>
            <w:tcW w:w="445" w:type="pct"/>
            <w:tcBorders>
              <w:top w:val="nil"/>
              <w:bottom w:val="nil"/>
            </w:tcBorders>
            <w:vAlign w:val="center"/>
          </w:tcPr>
          <w:p w:rsidR="00AD23A4" w:rsidRDefault="00AD23A4">
            <w:pPr>
              <w:jc w:val="center"/>
              <w:rPr>
                <w:rFonts w:cs="Arial"/>
                <w:sz w:val="20"/>
                <w:szCs w:val="20"/>
              </w:rPr>
            </w:pPr>
            <w:r>
              <w:rPr>
                <w:rFonts w:cs="Arial"/>
                <w:sz w:val="20"/>
                <w:szCs w:val="20"/>
              </w:rPr>
              <w:t>35.4</w:t>
            </w:r>
          </w:p>
        </w:tc>
        <w:tc>
          <w:tcPr>
            <w:tcW w:w="400" w:type="pct"/>
            <w:tcBorders>
              <w:top w:val="nil"/>
              <w:bottom w:val="nil"/>
            </w:tcBorders>
            <w:vAlign w:val="center"/>
          </w:tcPr>
          <w:p w:rsidR="00AD23A4" w:rsidRDefault="00AD23A4">
            <w:pPr>
              <w:jc w:val="center"/>
              <w:rPr>
                <w:rFonts w:cs="Arial"/>
                <w:sz w:val="20"/>
                <w:szCs w:val="20"/>
              </w:rPr>
            </w:pPr>
            <w:r>
              <w:rPr>
                <w:rFonts w:cs="Arial"/>
                <w:sz w:val="20"/>
                <w:szCs w:val="20"/>
              </w:rPr>
              <w:t>8.50</w:t>
            </w:r>
          </w:p>
        </w:tc>
        <w:tc>
          <w:tcPr>
            <w:tcW w:w="441" w:type="pct"/>
            <w:tcBorders>
              <w:top w:val="nil"/>
              <w:bottom w:val="nil"/>
            </w:tcBorders>
            <w:vAlign w:val="center"/>
          </w:tcPr>
          <w:p w:rsidR="00AD23A4" w:rsidRDefault="00AD23A4">
            <w:pPr>
              <w:jc w:val="center"/>
              <w:rPr>
                <w:rFonts w:cs="Arial"/>
                <w:sz w:val="20"/>
                <w:szCs w:val="20"/>
              </w:rPr>
            </w:pPr>
            <w:r>
              <w:rPr>
                <w:rFonts w:cs="Arial"/>
                <w:sz w:val="20"/>
                <w:szCs w:val="20"/>
              </w:rPr>
              <w:t>10.0</w:t>
            </w:r>
          </w:p>
        </w:tc>
        <w:tc>
          <w:tcPr>
            <w:tcW w:w="355"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442"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405"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441"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349"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440" w:type="pct"/>
            <w:tcBorders>
              <w:top w:val="nil"/>
              <w:bottom w:val="nil"/>
            </w:tcBorders>
            <w:vAlign w:val="center"/>
          </w:tcPr>
          <w:p w:rsidR="00AD23A4" w:rsidRDefault="00AD23A4">
            <w:pPr>
              <w:jc w:val="center"/>
              <w:rPr>
                <w:rFonts w:cs="Arial"/>
                <w:sz w:val="20"/>
                <w:szCs w:val="20"/>
              </w:rPr>
            </w:pPr>
            <w:r>
              <w:rPr>
                <w:rFonts w:cs="Arial"/>
                <w:sz w:val="20"/>
                <w:szCs w:val="20"/>
              </w:rPr>
              <w:t>-</w:t>
            </w:r>
          </w:p>
        </w:tc>
      </w:tr>
      <w:tr w:rsidR="00AD23A4" w:rsidRPr="006A7228" w:rsidTr="00B302BF">
        <w:trPr>
          <w:cnfStyle w:val="000000010000" w:firstRow="0" w:lastRow="0" w:firstColumn="0" w:lastColumn="0" w:oddVBand="0" w:evenVBand="0" w:oddHBand="0" w:evenHBand="1" w:firstRowFirstColumn="0" w:firstRowLastColumn="0" w:lastRowFirstColumn="0" w:lastRowLastColumn="0"/>
          <w:trHeight w:val="510"/>
        </w:trPr>
        <w:tc>
          <w:tcPr>
            <w:tcW w:w="932" w:type="pct"/>
            <w:tcBorders>
              <w:top w:val="nil"/>
              <w:bottom w:val="nil"/>
            </w:tcBorders>
            <w:vAlign w:val="center"/>
          </w:tcPr>
          <w:p w:rsidR="00AD23A4" w:rsidRDefault="00AD23A4">
            <w:pPr>
              <w:rPr>
                <w:rFonts w:cs="Arial"/>
                <w:b/>
                <w:bCs/>
                <w:szCs w:val="20"/>
              </w:rPr>
            </w:pPr>
            <w:r>
              <w:rPr>
                <w:rFonts w:cs="Arial"/>
                <w:b/>
                <w:bCs/>
                <w:szCs w:val="20"/>
              </w:rPr>
              <w:t>Daily</w:t>
            </w:r>
          </w:p>
        </w:tc>
        <w:tc>
          <w:tcPr>
            <w:tcW w:w="350" w:type="pct"/>
            <w:tcBorders>
              <w:top w:val="nil"/>
              <w:bottom w:val="nil"/>
            </w:tcBorders>
            <w:vAlign w:val="center"/>
          </w:tcPr>
          <w:p w:rsidR="00AD23A4" w:rsidRDefault="00AD23A4">
            <w:pPr>
              <w:jc w:val="center"/>
              <w:rPr>
                <w:rFonts w:cs="Arial"/>
                <w:szCs w:val="20"/>
              </w:rPr>
            </w:pPr>
            <w:r>
              <w:rPr>
                <w:rFonts w:cs="Arial"/>
                <w:szCs w:val="20"/>
              </w:rPr>
              <w:t>8.33</w:t>
            </w:r>
          </w:p>
        </w:tc>
        <w:tc>
          <w:tcPr>
            <w:tcW w:w="445" w:type="pct"/>
            <w:tcBorders>
              <w:top w:val="nil"/>
              <w:bottom w:val="nil"/>
            </w:tcBorders>
            <w:vAlign w:val="center"/>
          </w:tcPr>
          <w:p w:rsidR="00AD23A4" w:rsidRDefault="00AD23A4">
            <w:pPr>
              <w:jc w:val="center"/>
              <w:rPr>
                <w:rFonts w:cs="Arial"/>
                <w:szCs w:val="20"/>
              </w:rPr>
            </w:pPr>
            <w:r>
              <w:rPr>
                <w:rFonts w:cs="Arial"/>
                <w:szCs w:val="20"/>
              </w:rPr>
              <w:t>10.0</w:t>
            </w:r>
          </w:p>
        </w:tc>
        <w:tc>
          <w:tcPr>
            <w:tcW w:w="400" w:type="pct"/>
            <w:tcBorders>
              <w:top w:val="nil"/>
              <w:bottom w:val="nil"/>
            </w:tcBorders>
            <w:vAlign w:val="center"/>
          </w:tcPr>
          <w:p w:rsidR="00AD23A4" w:rsidRDefault="00AD23A4">
            <w:pPr>
              <w:jc w:val="center"/>
              <w:rPr>
                <w:rFonts w:cs="Arial"/>
                <w:szCs w:val="20"/>
              </w:rPr>
            </w:pPr>
            <w:r>
              <w:rPr>
                <w:rFonts w:cs="Arial"/>
                <w:szCs w:val="20"/>
              </w:rPr>
              <w:t>-</w:t>
            </w:r>
          </w:p>
        </w:tc>
        <w:tc>
          <w:tcPr>
            <w:tcW w:w="441" w:type="pct"/>
            <w:tcBorders>
              <w:top w:val="nil"/>
              <w:bottom w:val="nil"/>
            </w:tcBorders>
            <w:vAlign w:val="center"/>
          </w:tcPr>
          <w:p w:rsidR="00AD23A4" w:rsidRDefault="00AD23A4">
            <w:pPr>
              <w:jc w:val="center"/>
              <w:rPr>
                <w:rFonts w:cs="Arial"/>
                <w:szCs w:val="20"/>
              </w:rPr>
            </w:pPr>
            <w:r>
              <w:rPr>
                <w:rFonts w:cs="Arial"/>
                <w:szCs w:val="20"/>
              </w:rPr>
              <w:t>-</w:t>
            </w:r>
          </w:p>
        </w:tc>
        <w:tc>
          <w:tcPr>
            <w:tcW w:w="355" w:type="pct"/>
            <w:tcBorders>
              <w:top w:val="nil"/>
              <w:bottom w:val="nil"/>
            </w:tcBorders>
            <w:vAlign w:val="center"/>
          </w:tcPr>
          <w:p w:rsidR="00AD23A4" w:rsidRDefault="00AD23A4">
            <w:pPr>
              <w:jc w:val="center"/>
              <w:rPr>
                <w:rFonts w:cs="Arial"/>
                <w:szCs w:val="20"/>
              </w:rPr>
            </w:pPr>
            <w:r>
              <w:rPr>
                <w:rFonts w:cs="Arial"/>
                <w:szCs w:val="20"/>
              </w:rPr>
              <w:t>-</w:t>
            </w:r>
          </w:p>
        </w:tc>
        <w:tc>
          <w:tcPr>
            <w:tcW w:w="442" w:type="pct"/>
            <w:tcBorders>
              <w:top w:val="nil"/>
              <w:bottom w:val="nil"/>
            </w:tcBorders>
            <w:vAlign w:val="center"/>
          </w:tcPr>
          <w:p w:rsidR="00AD23A4" w:rsidRDefault="00AD23A4">
            <w:pPr>
              <w:jc w:val="center"/>
              <w:rPr>
                <w:rFonts w:cs="Arial"/>
                <w:szCs w:val="20"/>
              </w:rPr>
            </w:pPr>
            <w:r>
              <w:rPr>
                <w:rFonts w:cs="Arial"/>
                <w:szCs w:val="20"/>
              </w:rPr>
              <w:t>-</w:t>
            </w:r>
          </w:p>
        </w:tc>
        <w:tc>
          <w:tcPr>
            <w:tcW w:w="405" w:type="pct"/>
            <w:tcBorders>
              <w:top w:val="nil"/>
              <w:bottom w:val="nil"/>
            </w:tcBorders>
            <w:vAlign w:val="center"/>
          </w:tcPr>
          <w:p w:rsidR="00AD23A4" w:rsidRDefault="00AD23A4">
            <w:pPr>
              <w:jc w:val="center"/>
              <w:rPr>
                <w:rFonts w:cs="Arial"/>
                <w:szCs w:val="20"/>
              </w:rPr>
            </w:pPr>
            <w:r>
              <w:rPr>
                <w:rFonts w:cs="Arial"/>
                <w:szCs w:val="20"/>
              </w:rPr>
              <w:t>-</w:t>
            </w:r>
          </w:p>
        </w:tc>
        <w:tc>
          <w:tcPr>
            <w:tcW w:w="441" w:type="pct"/>
            <w:tcBorders>
              <w:top w:val="nil"/>
              <w:bottom w:val="nil"/>
            </w:tcBorders>
            <w:vAlign w:val="center"/>
          </w:tcPr>
          <w:p w:rsidR="00AD23A4" w:rsidRDefault="00AD23A4">
            <w:pPr>
              <w:jc w:val="center"/>
              <w:rPr>
                <w:rFonts w:cs="Arial"/>
                <w:szCs w:val="20"/>
              </w:rPr>
            </w:pPr>
            <w:r>
              <w:rPr>
                <w:rFonts w:cs="Arial"/>
                <w:szCs w:val="20"/>
              </w:rPr>
              <w:t>-</w:t>
            </w:r>
          </w:p>
        </w:tc>
        <w:tc>
          <w:tcPr>
            <w:tcW w:w="349" w:type="pct"/>
            <w:tcBorders>
              <w:top w:val="nil"/>
              <w:bottom w:val="nil"/>
            </w:tcBorders>
            <w:vAlign w:val="center"/>
          </w:tcPr>
          <w:p w:rsidR="00AD23A4" w:rsidRDefault="00AD23A4">
            <w:pPr>
              <w:jc w:val="center"/>
              <w:rPr>
                <w:rFonts w:cs="Arial"/>
                <w:szCs w:val="20"/>
              </w:rPr>
            </w:pPr>
            <w:r>
              <w:rPr>
                <w:rFonts w:cs="Arial"/>
                <w:szCs w:val="20"/>
              </w:rPr>
              <w:t>-</w:t>
            </w:r>
          </w:p>
        </w:tc>
        <w:tc>
          <w:tcPr>
            <w:tcW w:w="440" w:type="pct"/>
            <w:tcBorders>
              <w:top w:val="nil"/>
              <w:bottom w:val="nil"/>
            </w:tcBorders>
            <w:vAlign w:val="center"/>
          </w:tcPr>
          <w:p w:rsidR="00AD23A4" w:rsidRDefault="00AD23A4">
            <w:pPr>
              <w:jc w:val="center"/>
              <w:rPr>
                <w:rFonts w:cs="Arial"/>
                <w:szCs w:val="20"/>
              </w:rPr>
            </w:pPr>
            <w:r>
              <w:rPr>
                <w:rFonts w:cs="Arial"/>
                <w:szCs w:val="20"/>
              </w:rPr>
              <w:t>-</w:t>
            </w:r>
          </w:p>
        </w:tc>
      </w:tr>
      <w:tr w:rsidR="00AD23A4" w:rsidRPr="006A7228" w:rsidTr="00B302BF">
        <w:trPr>
          <w:trHeight w:val="510"/>
        </w:trPr>
        <w:tc>
          <w:tcPr>
            <w:tcW w:w="932" w:type="pct"/>
            <w:tcBorders>
              <w:top w:val="nil"/>
              <w:bottom w:val="nil"/>
            </w:tcBorders>
            <w:vAlign w:val="center"/>
          </w:tcPr>
          <w:p w:rsidR="00AD23A4" w:rsidRDefault="00AD23A4">
            <w:pPr>
              <w:rPr>
                <w:rFonts w:cs="Arial"/>
                <w:b/>
                <w:bCs/>
                <w:sz w:val="20"/>
                <w:szCs w:val="20"/>
              </w:rPr>
            </w:pPr>
            <w:r>
              <w:rPr>
                <w:rFonts w:cs="Arial"/>
                <w:b/>
                <w:bCs/>
                <w:sz w:val="20"/>
                <w:szCs w:val="20"/>
              </w:rPr>
              <w:t>Day ahead</w:t>
            </w:r>
          </w:p>
        </w:tc>
        <w:tc>
          <w:tcPr>
            <w:tcW w:w="350" w:type="pct"/>
            <w:tcBorders>
              <w:top w:val="nil"/>
              <w:bottom w:val="nil"/>
            </w:tcBorders>
            <w:vAlign w:val="center"/>
          </w:tcPr>
          <w:p w:rsidR="00AD23A4" w:rsidRDefault="00AD23A4">
            <w:pPr>
              <w:jc w:val="center"/>
              <w:rPr>
                <w:rFonts w:cs="Arial"/>
                <w:sz w:val="20"/>
                <w:szCs w:val="20"/>
              </w:rPr>
            </w:pPr>
            <w:r>
              <w:rPr>
                <w:rFonts w:cs="Arial"/>
                <w:sz w:val="20"/>
                <w:szCs w:val="20"/>
              </w:rPr>
              <w:t>8.77</w:t>
            </w:r>
          </w:p>
        </w:tc>
        <w:tc>
          <w:tcPr>
            <w:tcW w:w="445" w:type="pct"/>
            <w:tcBorders>
              <w:top w:val="nil"/>
              <w:bottom w:val="nil"/>
            </w:tcBorders>
            <w:vAlign w:val="center"/>
          </w:tcPr>
          <w:p w:rsidR="00AD23A4" w:rsidRDefault="00AD23A4">
            <w:pPr>
              <w:jc w:val="center"/>
              <w:rPr>
                <w:rFonts w:cs="Arial"/>
                <w:sz w:val="20"/>
                <w:szCs w:val="20"/>
              </w:rPr>
            </w:pPr>
            <w:r>
              <w:rPr>
                <w:rFonts w:cs="Arial"/>
                <w:sz w:val="20"/>
                <w:szCs w:val="20"/>
              </w:rPr>
              <w:t>22.0</w:t>
            </w:r>
          </w:p>
        </w:tc>
        <w:tc>
          <w:tcPr>
            <w:tcW w:w="400"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441"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355"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442"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405"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441"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349" w:type="pct"/>
            <w:tcBorders>
              <w:top w:val="nil"/>
              <w:bottom w:val="nil"/>
            </w:tcBorders>
            <w:vAlign w:val="center"/>
          </w:tcPr>
          <w:p w:rsidR="00AD23A4" w:rsidRDefault="00AD23A4">
            <w:pPr>
              <w:jc w:val="center"/>
              <w:rPr>
                <w:rFonts w:cs="Arial"/>
                <w:sz w:val="20"/>
                <w:szCs w:val="20"/>
              </w:rPr>
            </w:pPr>
            <w:r>
              <w:rPr>
                <w:rFonts w:cs="Arial"/>
                <w:sz w:val="20"/>
                <w:szCs w:val="20"/>
              </w:rPr>
              <w:t>-</w:t>
            </w:r>
          </w:p>
        </w:tc>
        <w:tc>
          <w:tcPr>
            <w:tcW w:w="440" w:type="pct"/>
            <w:tcBorders>
              <w:top w:val="nil"/>
              <w:bottom w:val="nil"/>
            </w:tcBorders>
            <w:vAlign w:val="center"/>
          </w:tcPr>
          <w:p w:rsidR="00AD23A4" w:rsidRDefault="00AD23A4">
            <w:pPr>
              <w:jc w:val="center"/>
              <w:rPr>
                <w:rFonts w:cs="Arial"/>
                <w:sz w:val="20"/>
                <w:szCs w:val="20"/>
              </w:rPr>
            </w:pPr>
            <w:r>
              <w:rPr>
                <w:rFonts w:cs="Arial"/>
                <w:sz w:val="20"/>
                <w:szCs w:val="20"/>
              </w:rPr>
              <w:t>-</w:t>
            </w:r>
          </w:p>
        </w:tc>
      </w:tr>
      <w:tr w:rsidR="00AD23A4" w:rsidRPr="006A7228" w:rsidTr="00B302BF">
        <w:trPr>
          <w:cnfStyle w:val="000000010000" w:firstRow="0" w:lastRow="0" w:firstColumn="0" w:lastColumn="0" w:oddVBand="0" w:evenVBand="0" w:oddHBand="0" w:evenHBand="1" w:firstRowFirstColumn="0" w:firstRowLastColumn="0" w:lastRowFirstColumn="0" w:lastRowLastColumn="0"/>
          <w:trHeight w:val="510"/>
        </w:trPr>
        <w:tc>
          <w:tcPr>
            <w:tcW w:w="932" w:type="pct"/>
            <w:tcBorders>
              <w:top w:val="nil"/>
              <w:bottom w:val="nil"/>
            </w:tcBorders>
            <w:vAlign w:val="center"/>
          </w:tcPr>
          <w:p w:rsidR="00AD23A4" w:rsidRDefault="00AD23A4">
            <w:pPr>
              <w:rPr>
                <w:rFonts w:cs="Arial"/>
                <w:b/>
                <w:bCs/>
                <w:szCs w:val="20"/>
              </w:rPr>
            </w:pPr>
            <w:r>
              <w:rPr>
                <w:rFonts w:cs="Arial"/>
                <w:b/>
                <w:bCs/>
                <w:szCs w:val="20"/>
              </w:rPr>
              <w:t>Weekly</w:t>
            </w:r>
          </w:p>
        </w:tc>
        <w:tc>
          <w:tcPr>
            <w:tcW w:w="350" w:type="pct"/>
            <w:tcBorders>
              <w:top w:val="nil"/>
              <w:bottom w:val="nil"/>
            </w:tcBorders>
            <w:vAlign w:val="center"/>
          </w:tcPr>
          <w:p w:rsidR="00AD23A4" w:rsidRDefault="00AD23A4">
            <w:pPr>
              <w:jc w:val="center"/>
              <w:rPr>
                <w:rFonts w:cs="Arial"/>
                <w:szCs w:val="20"/>
              </w:rPr>
            </w:pPr>
            <w:r>
              <w:rPr>
                <w:rFonts w:cs="Arial"/>
                <w:szCs w:val="20"/>
              </w:rPr>
              <w:t>-</w:t>
            </w:r>
          </w:p>
        </w:tc>
        <w:tc>
          <w:tcPr>
            <w:tcW w:w="445" w:type="pct"/>
            <w:tcBorders>
              <w:top w:val="nil"/>
              <w:bottom w:val="nil"/>
            </w:tcBorders>
            <w:vAlign w:val="center"/>
          </w:tcPr>
          <w:p w:rsidR="00AD23A4" w:rsidRDefault="00AD23A4">
            <w:pPr>
              <w:jc w:val="center"/>
              <w:rPr>
                <w:rFonts w:cs="Arial"/>
                <w:szCs w:val="20"/>
              </w:rPr>
            </w:pPr>
            <w:r>
              <w:rPr>
                <w:rFonts w:cs="Arial"/>
                <w:szCs w:val="20"/>
              </w:rPr>
              <w:t>-</w:t>
            </w:r>
          </w:p>
        </w:tc>
        <w:tc>
          <w:tcPr>
            <w:tcW w:w="400" w:type="pct"/>
            <w:tcBorders>
              <w:top w:val="nil"/>
              <w:bottom w:val="nil"/>
            </w:tcBorders>
            <w:vAlign w:val="center"/>
          </w:tcPr>
          <w:p w:rsidR="00AD23A4" w:rsidRDefault="00AD23A4">
            <w:pPr>
              <w:jc w:val="center"/>
              <w:rPr>
                <w:rFonts w:cs="Arial"/>
                <w:szCs w:val="20"/>
              </w:rPr>
            </w:pPr>
            <w:r>
              <w:rPr>
                <w:rFonts w:cs="Arial"/>
                <w:szCs w:val="20"/>
              </w:rPr>
              <w:t>-</w:t>
            </w:r>
          </w:p>
        </w:tc>
        <w:tc>
          <w:tcPr>
            <w:tcW w:w="441" w:type="pct"/>
            <w:tcBorders>
              <w:top w:val="nil"/>
              <w:bottom w:val="nil"/>
            </w:tcBorders>
            <w:vAlign w:val="center"/>
          </w:tcPr>
          <w:p w:rsidR="00AD23A4" w:rsidRDefault="00AD23A4">
            <w:pPr>
              <w:jc w:val="center"/>
              <w:rPr>
                <w:rFonts w:cs="Arial"/>
                <w:szCs w:val="20"/>
              </w:rPr>
            </w:pPr>
            <w:r>
              <w:rPr>
                <w:rFonts w:cs="Arial"/>
                <w:szCs w:val="20"/>
              </w:rPr>
              <w:t>-</w:t>
            </w:r>
          </w:p>
        </w:tc>
        <w:tc>
          <w:tcPr>
            <w:tcW w:w="355" w:type="pct"/>
            <w:tcBorders>
              <w:top w:val="nil"/>
              <w:bottom w:val="nil"/>
            </w:tcBorders>
            <w:vAlign w:val="center"/>
          </w:tcPr>
          <w:p w:rsidR="00AD23A4" w:rsidRDefault="00AD23A4">
            <w:pPr>
              <w:jc w:val="center"/>
              <w:rPr>
                <w:rFonts w:cs="Arial"/>
                <w:szCs w:val="20"/>
              </w:rPr>
            </w:pPr>
            <w:r>
              <w:rPr>
                <w:rFonts w:cs="Arial"/>
                <w:szCs w:val="20"/>
              </w:rPr>
              <w:t>-</w:t>
            </w:r>
          </w:p>
        </w:tc>
        <w:tc>
          <w:tcPr>
            <w:tcW w:w="442" w:type="pct"/>
            <w:tcBorders>
              <w:top w:val="nil"/>
              <w:bottom w:val="nil"/>
            </w:tcBorders>
            <w:vAlign w:val="center"/>
          </w:tcPr>
          <w:p w:rsidR="00AD23A4" w:rsidRDefault="00AD23A4">
            <w:pPr>
              <w:jc w:val="center"/>
              <w:rPr>
                <w:rFonts w:cs="Arial"/>
                <w:szCs w:val="20"/>
              </w:rPr>
            </w:pPr>
            <w:r>
              <w:rPr>
                <w:rFonts w:cs="Arial"/>
                <w:szCs w:val="20"/>
              </w:rPr>
              <w:t>-</w:t>
            </w:r>
          </w:p>
        </w:tc>
        <w:tc>
          <w:tcPr>
            <w:tcW w:w="405" w:type="pct"/>
            <w:tcBorders>
              <w:top w:val="nil"/>
              <w:bottom w:val="nil"/>
            </w:tcBorders>
            <w:vAlign w:val="center"/>
          </w:tcPr>
          <w:p w:rsidR="00AD23A4" w:rsidRDefault="00AD23A4">
            <w:pPr>
              <w:jc w:val="center"/>
              <w:rPr>
                <w:rFonts w:cs="Arial"/>
                <w:szCs w:val="20"/>
              </w:rPr>
            </w:pPr>
            <w:r>
              <w:rPr>
                <w:rFonts w:cs="Arial"/>
                <w:szCs w:val="20"/>
              </w:rPr>
              <w:t>-</w:t>
            </w:r>
          </w:p>
        </w:tc>
        <w:tc>
          <w:tcPr>
            <w:tcW w:w="441" w:type="pct"/>
            <w:tcBorders>
              <w:top w:val="nil"/>
              <w:bottom w:val="nil"/>
            </w:tcBorders>
            <w:vAlign w:val="center"/>
          </w:tcPr>
          <w:p w:rsidR="00AD23A4" w:rsidRDefault="00AD23A4">
            <w:pPr>
              <w:jc w:val="center"/>
              <w:rPr>
                <w:rFonts w:cs="Arial"/>
                <w:szCs w:val="20"/>
              </w:rPr>
            </w:pPr>
            <w:r>
              <w:rPr>
                <w:rFonts w:cs="Arial"/>
                <w:szCs w:val="20"/>
              </w:rPr>
              <w:t>-</w:t>
            </w:r>
          </w:p>
        </w:tc>
        <w:tc>
          <w:tcPr>
            <w:tcW w:w="349" w:type="pct"/>
            <w:tcBorders>
              <w:top w:val="nil"/>
              <w:bottom w:val="nil"/>
            </w:tcBorders>
            <w:vAlign w:val="center"/>
          </w:tcPr>
          <w:p w:rsidR="00AD23A4" w:rsidRDefault="00AD23A4">
            <w:pPr>
              <w:jc w:val="center"/>
              <w:rPr>
                <w:rFonts w:cs="Arial"/>
                <w:szCs w:val="20"/>
              </w:rPr>
            </w:pPr>
            <w:r>
              <w:rPr>
                <w:rFonts w:cs="Arial"/>
                <w:szCs w:val="20"/>
              </w:rPr>
              <w:t>-</w:t>
            </w:r>
          </w:p>
        </w:tc>
        <w:tc>
          <w:tcPr>
            <w:tcW w:w="440" w:type="pct"/>
            <w:tcBorders>
              <w:top w:val="nil"/>
              <w:bottom w:val="nil"/>
            </w:tcBorders>
            <w:vAlign w:val="center"/>
          </w:tcPr>
          <w:p w:rsidR="00AD23A4" w:rsidRDefault="00AD23A4">
            <w:pPr>
              <w:jc w:val="center"/>
              <w:rPr>
                <w:rFonts w:cs="Arial"/>
                <w:szCs w:val="20"/>
              </w:rPr>
            </w:pPr>
            <w:r>
              <w:rPr>
                <w:rFonts w:cs="Arial"/>
                <w:szCs w:val="20"/>
              </w:rPr>
              <w:t>-</w:t>
            </w:r>
          </w:p>
        </w:tc>
      </w:tr>
      <w:tr w:rsidR="00AD23A4" w:rsidRPr="006A7228" w:rsidTr="00B302BF">
        <w:trPr>
          <w:trHeight w:val="510"/>
        </w:trPr>
        <w:tc>
          <w:tcPr>
            <w:tcW w:w="932" w:type="pct"/>
            <w:tcBorders>
              <w:top w:val="nil"/>
              <w:bottom w:val="single" w:sz="4" w:space="0" w:color="auto"/>
            </w:tcBorders>
            <w:vAlign w:val="center"/>
          </w:tcPr>
          <w:p w:rsidR="00AD23A4" w:rsidRDefault="00AD23A4">
            <w:pPr>
              <w:rPr>
                <w:rFonts w:cs="Arial"/>
                <w:b/>
                <w:bCs/>
                <w:sz w:val="20"/>
                <w:szCs w:val="20"/>
              </w:rPr>
            </w:pPr>
            <w:r>
              <w:rPr>
                <w:rFonts w:cs="Arial"/>
                <w:b/>
                <w:bCs/>
                <w:sz w:val="20"/>
                <w:szCs w:val="20"/>
              </w:rPr>
              <w:t>Monthly</w:t>
            </w:r>
          </w:p>
        </w:tc>
        <w:tc>
          <w:tcPr>
            <w:tcW w:w="350"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c>
          <w:tcPr>
            <w:tcW w:w="445"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c>
          <w:tcPr>
            <w:tcW w:w="400"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c>
          <w:tcPr>
            <w:tcW w:w="441"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c>
          <w:tcPr>
            <w:tcW w:w="355"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c>
          <w:tcPr>
            <w:tcW w:w="442"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c>
          <w:tcPr>
            <w:tcW w:w="405"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c>
          <w:tcPr>
            <w:tcW w:w="441"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c>
          <w:tcPr>
            <w:tcW w:w="349"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c>
          <w:tcPr>
            <w:tcW w:w="440" w:type="pct"/>
            <w:tcBorders>
              <w:top w:val="nil"/>
              <w:bottom w:val="single" w:sz="4" w:space="0" w:color="auto"/>
            </w:tcBorders>
            <w:vAlign w:val="center"/>
          </w:tcPr>
          <w:p w:rsidR="00AD23A4" w:rsidRDefault="00AD23A4">
            <w:pPr>
              <w:jc w:val="center"/>
              <w:rPr>
                <w:rFonts w:cs="Arial"/>
                <w:sz w:val="20"/>
                <w:szCs w:val="20"/>
              </w:rPr>
            </w:pPr>
            <w:r>
              <w:rPr>
                <w:rFonts w:cs="Arial"/>
                <w:sz w:val="20"/>
                <w:szCs w:val="20"/>
              </w:rPr>
              <w:t>-</w:t>
            </w:r>
          </w:p>
        </w:tc>
      </w:tr>
    </w:tbl>
    <w:p w:rsidR="00410584" w:rsidRPr="00552F68" w:rsidRDefault="00410584" w:rsidP="00410584">
      <w:pPr>
        <w:pStyle w:val="AERbodytext"/>
        <w:rPr>
          <w:sz w:val="16"/>
        </w:rPr>
      </w:pPr>
      <w:r w:rsidRPr="00552F68">
        <w:rPr>
          <w:sz w:val="16"/>
        </w:rPr>
        <w:t>* Non-netted products are not shown here. For information about these products, refer to figure 6.1.</w:t>
      </w:r>
    </w:p>
    <w:p w:rsidR="001934E9" w:rsidRDefault="001934E9" w:rsidP="00A226E9">
      <w:pPr>
        <w:keepNext/>
      </w:pPr>
      <w:r w:rsidRPr="00552F68">
        <w:lastRenderedPageBreak/>
        <w:t xml:space="preserve">Figure </w:t>
      </w:r>
      <w:r w:rsidR="00587CFB" w:rsidRPr="00552F68">
        <w:t>5</w:t>
      </w:r>
      <w:r w:rsidRPr="00552F68">
        <w:t xml:space="preserve"> shows Bulletin Board pipeline flows for the three LNG export pipeline facilities and the production output at related production facilities in the Roma region.</w:t>
      </w:r>
    </w:p>
    <w:p w:rsidR="001934E9" w:rsidRDefault="001934E9" w:rsidP="001934E9">
      <w:pPr>
        <w:pStyle w:val="Caption"/>
        <w:rPr>
          <w:color w:val="2272A3"/>
          <w:szCs w:val="24"/>
        </w:rPr>
      </w:pPr>
      <w:r w:rsidRPr="001521CB">
        <w:t xml:space="preserve">Figure </w:t>
      </w:r>
      <w:fldSimple w:instr=" SEQ Figure \* ARABIC ">
        <w:r w:rsidR="002B5F16">
          <w:rPr>
            <w:noProof/>
          </w:rPr>
          <w:t>5</w:t>
        </w:r>
      </w:fldSimple>
      <w:r w:rsidRPr="001521CB">
        <w:t xml:space="preserve">: </w:t>
      </w:r>
      <w:r w:rsidR="00A226E9">
        <w:rPr>
          <w:color w:val="2272A3"/>
          <w:szCs w:val="24"/>
        </w:rPr>
        <w:t>LNG export pipeline and production flows</w:t>
      </w:r>
      <w:r w:rsidR="00587CFB">
        <w:rPr>
          <w:color w:val="2272A3"/>
          <w:szCs w:val="24"/>
        </w:rPr>
        <w:t xml:space="preserve"> (TJ)</w:t>
      </w:r>
      <w:r w:rsidR="000C52E2">
        <w:rPr>
          <w:color w:val="2272A3"/>
          <w:szCs w:val="24"/>
        </w:rPr>
        <w:t>*</w:t>
      </w:r>
    </w:p>
    <w:p w:rsidR="001934E9" w:rsidRPr="00E16EDC" w:rsidRDefault="00AD23A4" w:rsidP="00E16EDC">
      <w:r w:rsidRPr="00AD23A4">
        <w:rPr>
          <w:noProof/>
          <w:lang w:eastAsia="en-AU"/>
        </w:rPr>
        <w:drawing>
          <wp:inline distT="0" distB="0" distL="0" distR="0" wp14:anchorId="4904DD70" wp14:editId="5AAFE11C">
            <wp:extent cx="5731510" cy="3179062"/>
            <wp:effectExtent l="0" t="0" r="2540" b="2540"/>
            <wp:docPr id="17" name="Picture 17" descr="Figure 5 shows the daily quantity of gas flowed on each of the three Queensland LNG export pipelines. Quantities of gas supplied by production facilities in the Roma region owned by these pipelines are also shown, grouped for each participant (APLNG, GLNG/Santos and QCLNG/QC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31510" cy="3179062"/>
                    </a:xfrm>
                    <a:prstGeom prst="rect">
                      <a:avLst/>
                    </a:prstGeom>
                    <a:noFill/>
                    <a:ln>
                      <a:noFill/>
                    </a:ln>
                  </pic:spPr>
                </pic:pic>
              </a:graphicData>
            </a:graphic>
          </wp:inline>
        </w:drawing>
      </w:r>
    </w:p>
    <w:p w:rsidR="009C4C5E" w:rsidRPr="00AB478D" w:rsidRDefault="009C4C5E" w:rsidP="009C4C5E">
      <w:pPr>
        <w:jc w:val="both"/>
        <w:rPr>
          <w:sz w:val="16"/>
          <w:szCs w:val="16"/>
        </w:rPr>
      </w:pPr>
      <w:r w:rsidRPr="00973B9F">
        <w:rPr>
          <w:sz w:val="16"/>
          <w:szCs w:val="16"/>
        </w:rPr>
        <w:t xml:space="preserve">* Production quantities represent flows from facilities operated by APLNG, Santos </w:t>
      </w:r>
      <w:r>
        <w:rPr>
          <w:sz w:val="16"/>
          <w:szCs w:val="16"/>
        </w:rPr>
        <w:t xml:space="preserve">and </w:t>
      </w:r>
      <w:r w:rsidRPr="00973B9F">
        <w:rPr>
          <w:sz w:val="16"/>
          <w:szCs w:val="16"/>
        </w:rPr>
        <w:t>QGC in the Roma region. Gas from individual facilities may also supply the domestic market, other LNG projects or storage facilities.</w:t>
      </w:r>
    </w:p>
    <w:p w:rsidR="001521CB" w:rsidRDefault="001521CB" w:rsidP="001521CB">
      <w:pPr>
        <w:pStyle w:val="Heading3"/>
        <w:rPr>
          <w:rFonts w:eastAsia="Times New Roman" w:cs="Times New Roman"/>
          <w:color w:val="2272A3" w:themeColor="accent4" w:themeShade="80"/>
          <w:sz w:val="32"/>
          <w:szCs w:val="20"/>
        </w:rPr>
      </w:pPr>
      <w:r w:rsidRPr="001521CB">
        <w:rPr>
          <w:rFonts w:eastAsia="Times New Roman" w:cs="Times New Roman"/>
          <w:color w:val="2272A3" w:themeColor="accent4" w:themeShade="80"/>
          <w:sz w:val="32"/>
          <w:szCs w:val="20"/>
        </w:rPr>
        <w:t>Detailed market analysis</w:t>
      </w:r>
    </w:p>
    <w:p w:rsidR="00EA550B" w:rsidRPr="00466293" w:rsidRDefault="00EA550B" w:rsidP="00466293">
      <w:pPr>
        <w:jc w:val="both"/>
        <w:rPr>
          <w:i/>
        </w:rPr>
      </w:pPr>
      <w:r w:rsidRPr="00466293">
        <w:rPr>
          <w:i/>
        </w:rPr>
        <w:t>Victoria and NSW-Vic Interconnect flows</w:t>
      </w:r>
    </w:p>
    <w:p w:rsidR="001521CB" w:rsidRDefault="00153C26" w:rsidP="002E7C9A">
      <w:pPr>
        <w:jc w:val="both"/>
        <w:rPr>
          <w:rFonts w:eastAsiaTheme="majorEastAsia" w:cstheme="majorBidi"/>
          <w:b/>
          <w:bCs/>
          <w:color w:val="51626F"/>
          <w:sz w:val="28"/>
          <w:szCs w:val="26"/>
        </w:rPr>
      </w:pPr>
      <w:r w:rsidRPr="00466293">
        <w:t>Notable events in Victoria which may have contributed to higher prices toward the week’s end were highe</w:t>
      </w:r>
      <w:r w:rsidR="00466293">
        <w:t>r priced withdrawal offers on</w:t>
      </w:r>
      <w:r w:rsidRPr="00466293">
        <w:t xml:space="preserve"> 3, 4 and 7 January.</w:t>
      </w:r>
      <w:r w:rsidR="00525315" w:rsidRPr="00466293">
        <w:t xml:space="preserve"> This coincided with </w:t>
      </w:r>
      <w:r w:rsidR="009F0590" w:rsidRPr="00466293">
        <w:t>large</w:t>
      </w:r>
      <w:r w:rsidR="00525315" w:rsidRPr="00466293">
        <w:t xml:space="preserve"> flows of gas out of Victoria</w:t>
      </w:r>
      <w:r w:rsidR="00DA5C3F" w:rsidRPr="00466293">
        <w:t xml:space="preserve"> for most of the week</w:t>
      </w:r>
      <w:r w:rsidR="00525315" w:rsidRPr="00466293">
        <w:t>, implied by record deliveries on the NSW</w:t>
      </w:r>
      <w:r w:rsidR="00466293">
        <w:noBreakHyphen/>
      </w:r>
      <w:r w:rsidR="00525315" w:rsidRPr="00466293">
        <w:t xml:space="preserve">VIC interconnect </w:t>
      </w:r>
      <w:r w:rsidR="009F0590" w:rsidRPr="00466293">
        <w:t xml:space="preserve">particularly on the 4 January at </w:t>
      </w:r>
      <w:r w:rsidR="00525315" w:rsidRPr="00466293">
        <w:t>150 TJ. This follows an increasing trend of gas flows out of Victoria since the NSW-VIC interconnect’s completed expansion in mid-November 2016.</w:t>
      </w:r>
      <w:r w:rsidR="00DA5C3F" w:rsidRPr="00466293">
        <w:t xml:space="preserve"> Gas flows to the export facilities decreased by 105 TJ since last week, mostly as a result of a large decline in flows along the Wallumbilla to Gladstone pipeline. Additionally, c</w:t>
      </w:r>
      <w:r w:rsidRPr="00466293">
        <w:t xml:space="preserve">onstraints </w:t>
      </w:r>
      <w:r w:rsidR="00525315" w:rsidRPr="00466293">
        <w:t xml:space="preserve">of approximately 203 TJ/day were </w:t>
      </w:r>
      <w:r w:rsidRPr="00466293">
        <w:t>imposed on Longford injections</w:t>
      </w:r>
      <w:r w:rsidR="00EA550B" w:rsidRPr="00466293">
        <w:t xml:space="preserve"> on </w:t>
      </w:r>
      <w:r w:rsidRPr="00466293">
        <w:t>6</w:t>
      </w:r>
      <w:r w:rsidR="00466293">
        <w:t> </w:t>
      </w:r>
      <w:r w:rsidRPr="00466293">
        <w:t xml:space="preserve">January </w:t>
      </w:r>
      <w:r w:rsidR="00525315" w:rsidRPr="00466293">
        <w:t xml:space="preserve">due to </w:t>
      </w:r>
      <w:r w:rsidRPr="00466293">
        <w:t xml:space="preserve">offshore facility maintenance. During the time that the Longford facility was constrained, </w:t>
      </w:r>
      <w:r w:rsidR="00B8349A" w:rsidRPr="00466293">
        <w:t xml:space="preserve">gas was supplied by the Iona storage facility, which also recorded increased </w:t>
      </w:r>
      <w:r w:rsidR="00466293" w:rsidRPr="00466293">
        <w:t>withdrawals into storage</w:t>
      </w:r>
      <w:r w:rsidR="00B8349A" w:rsidRPr="00466293">
        <w:t xml:space="preserve"> of 1001 TJ from last week.</w:t>
      </w:r>
      <w:r w:rsidRPr="00466293">
        <w:t xml:space="preserve"> </w:t>
      </w:r>
      <w:r w:rsidR="001521CB">
        <w:br w:type="page"/>
      </w:r>
    </w:p>
    <w:p w:rsidR="001521CB" w:rsidRPr="003171C6" w:rsidRDefault="001521CB" w:rsidP="003171C6">
      <w:pPr>
        <w:pStyle w:val="Heading2"/>
        <w:ind w:left="142"/>
        <w:rPr>
          <w:sz w:val="36"/>
          <w:szCs w:val="36"/>
        </w:rPr>
      </w:pPr>
      <w:r w:rsidRPr="003171C6">
        <w:rPr>
          <w:noProof/>
          <w:color w:val="FFFFFF" w:themeColor="background1"/>
          <w:sz w:val="36"/>
          <w:szCs w:val="36"/>
          <w:lang w:eastAsia="en-AU"/>
        </w:rPr>
        <w:lastRenderedPageBreak/>
        <w:drawing>
          <wp:anchor distT="0" distB="0" distL="114300" distR="114300" simplePos="0" relativeHeight="251667456" behindDoc="1" locked="0" layoutInCell="1" allowOverlap="1" wp14:anchorId="4C2E1EDE" wp14:editId="2063175F">
            <wp:simplePos x="0" y="0"/>
            <wp:positionH relativeFrom="column">
              <wp:posOffset>0</wp:posOffset>
            </wp:positionH>
            <wp:positionV relativeFrom="paragraph">
              <wp:posOffset>-13970</wp:posOffset>
            </wp:positionV>
            <wp:extent cx="6048375" cy="981075"/>
            <wp:effectExtent l="0" t="0" r="9525" b="9525"/>
            <wp:wrapNone/>
            <wp:docPr id="4" name="Picture 4" descr="Australian Energy Regulato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Energy Regulator logo"/>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048375" cy="981075"/>
                    </a:xfrm>
                    <a:prstGeom prst="rect">
                      <a:avLst/>
                    </a:prstGeom>
                    <a:noFill/>
                  </pic:spPr>
                </pic:pic>
              </a:graphicData>
            </a:graphic>
            <wp14:sizeRelH relativeFrom="page">
              <wp14:pctWidth>0</wp14:pctWidth>
            </wp14:sizeRelH>
            <wp14:sizeRelV relativeFrom="page">
              <wp14:pctHeight>0</wp14:pctHeight>
            </wp14:sizeRelV>
          </wp:anchor>
        </w:drawing>
      </w:r>
      <w:r w:rsidRPr="003171C6">
        <w:rPr>
          <w:color w:val="FFFFFF" w:themeColor="background1"/>
          <w:sz w:val="36"/>
          <w:szCs w:val="36"/>
        </w:rPr>
        <w:t xml:space="preserve">Detailed </w:t>
      </w:r>
      <w:r w:rsidR="003171C6">
        <w:rPr>
          <w:color w:val="FFFFFF" w:themeColor="background1"/>
          <w:sz w:val="36"/>
          <w:szCs w:val="36"/>
        </w:rPr>
        <w:t>M</w:t>
      </w:r>
      <w:r w:rsidRPr="003171C6">
        <w:rPr>
          <w:color w:val="FFFFFF" w:themeColor="background1"/>
          <w:sz w:val="36"/>
          <w:szCs w:val="36"/>
        </w:rPr>
        <w:t xml:space="preserve">arket </w:t>
      </w:r>
      <w:r w:rsidR="003171C6">
        <w:rPr>
          <w:color w:val="FFFFFF" w:themeColor="background1"/>
          <w:sz w:val="36"/>
          <w:szCs w:val="36"/>
        </w:rPr>
        <w:t>F</w:t>
      </w:r>
      <w:r w:rsidRPr="003171C6">
        <w:rPr>
          <w:color w:val="FFFFFF" w:themeColor="background1"/>
          <w:sz w:val="36"/>
          <w:szCs w:val="36"/>
        </w:rPr>
        <w:t>igures</w:t>
      </w:r>
    </w:p>
    <w:p w:rsidR="001521CB" w:rsidRPr="00A16975" w:rsidRDefault="001521CB" w:rsidP="001521CB">
      <w:pPr>
        <w:rPr>
          <w:sz w:val="28"/>
        </w:rPr>
      </w:pPr>
    </w:p>
    <w:p w:rsidR="001521CB" w:rsidRPr="00A16975" w:rsidRDefault="001521CB" w:rsidP="001521CB">
      <w:pPr>
        <w:rPr>
          <w:sz w:val="28"/>
        </w:rPr>
      </w:pPr>
    </w:p>
    <w:p w:rsidR="003171C6" w:rsidRDefault="003171C6" w:rsidP="003171C6">
      <w:pPr>
        <w:pStyle w:val="Heading3"/>
        <w:rPr>
          <w:rFonts w:eastAsia="Times New Roman" w:cs="Times New Roman"/>
          <w:color w:val="2272A3" w:themeColor="accent4" w:themeShade="80"/>
          <w:sz w:val="32"/>
          <w:szCs w:val="20"/>
        </w:rPr>
      </w:pPr>
      <w:r w:rsidRPr="003171C6">
        <w:rPr>
          <w:rFonts w:eastAsia="Times New Roman" w:cs="Times New Roman"/>
          <w:color w:val="2272A3" w:themeColor="accent4" w:themeShade="80"/>
          <w:sz w:val="32"/>
          <w:szCs w:val="20"/>
        </w:rPr>
        <w:t>1. Victorian Declared Wholesale Market</w:t>
      </w:r>
    </w:p>
    <w:p w:rsidR="00EC2CB1" w:rsidRPr="00EF58A8" w:rsidRDefault="00EC2CB1" w:rsidP="00551D6B">
      <w:pPr>
        <w:jc w:val="both"/>
      </w:pPr>
      <w:r w:rsidRPr="00EF58A8">
        <w:t>In the Victorian gas market, gas is priced five times daily at 6 am, 10 am, 2 pm, 6 pm and 10 pm. The imbalance weighted price on a gas day tends towards the 6 am price</w:t>
      </w:r>
      <w:r w:rsidRPr="00EF58A8">
        <w:rPr>
          <w:rStyle w:val="FootnoteReference"/>
        </w:rPr>
        <w:footnoteReference w:id="3"/>
      </w:r>
      <w:r w:rsidRPr="00EF58A8">
        <w:t xml:space="preserve"> which is the schedule at which most gas is traded. </w:t>
      </w:r>
    </w:p>
    <w:p w:rsidR="003171C6" w:rsidRDefault="00EC2CB1" w:rsidP="00551D6B">
      <w:pPr>
        <w:jc w:val="both"/>
      </w:pPr>
      <w:r w:rsidRPr="00EF58A8">
        <w:t>The main drivers</w:t>
      </w:r>
      <w:r w:rsidRPr="00EF58A8">
        <w:rPr>
          <w:rStyle w:val="FootnoteReference"/>
        </w:rPr>
        <w:footnoteReference w:id="4"/>
      </w:r>
      <w:r w:rsidRPr="00EF58A8">
        <w:t xml:space="preserve"> of price are demand forecasts and bids to inject or withdraw gas from the market.</w:t>
      </w:r>
      <w:r w:rsidRPr="00EF58A8">
        <w:rPr>
          <w:rStyle w:val="FootnoteReference"/>
        </w:rPr>
        <w:t xml:space="preserve"> </w:t>
      </w:r>
      <w:r w:rsidRPr="00EF58A8">
        <w:t>Figures 1.1 to 1.4 below show the daily prices, demand forecasts</w:t>
      </w:r>
      <w:r w:rsidRPr="00EF58A8">
        <w:rPr>
          <w:rStyle w:val="FootnoteReference"/>
        </w:rPr>
        <w:footnoteReference w:id="5"/>
      </w:r>
      <w:r w:rsidRPr="00EF58A8">
        <w:t>, and injection/withdrawal bids for each of the five pricing schedules. Figure 1.5 provides information on which system injection points were used to deliver gas, in turn indicating the location and relative quantity of gas injection bids cleared through the market.</w:t>
      </w:r>
    </w:p>
    <w:p w:rsidR="00A16975" w:rsidRDefault="00A16975" w:rsidP="00551D6B">
      <w:pPr>
        <w:jc w:val="both"/>
      </w:pPr>
      <w:r w:rsidRPr="00552F68">
        <w:t>Ancillary payments for gas injected above the market price are shown above in figure 3.</w:t>
      </w:r>
    </w:p>
    <w:p w:rsidR="003171C6" w:rsidRDefault="00EC2CB1" w:rsidP="003171C6">
      <w:pPr>
        <w:pStyle w:val="Caption"/>
        <w:numPr>
          <w:ilvl w:val="0"/>
          <w:numId w:val="29"/>
        </w:numPr>
        <w:ind w:left="709" w:hanging="709"/>
        <w:rPr>
          <w:color w:val="2272A3"/>
          <w:szCs w:val="24"/>
        </w:rPr>
      </w:pPr>
      <w:r w:rsidRPr="00DD0358">
        <w:rPr>
          <w:color w:val="2272A3"/>
        </w:rPr>
        <w:t>Prices by schedule</w:t>
      </w:r>
      <w:r w:rsidR="00817724">
        <w:rPr>
          <w:color w:val="2272A3"/>
        </w:rPr>
        <w:t xml:space="preserve"> </w:t>
      </w:r>
      <w:r w:rsidR="00817724" w:rsidRPr="00552F68">
        <w:rPr>
          <w:color w:val="2272A3"/>
          <w:szCs w:val="24"/>
        </w:rPr>
        <w:t>($/GJ)</w:t>
      </w:r>
    </w:p>
    <w:p w:rsidR="003171C6" w:rsidRPr="004C571B" w:rsidRDefault="00497E1B" w:rsidP="003171C6">
      <w:r w:rsidRPr="00497E1B">
        <w:rPr>
          <w:noProof/>
          <w:lang w:eastAsia="en-AU"/>
        </w:rPr>
        <w:drawing>
          <wp:inline distT="0" distB="0" distL="0" distR="0" wp14:anchorId="4CDD73FB" wp14:editId="66B750AD">
            <wp:extent cx="5731510" cy="1650203"/>
            <wp:effectExtent l="0" t="0" r="2540" b="7620"/>
            <wp:docPr id="19" name="Picture 19" descr="Figure 1.1 shows the five Victorian schedule prices for each day this week. The marker indicates the daily imbalance weighted average price for each day. For a more detailed description of this figure, please refer to the user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31510" cy="1650203"/>
                    </a:xfrm>
                    <a:prstGeom prst="rect">
                      <a:avLst/>
                    </a:prstGeom>
                    <a:noFill/>
                    <a:ln>
                      <a:noFill/>
                    </a:ln>
                  </pic:spPr>
                </pic:pic>
              </a:graphicData>
            </a:graphic>
          </wp:inline>
        </w:drawing>
      </w:r>
    </w:p>
    <w:p w:rsidR="003171C6" w:rsidRPr="001521CB" w:rsidRDefault="00EC2CB1" w:rsidP="003171C6">
      <w:pPr>
        <w:pStyle w:val="Caption"/>
        <w:numPr>
          <w:ilvl w:val="0"/>
          <w:numId w:val="29"/>
        </w:numPr>
        <w:ind w:left="709" w:hanging="709"/>
      </w:pPr>
      <w:r w:rsidRPr="00DD0358">
        <w:rPr>
          <w:color w:val="2272A3"/>
        </w:rPr>
        <w:t>Demand forecasts</w:t>
      </w:r>
      <w:r w:rsidR="00817724">
        <w:rPr>
          <w:color w:val="2272A3"/>
        </w:rPr>
        <w:t xml:space="preserve"> </w:t>
      </w:r>
      <w:r w:rsidR="00817724" w:rsidRPr="00552F68">
        <w:rPr>
          <w:color w:val="2272A3"/>
          <w:szCs w:val="24"/>
        </w:rPr>
        <w:t>(TJ)</w:t>
      </w:r>
    </w:p>
    <w:p w:rsidR="003171C6" w:rsidRDefault="00497E1B" w:rsidP="003171C6">
      <w:r w:rsidRPr="00497E1B">
        <w:rPr>
          <w:noProof/>
          <w:lang w:eastAsia="en-AU"/>
        </w:rPr>
        <w:drawing>
          <wp:inline distT="0" distB="0" distL="0" distR="0" wp14:anchorId="586F7532" wp14:editId="46EFF0FB">
            <wp:extent cx="5731510" cy="2132322"/>
            <wp:effectExtent l="0" t="0" r="2540" b="1905"/>
            <wp:docPr id="21" name="Picture 21" descr="Figure 1.2 shows the demand forecast used to calculate the five daily schedule prices for this week. For a more detailed description of this figure, please refer to the user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31510" cy="2132322"/>
                    </a:xfrm>
                    <a:prstGeom prst="rect">
                      <a:avLst/>
                    </a:prstGeom>
                    <a:noFill/>
                    <a:ln>
                      <a:noFill/>
                    </a:ln>
                  </pic:spPr>
                </pic:pic>
              </a:graphicData>
            </a:graphic>
          </wp:inline>
        </w:drawing>
      </w:r>
    </w:p>
    <w:p w:rsidR="00EC2CB1" w:rsidRPr="001521CB" w:rsidRDefault="00EC2CB1" w:rsidP="00EC2CB1">
      <w:pPr>
        <w:pStyle w:val="Caption"/>
        <w:numPr>
          <w:ilvl w:val="0"/>
          <w:numId w:val="29"/>
        </w:numPr>
        <w:ind w:left="709" w:hanging="709"/>
      </w:pPr>
      <w:r w:rsidRPr="00DD0358">
        <w:rPr>
          <w:color w:val="2272A3"/>
        </w:rPr>
        <w:lastRenderedPageBreak/>
        <w:t>Injection bids by price bands</w:t>
      </w:r>
      <w:r w:rsidR="00817724">
        <w:rPr>
          <w:color w:val="2272A3"/>
        </w:rPr>
        <w:t xml:space="preserve"> </w:t>
      </w:r>
      <w:r w:rsidR="00817724">
        <w:rPr>
          <w:color w:val="2272A3"/>
          <w:szCs w:val="24"/>
        </w:rPr>
        <w:t>(</w:t>
      </w:r>
      <w:r w:rsidR="00817724" w:rsidRPr="00552F68">
        <w:rPr>
          <w:color w:val="2272A3"/>
          <w:szCs w:val="24"/>
        </w:rPr>
        <w:t>TJ)</w:t>
      </w:r>
    </w:p>
    <w:p w:rsidR="00EC2CB1" w:rsidRDefault="00497E1B" w:rsidP="003171C6">
      <w:r w:rsidRPr="00497E1B">
        <w:rPr>
          <w:noProof/>
          <w:lang w:eastAsia="en-AU"/>
        </w:rPr>
        <w:drawing>
          <wp:inline distT="0" distB="0" distL="0" distR="0" wp14:anchorId="397B9333" wp14:editId="54CAD3AF">
            <wp:extent cx="5731510" cy="2486687"/>
            <wp:effectExtent l="0" t="0" r="2540" b="8890"/>
            <wp:docPr id="22" name="Picture 22" descr="Figure 1.3 shows the injection bids within certain price bands for each trading interval in Victoria this week. For a more detailed description of this figure, please refer to the user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31510" cy="2486687"/>
                    </a:xfrm>
                    <a:prstGeom prst="rect">
                      <a:avLst/>
                    </a:prstGeom>
                    <a:noFill/>
                    <a:ln>
                      <a:noFill/>
                    </a:ln>
                  </pic:spPr>
                </pic:pic>
              </a:graphicData>
            </a:graphic>
          </wp:inline>
        </w:drawing>
      </w:r>
    </w:p>
    <w:p w:rsidR="00EC2CB1" w:rsidRPr="001521CB" w:rsidRDefault="00EC2CB1" w:rsidP="00EC2CB1">
      <w:pPr>
        <w:pStyle w:val="Caption"/>
        <w:numPr>
          <w:ilvl w:val="0"/>
          <w:numId w:val="29"/>
        </w:numPr>
        <w:ind w:left="709" w:hanging="709"/>
      </w:pPr>
      <w:r w:rsidRPr="00DD0358">
        <w:rPr>
          <w:color w:val="2272A3"/>
        </w:rPr>
        <w:t>Withdrawal bids by price bands</w:t>
      </w:r>
      <w:r w:rsidR="00817724">
        <w:rPr>
          <w:color w:val="2272A3"/>
        </w:rPr>
        <w:t xml:space="preserve"> </w:t>
      </w:r>
      <w:r w:rsidR="00817724" w:rsidRPr="00552F68">
        <w:rPr>
          <w:color w:val="2272A3"/>
          <w:szCs w:val="24"/>
        </w:rPr>
        <w:t>(TJ)</w:t>
      </w:r>
    </w:p>
    <w:p w:rsidR="00EC2CB1" w:rsidRDefault="00497E1B" w:rsidP="003171C6">
      <w:r w:rsidRPr="00497E1B">
        <w:rPr>
          <w:noProof/>
          <w:lang w:eastAsia="en-AU"/>
        </w:rPr>
        <w:drawing>
          <wp:inline distT="0" distB="0" distL="0" distR="0" wp14:anchorId="6B266778" wp14:editId="3B5C568A">
            <wp:extent cx="5731510" cy="1958582"/>
            <wp:effectExtent l="0" t="0" r="2540" b="3810"/>
            <wp:docPr id="23" name="Picture 23" descr="Figure 1.4 shows the withdrawal bids within certain price bands for each trading interval in Victoria this week. For a more detailed description of this figure, please refer to the user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31510" cy="1958582"/>
                    </a:xfrm>
                    <a:prstGeom prst="rect">
                      <a:avLst/>
                    </a:prstGeom>
                    <a:noFill/>
                    <a:ln>
                      <a:noFill/>
                    </a:ln>
                  </pic:spPr>
                </pic:pic>
              </a:graphicData>
            </a:graphic>
          </wp:inline>
        </w:drawing>
      </w:r>
    </w:p>
    <w:p w:rsidR="00EC2CB1" w:rsidRPr="001521CB" w:rsidRDefault="00EC2CB1" w:rsidP="00EC2CB1">
      <w:pPr>
        <w:pStyle w:val="Caption"/>
        <w:numPr>
          <w:ilvl w:val="0"/>
          <w:numId w:val="29"/>
        </w:numPr>
        <w:ind w:left="709" w:hanging="709"/>
      </w:pPr>
      <w:r w:rsidRPr="00DD0358">
        <w:rPr>
          <w:color w:val="2272A3"/>
        </w:rPr>
        <w:t>Metered Injections by System Injection Point</w:t>
      </w:r>
      <w:r w:rsidR="00817724">
        <w:rPr>
          <w:color w:val="2272A3"/>
        </w:rPr>
        <w:t xml:space="preserve"> </w:t>
      </w:r>
      <w:r w:rsidR="00817724" w:rsidRPr="00552F68">
        <w:rPr>
          <w:color w:val="2272A3"/>
          <w:szCs w:val="24"/>
        </w:rPr>
        <w:t>(TJ)</w:t>
      </w:r>
    </w:p>
    <w:p w:rsidR="00EC2CB1" w:rsidRDefault="00497E1B" w:rsidP="003171C6">
      <w:r w:rsidRPr="00497E1B">
        <w:rPr>
          <w:noProof/>
          <w:lang w:eastAsia="en-AU"/>
        </w:rPr>
        <w:drawing>
          <wp:inline distT="0" distB="0" distL="0" distR="0" wp14:anchorId="6F3D1A4F" wp14:editId="1627374C">
            <wp:extent cx="5731510" cy="2142691"/>
            <wp:effectExtent l="0" t="0" r="2540" b="0"/>
            <wp:docPr id="24" name="Picture 24" descr="Figure 1.5 shows the metered injections sorted by facility for each 4 hour interval in Victoria this week. For a more detailed description of this figure, please refer to the user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31510" cy="2142691"/>
                    </a:xfrm>
                    <a:prstGeom prst="rect">
                      <a:avLst/>
                    </a:prstGeom>
                    <a:noFill/>
                    <a:ln>
                      <a:noFill/>
                    </a:ln>
                  </pic:spPr>
                </pic:pic>
              </a:graphicData>
            </a:graphic>
          </wp:inline>
        </w:drawing>
      </w:r>
    </w:p>
    <w:p w:rsidR="00EC2CB1" w:rsidRPr="00EF58A8" w:rsidRDefault="00EC2CB1" w:rsidP="00EC2CB1">
      <w:pPr>
        <w:ind w:left="720"/>
        <w:rPr>
          <w:sz w:val="18"/>
          <w:szCs w:val="18"/>
        </w:rPr>
      </w:pPr>
      <w:r w:rsidRPr="00EF58A8">
        <w:rPr>
          <w:sz w:val="18"/>
          <w:szCs w:val="18"/>
        </w:rPr>
        <w:t>Note that in figure 1.5, the last 8</w:t>
      </w:r>
      <w:r w:rsidRPr="00EF58A8">
        <w:rPr>
          <w:sz w:val="18"/>
          <w:szCs w:val="18"/>
        </w:rPr>
        <w:noBreakHyphen/>
        <w:t>hour schedule from 10 pm has been separated into two 4</w:t>
      </w:r>
      <w:r w:rsidRPr="00EF58A8">
        <w:rPr>
          <w:sz w:val="18"/>
          <w:szCs w:val="18"/>
        </w:rPr>
        <w:noBreakHyphen/>
        <w:t>hour blocks to provide a consistent comparison with earlier scheduled injection volumes.</w:t>
      </w:r>
    </w:p>
    <w:p w:rsidR="00EC2CB1" w:rsidRPr="003171C6" w:rsidRDefault="00EC2CB1" w:rsidP="003171C6"/>
    <w:p w:rsidR="00EC2CB1" w:rsidRDefault="00EC2CB1">
      <w:pPr>
        <w:spacing w:line="240" w:lineRule="auto"/>
        <w:rPr>
          <w:rFonts w:eastAsia="Times New Roman" w:cs="Times New Roman"/>
          <w:b/>
          <w:bCs/>
          <w:color w:val="2272A3" w:themeColor="accent4" w:themeShade="80"/>
          <w:sz w:val="32"/>
          <w:szCs w:val="20"/>
        </w:rPr>
      </w:pPr>
      <w:r>
        <w:rPr>
          <w:rFonts w:eastAsia="Times New Roman" w:cs="Times New Roman"/>
          <w:color w:val="2272A3" w:themeColor="accent4" w:themeShade="80"/>
          <w:sz w:val="32"/>
          <w:szCs w:val="20"/>
        </w:rPr>
        <w:br w:type="page"/>
      </w:r>
    </w:p>
    <w:p w:rsidR="003171C6" w:rsidRDefault="003171C6" w:rsidP="003171C6">
      <w:pPr>
        <w:pStyle w:val="Heading3"/>
        <w:rPr>
          <w:rFonts w:eastAsia="Times New Roman" w:cs="Times New Roman"/>
          <w:color w:val="2272A3" w:themeColor="accent4" w:themeShade="80"/>
          <w:sz w:val="32"/>
          <w:szCs w:val="20"/>
        </w:rPr>
      </w:pPr>
      <w:r>
        <w:rPr>
          <w:rFonts w:eastAsia="Times New Roman" w:cs="Times New Roman"/>
          <w:color w:val="2272A3" w:themeColor="accent4" w:themeShade="80"/>
          <w:sz w:val="32"/>
          <w:szCs w:val="20"/>
        </w:rPr>
        <w:lastRenderedPageBreak/>
        <w:t>2</w:t>
      </w:r>
      <w:r w:rsidRPr="003171C6">
        <w:rPr>
          <w:rFonts w:eastAsia="Times New Roman" w:cs="Times New Roman"/>
          <w:color w:val="2272A3" w:themeColor="accent4" w:themeShade="80"/>
          <w:sz w:val="32"/>
          <w:szCs w:val="20"/>
        </w:rPr>
        <w:t xml:space="preserve">. </w:t>
      </w:r>
      <w:r>
        <w:rPr>
          <w:rFonts w:eastAsia="Times New Roman" w:cs="Times New Roman"/>
          <w:color w:val="2272A3" w:themeColor="accent4" w:themeShade="80"/>
          <w:sz w:val="32"/>
          <w:szCs w:val="20"/>
        </w:rPr>
        <w:t>Sydney STTM</w:t>
      </w:r>
    </w:p>
    <w:p w:rsidR="00EC2CB1" w:rsidRPr="00EF58A8" w:rsidRDefault="00EC2CB1" w:rsidP="00EC2CB1">
      <w:pPr>
        <w:jc w:val="both"/>
      </w:pPr>
      <w:r>
        <w:t xml:space="preserve">In each </w:t>
      </w:r>
      <w:r w:rsidRPr="00EF58A8">
        <w:t>STTM hub, a daily gas price is calculated before the gas day (the ex ante price) and after the gas day (the ex post price). The main drivers of these prices are participant demand forecasts, and offers to inject or bids to withdraw gas traded at the hub.</w:t>
      </w:r>
      <w:r w:rsidRPr="00EF58A8">
        <w:rPr>
          <w:rStyle w:val="FootnoteReference"/>
        </w:rPr>
        <w:footnoteReference w:id="6"/>
      </w:r>
      <w:r w:rsidRPr="00EF58A8">
        <w:t xml:space="preserve"> Divergences in ex ante and ex post prices for a gas day may occur due to differences in scheduled (forecast) and allocated (actual) quantities.</w:t>
      </w:r>
      <w:r>
        <w:t xml:space="preserve"> Pipeline acronyms are defined in the </w:t>
      </w:r>
      <w:hyperlink r:id="rId20" w:history="1">
        <w:r>
          <w:rPr>
            <w:rStyle w:val="Hyperlink"/>
          </w:rPr>
          <w:t>user guide</w:t>
        </w:r>
      </w:hyperlink>
      <w:r>
        <w:t>.</w:t>
      </w:r>
    </w:p>
    <w:p w:rsidR="00EC2CB1" w:rsidRPr="00EF58A8" w:rsidRDefault="00EC2CB1" w:rsidP="00EC2CB1">
      <w:pPr>
        <w:pStyle w:val="AERbodytext"/>
        <w:spacing w:line="240" w:lineRule="auto"/>
      </w:pPr>
      <w:r w:rsidRPr="00EF58A8">
        <w:t>Market Operator Service balancing gas (MOS) payments arise because the amount of gas nominated on pipelines for delivery on a gas day will either exceed or fall short, by some amount, of the amount of gas consumed in the hub. In such circumstances, MOS payments are made to participants for providing a service to park gas on a pipeline or to loan gas from a pipeline to the hub.</w:t>
      </w:r>
      <w:r w:rsidRPr="00EF58A8">
        <w:rPr>
          <w:rStyle w:val="FootnoteReference"/>
        </w:rPr>
        <w:footnoteReference w:id="7"/>
      </w:r>
      <w:r w:rsidRPr="00EF58A8">
        <w:t xml:space="preserve"> </w:t>
      </w:r>
    </w:p>
    <w:p w:rsidR="004C571B" w:rsidRDefault="00EC2CB1" w:rsidP="00551D6B">
      <w:pPr>
        <w:jc w:val="both"/>
      </w:pPr>
      <w:r w:rsidRPr="00EF58A8">
        <w:t>Figures 2.1 and 2.2 show daily prices, demand, offers and bids. Figures 2.3 and 2.4 show gas scheduled and allocated on pipelines to supply the hub, indicating</w:t>
      </w:r>
      <w:r w:rsidRPr="00442756">
        <w:t xml:space="preserve"> the location and relative quantity of gas offers across pipelines and also the amount of MOS allocated for each pipeline.</w:t>
      </w:r>
    </w:p>
    <w:p w:rsidR="004C571B" w:rsidRDefault="00EC2CB1" w:rsidP="004C571B">
      <w:pPr>
        <w:pStyle w:val="Caption"/>
        <w:numPr>
          <w:ilvl w:val="0"/>
          <w:numId w:val="30"/>
        </w:numPr>
        <w:ind w:left="709" w:hanging="709"/>
        <w:rPr>
          <w:color w:val="2272A3"/>
          <w:szCs w:val="24"/>
        </w:rPr>
      </w:pPr>
      <w:r w:rsidRPr="00362B9A">
        <w:rPr>
          <w:color w:val="2272A3"/>
          <w:szCs w:val="24"/>
        </w:rPr>
        <w:t>SYD STTM daily ex ante and ex post prices and quantities</w:t>
      </w:r>
    </w:p>
    <w:tbl>
      <w:tblPr>
        <w:tblStyle w:val="AERTable-Text"/>
        <w:tblW w:w="4994" w:type="pct"/>
        <w:tblLook w:val="04A0" w:firstRow="1" w:lastRow="0" w:firstColumn="1" w:lastColumn="0" w:noHBand="0" w:noVBand="1"/>
      </w:tblPr>
      <w:tblGrid>
        <w:gridCol w:w="2236"/>
        <w:gridCol w:w="1071"/>
        <w:gridCol w:w="938"/>
        <w:gridCol w:w="1087"/>
        <w:gridCol w:w="954"/>
        <w:gridCol w:w="942"/>
        <w:gridCol w:w="936"/>
        <w:gridCol w:w="1067"/>
      </w:tblGrid>
      <w:tr w:rsidR="00EC2CB1" w:rsidRPr="00405CDE" w:rsidTr="00A226E9">
        <w:trPr>
          <w:cnfStyle w:val="100000000000" w:firstRow="1" w:lastRow="0" w:firstColumn="0" w:lastColumn="0" w:oddVBand="0" w:evenVBand="0" w:oddHBand="0" w:evenHBand="0" w:firstRowFirstColumn="0" w:firstRowLastColumn="0" w:lastRowFirstColumn="0" w:lastRowLastColumn="0"/>
          <w:tblHeader/>
        </w:trPr>
        <w:tc>
          <w:tcPr>
            <w:tcW w:w="1211" w:type="pct"/>
            <w:tcBorders>
              <w:bottom w:val="nil"/>
            </w:tcBorders>
            <w:hideMark/>
          </w:tcPr>
          <w:p w:rsidR="00EC2CB1" w:rsidRPr="00DC24BF" w:rsidRDefault="00EC2CB1" w:rsidP="00EC2CB1">
            <w:pPr>
              <w:pStyle w:val="TableHeading"/>
              <w:spacing w:before="0" w:after="0"/>
              <w:jc w:val="center"/>
              <w:rPr>
                <w:rFonts w:cs="Arial"/>
                <w:sz w:val="20"/>
                <w:szCs w:val="20"/>
              </w:rPr>
            </w:pPr>
          </w:p>
        </w:tc>
        <w:tc>
          <w:tcPr>
            <w:tcW w:w="580" w:type="pct"/>
            <w:tcBorders>
              <w:bottom w:val="nil"/>
            </w:tcBorders>
            <w:hideMark/>
          </w:tcPr>
          <w:p w:rsidR="00EC2CB1" w:rsidRPr="00442756" w:rsidRDefault="00EC2CB1" w:rsidP="00EC2CB1">
            <w:pPr>
              <w:spacing w:before="0" w:after="0"/>
              <w:jc w:val="center"/>
              <w:rPr>
                <w:rFonts w:cs="Arial"/>
                <w:b w:val="0"/>
                <w:bCs/>
                <w:sz w:val="20"/>
                <w:szCs w:val="20"/>
              </w:rPr>
            </w:pPr>
            <w:r w:rsidRPr="00442756">
              <w:rPr>
                <w:rFonts w:cs="Arial"/>
                <w:bCs/>
                <w:sz w:val="20"/>
                <w:szCs w:val="20"/>
              </w:rPr>
              <w:t>Sun</w:t>
            </w:r>
          </w:p>
        </w:tc>
        <w:tc>
          <w:tcPr>
            <w:tcW w:w="508"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Mon</w:t>
            </w:r>
          </w:p>
        </w:tc>
        <w:tc>
          <w:tcPr>
            <w:tcW w:w="589"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Tue</w:t>
            </w:r>
          </w:p>
        </w:tc>
        <w:tc>
          <w:tcPr>
            <w:tcW w:w="517"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Wed</w:t>
            </w:r>
          </w:p>
        </w:tc>
        <w:tc>
          <w:tcPr>
            <w:tcW w:w="510"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Thu</w:t>
            </w:r>
          </w:p>
        </w:tc>
        <w:tc>
          <w:tcPr>
            <w:tcW w:w="507" w:type="pct"/>
            <w:tcBorders>
              <w:bottom w:val="nil"/>
            </w:tcBorders>
            <w:hideMark/>
          </w:tcPr>
          <w:p w:rsidR="00EC2CB1" w:rsidRPr="00442756" w:rsidRDefault="00EC2CB1" w:rsidP="00EC2CB1">
            <w:pPr>
              <w:spacing w:before="0" w:after="0"/>
              <w:jc w:val="center"/>
              <w:rPr>
                <w:rFonts w:cs="Arial"/>
                <w:b w:val="0"/>
                <w:bCs/>
                <w:sz w:val="20"/>
                <w:szCs w:val="20"/>
              </w:rPr>
            </w:pPr>
            <w:r w:rsidRPr="00442756">
              <w:rPr>
                <w:rFonts w:cs="Arial"/>
                <w:bCs/>
                <w:sz w:val="20"/>
                <w:szCs w:val="20"/>
              </w:rPr>
              <w:t>Fri</w:t>
            </w:r>
          </w:p>
        </w:tc>
        <w:tc>
          <w:tcPr>
            <w:tcW w:w="578" w:type="pct"/>
            <w:tcBorders>
              <w:bottom w:val="nil"/>
            </w:tcBorders>
            <w:hideMark/>
          </w:tcPr>
          <w:p w:rsidR="00EC2CB1" w:rsidRPr="00442756" w:rsidRDefault="00EC2CB1" w:rsidP="00EC2CB1">
            <w:pPr>
              <w:spacing w:before="0" w:after="0"/>
              <w:jc w:val="center"/>
              <w:rPr>
                <w:rFonts w:cs="Arial"/>
                <w:b w:val="0"/>
                <w:bCs/>
                <w:sz w:val="20"/>
                <w:szCs w:val="20"/>
              </w:rPr>
            </w:pPr>
            <w:r w:rsidRPr="00442756">
              <w:rPr>
                <w:rFonts w:cs="Arial"/>
                <w:bCs/>
                <w:sz w:val="20"/>
                <w:szCs w:val="20"/>
              </w:rPr>
              <w:t>Sat</w:t>
            </w:r>
          </w:p>
        </w:tc>
      </w:tr>
      <w:tr w:rsidR="00497E1B" w:rsidRPr="00405CDE" w:rsidTr="00A226E9">
        <w:trPr>
          <w:trHeight w:val="510"/>
        </w:trPr>
        <w:tc>
          <w:tcPr>
            <w:tcW w:w="1211" w:type="pct"/>
            <w:tcBorders>
              <w:top w:val="nil"/>
              <w:bottom w:val="nil"/>
            </w:tcBorders>
            <w:vAlign w:val="center"/>
          </w:tcPr>
          <w:p w:rsidR="00497E1B" w:rsidRDefault="00497E1B">
            <w:pPr>
              <w:rPr>
                <w:rFonts w:cs="Arial"/>
                <w:sz w:val="20"/>
                <w:szCs w:val="20"/>
              </w:rPr>
            </w:pPr>
            <w:r>
              <w:rPr>
                <w:rFonts w:cs="Arial"/>
                <w:sz w:val="20"/>
                <w:szCs w:val="20"/>
              </w:rPr>
              <w:t>Ex ante price ($/GJ)</w:t>
            </w:r>
          </w:p>
        </w:tc>
        <w:tc>
          <w:tcPr>
            <w:tcW w:w="580" w:type="pct"/>
            <w:tcBorders>
              <w:top w:val="nil"/>
              <w:bottom w:val="nil"/>
            </w:tcBorders>
            <w:vAlign w:val="center"/>
          </w:tcPr>
          <w:p w:rsidR="00497E1B" w:rsidRDefault="00497E1B">
            <w:pPr>
              <w:jc w:val="center"/>
              <w:rPr>
                <w:rFonts w:cs="Arial"/>
                <w:sz w:val="20"/>
                <w:szCs w:val="20"/>
              </w:rPr>
            </w:pPr>
            <w:r>
              <w:rPr>
                <w:rFonts w:cs="Arial"/>
                <w:sz w:val="20"/>
                <w:szCs w:val="20"/>
              </w:rPr>
              <w:t>4.54</w:t>
            </w:r>
          </w:p>
        </w:tc>
        <w:tc>
          <w:tcPr>
            <w:tcW w:w="508" w:type="pct"/>
            <w:tcBorders>
              <w:top w:val="nil"/>
              <w:bottom w:val="nil"/>
            </w:tcBorders>
            <w:vAlign w:val="center"/>
          </w:tcPr>
          <w:p w:rsidR="00497E1B" w:rsidRDefault="00497E1B">
            <w:pPr>
              <w:jc w:val="center"/>
              <w:rPr>
                <w:rFonts w:cs="Arial"/>
                <w:sz w:val="20"/>
                <w:szCs w:val="20"/>
              </w:rPr>
            </w:pPr>
            <w:r>
              <w:rPr>
                <w:rFonts w:cs="Arial"/>
                <w:sz w:val="20"/>
                <w:szCs w:val="20"/>
              </w:rPr>
              <w:t>5.51</w:t>
            </w:r>
          </w:p>
        </w:tc>
        <w:tc>
          <w:tcPr>
            <w:tcW w:w="589" w:type="pct"/>
            <w:tcBorders>
              <w:top w:val="nil"/>
              <w:bottom w:val="nil"/>
            </w:tcBorders>
            <w:vAlign w:val="center"/>
          </w:tcPr>
          <w:p w:rsidR="00497E1B" w:rsidRDefault="00497E1B">
            <w:pPr>
              <w:jc w:val="center"/>
              <w:rPr>
                <w:rFonts w:cs="Arial"/>
                <w:sz w:val="20"/>
                <w:szCs w:val="20"/>
              </w:rPr>
            </w:pPr>
            <w:r>
              <w:rPr>
                <w:rFonts w:cs="Arial"/>
                <w:sz w:val="20"/>
                <w:szCs w:val="20"/>
              </w:rPr>
              <w:t>4.42</w:t>
            </w:r>
          </w:p>
        </w:tc>
        <w:tc>
          <w:tcPr>
            <w:tcW w:w="517" w:type="pct"/>
            <w:tcBorders>
              <w:top w:val="nil"/>
              <w:bottom w:val="nil"/>
            </w:tcBorders>
            <w:vAlign w:val="center"/>
          </w:tcPr>
          <w:p w:rsidR="00497E1B" w:rsidRDefault="00497E1B">
            <w:pPr>
              <w:jc w:val="center"/>
              <w:rPr>
                <w:rFonts w:cs="Arial"/>
                <w:sz w:val="20"/>
                <w:szCs w:val="20"/>
              </w:rPr>
            </w:pPr>
            <w:r>
              <w:rPr>
                <w:rFonts w:cs="Arial"/>
                <w:sz w:val="20"/>
                <w:szCs w:val="20"/>
              </w:rPr>
              <w:t>6.19</w:t>
            </w:r>
          </w:p>
        </w:tc>
        <w:tc>
          <w:tcPr>
            <w:tcW w:w="510" w:type="pct"/>
            <w:tcBorders>
              <w:top w:val="nil"/>
              <w:bottom w:val="nil"/>
            </w:tcBorders>
            <w:vAlign w:val="center"/>
          </w:tcPr>
          <w:p w:rsidR="00497E1B" w:rsidRDefault="00497E1B">
            <w:pPr>
              <w:jc w:val="center"/>
              <w:rPr>
                <w:rFonts w:cs="Arial"/>
                <w:sz w:val="20"/>
                <w:szCs w:val="20"/>
              </w:rPr>
            </w:pPr>
            <w:r>
              <w:rPr>
                <w:rFonts w:cs="Arial"/>
                <w:sz w:val="20"/>
                <w:szCs w:val="20"/>
              </w:rPr>
              <w:t>7.46</w:t>
            </w:r>
          </w:p>
        </w:tc>
        <w:tc>
          <w:tcPr>
            <w:tcW w:w="507" w:type="pct"/>
            <w:tcBorders>
              <w:top w:val="nil"/>
              <w:bottom w:val="nil"/>
            </w:tcBorders>
            <w:vAlign w:val="center"/>
          </w:tcPr>
          <w:p w:rsidR="00497E1B" w:rsidRDefault="00497E1B">
            <w:pPr>
              <w:jc w:val="center"/>
              <w:rPr>
                <w:rFonts w:cs="Arial"/>
                <w:sz w:val="20"/>
                <w:szCs w:val="20"/>
              </w:rPr>
            </w:pPr>
            <w:r>
              <w:rPr>
                <w:rFonts w:cs="Arial"/>
                <w:sz w:val="20"/>
                <w:szCs w:val="20"/>
              </w:rPr>
              <w:t>8.36</w:t>
            </w:r>
          </w:p>
        </w:tc>
        <w:tc>
          <w:tcPr>
            <w:tcW w:w="578" w:type="pct"/>
            <w:tcBorders>
              <w:top w:val="nil"/>
              <w:bottom w:val="nil"/>
            </w:tcBorders>
            <w:vAlign w:val="center"/>
          </w:tcPr>
          <w:p w:rsidR="00497E1B" w:rsidRDefault="00497E1B">
            <w:pPr>
              <w:jc w:val="center"/>
              <w:rPr>
                <w:rFonts w:cs="Arial"/>
                <w:sz w:val="20"/>
                <w:szCs w:val="20"/>
              </w:rPr>
            </w:pPr>
            <w:r>
              <w:rPr>
                <w:rFonts w:cs="Arial"/>
                <w:sz w:val="20"/>
                <w:szCs w:val="20"/>
              </w:rPr>
              <w:t>8.10</w:t>
            </w:r>
          </w:p>
        </w:tc>
      </w:tr>
      <w:tr w:rsidR="00497E1B" w:rsidRPr="00405CDE" w:rsidTr="00A226E9">
        <w:trPr>
          <w:cnfStyle w:val="000000010000" w:firstRow="0" w:lastRow="0" w:firstColumn="0" w:lastColumn="0" w:oddVBand="0" w:evenVBand="0" w:oddHBand="0" w:evenHBand="1" w:firstRowFirstColumn="0" w:firstRowLastColumn="0" w:lastRowFirstColumn="0" w:lastRowLastColumn="0"/>
          <w:trHeight w:val="510"/>
        </w:trPr>
        <w:tc>
          <w:tcPr>
            <w:tcW w:w="1211" w:type="pct"/>
            <w:tcBorders>
              <w:top w:val="nil"/>
              <w:bottom w:val="nil"/>
            </w:tcBorders>
            <w:vAlign w:val="center"/>
          </w:tcPr>
          <w:p w:rsidR="00497E1B" w:rsidRDefault="00497E1B">
            <w:pPr>
              <w:rPr>
                <w:rFonts w:cs="Arial"/>
                <w:szCs w:val="20"/>
              </w:rPr>
            </w:pPr>
            <w:r>
              <w:rPr>
                <w:rFonts w:cs="Arial"/>
                <w:szCs w:val="20"/>
              </w:rPr>
              <w:t>Ex ante quantity (TJ)</w:t>
            </w:r>
          </w:p>
        </w:tc>
        <w:tc>
          <w:tcPr>
            <w:tcW w:w="580" w:type="pct"/>
            <w:tcBorders>
              <w:top w:val="nil"/>
              <w:bottom w:val="nil"/>
            </w:tcBorders>
            <w:vAlign w:val="center"/>
          </w:tcPr>
          <w:p w:rsidR="00497E1B" w:rsidRDefault="00497E1B">
            <w:pPr>
              <w:jc w:val="center"/>
              <w:rPr>
                <w:rFonts w:cs="Arial"/>
                <w:szCs w:val="20"/>
              </w:rPr>
            </w:pPr>
            <w:r>
              <w:rPr>
                <w:rFonts w:cs="Arial"/>
                <w:szCs w:val="20"/>
              </w:rPr>
              <w:t>155</w:t>
            </w:r>
          </w:p>
        </w:tc>
        <w:tc>
          <w:tcPr>
            <w:tcW w:w="508" w:type="pct"/>
            <w:tcBorders>
              <w:top w:val="nil"/>
              <w:bottom w:val="nil"/>
            </w:tcBorders>
            <w:vAlign w:val="center"/>
          </w:tcPr>
          <w:p w:rsidR="00497E1B" w:rsidRDefault="00497E1B">
            <w:pPr>
              <w:jc w:val="center"/>
              <w:rPr>
                <w:rFonts w:cs="Arial"/>
                <w:szCs w:val="20"/>
              </w:rPr>
            </w:pPr>
            <w:r>
              <w:rPr>
                <w:rFonts w:cs="Arial"/>
                <w:szCs w:val="20"/>
              </w:rPr>
              <w:t>154</w:t>
            </w:r>
          </w:p>
        </w:tc>
        <w:tc>
          <w:tcPr>
            <w:tcW w:w="589" w:type="pct"/>
            <w:tcBorders>
              <w:top w:val="nil"/>
              <w:bottom w:val="nil"/>
            </w:tcBorders>
            <w:vAlign w:val="center"/>
          </w:tcPr>
          <w:p w:rsidR="00497E1B" w:rsidRDefault="00497E1B">
            <w:pPr>
              <w:jc w:val="center"/>
              <w:rPr>
                <w:rFonts w:cs="Arial"/>
                <w:szCs w:val="20"/>
              </w:rPr>
            </w:pPr>
            <w:r>
              <w:rPr>
                <w:rFonts w:cs="Arial"/>
                <w:szCs w:val="20"/>
              </w:rPr>
              <w:t>199</w:t>
            </w:r>
          </w:p>
        </w:tc>
        <w:tc>
          <w:tcPr>
            <w:tcW w:w="517" w:type="pct"/>
            <w:tcBorders>
              <w:top w:val="nil"/>
              <w:bottom w:val="nil"/>
            </w:tcBorders>
            <w:vAlign w:val="center"/>
          </w:tcPr>
          <w:p w:rsidR="00497E1B" w:rsidRDefault="00497E1B">
            <w:pPr>
              <w:jc w:val="center"/>
              <w:rPr>
                <w:rFonts w:cs="Arial"/>
                <w:szCs w:val="20"/>
              </w:rPr>
            </w:pPr>
            <w:r>
              <w:rPr>
                <w:rFonts w:cs="Arial"/>
                <w:szCs w:val="20"/>
              </w:rPr>
              <w:t>199</w:t>
            </w:r>
          </w:p>
        </w:tc>
        <w:tc>
          <w:tcPr>
            <w:tcW w:w="510" w:type="pct"/>
            <w:tcBorders>
              <w:top w:val="nil"/>
              <w:bottom w:val="nil"/>
            </w:tcBorders>
            <w:vAlign w:val="center"/>
          </w:tcPr>
          <w:p w:rsidR="00497E1B" w:rsidRDefault="00497E1B">
            <w:pPr>
              <w:jc w:val="center"/>
              <w:rPr>
                <w:rFonts w:cs="Arial"/>
                <w:szCs w:val="20"/>
              </w:rPr>
            </w:pPr>
            <w:r>
              <w:rPr>
                <w:rFonts w:cs="Arial"/>
                <w:szCs w:val="20"/>
              </w:rPr>
              <w:t>202</w:t>
            </w:r>
          </w:p>
        </w:tc>
        <w:tc>
          <w:tcPr>
            <w:tcW w:w="507" w:type="pct"/>
            <w:tcBorders>
              <w:top w:val="nil"/>
              <w:bottom w:val="nil"/>
            </w:tcBorders>
            <w:vAlign w:val="center"/>
          </w:tcPr>
          <w:p w:rsidR="00497E1B" w:rsidRDefault="00497E1B">
            <w:pPr>
              <w:jc w:val="center"/>
              <w:rPr>
                <w:rFonts w:cs="Arial"/>
                <w:szCs w:val="20"/>
              </w:rPr>
            </w:pPr>
            <w:r>
              <w:rPr>
                <w:rFonts w:cs="Arial"/>
                <w:szCs w:val="20"/>
              </w:rPr>
              <w:t>201</w:t>
            </w:r>
          </w:p>
        </w:tc>
        <w:tc>
          <w:tcPr>
            <w:tcW w:w="578" w:type="pct"/>
            <w:tcBorders>
              <w:top w:val="nil"/>
              <w:bottom w:val="nil"/>
            </w:tcBorders>
            <w:vAlign w:val="center"/>
          </w:tcPr>
          <w:p w:rsidR="00497E1B" w:rsidRDefault="00497E1B">
            <w:pPr>
              <w:jc w:val="center"/>
              <w:rPr>
                <w:rFonts w:cs="Arial"/>
                <w:szCs w:val="20"/>
              </w:rPr>
            </w:pPr>
            <w:r>
              <w:rPr>
                <w:rFonts w:cs="Arial"/>
                <w:szCs w:val="20"/>
              </w:rPr>
              <w:t>194</w:t>
            </w:r>
          </w:p>
        </w:tc>
      </w:tr>
      <w:tr w:rsidR="00497E1B" w:rsidRPr="00405CDE" w:rsidTr="00A226E9">
        <w:trPr>
          <w:trHeight w:val="510"/>
        </w:trPr>
        <w:tc>
          <w:tcPr>
            <w:tcW w:w="1211" w:type="pct"/>
            <w:tcBorders>
              <w:top w:val="nil"/>
              <w:bottom w:val="nil"/>
            </w:tcBorders>
            <w:vAlign w:val="center"/>
          </w:tcPr>
          <w:p w:rsidR="00497E1B" w:rsidRDefault="00497E1B">
            <w:pPr>
              <w:rPr>
                <w:rFonts w:cs="Arial"/>
                <w:sz w:val="20"/>
                <w:szCs w:val="20"/>
              </w:rPr>
            </w:pPr>
            <w:r>
              <w:rPr>
                <w:rFonts w:cs="Arial"/>
                <w:sz w:val="20"/>
                <w:szCs w:val="20"/>
              </w:rPr>
              <w:t>Ex post price ($/GJ)</w:t>
            </w:r>
          </w:p>
        </w:tc>
        <w:tc>
          <w:tcPr>
            <w:tcW w:w="580" w:type="pct"/>
            <w:tcBorders>
              <w:top w:val="nil"/>
              <w:bottom w:val="nil"/>
            </w:tcBorders>
            <w:vAlign w:val="center"/>
          </w:tcPr>
          <w:p w:rsidR="00497E1B" w:rsidRDefault="00497E1B">
            <w:pPr>
              <w:jc w:val="center"/>
              <w:rPr>
                <w:rFonts w:cs="Arial"/>
                <w:sz w:val="20"/>
                <w:szCs w:val="20"/>
              </w:rPr>
            </w:pPr>
            <w:r>
              <w:rPr>
                <w:rFonts w:cs="Arial"/>
                <w:sz w:val="20"/>
                <w:szCs w:val="20"/>
              </w:rPr>
              <w:t>4.00</w:t>
            </w:r>
          </w:p>
        </w:tc>
        <w:tc>
          <w:tcPr>
            <w:tcW w:w="508" w:type="pct"/>
            <w:tcBorders>
              <w:top w:val="nil"/>
              <w:bottom w:val="nil"/>
            </w:tcBorders>
            <w:vAlign w:val="center"/>
          </w:tcPr>
          <w:p w:rsidR="00497E1B" w:rsidRDefault="00497E1B">
            <w:pPr>
              <w:jc w:val="center"/>
              <w:rPr>
                <w:rFonts w:cs="Arial"/>
                <w:sz w:val="20"/>
                <w:szCs w:val="20"/>
              </w:rPr>
            </w:pPr>
            <w:r>
              <w:rPr>
                <w:rFonts w:cs="Arial"/>
                <w:sz w:val="20"/>
                <w:szCs w:val="20"/>
              </w:rPr>
              <w:t>5.36</w:t>
            </w:r>
          </w:p>
        </w:tc>
        <w:tc>
          <w:tcPr>
            <w:tcW w:w="589" w:type="pct"/>
            <w:tcBorders>
              <w:top w:val="nil"/>
              <w:bottom w:val="nil"/>
            </w:tcBorders>
            <w:vAlign w:val="center"/>
          </w:tcPr>
          <w:p w:rsidR="00497E1B" w:rsidRDefault="00497E1B">
            <w:pPr>
              <w:jc w:val="center"/>
              <w:rPr>
                <w:rFonts w:cs="Arial"/>
                <w:sz w:val="20"/>
                <w:szCs w:val="20"/>
              </w:rPr>
            </w:pPr>
            <w:r>
              <w:rPr>
                <w:rFonts w:cs="Arial"/>
                <w:sz w:val="20"/>
                <w:szCs w:val="20"/>
              </w:rPr>
              <w:t>4.10</w:t>
            </w:r>
          </w:p>
        </w:tc>
        <w:tc>
          <w:tcPr>
            <w:tcW w:w="517" w:type="pct"/>
            <w:tcBorders>
              <w:top w:val="nil"/>
              <w:bottom w:val="nil"/>
            </w:tcBorders>
            <w:vAlign w:val="center"/>
          </w:tcPr>
          <w:p w:rsidR="00497E1B" w:rsidRDefault="00497E1B">
            <w:pPr>
              <w:jc w:val="center"/>
              <w:rPr>
                <w:rFonts w:cs="Arial"/>
                <w:sz w:val="20"/>
                <w:szCs w:val="20"/>
              </w:rPr>
            </w:pPr>
            <w:r>
              <w:rPr>
                <w:rFonts w:cs="Arial"/>
                <w:sz w:val="20"/>
                <w:szCs w:val="20"/>
              </w:rPr>
              <w:t>6.19</w:t>
            </w:r>
          </w:p>
        </w:tc>
        <w:tc>
          <w:tcPr>
            <w:tcW w:w="510" w:type="pct"/>
            <w:tcBorders>
              <w:top w:val="nil"/>
              <w:bottom w:val="nil"/>
            </w:tcBorders>
            <w:vAlign w:val="center"/>
          </w:tcPr>
          <w:p w:rsidR="00497E1B" w:rsidRDefault="00497E1B">
            <w:pPr>
              <w:jc w:val="center"/>
              <w:rPr>
                <w:rFonts w:cs="Arial"/>
                <w:sz w:val="20"/>
                <w:szCs w:val="20"/>
              </w:rPr>
            </w:pPr>
            <w:r>
              <w:rPr>
                <w:rFonts w:cs="Arial"/>
                <w:sz w:val="20"/>
                <w:szCs w:val="20"/>
              </w:rPr>
              <w:t>5.60</w:t>
            </w:r>
          </w:p>
        </w:tc>
        <w:tc>
          <w:tcPr>
            <w:tcW w:w="507" w:type="pct"/>
            <w:tcBorders>
              <w:top w:val="nil"/>
              <w:bottom w:val="nil"/>
            </w:tcBorders>
            <w:vAlign w:val="center"/>
          </w:tcPr>
          <w:p w:rsidR="00497E1B" w:rsidRDefault="00497E1B">
            <w:pPr>
              <w:jc w:val="center"/>
              <w:rPr>
                <w:rFonts w:cs="Arial"/>
                <w:sz w:val="20"/>
                <w:szCs w:val="20"/>
              </w:rPr>
            </w:pPr>
            <w:r>
              <w:rPr>
                <w:rFonts w:cs="Arial"/>
                <w:sz w:val="20"/>
                <w:szCs w:val="20"/>
              </w:rPr>
              <w:t>5.60</w:t>
            </w:r>
          </w:p>
        </w:tc>
        <w:tc>
          <w:tcPr>
            <w:tcW w:w="578" w:type="pct"/>
            <w:tcBorders>
              <w:top w:val="nil"/>
              <w:bottom w:val="nil"/>
            </w:tcBorders>
            <w:vAlign w:val="center"/>
          </w:tcPr>
          <w:p w:rsidR="00497E1B" w:rsidRDefault="00497E1B">
            <w:pPr>
              <w:jc w:val="center"/>
              <w:rPr>
                <w:rFonts w:cs="Arial"/>
                <w:sz w:val="20"/>
                <w:szCs w:val="20"/>
              </w:rPr>
            </w:pPr>
            <w:r>
              <w:rPr>
                <w:rFonts w:cs="Arial"/>
                <w:sz w:val="20"/>
                <w:szCs w:val="20"/>
              </w:rPr>
              <w:t>7.10</w:t>
            </w:r>
          </w:p>
        </w:tc>
      </w:tr>
      <w:tr w:rsidR="00497E1B" w:rsidRPr="00405CDE" w:rsidTr="00A226E9">
        <w:trPr>
          <w:cnfStyle w:val="000000010000" w:firstRow="0" w:lastRow="0" w:firstColumn="0" w:lastColumn="0" w:oddVBand="0" w:evenVBand="0" w:oddHBand="0" w:evenHBand="1" w:firstRowFirstColumn="0" w:firstRowLastColumn="0" w:lastRowFirstColumn="0" w:lastRowLastColumn="0"/>
          <w:trHeight w:val="510"/>
        </w:trPr>
        <w:tc>
          <w:tcPr>
            <w:tcW w:w="1211" w:type="pct"/>
            <w:tcBorders>
              <w:top w:val="nil"/>
              <w:bottom w:val="single" w:sz="4" w:space="0" w:color="auto"/>
            </w:tcBorders>
            <w:vAlign w:val="center"/>
          </w:tcPr>
          <w:p w:rsidR="00497E1B" w:rsidRDefault="00497E1B">
            <w:pPr>
              <w:rPr>
                <w:rFonts w:cs="Arial"/>
                <w:szCs w:val="20"/>
              </w:rPr>
            </w:pPr>
            <w:r>
              <w:rPr>
                <w:rFonts w:cs="Arial"/>
                <w:szCs w:val="20"/>
              </w:rPr>
              <w:t>Ex post quantity (TJ)</w:t>
            </w:r>
          </w:p>
        </w:tc>
        <w:tc>
          <w:tcPr>
            <w:tcW w:w="580" w:type="pct"/>
            <w:tcBorders>
              <w:top w:val="nil"/>
              <w:bottom w:val="single" w:sz="4" w:space="0" w:color="auto"/>
            </w:tcBorders>
            <w:vAlign w:val="center"/>
          </w:tcPr>
          <w:p w:rsidR="00497E1B" w:rsidRDefault="00497E1B">
            <w:pPr>
              <w:jc w:val="center"/>
              <w:rPr>
                <w:rFonts w:cs="Arial"/>
                <w:szCs w:val="20"/>
              </w:rPr>
            </w:pPr>
            <w:r>
              <w:rPr>
                <w:rFonts w:cs="Arial"/>
                <w:szCs w:val="20"/>
              </w:rPr>
              <w:t>138</w:t>
            </w:r>
          </w:p>
        </w:tc>
        <w:tc>
          <w:tcPr>
            <w:tcW w:w="508" w:type="pct"/>
            <w:tcBorders>
              <w:top w:val="nil"/>
              <w:bottom w:val="single" w:sz="4" w:space="0" w:color="auto"/>
            </w:tcBorders>
            <w:vAlign w:val="center"/>
          </w:tcPr>
          <w:p w:rsidR="00497E1B" w:rsidRDefault="00497E1B">
            <w:pPr>
              <w:jc w:val="center"/>
              <w:rPr>
                <w:rFonts w:cs="Arial"/>
                <w:szCs w:val="20"/>
              </w:rPr>
            </w:pPr>
            <w:r>
              <w:rPr>
                <w:rFonts w:cs="Arial"/>
                <w:szCs w:val="20"/>
              </w:rPr>
              <w:t>150</w:t>
            </w:r>
          </w:p>
        </w:tc>
        <w:tc>
          <w:tcPr>
            <w:tcW w:w="589" w:type="pct"/>
            <w:tcBorders>
              <w:top w:val="nil"/>
              <w:bottom w:val="single" w:sz="4" w:space="0" w:color="auto"/>
            </w:tcBorders>
            <w:vAlign w:val="center"/>
          </w:tcPr>
          <w:p w:rsidR="00497E1B" w:rsidRDefault="00497E1B">
            <w:pPr>
              <w:jc w:val="center"/>
              <w:rPr>
                <w:rFonts w:cs="Arial"/>
                <w:szCs w:val="20"/>
              </w:rPr>
            </w:pPr>
            <w:r>
              <w:rPr>
                <w:rFonts w:cs="Arial"/>
                <w:szCs w:val="20"/>
              </w:rPr>
              <w:t>188</w:t>
            </w:r>
          </w:p>
        </w:tc>
        <w:tc>
          <w:tcPr>
            <w:tcW w:w="517" w:type="pct"/>
            <w:tcBorders>
              <w:top w:val="nil"/>
              <w:bottom w:val="single" w:sz="4" w:space="0" w:color="auto"/>
            </w:tcBorders>
            <w:vAlign w:val="center"/>
          </w:tcPr>
          <w:p w:rsidR="00497E1B" w:rsidRDefault="00497E1B">
            <w:pPr>
              <w:jc w:val="center"/>
              <w:rPr>
                <w:rFonts w:cs="Arial"/>
                <w:szCs w:val="20"/>
              </w:rPr>
            </w:pPr>
            <w:r>
              <w:rPr>
                <w:rFonts w:cs="Arial"/>
                <w:szCs w:val="20"/>
              </w:rPr>
              <w:t>198</w:t>
            </w:r>
          </w:p>
        </w:tc>
        <w:tc>
          <w:tcPr>
            <w:tcW w:w="510" w:type="pct"/>
            <w:tcBorders>
              <w:top w:val="nil"/>
              <w:bottom w:val="single" w:sz="4" w:space="0" w:color="auto"/>
            </w:tcBorders>
            <w:vAlign w:val="center"/>
          </w:tcPr>
          <w:p w:rsidR="00497E1B" w:rsidRDefault="00497E1B">
            <w:pPr>
              <w:jc w:val="center"/>
              <w:rPr>
                <w:rFonts w:cs="Arial"/>
                <w:szCs w:val="20"/>
              </w:rPr>
            </w:pPr>
            <w:r>
              <w:rPr>
                <w:rFonts w:cs="Arial"/>
                <w:szCs w:val="20"/>
              </w:rPr>
              <w:t>182</w:t>
            </w:r>
          </w:p>
        </w:tc>
        <w:tc>
          <w:tcPr>
            <w:tcW w:w="507" w:type="pct"/>
            <w:tcBorders>
              <w:top w:val="nil"/>
              <w:bottom w:val="single" w:sz="4" w:space="0" w:color="auto"/>
            </w:tcBorders>
            <w:vAlign w:val="center"/>
          </w:tcPr>
          <w:p w:rsidR="00497E1B" w:rsidRDefault="00497E1B">
            <w:pPr>
              <w:jc w:val="center"/>
              <w:rPr>
                <w:rFonts w:cs="Arial"/>
                <w:szCs w:val="20"/>
              </w:rPr>
            </w:pPr>
            <w:r>
              <w:rPr>
                <w:rFonts w:cs="Arial"/>
                <w:szCs w:val="20"/>
              </w:rPr>
              <w:t>178</w:t>
            </w:r>
          </w:p>
        </w:tc>
        <w:tc>
          <w:tcPr>
            <w:tcW w:w="578" w:type="pct"/>
            <w:tcBorders>
              <w:top w:val="nil"/>
              <w:bottom w:val="single" w:sz="4" w:space="0" w:color="auto"/>
            </w:tcBorders>
            <w:vAlign w:val="center"/>
          </w:tcPr>
          <w:p w:rsidR="00497E1B" w:rsidRDefault="00497E1B">
            <w:pPr>
              <w:jc w:val="center"/>
              <w:rPr>
                <w:rFonts w:cs="Arial"/>
                <w:szCs w:val="20"/>
              </w:rPr>
            </w:pPr>
            <w:r>
              <w:rPr>
                <w:rFonts w:cs="Arial"/>
                <w:szCs w:val="20"/>
              </w:rPr>
              <w:t>190</w:t>
            </w:r>
          </w:p>
        </w:tc>
      </w:tr>
    </w:tbl>
    <w:p w:rsidR="00EC2CB1" w:rsidRPr="001521CB" w:rsidRDefault="00EC2CB1" w:rsidP="00EC2CB1">
      <w:pPr>
        <w:pStyle w:val="Caption"/>
        <w:numPr>
          <w:ilvl w:val="0"/>
          <w:numId w:val="30"/>
        </w:numPr>
        <w:ind w:left="709" w:hanging="709"/>
      </w:pPr>
      <w:r w:rsidRPr="00DD0358">
        <w:rPr>
          <w:color w:val="2272A3"/>
          <w:szCs w:val="24"/>
        </w:rPr>
        <w:t>SYD daily hub offers and daily hub bids in price bands ($/GJ)</w:t>
      </w:r>
    </w:p>
    <w:p w:rsidR="00EC2CB1" w:rsidRDefault="00497E1B" w:rsidP="00EC2CB1">
      <w:r w:rsidRPr="00497E1B">
        <w:rPr>
          <w:noProof/>
          <w:lang w:eastAsia="en-AU"/>
        </w:rPr>
        <w:drawing>
          <wp:inline distT="0" distB="0" distL="0" distR="0" wp14:anchorId="5C7592B7" wp14:editId="258A5797">
            <wp:extent cx="5731510" cy="2046203"/>
            <wp:effectExtent l="0" t="0" r="0" b="0"/>
            <wp:docPr id="27" name="Picture 27" descr="Figure 2.2 shows the daily hub offers and bid in within certain price bands in Sydney this week. The line indicates the scheduled quantity for each day. For a more detailed description of this figure, please refer to the user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31510" cy="2046203"/>
                    </a:xfrm>
                    <a:prstGeom prst="rect">
                      <a:avLst/>
                    </a:prstGeom>
                    <a:noFill/>
                    <a:ln>
                      <a:noFill/>
                    </a:ln>
                  </pic:spPr>
                </pic:pic>
              </a:graphicData>
            </a:graphic>
          </wp:inline>
        </w:drawing>
      </w:r>
    </w:p>
    <w:p w:rsidR="00EC2CB1" w:rsidRDefault="00EC2CB1" w:rsidP="00EC2CB1"/>
    <w:p w:rsidR="00EC2CB1" w:rsidRPr="001521CB" w:rsidRDefault="00EC2CB1" w:rsidP="00EC2CB1">
      <w:pPr>
        <w:pStyle w:val="Caption"/>
        <w:numPr>
          <w:ilvl w:val="0"/>
          <w:numId w:val="30"/>
        </w:numPr>
        <w:ind w:left="709" w:hanging="709"/>
      </w:pPr>
      <w:r w:rsidRPr="00DD0358">
        <w:rPr>
          <w:color w:val="2272A3"/>
          <w:szCs w:val="24"/>
        </w:rPr>
        <w:lastRenderedPageBreak/>
        <w:t>SYD net scheduled and allocated gas hub supply (excluding MOS)</w:t>
      </w:r>
    </w:p>
    <w:p w:rsidR="00EC2CB1" w:rsidRDefault="00497E1B" w:rsidP="00EC2CB1">
      <w:r w:rsidRPr="00497E1B">
        <w:rPr>
          <w:noProof/>
          <w:lang w:eastAsia="en-AU"/>
        </w:rPr>
        <w:drawing>
          <wp:inline distT="0" distB="0" distL="0" distR="0" wp14:anchorId="48E6DFF2" wp14:editId="5C2A228D">
            <wp:extent cx="5731510" cy="2555336"/>
            <wp:effectExtent l="0" t="0" r="2540" b="0"/>
            <wp:docPr id="28" name="Picture 28" descr="Figure 2.3 shows the daily scheduled and allocated quantities sorted by facility for Sydney this week. For a more detailed description of this figure, please refer to the user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31510" cy="2555336"/>
                    </a:xfrm>
                    <a:prstGeom prst="rect">
                      <a:avLst/>
                    </a:prstGeom>
                    <a:noFill/>
                    <a:ln>
                      <a:noFill/>
                    </a:ln>
                  </pic:spPr>
                </pic:pic>
              </a:graphicData>
            </a:graphic>
          </wp:inline>
        </w:drawing>
      </w:r>
    </w:p>
    <w:p w:rsidR="00EC2CB1" w:rsidRPr="00552F68" w:rsidRDefault="00EC2CB1" w:rsidP="00EC2CB1">
      <w:pPr>
        <w:pStyle w:val="Caption"/>
        <w:numPr>
          <w:ilvl w:val="0"/>
          <w:numId w:val="30"/>
        </w:numPr>
        <w:ind w:left="1418" w:hanging="1418"/>
      </w:pPr>
      <w:r w:rsidRPr="00DD0358">
        <w:rPr>
          <w:color w:val="2272A3"/>
          <w:szCs w:val="24"/>
        </w:rPr>
        <w:t>SYD MOS allocations (TJ), service payments and commodity payments/charges ($</w:t>
      </w:r>
      <w:r w:rsidRPr="00552F68">
        <w:rPr>
          <w:color w:val="2272A3"/>
          <w:szCs w:val="24"/>
        </w:rPr>
        <w:t>000)</w:t>
      </w:r>
      <w:r w:rsidR="00914872" w:rsidRPr="00552F68">
        <w:rPr>
          <w:rStyle w:val="FootnoteReference"/>
          <w:color w:val="2272A3"/>
          <w:szCs w:val="24"/>
        </w:rPr>
        <w:footnoteReference w:id="8"/>
      </w:r>
    </w:p>
    <w:p w:rsidR="00EC2CB1" w:rsidRDefault="00497E1B" w:rsidP="00EC2CB1">
      <w:r w:rsidRPr="00497E1B">
        <w:rPr>
          <w:noProof/>
          <w:lang w:eastAsia="en-AU"/>
        </w:rPr>
        <w:drawing>
          <wp:inline distT="0" distB="0" distL="0" distR="0" wp14:anchorId="43A98518" wp14:editId="5963BEB0">
            <wp:extent cx="5731510" cy="2175613"/>
            <wp:effectExtent l="0" t="0" r="2540" b="0"/>
            <wp:docPr id="29" name="Picture 29" descr="Figure 2.4 shows the daily MOS allocations sorted by facility for each facility in Sydney this week. The figure also shows the daily breakdown of costs associated with the MOS provided. For a more detailed description of this figure, please refer to the user gui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1510" cy="2175613"/>
                    </a:xfrm>
                    <a:prstGeom prst="rect">
                      <a:avLst/>
                    </a:prstGeom>
                    <a:noFill/>
                    <a:ln>
                      <a:noFill/>
                    </a:ln>
                  </pic:spPr>
                </pic:pic>
              </a:graphicData>
            </a:graphic>
          </wp:inline>
        </w:drawing>
      </w:r>
    </w:p>
    <w:p w:rsidR="00EC2CB1" w:rsidRDefault="00EC2CB1">
      <w:pPr>
        <w:spacing w:line="240" w:lineRule="auto"/>
        <w:rPr>
          <w:rFonts w:eastAsia="Times New Roman" w:cs="Times New Roman"/>
          <w:b/>
          <w:bCs/>
          <w:color w:val="2272A3" w:themeColor="accent4" w:themeShade="80"/>
          <w:sz w:val="32"/>
          <w:szCs w:val="20"/>
        </w:rPr>
      </w:pPr>
      <w:r>
        <w:rPr>
          <w:rFonts w:eastAsia="Times New Roman" w:cs="Times New Roman"/>
          <w:color w:val="2272A3" w:themeColor="accent4" w:themeShade="80"/>
          <w:sz w:val="32"/>
          <w:szCs w:val="20"/>
        </w:rPr>
        <w:br w:type="page"/>
      </w:r>
    </w:p>
    <w:p w:rsidR="003171C6" w:rsidRDefault="003171C6" w:rsidP="003171C6">
      <w:pPr>
        <w:pStyle w:val="Heading3"/>
        <w:rPr>
          <w:rFonts w:eastAsia="Times New Roman" w:cs="Times New Roman"/>
          <w:color w:val="2272A3" w:themeColor="accent4" w:themeShade="80"/>
          <w:sz w:val="32"/>
          <w:szCs w:val="20"/>
        </w:rPr>
      </w:pPr>
      <w:r>
        <w:rPr>
          <w:rFonts w:eastAsia="Times New Roman" w:cs="Times New Roman"/>
          <w:color w:val="2272A3" w:themeColor="accent4" w:themeShade="80"/>
          <w:sz w:val="32"/>
          <w:szCs w:val="20"/>
        </w:rPr>
        <w:lastRenderedPageBreak/>
        <w:t>3</w:t>
      </w:r>
      <w:r w:rsidRPr="003171C6">
        <w:rPr>
          <w:rFonts w:eastAsia="Times New Roman" w:cs="Times New Roman"/>
          <w:color w:val="2272A3" w:themeColor="accent4" w:themeShade="80"/>
          <w:sz w:val="32"/>
          <w:szCs w:val="20"/>
        </w:rPr>
        <w:t xml:space="preserve">. </w:t>
      </w:r>
      <w:r>
        <w:rPr>
          <w:rFonts w:eastAsia="Times New Roman" w:cs="Times New Roman"/>
          <w:color w:val="2272A3" w:themeColor="accent4" w:themeShade="80"/>
          <w:sz w:val="32"/>
          <w:szCs w:val="20"/>
        </w:rPr>
        <w:t>Adelaide STTM</w:t>
      </w:r>
    </w:p>
    <w:p w:rsidR="00EC2CB1" w:rsidRPr="003625A6" w:rsidRDefault="00EC2CB1" w:rsidP="00EC2CB1">
      <w:pPr>
        <w:jc w:val="both"/>
      </w:pPr>
      <w:r>
        <w:t>The Adelaide STTM hub functions in the same way as the Sydney STTM hub.  The same data that was presented for the Sydney hub is presented for the Adelaide hub in the figures below.</w:t>
      </w:r>
    </w:p>
    <w:p w:rsidR="004C571B" w:rsidRDefault="00EC2CB1" w:rsidP="004C571B">
      <w:pPr>
        <w:pStyle w:val="Caption"/>
        <w:numPr>
          <w:ilvl w:val="0"/>
          <w:numId w:val="31"/>
        </w:numPr>
        <w:ind w:left="709" w:hanging="709"/>
        <w:rPr>
          <w:color w:val="2272A3"/>
          <w:szCs w:val="24"/>
        </w:rPr>
      </w:pPr>
      <w:r>
        <w:rPr>
          <w:color w:val="2272A3"/>
          <w:szCs w:val="24"/>
        </w:rPr>
        <w:t>ADL</w:t>
      </w:r>
      <w:r w:rsidRPr="00362B9A">
        <w:rPr>
          <w:color w:val="2272A3"/>
          <w:szCs w:val="24"/>
        </w:rPr>
        <w:t xml:space="preserve"> STTM daily ex ante and ex post prices and quantities</w:t>
      </w:r>
    </w:p>
    <w:tbl>
      <w:tblPr>
        <w:tblStyle w:val="AERTable-Text"/>
        <w:tblW w:w="4917" w:type="pct"/>
        <w:tblLook w:val="04A0" w:firstRow="1" w:lastRow="0" w:firstColumn="1" w:lastColumn="0" w:noHBand="0" w:noVBand="1"/>
      </w:tblPr>
      <w:tblGrid>
        <w:gridCol w:w="2094"/>
        <w:gridCol w:w="1071"/>
        <w:gridCol w:w="938"/>
        <w:gridCol w:w="1087"/>
        <w:gridCol w:w="954"/>
        <w:gridCol w:w="942"/>
        <w:gridCol w:w="936"/>
        <w:gridCol w:w="1067"/>
      </w:tblGrid>
      <w:tr w:rsidR="00EC2CB1" w:rsidRPr="00405CDE" w:rsidTr="00A226E9">
        <w:trPr>
          <w:cnfStyle w:val="100000000000" w:firstRow="1" w:lastRow="0" w:firstColumn="0" w:lastColumn="0" w:oddVBand="0" w:evenVBand="0" w:oddHBand="0" w:evenHBand="0" w:firstRowFirstColumn="0" w:firstRowLastColumn="0" w:lastRowFirstColumn="0" w:lastRowLastColumn="0"/>
          <w:tblHeader/>
        </w:trPr>
        <w:tc>
          <w:tcPr>
            <w:tcW w:w="1152" w:type="pct"/>
            <w:tcBorders>
              <w:bottom w:val="nil"/>
            </w:tcBorders>
            <w:hideMark/>
          </w:tcPr>
          <w:p w:rsidR="00EC2CB1" w:rsidRPr="00DC24BF" w:rsidRDefault="00EC2CB1" w:rsidP="00EC2CB1">
            <w:pPr>
              <w:pStyle w:val="TableHeading"/>
              <w:spacing w:before="0" w:after="0"/>
              <w:jc w:val="center"/>
              <w:rPr>
                <w:rFonts w:cs="Arial"/>
                <w:sz w:val="20"/>
                <w:szCs w:val="20"/>
              </w:rPr>
            </w:pPr>
          </w:p>
        </w:tc>
        <w:tc>
          <w:tcPr>
            <w:tcW w:w="589" w:type="pct"/>
            <w:tcBorders>
              <w:bottom w:val="nil"/>
            </w:tcBorders>
            <w:hideMark/>
          </w:tcPr>
          <w:p w:rsidR="00EC2CB1" w:rsidRPr="00442756" w:rsidRDefault="00EC2CB1" w:rsidP="00EC2CB1">
            <w:pPr>
              <w:spacing w:before="0" w:after="0"/>
              <w:jc w:val="center"/>
              <w:rPr>
                <w:rFonts w:cs="Arial"/>
                <w:b w:val="0"/>
                <w:bCs/>
                <w:sz w:val="20"/>
                <w:szCs w:val="20"/>
              </w:rPr>
            </w:pPr>
            <w:r w:rsidRPr="00442756">
              <w:rPr>
                <w:rFonts w:cs="Arial"/>
                <w:bCs/>
                <w:sz w:val="20"/>
                <w:szCs w:val="20"/>
              </w:rPr>
              <w:t>Sun</w:t>
            </w:r>
          </w:p>
        </w:tc>
        <w:tc>
          <w:tcPr>
            <w:tcW w:w="516"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Mon</w:t>
            </w:r>
          </w:p>
        </w:tc>
        <w:tc>
          <w:tcPr>
            <w:tcW w:w="598"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Tue</w:t>
            </w:r>
          </w:p>
        </w:tc>
        <w:tc>
          <w:tcPr>
            <w:tcW w:w="525"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Wed</w:t>
            </w:r>
          </w:p>
        </w:tc>
        <w:tc>
          <w:tcPr>
            <w:tcW w:w="518"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Thu</w:t>
            </w:r>
          </w:p>
        </w:tc>
        <w:tc>
          <w:tcPr>
            <w:tcW w:w="515" w:type="pct"/>
            <w:tcBorders>
              <w:bottom w:val="nil"/>
            </w:tcBorders>
            <w:hideMark/>
          </w:tcPr>
          <w:p w:rsidR="00EC2CB1" w:rsidRPr="00442756" w:rsidRDefault="00EC2CB1" w:rsidP="00EC2CB1">
            <w:pPr>
              <w:spacing w:before="0" w:after="0"/>
              <w:jc w:val="center"/>
              <w:rPr>
                <w:rFonts w:cs="Arial"/>
                <w:b w:val="0"/>
                <w:bCs/>
                <w:sz w:val="20"/>
                <w:szCs w:val="20"/>
              </w:rPr>
            </w:pPr>
            <w:r w:rsidRPr="00442756">
              <w:rPr>
                <w:rFonts w:cs="Arial"/>
                <w:bCs/>
                <w:sz w:val="20"/>
                <w:szCs w:val="20"/>
              </w:rPr>
              <w:t>Fri</w:t>
            </w:r>
          </w:p>
        </w:tc>
        <w:tc>
          <w:tcPr>
            <w:tcW w:w="587" w:type="pct"/>
            <w:tcBorders>
              <w:bottom w:val="nil"/>
            </w:tcBorders>
            <w:hideMark/>
          </w:tcPr>
          <w:p w:rsidR="00EC2CB1" w:rsidRPr="00442756" w:rsidRDefault="00EC2CB1" w:rsidP="00EC2CB1">
            <w:pPr>
              <w:spacing w:before="0" w:after="0"/>
              <w:jc w:val="center"/>
              <w:rPr>
                <w:rFonts w:cs="Arial"/>
                <w:b w:val="0"/>
                <w:bCs/>
                <w:sz w:val="20"/>
                <w:szCs w:val="20"/>
              </w:rPr>
            </w:pPr>
            <w:r w:rsidRPr="00442756">
              <w:rPr>
                <w:rFonts w:cs="Arial"/>
                <w:bCs/>
                <w:sz w:val="20"/>
                <w:szCs w:val="20"/>
              </w:rPr>
              <w:t>Sat</w:t>
            </w:r>
          </w:p>
        </w:tc>
      </w:tr>
      <w:tr w:rsidR="00497E1B" w:rsidRPr="00405CDE" w:rsidTr="00A226E9">
        <w:trPr>
          <w:trHeight w:val="389"/>
        </w:trPr>
        <w:tc>
          <w:tcPr>
            <w:tcW w:w="1152" w:type="pct"/>
            <w:tcBorders>
              <w:top w:val="nil"/>
              <w:bottom w:val="nil"/>
            </w:tcBorders>
            <w:vAlign w:val="center"/>
          </w:tcPr>
          <w:p w:rsidR="00497E1B" w:rsidRDefault="00497E1B">
            <w:pPr>
              <w:rPr>
                <w:rFonts w:cs="Arial"/>
                <w:sz w:val="20"/>
                <w:szCs w:val="20"/>
              </w:rPr>
            </w:pPr>
            <w:r>
              <w:rPr>
                <w:rFonts w:cs="Arial"/>
                <w:sz w:val="20"/>
                <w:szCs w:val="20"/>
              </w:rPr>
              <w:t>Ex ante price ($/GJ)</w:t>
            </w:r>
          </w:p>
        </w:tc>
        <w:tc>
          <w:tcPr>
            <w:tcW w:w="589" w:type="pct"/>
            <w:tcBorders>
              <w:top w:val="nil"/>
              <w:bottom w:val="nil"/>
            </w:tcBorders>
            <w:vAlign w:val="center"/>
          </w:tcPr>
          <w:p w:rsidR="00497E1B" w:rsidRDefault="00497E1B">
            <w:pPr>
              <w:jc w:val="center"/>
              <w:rPr>
                <w:rFonts w:cs="Arial"/>
                <w:sz w:val="20"/>
                <w:szCs w:val="20"/>
              </w:rPr>
            </w:pPr>
            <w:r>
              <w:rPr>
                <w:rFonts w:cs="Arial"/>
                <w:sz w:val="20"/>
                <w:szCs w:val="20"/>
              </w:rPr>
              <w:t>5.35</w:t>
            </w:r>
          </w:p>
        </w:tc>
        <w:tc>
          <w:tcPr>
            <w:tcW w:w="516" w:type="pct"/>
            <w:tcBorders>
              <w:top w:val="nil"/>
              <w:bottom w:val="nil"/>
            </w:tcBorders>
            <w:vAlign w:val="center"/>
          </w:tcPr>
          <w:p w:rsidR="00497E1B" w:rsidRDefault="00497E1B">
            <w:pPr>
              <w:jc w:val="center"/>
              <w:rPr>
                <w:rFonts w:cs="Arial"/>
                <w:sz w:val="20"/>
                <w:szCs w:val="20"/>
              </w:rPr>
            </w:pPr>
            <w:r>
              <w:rPr>
                <w:rFonts w:cs="Arial"/>
                <w:sz w:val="20"/>
                <w:szCs w:val="20"/>
              </w:rPr>
              <w:t>5.00</w:t>
            </w:r>
          </w:p>
        </w:tc>
        <w:tc>
          <w:tcPr>
            <w:tcW w:w="598" w:type="pct"/>
            <w:tcBorders>
              <w:top w:val="nil"/>
              <w:bottom w:val="nil"/>
            </w:tcBorders>
            <w:vAlign w:val="center"/>
          </w:tcPr>
          <w:p w:rsidR="00497E1B" w:rsidRDefault="00497E1B">
            <w:pPr>
              <w:jc w:val="center"/>
              <w:rPr>
                <w:rFonts w:cs="Arial"/>
                <w:sz w:val="20"/>
                <w:szCs w:val="20"/>
              </w:rPr>
            </w:pPr>
            <w:r>
              <w:rPr>
                <w:rFonts w:cs="Arial"/>
                <w:sz w:val="20"/>
                <w:szCs w:val="20"/>
              </w:rPr>
              <w:t>4.98</w:t>
            </w:r>
          </w:p>
        </w:tc>
        <w:tc>
          <w:tcPr>
            <w:tcW w:w="525" w:type="pct"/>
            <w:tcBorders>
              <w:top w:val="nil"/>
              <w:bottom w:val="nil"/>
            </w:tcBorders>
            <w:vAlign w:val="center"/>
          </w:tcPr>
          <w:p w:rsidR="00497E1B" w:rsidRDefault="00497E1B">
            <w:pPr>
              <w:jc w:val="center"/>
              <w:rPr>
                <w:rFonts w:cs="Arial"/>
                <w:sz w:val="20"/>
                <w:szCs w:val="20"/>
              </w:rPr>
            </w:pPr>
            <w:r>
              <w:rPr>
                <w:rFonts w:cs="Arial"/>
                <w:sz w:val="20"/>
                <w:szCs w:val="20"/>
              </w:rPr>
              <w:t>4.99</w:t>
            </w:r>
          </w:p>
        </w:tc>
        <w:tc>
          <w:tcPr>
            <w:tcW w:w="518" w:type="pct"/>
            <w:tcBorders>
              <w:top w:val="nil"/>
              <w:bottom w:val="nil"/>
            </w:tcBorders>
            <w:vAlign w:val="center"/>
          </w:tcPr>
          <w:p w:rsidR="00497E1B" w:rsidRDefault="00497E1B">
            <w:pPr>
              <w:jc w:val="center"/>
              <w:rPr>
                <w:rFonts w:cs="Arial"/>
                <w:sz w:val="20"/>
                <w:szCs w:val="20"/>
              </w:rPr>
            </w:pPr>
            <w:r>
              <w:rPr>
                <w:rFonts w:cs="Arial"/>
                <w:sz w:val="20"/>
                <w:szCs w:val="20"/>
              </w:rPr>
              <w:t>5.37</w:t>
            </w:r>
          </w:p>
        </w:tc>
        <w:tc>
          <w:tcPr>
            <w:tcW w:w="515" w:type="pct"/>
            <w:tcBorders>
              <w:top w:val="nil"/>
              <w:bottom w:val="nil"/>
            </w:tcBorders>
            <w:vAlign w:val="center"/>
          </w:tcPr>
          <w:p w:rsidR="00497E1B" w:rsidRDefault="00497E1B">
            <w:pPr>
              <w:jc w:val="center"/>
              <w:rPr>
                <w:rFonts w:cs="Arial"/>
                <w:sz w:val="20"/>
                <w:szCs w:val="20"/>
              </w:rPr>
            </w:pPr>
            <w:r>
              <w:rPr>
                <w:rFonts w:cs="Arial"/>
                <w:sz w:val="20"/>
                <w:szCs w:val="20"/>
              </w:rPr>
              <w:t>7.12</w:t>
            </w:r>
          </w:p>
        </w:tc>
        <w:tc>
          <w:tcPr>
            <w:tcW w:w="587" w:type="pct"/>
            <w:tcBorders>
              <w:top w:val="nil"/>
              <w:bottom w:val="nil"/>
            </w:tcBorders>
            <w:vAlign w:val="center"/>
          </w:tcPr>
          <w:p w:rsidR="00497E1B" w:rsidRDefault="00497E1B">
            <w:pPr>
              <w:jc w:val="center"/>
              <w:rPr>
                <w:rFonts w:cs="Arial"/>
                <w:sz w:val="20"/>
                <w:szCs w:val="20"/>
              </w:rPr>
            </w:pPr>
            <w:r>
              <w:rPr>
                <w:rFonts w:cs="Arial"/>
                <w:sz w:val="20"/>
                <w:szCs w:val="20"/>
              </w:rPr>
              <w:t>9.90</w:t>
            </w:r>
          </w:p>
        </w:tc>
      </w:tr>
      <w:tr w:rsidR="00497E1B" w:rsidRPr="00405CDE" w:rsidTr="00A226E9">
        <w:trPr>
          <w:cnfStyle w:val="000000010000" w:firstRow="0" w:lastRow="0" w:firstColumn="0" w:lastColumn="0" w:oddVBand="0" w:evenVBand="0" w:oddHBand="0" w:evenHBand="1" w:firstRowFirstColumn="0" w:firstRowLastColumn="0" w:lastRowFirstColumn="0" w:lastRowLastColumn="0"/>
          <w:trHeight w:val="325"/>
        </w:trPr>
        <w:tc>
          <w:tcPr>
            <w:tcW w:w="1152" w:type="pct"/>
            <w:tcBorders>
              <w:top w:val="nil"/>
              <w:bottom w:val="nil"/>
            </w:tcBorders>
            <w:vAlign w:val="center"/>
          </w:tcPr>
          <w:p w:rsidR="00497E1B" w:rsidRDefault="00497E1B">
            <w:pPr>
              <w:rPr>
                <w:rFonts w:cs="Arial"/>
                <w:szCs w:val="20"/>
              </w:rPr>
            </w:pPr>
            <w:r>
              <w:rPr>
                <w:rFonts w:cs="Arial"/>
                <w:szCs w:val="20"/>
              </w:rPr>
              <w:t>Ex ante quantity (TJ)</w:t>
            </w:r>
          </w:p>
        </w:tc>
        <w:tc>
          <w:tcPr>
            <w:tcW w:w="589" w:type="pct"/>
            <w:tcBorders>
              <w:top w:val="nil"/>
              <w:bottom w:val="nil"/>
            </w:tcBorders>
            <w:vAlign w:val="center"/>
          </w:tcPr>
          <w:p w:rsidR="00497E1B" w:rsidRDefault="00497E1B">
            <w:pPr>
              <w:jc w:val="center"/>
              <w:rPr>
                <w:rFonts w:cs="Arial"/>
                <w:szCs w:val="20"/>
              </w:rPr>
            </w:pPr>
            <w:r>
              <w:rPr>
                <w:rFonts w:cs="Arial"/>
                <w:szCs w:val="20"/>
              </w:rPr>
              <w:t>34</w:t>
            </w:r>
          </w:p>
        </w:tc>
        <w:tc>
          <w:tcPr>
            <w:tcW w:w="516" w:type="pct"/>
            <w:tcBorders>
              <w:top w:val="nil"/>
              <w:bottom w:val="nil"/>
            </w:tcBorders>
            <w:vAlign w:val="center"/>
          </w:tcPr>
          <w:p w:rsidR="00497E1B" w:rsidRDefault="00497E1B">
            <w:pPr>
              <w:jc w:val="center"/>
              <w:rPr>
                <w:rFonts w:cs="Arial"/>
                <w:szCs w:val="20"/>
              </w:rPr>
            </w:pPr>
            <w:r>
              <w:rPr>
                <w:rFonts w:cs="Arial"/>
                <w:szCs w:val="20"/>
              </w:rPr>
              <w:t>35</w:t>
            </w:r>
          </w:p>
        </w:tc>
        <w:tc>
          <w:tcPr>
            <w:tcW w:w="598" w:type="pct"/>
            <w:tcBorders>
              <w:top w:val="nil"/>
              <w:bottom w:val="nil"/>
            </w:tcBorders>
            <w:vAlign w:val="center"/>
          </w:tcPr>
          <w:p w:rsidR="00497E1B" w:rsidRDefault="00497E1B">
            <w:pPr>
              <w:jc w:val="center"/>
              <w:rPr>
                <w:rFonts w:cs="Arial"/>
                <w:szCs w:val="20"/>
              </w:rPr>
            </w:pPr>
            <w:r>
              <w:rPr>
                <w:rFonts w:cs="Arial"/>
                <w:szCs w:val="20"/>
              </w:rPr>
              <w:t>45</w:t>
            </w:r>
          </w:p>
        </w:tc>
        <w:tc>
          <w:tcPr>
            <w:tcW w:w="525" w:type="pct"/>
            <w:tcBorders>
              <w:top w:val="nil"/>
              <w:bottom w:val="nil"/>
            </w:tcBorders>
            <w:vAlign w:val="center"/>
          </w:tcPr>
          <w:p w:rsidR="00497E1B" w:rsidRDefault="00497E1B">
            <w:pPr>
              <w:jc w:val="center"/>
              <w:rPr>
                <w:rFonts w:cs="Arial"/>
                <w:szCs w:val="20"/>
              </w:rPr>
            </w:pPr>
            <w:r>
              <w:rPr>
                <w:rFonts w:cs="Arial"/>
                <w:szCs w:val="20"/>
              </w:rPr>
              <w:t>42</w:t>
            </w:r>
          </w:p>
        </w:tc>
        <w:tc>
          <w:tcPr>
            <w:tcW w:w="518" w:type="pct"/>
            <w:tcBorders>
              <w:top w:val="nil"/>
              <w:bottom w:val="nil"/>
            </w:tcBorders>
            <w:vAlign w:val="center"/>
          </w:tcPr>
          <w:p w:rsidR="00497E1B" w:rsidRDefault="00497E1B">
            <w:pPr>
              <w:jc w:val="center"/>
              <w:rPr>
                <w:rFonts w:cs="Arial"/>
                <w:szCs w:val="20"/>
              </w:rPr>
            </w:pPr>
            <w:r>
              <w:rPr>
                <w:rFonts w:cs="Arial"/>
                <w:szCs w:val="20"/>
              </w:rPr>
              <w:t>41</w:t>
            </w:r>
          </w:p>
        </w:tc>
        <w:tc>
          <w:tcPr>
            <w:tcW w:w="515" w:type="pct"/>
            <w:tcBorders>
              <w:top w:val="nil"/>
              <w:bottom w:val="nil"/>
            </w:tcBorders>
            <w:vAlign w:val="center"/>
          </w:tcPr>
          <w:p w:rsidR="00497E1B" w:rsidRDefault="00497E1B">
            <w:pPr>
              <w:jc w:val="center"/>
              <w:rPr>
                <w:rFonts w:cs="Arial"/>
                <w:szCs w:val="20"/>
              </w:rPr>
            </w:pPr>
            <w:r>
              <w:rPr>
                <w:rFonts w:cs="Arial"/>
                <w:szCs w:val="20"/>
              </w:rPr>
              <w:t>43</w:t>
            </w:r>
          </w:p>
        </w:tc>
        <w:tc>
          <w:tcPr>
            <w:tcW w:w="587" w:type="pct"/>
            <w:tcBorders>
              <w:top w:val="nil"/>
              <w:bottom w:val="nil"/>
            </w:tcBorders>
            <w:vAlign w:val="center"/>
          </w:tcPr>
          <w:p w:rsidR="00497E1B" w:rsidRDefault="00497E1B">
            <w:pPr>
              <w:jc w:val="center"/>
              <w:rPr>
                <w:rFonts w:cs="Arial"/>
                <w:szCs w:val="20"/>
              </w:rPr>
            </w:pPr>
            <w:r>
              <w:rPr>
                <w:rFonts w:cs="Arial"/>
                <w:szCs w:val="20"/>
              </w:rPr>
              <w:t>38</w:t>
            </w:r>
          </w:p>
        </w:tc>
      </w:tr>
      <w:tr w:rsidR="00497E1B" w:rsidRPr="00405CDE" w:rsidTr="00A226E9">
        <w:trPr>
          <w:trHeight w:val="87"/>
        </w:trPr>
        <w:tc>
          <w:tcPr>
            <w:tcW w:w="1152" w:type="pct"/>
            <w:tcBorders>
              <w:top w:val="nil"/>
              <w:bottom w:val="nil"/>
            </w:tcBorders>
            <w:vAlign w:val="center"/>
          </w:tcPr>
          <w:p w:rsidR="00497E1B" w:rsidRDefault="00497E1B">
            <w:pPr>
              <w:rPr>
                <w:rFonts w:cs="Arial"/>
                <w:sz w:val="20"/>
                <w:szCs w:val="20"/>
              </w:rPr>
            </w:pPr>
            <w:r>
              <w:rPr>
                <w:rFonts w:cs="Arial"/>
                <w:sz w:val="20"/>
                <w:szCs w:val="20"/>
              </w:rPr>
              <w:t>Ex post price ($/GJ)</w:t>
            </w:r>
          </w:p>
        </w:tc>
        <w:tc>
          <w:tcPr>
            <w:tcW w:w="589" w:type="pct"/>
            <w:tcBorders>
              <w:top w:val="nil"/>
              <w:bottom w:val="nil"/>
            </w:tcBorders>
            <w:vAlign w:val="center"/>
          </w:tcPr>
          <w:p w:rsidR="00497E1B" w:rsidRDefault="00497E1B">
            <w:pPr>
              <w:jc w:val="center"/>
              <w:rPr>
                <w:rFonts w:cs="Arial"/>
                <w:sz w:val="20"/>
                <w:szCs w:val="20"/>
              </w:rPr>
            </w:pPr>
            <w:r>
              <w:rPr>
                <w:rFonts w:cs="Arial"/>
                <w:sz w:val="20"/>
                <w:szCs w:val="20"/>
              </w:rPr>
              <w:t>5.35</w:t>
            </w:r>
          </w:p>
        </w:tc>
        <w:tc>
          <w:tcPr>
            <w:tcW w:w="516" w:type="pct"/>
            <w:tcBorders>
              <w:top w:val="nil"/>
              <w:bottom w:val="nil"/>
            </w:tcBorders>
            <w:vAlign w:val="center"/>
          </w:tcPr>
          <w:p w:rsidR="00497E1B" w:rsidRDefault="00497E1B">
            <w:pPr>
              <w:jc w:val="center"/>
              <w:rPr>
                <w:rFonts w:cs="Arial"/>
                <w:sz w:val="20"/>
                <w:szCs w:val="20"/>
              </w:rPr>
            </w:pPr>
            <w:r>
              <w:rPr>
                <w:rFonts w:cs="Arial"/>
                <w:sz w:val="20"/>
                <w:szCs w:val="20"/>
              </w:rPr>
              <w:t>5.00</w:t>
            </w:r>
          </w:p>
        </w:tc>
        <w:tc>
          <w:tcPr>
            <w:tcW w:w="598" w:type="pct"/>
            <w:tcBorders>
              <w:top w:val="nil"/>
              <w:bottom w:val="nil"/>
            </w:tcBorders>
            <w:vAlign w:val="center"/>
          </w:tcPr>
          <w:p w:rsidR="00497E1B" w:rsidRDefault="00497E1B">
            <w:pPr>
              <w:jc w:val="center"/>
              <w:rPr>
                <w:rFonts w:cs="Arial"/>
                <w:sz w:val="20"/>
                <w:szCs w:val="20"/>
              </w:rPr>
            </w:pPr>
            <w:r>
              <w:rPr>
                <w:rFonts w:cs="Arial"/>
                <w:sz w:val="20"/>
                <w:szCs w:val="20"/>
              </w:rPr>
              <w:t>4.65</w:t>
            </w:r>
          </w:p>
        </w:tc>
        <w:tc>
          <w:tcPr>
            <w:tcW w:w="525" w:type="pct"/>
            <w:tcBorders>
              <w:top w:val="nil"/>
              <w:bottom w:val="nil"/>
            </w:tcBorders>
            <w:vAlign w:val="center"/>
          </w:tcPr>
          <w:p w:rsidR="00497E1B" w:rsidRDefault="00497E1B">
            <w:pPr>
              <w:jc w:val="center"/>
              <w:rPr>
                <w:rFonts w:cs="Arial"/>
                <w:sz w:val="20"/>
                <w:szCs w:val="20"/>
              </w:rPr>
            </w:pPr>
            <w:r>
              <w:rPr>
                <w:rFonts w:cs="Arial"/>
                <w:sz w:val="20"/>
                <w:szCs w:val="20"/>
              </w:rPr>
              <w:t>5.25</w:t>
            </w:r>
          </w:p>
        </w:tc>
        <w:tc>
          <w:tcPr>
            <w:tcW w:w="518" w:type="pct"/>
            <w:tcBorders>
              <w:top w:val="nil"/>
              <w:bottom w:val="nil"/>
            </w:tcBorders>
            <w:vAlign w:val="center"/>
          </w:tcPr>
          <w:p w:rsidR="00497E1B" w:rsidRDefault="00497E1B">
            <w:pPr>
              <w:jc w:val="center"/>
              <w:rPr>
                <w:rFonts w:cs="Arial"/>
                <w:sz w:val="20"/>
                <w:szCs w:val="20"/>
              </w:rPr>
            </w:pPr>
            <w:r>
              <w:rPr>
                <w:rFonts w:cs="Arial"/>
                <w:sz w:val="20"/>
                <w:szCs w:val="20"/>
              </w:rPr>
              <w:t>6.66</w:t>
            </w:r>
          </w:p>
        </w:tc>
        <w:tc>
          <w:tcPr>
            <w:tcW w:w="515" w:type="pct"/>
            <w:tcBorders>
              <w:top w:val="nil"/>
              <w:bottom w:val="nil"/>
            </w:tcBorders>
            <w:vAlign w:val="center"/>
          </w:tcPr>
          <w:p w:rsidR="00497E1B" w:rsidRDefault="00497E1B">
            <w:pPr>
              <w:jc w:val="center"/>
              <w:rPr>
                <w:rFonts w:cs="Arial"/>
                <w:sz w:val="20"/>
                <w:szCs w:val="20"/>
              </w:rPr>
            </w:pPr>
            <w:r>
              <w:rPr>
                <w:rFonts w:cs="Arial"/>
                <w:sz w:val="20"/>
                <w:szCs w:val="20"/>
              </w:rPr>
              <w:t>9.31</w:t>
            </w:r>
          </w:p>
        </w:tc>
        <w:tc>
          <w:tcPr>
            <w:tcW w:w="587" w:type="pct"/>
            <w:tcBorders>
              <w:top w:val="nil"/>
              <w:bottom w:val="nil"/>
            </w:tcBorders>
            <w:vAlign w:val="center"/>
          </w:tcPr>
          <w:p w:rsidR="00497E1B" w:rsidRDefault="00497E1B">
            <w:pPr>
              <w:jc w:val="center"/>
              <w:rPr>
                <w:rFonts w:cs="Arial"/>
                <w:sz w:val="20"/>
                <w:szCs w:val="20"/>
              </w:rPr>
            </w:pPr>
            <w:r>
              <w:rPr>
                <w:rFonts w:cs="Arial"/>
                <w:sz w:val="20"/>
                <w:szCs w:val="20"/>
              </w:rPr>
              <w:t>10.00</w:t>
            </w:r>
          </w:p>
        </w:tc>
      </w:tr>
      <w:tr w:rsidR="00497E1B" w:rsidRPr="00405CDE" w:rsidTr="00A226E9">
        <w:trPr>
          <w:cnfStyle w:val="000000010000" w:firstRow="0" w:lastRow="0" w:firstColumn="0" w:lastColumn="0" w:oddVBand="0" w:evenVBand="0" w:oddHBand="0" w:evenHBand="1" w:firstRowFirstColumn="0" w:firstRowLastColumn="0" w:lastRowFirstColumn="0" w:lastRowLastColumn="0"/>
          <w:trHeight w:val="87"/>
        </w:trPr>
        <w:tc>
          <w:tcPr>
            <w:tcW w:w="1152" w:type="pct"/>
            <w:tcBorders>
              <w:top w:val="nil"/>
              <w:bottom w:val="single" w:sz="4" w:space="0" w:color="auto"/>
            </w:tcBorders>
            <w:vAlign w:val="center"/>
          </w:tcPr>
          <w:p w:rsidR="00497E1B" w:rsidRDefault="00497E1B">
            <w:pPr>
              <w:rPr>
                <w:rFonts w:cs="Arial"/>
                <w:szCs w:val="20"/>
              </w:rPr>
            </w:pPr>
            <w:r>
              <w:rPr>
                <w:rFonts w:cs="Arial"/>
                <w:szCs w:val="20"/>
              </w:rPr>
              <w:t>Ex post quantity (TJ)</w:t>
            </w:r>
          </w:p>
        </w:tc>
        <w:tc>
          <w:tcPr>
            <w:tcW w:w="589" w:type="pct"/>
            <w:tcBorders>
              <w:top w:val="nil"/>
              <w:bottom w:val="single" w:sz="4" w:space="0" w:color="auto"/>
            </w:tcBorders>
            <w:vAlign w:val="center"/>
          </w:tcPr>
          <w:p w:rsidR="00497E1B" w:rsidRDefault="00497E1B">
            <w:pPr>
              <w:jc w:val="center"/>
              <w:rPr>
                <w:rFonts w:cs="Arial"/>
                <w:szCs w:val="20"/>
              </w:rPr>
            </w:pPr>
            <w:r>
              <w:rPr>
                <w:rFonts w:cs="Arial"/>
                <w:szCs w:val="20"/>
              </w:rPr>
              <w:t>35</w:t>
            </w:r>
          </w:p>
        </w:tc>
        <w:tc>
          <w:tcPr>
            <w:tcW w:w="516" w:type="pct"/>
            <w:tcBorders>
              <w:top w:val="nil"/>
              <w:bottom w:val="single" w:sz="4" w:space="0" w:color="auto"/>
            </w:tcBorders>
            <w:vAlign w:val="center"/>
          </w:tcPr>
          <w:p w:rsidR="00497E1B" w:rsidRDefault="00497E1B">
            <w:pPr>
              <w:jc w:val="center"/>
              <w:rPr>
                <w:rFonts w:cs="Arial"/>
                <w:szCs w:val="20"/>
              </w:rPr>
            </w:pPr>
            <w:r>
              <w:rPr>
                <w:rFonts w:cs="Arial"/>
                <w:szCs w:val="20"/>
              </w:rPr>
              <w:t>35</w:t>
            </w:r>
          </w:p>
        </w:tc>
        <w:tc>
          <w:tcPr>
            <w:tcW w:w="598" w:type="pct"/>
            <w:tcBorders>
              <w:top w:val="nil"/>
              <w:bottom w:val="single" w:sz="4" w:space="0" w:color="auto"/>
            </w:tcBorders>
            <w:vAlign w:val="center"/>
          </w:tcPr>
          <w:p w:rsidR="00497E1B" w:rsidRDefault="00497E1B">
            <w:pPr>
              <w:jc w:val="center"/>
              <w:rPr>
                <w:rFonts w:cs="Arial"/>
                <w:szCs w:val="20"/>
              </w:rPr>
            </w:pPr>
            <w:r>
              <w:rPr>
                <w:rFonts w:cs="Arial"/>
                <w:szCs w:val="20"/>
              </w:rPr>
              <w:t>45</w:t>
            </w:r>
          </w:p>
        </w:tc>
        <w:tc>
          <w:tcPr>
            <w:tcW w:w="525" w:type="pct"/>
            <w:tcBorders>
              <w:top w:val="nil"/>
              <w:bottom w:val="single" w:sz="4" w:space="0" w:color="auto"/>
            </w:tcBorders>
            <w:vAlign w:val="center"/>
          </w:tcPr>
          <w:p w:rsidR="00497E1B" w:rsidRDefault="00497E1B">
            <w:pPr>
              <w:jc w:val="center"/>
              <w:rPr>
                <w:rFonts w:cs="Arial"/>
                <w:szCs w:val="20"/>
              </w:rPr>
            </w:pPr>
            <w:r>
              <w:rPr>
                <w:rFonts w:cs="Arial"/>
                <w:szCs w:val="20"/>
              </w:rPr>
              <w:t>43</w:t>
            </w:r>
          </w:p>
        </w:tc>
        <w:tc>
          <w:tcPr>
            <w:tcW w:w="518" w:type="pct"/>
            <w:tcBorders>
              <w:top w:val="nil"/>
              <w:bottom w:val="single" w:sz="4" w:space="0" w:color="auto"/>
            </w:tcBorders>
            <w:vAlign w:val="center"/>
          </w:tcPr>
          <w:p w:rsidR="00497E1B" w:rsidRDefault="00497E1B">
            <w:pPr>
              <w:jc w:val="center"/>
              <w:rPr>
                <w:rFonts w:cs="Arial"/>
                <w:szCs w:val="20"/>
              </w:rPr>
            </w:pPr>
            <w:r>
              <w:rPr>
                <w:rFonts w:cs="Arial"/>
                <w:szCs w:val="20"/>
              </w:rPr>
              <w:t>46</w:t>
            </w:r>
          </w:p>
        </w:tc>
        <w:tc>
          <w:tcPr>
            <w:tcW w:w="515" w:type="pct"/>
            <w:tcBorders>
              <w:top w:val="nil"/>
              <w:bottom w:val="single" w:sz="4" w:space="0" w:color="auto"/>
            </w:tcBorders>
            <w:vAlign w:val="center"/>
          </w:tcPr>
          <w:p w:rsidR="00497E1B" w:rsidRDefault="00497E1B">
            <w:pPr>
              <w:jc w:val="center"/>
              <w:rPr>
                <w:rFonts w:cs="Arial"/>
                <w:szCs w:val="20"/>
              </w:rPr>
            </w:pPr>
            <w:r>
              <w:rPr>
                <w:rFonts w:cs="Arial"/>
                <w:szCs w:val="20"/>
              </w:rPr>
              <w:t>52</w:t>
            </w:r>
          </w:p>
        </w:tc>
        <w:tc>
          <w:tcPr>
            <w:tcW w:w="587" w:type="pct"/>
            <w:tcBorders>
              <w:top w:val="nil"/>
              <w:bottom w:val="single" w:sz="4" w:space="0" w:color="auto"/>
            </w:tcBorders>
            <w:vAlign w:val="center"/>
          </w:tcPr>
          <w:p w:rsidR="00497E1B" w:rsidRDefault="00497E1B">
            <w:pPr>
              <w:jc w:val="center"/>
              <w:rPr>
                <w:rFonts w:cs="Arial"/>
                <w:szCs w:val="20"/>
              </w:rPr>
            </w:pPr>
            <w:r>
              <w:rPr>
                <w:rFonts w:cs="Arial"/>
                <w:szCs w:val="20"/>
              </w:rPr>
              <w:t>45</w:t>
            </w:r>
          </w:p>
        </w:tc>
      </w:tr>
    </w:tbl>
    <w:p w:rsidR="00EC2CB1" w:rsidRPr="001521CB" w:rsidRDefault="00EC2CB1" w:rsidP="00EC2CB1">
      <w:pPr>
        <w:pStyle w:val="Caption"/>
        <w:numPr>
          <w:ilvl w:val="0"/>
          <w:numId w:val="31"/>
        </w:numPr>
        <w:ind w:left="709" w:hanging="709"/>
      </w:pPr>
      <w:r w:rsidRPr="00DD0358">
        <w:rPr>
          <w:color w:val="2272A3"/>
          <w:szCs w:val="24"/>
        </w:rPr>
        <w:t>ADL daily hub offers and daily hub bids in price bands ($/GJ)</w:t>
      </w:r>
    </w:p>
    <w:p w:rsidR="00EC2CB1" w:rsidRDefault="00497E1B" w:rsidP="00EC2CB1">
      <w:r w:rsidRPr="00497E1B">
        <w:rPr>
          <w:noProof/>
          <w:lang w:eastAsia="en-AU"/>
        </w:rPr>
        <w:drawing>
          <wp:inline distT="0" distB="0" distL="0" distR="0" wp14:anchorId="43D3DCD2" wp14:editId="31CB35D0">
            <wp:extent cx="5731510" cy="1739923"/>
            <wp:effectExtent l="0" t="0" r="2540" b="0"/>
            <wp:docPr id="30" name="Picture 30" descr="Figure 3.2 shows the daily hub offers and bid in within certain price bands in Adelaide this week. The line indicates the scheduled quantity for each day. For a more detailed description of this figure, please refer to the user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31510" cy="1739923"/>
                    </a:xfrm>
                    <a:prstGeom prst="rect">
                      <a:avLst/>
                    </a:prstGeom>
                    <a:noFill/>
                    <a:ln>
                      <a:noFill/>
                    </a:ln>
                  </pic:spPr>
                </pic:pic>
              </a:graphicData>
            </a:graphic>
          </wp:inline>
        </w:drawing>
      </w:r>
    </w:p>
    <w:p w:rsidR="00EC2CB1" w:rsidRPr="001521CB" w:rsidRDefault="00EC2CB1" w:rsidP="00EC2CB1">
      <w:pPr>
        <w:pStyle w:val="Caption"/>
        <w:numPr>
          <w:ilvl w:val="0"/>
          <w:numId w:val="31"/>
        </w:numPr>
        <w:ind w:left="709" w:hanging="709"/>
      </w:pPr>
      <w:r w:rsidRPr="00DD0358">
        <w:rPr>
          <w:color w:val="2272A3"/>
          <w:szCs w:val="24"/>
        </w:rPr>
        <w:t>ADL net scheduled and allocated gas hub supply (excluding MOS)</w:t>
      </w:r>
    </w:p>
    <w:p w:rsidR="00EC2CB1" w:rsidRDefault="00497E1B" w:rsidP="00EC2CB1">
      <w:r w:rsidRPr="00497E1B">
        <w:rPr>
          <w:noProof/>
          <w:lang w:eastAsia="en-AU"/>
        </w:rPr>
        <w:drawing>
          <wp:inline distT="0" distB="0" distL="0" distR="0" wp14:anchorId="1C19127A" wp14:editId="08E6A0B3">
            <wp:extent cx="5731510" cy="1511607"/>
            <wp:effectExtent l="0" t="0" r="2540" b="0"/>
            <wp:docPr id="34" name="Picture 34" descr="Figure 3.3 shows the daily scheduled and allocated quantities sorted by facility for Adelaide this week. For a more detailed description of this figure, please refer to the user gui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31510" cy="1511607"/>
                    </a:xfrm>
                    <a:prstGeom prst="rect">
                      <a:avLst/>
                    </a:prstGeom>
                    <a:noFill/>
                    <a:ln>
                      <a:noFill/>
                    </a:ln>
                  </pic:spPr>
                </pic:pic>
              </a:graphicData>
            </a:graphic>
          </wp:inline>
        </w:drawing>
      </w:r>
    </w:p>
    <w:p w:rsidR="00EC2CB1" w:rsidRPr="001521CB" w:rsidRDefault="00EC2CB1" w:rsidP="00EC2CB1">
      <w:pPr>
        <w:pStyle w:val="Caption"/>
        <w:numPr>
          <w:ilvl w:val="0"/>
          <w:numId w:val="31"/>
        </w:numPr>
        <w:ind w:left="1418" w:hanging="1418"/>
      </w:pPr>
      <w:r w:rsidRPr="00DD0358">
        <w:rPr>
          <w:color w:val="2272A3"/>
          <w:szCs w:val="24"/>
        </w:rPr>
        <w:lastRenderedPageBreak/>
        <w:t>ADL MOS allocations (TJ), service payments and commodity payments/charges ($000)</w:t>
      </w:r>
    </w:p>
    <w:p w:rsidR="00EC2CB1" w:rsidRPr="00A226E9" w:rsidRDefault="00497E1B" w:rsidP="00A226E9">
      <w:r w:rsidRPr="00497E1B">
        <w:rPr>
          <w:noProof/>
          <w:lang w:eastAsia="en-AU"/>
        </w:rPr>
        <w:drawing>
          <wp:inline distT="0" distB="0" distL="0" distR="0" wp14:anchorId="37159A5E" wp14:editId="52CFCA3C">
            <wp:extent cx="5731510" cy="1802652"/>
            <wp:effectExtent l="0" t="0" r="2540" b="7620"/>
            <wp:docPr id="36" name="Picture 36" descr="Figure 3.4 shows the daily MOS allocations sorted by facility for each facility in Adelaide this week. The figure also shows the daily breakdown of costs associated with the MOS provided. For a more detailed description of this figure, please refer to the user gui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31510" cy="1802652"/>
                    </a:xfrm>
                    <a:prstGeom prst="rect">
                      <a:avLst/>
                    </a:prstGeom>
                    <a:noFill/>
                    <a:ln>
                      <a:noFill/>
                    </a:ln>
                  </pic:spPr>
                </pic:pic>
              </a:graphicData>
            </a:graphic>
          </wp:inline>
        </w:drawing>
      </w:r>
    </w:p>
    <w:p w:rsidR="003171C6" w:rsidRDefault="003171C6" w:rsidP="003171C6">
      <w:pPr>
        <w:pStyle w:val="Heading3"/>
        <w:rPr>
          <w:rFonts w:eastAsia="Times New Roman" w:cs="Times New Roman"/>
          <w:color w:val="2272A3" w:themeColor="accent4" w:themeShade="80"/>
          <w:sz w:val="32"/>
          <w:szCs w:val="20"/>
        </w:rPr>
      </w:pPr>
      <w:r>
        <w:rPr>
          <w:rFonts w:eastAsia="Times New Roman" w:cs="Times New Roman"/>
          <w:color w:val="2272A3" w:themeColor="accent4" w:themeShade="80"/>
          <w:sz w:val="32"/>
          <w:szCs w:val="20"/>
        </w:rPr>
        <w:t>4</w:t>
      </w:r>
      <w:r w:rsidRPr="003171C6">
        <w:rPr>
          <w:rFonts w:eastAsia="Times New Roman" w:cs="Times New Roman"/>
          <w:color w:val="2272A3" w:themeColor="accent4" w:themeShade="80"/>
          <w:sz w:val="32"/>
          <w:szCs w:val="20"/>
        </w:rPr>
        <w:t xml:space="preserve">. </w:t>
      </w:r>
      <w:r>
        <w:rPr>
          <w:rFonts w:eastAsia="Times New Roman" w:cs="Times New Roman"/>
          <w:color w:val="2272A3" w:themeColor="accent4" w:themeShade="80"/>
          <w:sz w:val="32"/>
          <w:szCs w:val="20"/>
        </w:rPr>
        <w:t>Brisbane STTM</w:t>
      </w:r>
    </w:p>
    <w:p w:rsidR="00EC2CB1" w:rsidRPr="003625A6" w:rsidRDefault="00EC2CB1" w:rsidP="00551D6B">
      <w:pPr>
        <w:jc w:val="both"/>
      </w:pPr>
      <w:r>
        <w:t>The Brisbane STTM hub functions in the same way as the Sydney STTM hub.  The same data that was presented for the Sydney hub is presented for the Brisbane hub in the figures below.</w:t>
      </w:r>
    </w:p>
    <w:p w:rsidR="004C571B" w:rsidRDefault="00EC2CB1" w:rsidP="00E16EDC">
      <w:pPr>
        <w:pStyle w:val="Caption"/>
        <w:numPr>
          <w:ilvl w:val="0"/>
          <w:numId w:val="32"/>
        </w:numPr>
        <w:ind w:left="709" w:hanging="709"/>
        <w:rPr>
          <w:color w:val="2272A3"/>
          <w:szCs w:val="24"/>
        </w:rPr>
      </w:pPr>
      <w:r>
        <w:rPr>
          <w:color w:val="2272A3"/>
          <w:szCs w:val="24"/>
        </w:rPr>
        <w:t>BRI</w:t>
      </w:r>
      <w:r w:rsidRPr="00362B9A">
        <w:rPr>
          <w:color w:val="2272A3"/>
          <w:szCs w:val="24"/>
        </w:rPr>
        <w:t xml:space="preserve"> STTM daily ex ante and ex post prices and quantities</w:t>
      </w:r>
    </w:p>
    <w:tbl>
      <w:tblPr>
        <w:tblStyle w:val="AERTable-Text"/>
        <w:tblW w:w="4917" w:type="pct"/>
        <w:tblLook w:val="04A0" w:firstRow="1" w:lastRow="0" w:firstColumn="1" w:lastColumn="0" w:noHBand="0" w:noVBand="1"/>
      </w:tblPr>
      <w:tblGrid>
        <w:gridCol w:w="2094"/>
        <w:gridCol w:w="1071"/>
        <w:gridCol w:w="938"/>
        <w:gridCol w:w="1087"/>
        <w:gridCol w:w="954"/>
        <w:gridCol w:w="942"/>
        <w:gridCol w:w="936"/>
        <w:gridCol w:w="1067"/>
      </w:tblGrid>
      <w:tr w:rsidR="00EC2CB1" w:rsidRPr="00405CDE" w:rsidTr="00A226E9">
        <w:trPr>
          <w:cnfStyle w:val="100000000000" w:firstRow="1" w:lastRow="0" w:firstColumn="0" w:lastColumn="0" w:oddVBand="0" w:evenVBand="0" w:oddHBand="0" w:evenHBand="0" w:firstRowFirstColumn="0" w:firstRowLastColumn="0" w:lastRowFirstColumn="0" w:lastRowLastColumn="0"/>
          <w:tblHeader/>
        </w:trPr>
        <w:tc>
          <w:tcPr>
            <w:tcW w:w="1152" w:type="pct"/>
            <w:tcBorders>
              <w:bottom w:val="nil"/>
            </w:tcBorders>
            <w:hideMark/>
          </w:tcPr>
          <w:p w:rsidR="00EC2CB1" w:rsidRPr="00DC24BF" w:rsidRDefault="00EC2CB1" w:rsidP="00EC2CB1">
            <w:pPr>
              <w:pStyle w:val="TableHeading"/>
              <w:spacing w:before="0" w:after="0"/>
              <w:jc w:val="center"/>
              <w:rPr>
                <w:rFonts w:cs="Arial"/>
                <w:sz w:val="20"/>
                <w:szCs w:val="20"/>
              </w:rPr>
            </w:pPr>
          </w:p>
        </w:tc>
        <w:tc>
          <w:tcPr>
            <w:tcW w:w="589" w:type="pct"/>
            <w:tcBorders>
              <w:bottom w:val="nil"/>
            </w:tcBorders>
            <w:hideMark/>
          </w:tcPr>
          <w:p w:rsidR="00EC2CB1" w:rsidRPr="00442756" w:rsidRDefault="00EC2CB1" w:rsidP="00EC2CB1">
            <w:pPr>
              <w:spacing w:before="0" w:after="0"/>
              <w:jc w:val="center"/>
              <w:rPr>
                <w:rFonts w:cs="Arial"/>
                <w:b w:val="0"/>
                <w:bCs/>
                <w:sz w:val="20"/>
                <w:szCs w:val="20"/>
              </w:rPr>
            </w:pPr>
            <w:r w:rsidRPr="00442756">
              <w:rPr>
                <w:rFonts w:cs="Arial"/>
                <w:bCs/>
                <w:sz w:val="20"/>
                <w:szCs w:val="20"/>
              </w:rPr>
              <w:t>Sun</w:t>
            </w:r>
          </w:p>
        </w:tc>
        <w:tc>
          <w:tcPr>
            <w:tcW w:w="516"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Mon</w:t>
            </w:r>
          </w:p>
        </w:tc>
        <w:tc>
          <w:tcPr>
            <w:tcW w:w="598"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Tue</w:t>
            </w:r>
          </w:p>
        </w:tc>
        <w:tc>
          <w:tcPr>
            <w:tcW w:w="525"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Wed</w:t>
            </w:r>
          </w:p>
        </w:tc>
        <w:tc>
          <w:tcPr>
            <w:tcW w:w="518" w:type="pct"/>
            <w:tcBorders>
              <w:bottom w:val="nil"/>
            </w:tcBorders>
          </w:tcPr>
          <w:p w:rsidR="00EC2CB1" w:rsidRPr="00442756" w:rsidRDefault="00EC2CB1" w:rsidP="00EC2CB1">
            <w:pPr>
              <w:spacing w:before="0" w:after="0"/>
              <w:jc w:val="center"/>
              <w:rPr>
                <w:rFonts w:cs="Arial"/>
                <w:b w:val="0"/>
                <w:bCs/>
                <w:sz w:val="20"/>
                <w:szCs w:val="20"/>
              </w:rPr>
            </w:pPr>
            <w:r w:rsidRPr="00442756">
              <w:rPr>
                <w:rFonts w:cs="Arial"/>
                <w:bCs/>
                <w:sz w:val="20"/>
                <w:szCs w:val="20"/>
              </w:rPr>
              <w:t>Thu</w:t>
            </w:r>
          </w:p>
        </w:tc>
        <w:tc>
          <w:tcPr>
            <w:tcW w:w="515" w:type="pct"/>
            <w:tcBorders>
              <w:bottom w:val="nil"/>
            </w:tcBorders>
            <w:hideMark/>
          </w:tcPr>
          <w:p w:rsidR="00EC2CB1" w:rsidRPr="00442756" w:rsidRDefault="00EC2CB1" w:rsidP="00EC2CB1">
            <w:pPr>
              <w:spacing w:before="0" w:after="0"/>
              <w:jc w:val="center"/>
              <w:rPr>
                <w:rFonts w:cs="Arial"/>
                <w:b w:val="0"/>
                <w:bCs/>
                <w:sz w:val="20"/>
                <w:szCs w:val="20"/>
              </w:rPr>
            </w:pPr>
            <w:r w:rsidRPr="00442756">
              <w:rPr>
                <w:rFonts w:cs="Arial"/>
                <w:bCs/>
                <w:sz w:val="20"/>
                <w:szCs w:val="20"/>
              </w:rPr>
              <w:t>Fri</w:t>
            </w:r>
          </w:p>
        </w:tc>
        <w:tc>
          <w:tcPr>
            <w:tcW w:w="587" w:type="pct"/>
            <w:tcBorders>
              <w:bottom w:val="nil"/>
            </w:tcBorders>
            <w:hideMark/>
          </w:tcPr>
          <w:p w:rsidR="00EC2CB1" w:rsidRPr="00442756" w:rsidRDefault="00EC2CB1" w:rsidP="00EC2CB1">
            <w:pPr>
              <w:spacing w:before="0" w:after="0"/>
              <w:jc w:val="center"/>
              <w:rPr>
                <w:rFonts w:cs="Arial"/>
                <w:b w:val="0"/>
                <w:bCs/>
                <w:sz w:val="20"/>
                <w:szCs w:val="20"/>
              </w:rPr>
            </w:pPr>
            <w:r w:rsidRPr="00442756">
              <w:rPr>
                <w:rFonts w:cs="Arial"/>
                <w:bCs/>
                <w:sz w:val="20"/>
                <w:szCs w:val="20"/>
              </w:rPr>
              <w:t>Sat</w:t>
            </w:r>
          </w:p>
        </w:tc>
      </w:tr>
      <w:tr w:rsidR="00497E1B" w:rsidRPr="00405CDE" w:rsidTr="00A226E9">
        <w:trPr>
          <w:trHeight w:val="510"/>
        </w:trPr>
        <w:tc>
          <w:tcPr>
            <w:tcW w:w="1152" w:type="pct"/>
            <w:tcBorders>
              <w:top w:val="nil"/>
              <w:bottom w:val="nil"/>
            </w:tcBorders>
            <w:vAlign w:val="center"/>
          </w:tcPr>
          <w:p w:rsidR="00497E1B" w:rsidRDefault="00497E1B">
            <w:pPr>
              <w:rPr>
                <w:rFonts w:cs="Arial"/>
                <w:sz w:val="20"/>
                <w:szCs w:val="20"/>
              </w:rPr>
            </w:pPr>
            <w:r>
              <w:rPr>
                <w:rFonts w:cs="Arial"/>
                <w:sz w:val="20"/>
                <w:szCs w:val="20"/>
              </w:rPr>
              <w:t>Ex ante price ($/GJ)</w:t>
            </w:r>
          </w:p>
        </w:tc>
        <w:tc>
          <w:tcPr>
            <w:tcW w:w="589" w:type="pct"/>
            <w:tcBorders>
              <w:top w:val="nil"/>
              <w:bottom w:val="nil"/>
            </w:tcBorders>
            <w:vAlign w:val="center"/>
          </w:tcPr>
          <w:p w:rsidR="00497E1B" w:rsidRDefault="00497E1B">
            <w:pPr>
              <w:jc w:val="center"/>
              <w:rPr>
                <w:rFonts w:cs="Arial"/>
                <w:sz w:val="20"/>
                <w:szCs w:val="20"/>
              </w:rPr>
            </w:pPr>
            <w:r>
              <w:rPr>
                <w:rFonts w:cs="Arial"/>
                <w:sz w:val="20"/>
                <w:szCs w:val="20"/>
              </w:rPr>
              <w:t>8.00</w:t>
            </w:r>
          </w:p>
        </w:tc>
        <w:tc>
          <w:tcPr>
            <w:tcW w:w="516" w:type="pct"/>
            <w:tcBorders>
              <w:top w:val="nil"/>
              <w:bottom w:val="nil"/>
            </w:tcBorders>
            <w:vAlign w:val="center"/>
          </w:tcPr>
          <w:p w:rsidR="00497E1B" w:rsidRDefault="00497E1B">
            <w:pPr>
              <w:jc w:val="center"/>
              <w:rPr>
                <w:rFonts w:cs="Arial"/>
                <w:sz w:val="20"/>
                <w:szCs w:val="20"/>
              </w:rPr>
            </w:pPr>
            <w:r>
              <w:rPr>
                <w:rFonts w:cs="Arial"/>
                <w:sz w:val="20"/>
                <w:szCs w:val="20"/>
              </w:rPr>
              <w:t>7.82</w:t>
            </w:r>
          </w:p>
        </w:tc>
        <w:tc>
          <w:tcPr>
            <w:tcW w:w="598" w:type="pct"/>
            <w:tcBorders>
              <w:top w:val="nil"/>
              <w:bottom w:val="nil"/>
            </w:tcBorders>
            <w:vAlign w:val="center"/>
          </w:tcPr>
          <w:p w:rsidR="00497E1B" w:rsidRDefault="00497E1B">
            <w:pPr>
              <w:jc w:val="center"/>
              <w:rPr>
                <w:rFonts w:cs="Arial"/>
                <w:sz w:val="20"/>
                <w:szCs w:val="20"/>
              </w:rPr>
            </w:pPr>
            <w:r>
              <w:rPr>
                <w:rFonts w:cs="Arial"/>
                <w:sz w:val="20"/>
                <w:szCs w:val="20"/>
              </w:rPr>
              <w:t>7.66</w:t>
            </w:r>
          </w:p>
        </w:tc>
        <w:tc>
          <w:tcPr>
            <w:tcW w:w="525" w:type="pct"/>
            <w:tcBorders>
              <w:top w:val="nil"/>
              <w:bottom w:val="nil"/>
            </w:tcBorders>
            <w:vAlign w:val="center"/>
          </w:tcPr>
          <w:p w:rsidR="00497E1B" w:rsidRDefault="00497E1B">
            <w:pPr>
              <w:jc w:val="center"/>
              <w:rPr>
                <w:rFonts w:cs="Arial"/>
                <w:sz w:val="20"/>
                <w:szCs w:val="20"/>
              </w:rPr>
            </w:pPr>
            <w:r>
              <w:rPr>
                <w:rFonts w:cs="Arial"/>
                <w:sz w:val="20"/>
                <w:szCs w:val="20"/>
              </w:rPr>
              <w:t>8.00</w:t>
            </w:r>
          </w:p>
        </w:tc>
        <w:tc>
          <w:tcPr>
            <w:tcW w:w="518" w:type="pct"/>
            <w:tcBorders>
              <w:top w:val="nil"/>
              <w:bottom w:val="nil"/>
            </w:tcBorders>
            <w:vAlign w:val="center"/>
          </w:tcPr>
          <w:p w:rsidR="00497E1B" w:rsidRDefault="00497E1B">
            <w:pPr>
              <w:jc w:val="center"/>
              <w:rPr>
                <w:rFonts w:cs="Arial"/>
                <w:sz w:val="20"/>
                <w:szCs w:val="20"/>
              </w:rPr>
            </w:pPr>
            <w:r>
              <w:rPr>
                <w:rFonts w:cs="Arial"/>
                <w:sz w:val="20"/>
                <w:szCs w:val="20"/>
              </w:rPr>
              <w:t>8.00</w:t>
            </w:r>
          </w:p>
        </w:tc>
        <w:tc>
          <w:tcPr>
            <w:tcW w:w="515" w:type="pct"/>
            <w:tcBorders>
              <w:top w:val="nil"/>
              <w:bottom w:val="nil"/>
            </w:tcBorders>
            <w:vAlign w:val="center"/>
          </w:tcPr>
          <w:p w:rsidR="00497E1B" w:rsidRDefault="00497E1B">
            <w:pPr>
              <w:jc w:val="center"/>
              <w:rPr>
                <w:rFonts w:cs="Arial"/>
                <w:sz w:val="20"/>
                <w:szCs w:val="20"/>
              </w:rPr>
            </w:pPr>
            <w:r>
              <w:rPr>
                <w:rFonts w:cs="Arial"/>
                <w:sz w:val="20"/>
                <w:szCs w:val="20"/>
              </w:rPr>
              <w:t>7.65</w:t>
            </w:r>
          </w:p>
        </w:tc>
        <w:tc>
          <w:tcPr>
            <w:tcW w:w="587" w:type="pct"/>
            <w:tcBorders>
              <w:top w:val="nil"/>
              <w:bottom w:val="nil"/>
            </w:tcBorders>
            <w:vAlign w:val="center"/>
          </w:tcPr>
          <w:p w:rsidR="00497E1B" w:rsidRDefault="00497E1B">
            <w:pPr>
              <w:jc w:val="center"/>
              <w:rPr>
                <w:rFonts w:cs="Arial"/>
                <w:sz w:val="20"/>
                <w:szCs w:val="20"/>
              </w:rPr>
            </w:pPr>
            <w:r>
              <w:rPr>
                <w:rFonts w:cs="Arial"/>
                <w:sz w:val="20"/>
                <w:szCs w:val="20"/>
              </w:rPr>
              <w:t>8.05</w:t>
            </w:r>
          </w:p>
        </w:tc>
      </w:tr>
      <w:tr w:rsidR="00497E1B" w:rsidRPr="00405CDE" w:rsidTr="00A226E9">
        <w:trPr>
          <w:cnfStyle w:val="000000010000" w:firstRow="0" w:lastRow="0" w:firstColumn="0" w:lastColumn="0" w:oddVBand="0" w:evenVBand="0" w:oddHBand="0" w:evenHBand="1" w:firstRowFirstColumn="0" w:firstRowLastColumn="0" w:lastRowFirstColumn="0" w:lastRowLastColumn="0"/>
          <w:trHeight w:val="510"/>
        </w:trPr>
        <w:tc>
          <w:tcPr>
            <w:tcW w:w="1152" w:type="pct"/>
            <w:tcBorders>
              <w:top w:val="nil"/>
              <w:bottom w:val="nil"/>
            </w:tcBorders>
            <w:vAlign w:val="center"/>
          </w:tcPr>
          <w:p w:rsidR="00497E1B" w:rsidRDefault="00497E1B">
            <w:pPr>
              <w:rPr>
                <w:rFonts w:cs="Arial"/>
                <w:szCs w:val="20"/>
              </w:rPr>
            </w:pPr>
            <w:r>
              <w:rPr>
                <w:rFonts w:cs="Arial"/>
                <w:szCs w:val="20"/>
              </w:rPr>
              <w:t>Ex ante quantity (TJ)</w:t>
            </w:r>
          </w:p>
        </w:tc>
        <w:tc>
          <w:tcPr>
            <w:tcW w:w="589" w:type="pct"/>
            <w:tcBorders>
              <w:top w:val="nil"/>
              <w:bottom w:val="nil"/>
            </w:tcBorders>
            <w:vAlign w:val="center"/>
          </w:tcPr>
          <w:p w:rsidR="00497E1B" w:rsidRDefault="00497E1B">
            <w:pPr>
              <w:jc w:val="center"/>
              <w:rPr>
                <w:rFonts w:cs="Arial"/>
                <w:szCs w:val="20"/>
              </w:rPr>
            </w:pPr>
            <w:r>
              <w:rPr>
                <w:rFonts w:cs="Arial"/>
                <w:szCs w:val="20"/>
              </w:rPr>
              <w:t>64</w:t>
            </w:r>
          </w:p>
        </w:tc>
        <w:tc>
          <w:tcPr>
            <w:tcW w:w="516" w:type="pct"/>
            <w:tcBorders>
              <w:top w:val="nil"/>
              <w:bottom w:val="nil"/>
            </w:tcBorders>
            <w:vAlign w:val="center"/>
          </w:tcPr>
          <w:p w:rsidR="00497E1B" w:rsidRDefault="00497E1B">
            <w:pPr>
              <w:jc w:val="center"/>
              <w:rPr>
                <w:rFonts w:cs="Arial"/>
                <w:szCs w:val="20"/>
              </w:rPr>
            </w:pPr>
            <w:r>
              <w:rPr>
                <w:rFonts w:cs="Arial"/>
                <w:szCs w:val="20"/>
              </w:rPr>
              <w:t>69</w:t>
            </w:r>
          </w:p>
        </w:tc>
        <w:tc>
          <w:tcPr>
            <w:tcW w:w="598" w:type="pct"/>
            <w:tcBorders>
              <w:top w:val="nil"/>
              <w:bottom w:val="nil"/>
            </w:tcBorders>
            <w:vAlign w:val="center"/>
          </w:tcPr>
          <w:p w:rsidR="00497E1B" w:rsidRDefault="00497E1B">
            <w:pPr>
              <w:jc w:val="center"/>
              <w:rPr>
                <w:rFonts w:cs="Arial"/>
                <w:szCs w:val="20"/>
              </w:rPr>
            </w:pPr>
            <w:r>
              <w:rPr>
                <w:rFonts w:cs="Arial"/>
                <w:szCs w:val="20"/>
              </w:rPr>
              <w:t>81</w:t>
            </w:r>
          </w:p>
        </w:tc>
        <w:tc>
          <w:tcPr>
            <w:tcW w:w="525" w:type="pct"/>
            <w:tcBorders>
              <w:top w:val="nil"/>
              <w:bottom w:val="nil"/>
            </w:tcBorders>
            <w:vAlign w:val="center"/>
          </w:tcPr>
          <w:p w:rsidR="00497E1B" w:rsidRDefault="00497E1B">
            <w:pPr>
              <w:jc w:val="center"/>
              <w:rPr>
                <w:rFonts w:cs="Arial"/>
                <w:szCs w:val="20"/>
              </w:rPr>
            </w:pPr>
            <w:r>
              <w:rPr>
                <w:rFonts w:cs="Arial"/>
                <w:szCs w:val="20"/>
              </w:rPr>
              <w:t>76</w:t>
            </w:r>
          </w:p>
        </w:tc>
        <w:tc>
          <w:tcPr>
            <w:tcW w:w="518" w:type="pct"/>
            <w:tcBorders>
              <w:top w:val="nil"/>
              <w:bottom w:val="nil"/>
            </w:tcBorders>
            <w:vAlign w:val="center"/>
          </w:tcPr>
          <w:p w:rsidR="00497E1B" w:rsidRDefault="00497E1B">
            <w:pPr>
              <w:jc w:val="center"/>
              <w:rPr>
                <w:rFonts w:cs="Arial"/>
                <w:szCs w:val="20"/>
              </w:rPr>
            </w:pPr>
            <w:r>
              <w:rPr>
                <w:rFonts w:cs="Arial"/>
                <w:szCs w:val="20"/>
              </w:rPr>
              <w:t>78</w:t>
            </w:r>
          </w:p>
        </w:tc>
        <w:tc>
          <w:tcPr>
            <w:tcW w:w="515" w:type="pct"/>
            <w:tcBorders>
              <w:top w:val="nil"/>
              <w:bottom w:val="nil"/>
            </w:tcBorders>
            <w:vAlign w:val="center"/>
          </w:tcPr>
          <w:p w:rsidR="00497E1B" w:rsidRDefault="00497E1B">
            <w:pPr>
              <w:jc w:val="center"/>
              <w:rPr>
                <w:rFonts w:cs="Arial"/>
                <w:szCs w:val="20"/>
              </w:rPr>
            </w:pPr>
            <w:r>
              <w:rPr>
                <w:rFonts w:cs="Arial"/>
                <w:szCs w:val="20"/>
              </w:rPr>
              <w:t>78</w:t>
            </w:r>
          </w:p>
        </w:tc>
        <w:tc>
          <w:tcPr>
            <w:tcW w:w="587" w:type="pct"/>
            <w:tcBorders>
              <w:top w:val="nil"/>
              <w:bottom w:val="nil"/>
            </w:tcBorders>
            <w:vAlign w:val="center"/>
          </w:tcPr>
          <w:p w:rsidR="00497E1B" w:rsidRDefault="00497E1B">
            <w:pPr>
              <w:jc w:val="center"/>
              <w:rPr>
                <w:rFonts w:cs="Arial"/>
                <w:szCs w:val="20"/>
              </w:rPr>
            </w:pPr>
            <w:r>
              <w:rPr>
                <w:rFonts w:cs="Arial"/>
                <w:szCs w:val="20"/>
              </w:rPr>
              <w:t>74</w:t>
            </w:r>
          </w:p>
        </w:tc>
      </w:tr>
      <w:tr w:rsidR="00497E1B" w:rsidRPr="00405CDE" w:rsidTr="00A226E9">
        <w:trPr>
          <w:trHeight w:val="510"/>
        </w:trPr>
        <w:tc>
          <w:tcPr>
            <w:tcW w:w="1152" w:type="pct"/>
            <w:tcBorders>
              <w:top w:val="nil"/>
              <w:bottom w:val="nil"/>
            </w:tcBorders>
            <w:vAlign w:val="center"/>
          </w:tcPr>
          <w:p w:rsidR="00497E1B" w:rsidRDefault="00497E1B">
            <w:pPr>
              <w:rPr>
                <w:rFonts w:cs="Arial"/>
                <w:sz w:val="20"/>
                <w:szCs w:val="20"/>
              </w:rPr>
            </w:pPr>
            <w:r>
              <w:rPr>
                <w:rFonts w:cs="Arial"/>
                <w:sz w:val="20"/>
                <w:szCs w:val="20"/>
              </w:rPr>
              <w:t>Ex post price ($/GJ)</w:t>
            </w:r>
          </w:p>
        </w:tc>
        <w:tc>
          <w:tcPr>
            <w:tcW w:w="589" w:type="pct"/>
            <w:tcBorders>
              <w:top w:val="nil"/>
              <w:bottom w:val="nil"/>
            </w:tcBorders>
            <w:vAlign w:val="center"/>
          </w:tcPr>
          <w:p w:rsidR="00497E1B" w:rsidRDefault="00497E1B">
            <w:pPr>
              <w:jc w:val="center"/>
              <w:rPr>
                <w:rFonts w:cs="Arial"/>
                <w:sz w:val="20"/>
                <w:szCs w:val="20"/>
              </w:rPr>
            </w:pPr>
            <w:r>
              <w:rPr>
                <w:rFonts w:cs="Arial"/>
                <w:sz w:val="20"/>
                <w:szCs w:val="20"/>
              </w:rPr>
              <w:t>7.00</w:t>
            </w:r>
          </w:p>
        </w:tc>
        <w:tc>
          <w:tcPr>
            <w:tcW w:w="516" w:type="pct"/>
            <w:tcBorders>
              <w:top w:val="nil"/>
              <w:bottom w:val="nil"/>
            </w:tcBorders>
            <w:vAlign w:val="center"/>
          </w:tcPr>
          <w:p w:rsidR="00497E1B" w:rsidRDefault="00497E1B">
            <w:pPr>
              <w:jc w:val="center"/>
              <w:rPr>
                <w:rFonts w:cs="Arial"/>
                <w:sz w:val="20"/>
                <w:szCs w:val="20"/>
              </w:rPr>
            </w:pPr>
            <w:r>
              <w:rPr>
                <w:rFonts w:cs="Arial"/>
                <w:sz w:val="20"/>
                <w:szCs w:val="20"/>
              </w:rPr>
              <w:t>7.71</w:t>
            </w:r>
          </w:p>
        </w:tc>
        <w:tc>
          <w:tcPr>
            <w:tcW w:w="598" w:type="pct"/>
            <w:tcBorders>
              <w:top w:val="nil"/>
              <w:bottom w:val="nil"/>
            </w:tcBorders>
            <w:vAlign w:val="center"/>
          </w:tcPr>
          <w:p w:rsidR="00497E1B" w:rsidRDefault="00497E1B">
            <w:pPr>
              <w:jc w:val="center"/>
              <w:rPr>
                <w:rFonts w:cs="Arial"/>
                <w:sz w:val="20"/>
                <w:szCs w:val="20"/>
              </w:rPr>
            </w:pPr>
            <w:r>
              <w:rPr>
                <w:rFonts w:cs="Arial"/>
                <w:sz w:val="20"/>
                <w:szCs w:val="20"/>
              </w:rPr>
              <w:t>6.83</w:t>
            </w:r>
          </w:p>
        </w:tc>
        <w:tc>
          <w:tcPr>
            <w:tcW w:w="525" w:type="pct"/>
            <w:tcBorders>
              <w:top w:val="nil"/>
              <w:bottom w:val="nil"/>
            </w:tcBorders>
            <w:vAlign w:val="center"/>
          </w:tcPr>
          <w:p w:rsidR="00497E1B" w:rsidRDefault="00497E1B">
            <w:pPr>
              <w:jc w:val="center"/>
              <w:rPr>
                <w:rFonts w:cs="Arial"/>
                <w:sz w:val="20"/>
                <w:szCs w:val="20"/>
              </w:rPr>
            </w:pPr>
            <w:r>
              <w:rPr>
                <w:rFonts w:cs="Arial"/>
                <w:sz w:val="20"/>
                <w:szCs w:val="20"/>
              </w:rPr>
              <w:t>8.00</w:t>
            </w:r>
          </w:p>
        </w:tc>
        <w:tc>
          <w:tcPr>
            <w:tcW w:w="518" w:type="pct"/>
            <w:tcBorders>
              <w:top w:val="nil"/>
              <w:bottom w:val="nil"/>
            </w:tcBorders>
            <w:vAlign w:val="center"/>
          </w:tcPr>
          <w:p w:rsidR="00497E1B" w:rsidRDefault="00497E1B">
            <w:pPr>
              <w:jc w:val="center"/>
              <w:rPr>
                <w:rFonts w:cs="Arial"/>
                <w:sz w:val="20"/>
                <w:szCs w:val="20"/>
              </w:rPr>
            </w:pPr>
            <w:r>
              <w:rPr>
                <w:rFonts w:cs="Arial"/>
                <w:sz w:val="20"/>
                <w:szCs w:val="20"/>
              </w:rPr>
              <w:t>7.50</w:t>
            </w:r>
          </w:p>
        </w:tc>
        <w:tc>
          <w:tcPr>
            <w:tcW w:w="515" w:type="pct"/>
            <w:tcBorders>
              <w:top w:val="nil"/>
              <w:bottom w:val="nil"/>
            </w:tcBorders>
            <w:vAlign w:val="center"/>
          </w:tcPr>
          <w:p w:rsidR="00497E1B" w:rsidRDefault="00497E1B">
            <w:pPr>
              <w:jc w:val="center"/>
              <w:rPr>
                <w:rFonts w:cs="Arial"/>
                <w:sz w:val="20"/>
                <w:szCs w:val="20"/>
              </w:rPr>
            </w:pPr>
            <w:r>
              <w:rPr>
                <w:rFonts w:cs="Arial"/>
                <w:sz w:val="20"/>
                <w:szCs w:val="20"/>
              </w:rPr>
              <w:t>7.02</w:t>
            </w:r>
          </w:p>
        </w:tc>
        <w:tc>
          <w:tcPr>
            <w:tcW w:w="587" w:type="pct"/>
            <w:tcBorders>
              <w:top w:val="nil"/>
              <w:bottom w:val="nil"/>
            </w:tcBorders>
            <w:vAlign w:val="center"/>
          </w:tcPr>
          <w:p w:rsidR="00497E1B" w:rsidRDefault="00497E1B">
            <w:pPr>
              <w:jc w:val="center"/>
              <w:rPr>
                <w:rFonts w:cs="Arial"/>
                <w:sz w:val="20"/>
                <w:szCs w:val="20"/>
              </w:rPr>
            </w:pPr>
            <w:r>
              <w:rPr>
                <w:rFonts w:cs="Arial"/>
                <w:sz w:val="20"/>
                <w:szCs w:val="20"/>
              </w:rPr>
              <w:t>8.05</w:t>
            </w:r>
          </w:p>
        </w:tc>
      </w:tr>
      <w:tr w:rsidR="00497E1B" w:rsidRPr="00405CDE" w:rsidTr="00A226E9">
        <w:trPr>
          <w:cnfStyle w:val="000000010000" w:firstRow="0" w:lastRow="0" w:firstColumn="0" w:lastColumn="0" w:oddVBand="0" w:evenVBand="0" w:oddHBand="0" w:evenHBand="1" w:firstRowFirstColumn="0" w:firstRowLastColumn="0" w:lastRowFirstColumn="0" w:lastRowLastColumn="0"/>
          <w:trHeight w:val="510"/>
        </w:trPr>
        <w:tc>
          <w:tcPr>
            <w:tcW w:w="1152" w:type="pct"/>
            <w:tcBorders>
              <w:top w:val="nil"/>
              <w:bottom w:val="single" w:sz="4" w:space="0" w:color="auto"/>
            </w:tcBorders>
            <w:vAlign w:val="center"/>
          </w:tcPr>
          <w:p w:rsidR="00497E1B" w:rsidRDefault="00497E1B">
            <w:pPr>
              <w:rPr>
                <w:rFonts w:cs="Arial"/>
                <w:szCs w:val="20"/>
              </w:rPr>
            </w:pPr>
            <w:r>
              <w:rPr>
                <w:rFonts w:cs="Arial"/>
                <w:szCs w:val="20"/>
              </w:rPr>
              <w:t>Ex post quantity (TJ)</w:t>
            </w:r>
          </w:p>
        </w:tc>
        <w:tc>
          <w:tcPr>
            <w:tcW w:w="589" w:type="pct"/>
            <w:tcBorders>
              <w:top w:val="nil"/>
              <w:bottom w:val="single" w:sz="4" w:space="0" w:color="auto"/>
            </w:tcBorders>
            <w:vAlign w:val="center"/>
          </w:tcPr>
          <w:p w:rsidR="00497E1B" w:rsidRDefault="00497E1B">
            <w:pPr>
              <w:jc w:val="center"/>
              <w:rPr>
                <w:rFonts w:cs="Arial"/>
                <w:szCs w:val="20"/>
              </w:rPr>
            </w:pPr>
            <w:r>
              <w:rPr>
                <w:rFonts w:cs="Arial"/>
                <w:szCs w:val="20"/>
              </w:rPr>
              <w:t>58</w:t>
            </w:r>
          </w:p>
        </w:tc>
        <w:tc>
          <w:tcPr>
            <w:tcW w:w="516" w:type="pct"/>
            <w:tcBorders>
              <w:top w:val="nil"/>
              <w:bottom w:val="single" w:sz="4" w:space="0" w:color="auto"/>
            </w:tcBorders>
            <w:vAlign w:val="center"/>
          </w:tcPr>
          <w:p w:rsidR="00497E1B" w:rsidRDefault="00497E1B">
            <w:pPr>
              <w:jc w:val="center"/>
              <w:rPr>
                <w:rFonts w:cs="Arial"/>
                <w:szCs w:val="20"/>
              </w:rPr>
            </w:pPr>
            <w:r>
              <w:rPr>
                <w:rFonts w:cs="Arial"/>
                <w:szCs w:val="20"/>
              </w:rPr>
              <w:t>65</w:t>
            </w:r>
          </w:p>
        </w:tc>
        <w:tc>
          <w:tcPr>
            <w:tcW w:w="598" w:type="pct"/>
            <w:tcBorders>
              <w:top w:val="nil"/>
              <w:bottom w:val="single" w:sz="4" w:space="0" w:color="auto"/>
            </w:tcBorders>
            <w:vAlign w:val="center"/>
          </w:tcPr>
          <w:p w:rsidR="00497E1B" w:rsidRDefault="00497E1B">
            <w:pPr>
              <w:jc w:val="center"/>
              <w:rPr>
                <w:rFonts w:cs="Arial"/>
                <w:szCs w:val="20"/>
              </w:rPr>
            </w:pPr>
            <w:r>
              <w:rPr>
                <w:rFonts w:cs="Arial"/>
                <w:szCs w:val="20"/>
              </w:rPr>
              <w:t>75</w:t>
            </w:r>
          </w:p>
        </w:tc>
        <w:tc>
          <w:tcPr>
            <w:tcW w:w="525" w:type="pct"/>
            <w:tcBorders>
              <w:top w:val="nil"/>
              <w:bottom w:val="single" w:sz="4" w:space="0" w:color="auto"/>
            </w:tcBorders>
            <w:vAlign w:val="center"/>
          </w:tcPr>
          <w:p w:rsidR="00497E1B" w:rsidRDefault="00497E1B">
            <w:pPr>
              <w:jc w:val="center"/>
              <w:rPr>
                <w:rFonts w:cs="Arial"/>
                <w:szCs w:val="20"/>
              </w:rPr>
            </w:pPr>
            <w:r>
              <w:rPr>
                <w:rFonts w:cs="Arial"/>
                <w:szCs w:val="20"/>
              </w:rPr>
              <w:t>77</w:t>
            </w:r>
          </w:p>
        </w:tc>
        <w:tc>
          <w:tcPr>
            <w:tcW w:w="518" w:type="pct"/>
            <w:tcBorders>
              <w:top w:val="nil"/>
              <w:bottom w:val="single" w:sz="4" w:space="0" w:color="auto"/>
            </w:tcBorders>
            <w:vAlign w:val="center"/>
          </w:tcPr>
          <w:p w:rsidR="00497E1B" w:rsidRDefault="00497E1B">
            <w:pPr>
              <w:jc w:val="center"/>
              <w:rPr>
                <w:rFonts w:cs="Arial"/>
                <w:szCs w:val="20"/>
              </w:rPr>
            </w:pPr>
            <w:r>
              <w:rPr>
                <w:rFonts w:cs="Arial"/>
                <w:szCs w:val="20"/>
              </w:rPr>
              <w:t>75</w:t>
            </w:r>
          </w:p>
        </w:tc>
        <w:tc>
          <w:tcPr>
            <w:tcW w:w="515" w:type="pct"/>
            <w:tcBorders>
              <w:top w:val="nil"/>
              <w:bottom w:val="single" w:sz="4" w:space="0" w:color="auto"/>
            </w:tcBorders>
            <w:vAlign w:val="center"/>
          </w:tcPr>
          <w:p w:rsidR="00497E1B" w:rsidRDefault="00497E1B">
            <w:pPr>
              <w:jc w:val="center"/>
              <w:rPr>
                <w:rFonts w:cs="Arial"/>
                <w:szCs w:val="20"/>
              </w:rPr>
            </w:pPr>
            <w:r>
              <w:rPr>
                <w:rFonts w:cs="Arial"/>
                <w:szCs w:val="20"/>
              </w:rPr>
              <w:t>71</w:t>
            </w:r>
          </w:p>
        </w:tc>
        <w:tc>
          <w:tcPr>
            <w:tcW w:w="587" w:type="pct"/>
            <w:tcBorders>
              <w:top w:val="nil"/>
              <w:bottom w:val="single" w:sz="4" w:space="0" w:color="auto"/>
            </w:tcBorders>
            <w:vAlign w:val="center"/>
          </w:tcPr>
          <w:p w:rsidR="00497E1B" w:rsidRDefault="00497E1B">
            <w:pPr>
              <w:jc w:val="center"/>
              <w:rPr>
                <w:rFonts w:cs="Arial"/>
                <w:szCs w:val="20"/>
              </w:rPr>
            </w:pPr>
            <w:r>
              <w:rPr>
                <w:rFonts w:cs="Arial"/>
                <w:szCs w:val="20"/>
              </w:rPr>
              <w:t>73</w:t>
            </w:r>
          </w:p>
        </w:tc>
      </w:tr>
    </w:tbl>
    <w:p w:rsidR="004C571B" w:rsidRDefault="00EC2CB1" w:rsidP="00E16EDC">
      <w:pPr>
        <w:pStyle w:val="Caption"/>
        <w:numPr>
          <w:ilvl w:val="0"/>
          <w:numId w:val="32"/>
        </w:numPr>
        <w:ind w:left="709" w:hanging="709"/>
        <w:rPr>
          <w:color w:val="2272A3"/>
          <w:szCs w:val="24"/>
        </w:rPr>
      </w:pPr>
      <w:r w:rsidRPr="00DD0358">
        <w:rPr>
          <w:color w:val="2272A3"/>
          <w:szCs w:val="24"/>
        </w:rPr>
        <w:t>BRI daily hub offers and daily hub bids in price bands ($/GJ)</w:t>
      </w:r>
    </w:p>
    <w:p w:rsidR="00EC2CB1" w:rsidRPr="00EC2CB1" w:rsidRDefault="00497E1B" w:rsidP="00EC2CB1">
      <w:r w:rsidRPr="00497E1B">
        <w:rPr>
          <w:noProof/>
          <w:lang w:eastAsia="en-AU"/>
        </w:rPr>
        <w:drawing>
          <wp:inline distT="0" distB="0" distL="0" distR="0" wp14:anchorId="2E00F6D5" wp14:editId="760A0FF5">
            <wp:extent cx="5731510" cy="1725905"/>
            <wp:effectExtent l="0" t="0" r="2540" b="0"/>
            <wp:docPr id="42" name="Picture 42" descr="Figure 4.2 shows the daily hub offers and bid in within certain price bands in Brisbane this week. The line indicates the scheduled quantity for each day. For a more detailed description of this figure, please refer to the user gui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731510" cy="1725905"/>
                    </a:xfrm>
                    <a:prstGeom prst="rect">
                      <a:avLst/>
                    </a:prstGeom>
                    <a:noFill/>
                    <a:ln>
                      <a:noFill/>
                    </a:ln>
                  </pic:spPr>
                </pic:pic>
              </a:graphicData>
            </a:graphic>
          </wp:inline>
        </w:drawing>
      </w:r>
    </w:p>
    <w:p w:rsidR="00EC2CB1" w:rsidRDefault="00EC2CB1" w:rsidP="00EC2CB1">
      <w:pPr>
        <w:pStyle w:val="Caption"/>
        <w:numPr>
          <w:ilvl w:val="0"/>
          <w:numId w:val="32"/>
        </w:numPr>
        <w:ind w:left="709" w:hanging="709"/>
        <w:rPr>
          <w:color w:val="2272A3"/>
          <w:szCs w:val="24"/>
        </w:rPr>
      </w:pPr>
      <w:r w:rsidRPr="00DD0358">
        <w:rPr>
          <w:color w:val="2272A3"/>
          <w:szCs w:val="24"/>
        </w:rPr>
        <w:lastRenderedPageBreak/>
        <w:t>BRI net scheduled and allocated gas hub supply (excluding MOS)</w:t>
      </w:r>
    </w:p>
    <w:p w:rsidR="00EC2CB1" w:rsidRPr="00EC2CB1" w:rsidRDefault="00497E1B" w:rsidP="00EC2CB1">
      <w:r w:rsidRPr="00497E1B">
        <w:rPr>
          <w:noProof/>
          <w:lang w:eastAsia="en-AU"/>
        </w:rPr>
        <w:drawing>
          <wp:inline distT="0" distB="0" distL="0" distR="0" wp14:anchorId="78C6C786" wp14:editId="7CE14DF9">
            <wp:extent cx="5731510" cy="1475616"/>
            <wp:effectExtent l="0" t="0" r="2540" b="0"/>
            <wp:docPr id="44" name="Picture 44" descr="Figure 4.3 shows the daily scheduled and allocated quantities sorted by facility for Brisbane this week. For a more detailed description of this figure, please refer to the user gui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31510" cy="1475616"/>
                    </a:xfrm>
                    <a:prstGeom prst="rect">
                      <a:avLst/>
                    </a:prstGeom>
                    <a:noFill/>
                    <a:ln>
                      <a:noFill/>
                    </a:ln>
                  </pic:spPr>
                </pic:pic>
              </a:graphicData>
            </a:graphic>
          </wp:inline>
        </w:drawing>
      </w:r>
    </w:p>
    <w:p w:rsidR="00EC2CB1" w:rsidRPr="001521CB" w:rsidRDefault="00EC2CB1" w:rsidP="00551D6B">
      <w:pPr>
        <w:pStyle w:val="Caption"/>
        <w:numPr>
          <w:ilvl w:val="0"/>
          <w:numId w:val="32"/>
        </w:numPr>
        <w:ind w:left="1418" w:hanging="1418"/>
      </w:pPr>
      <w:r w:rsidRPr="00DD0358">
        <w:rPr>
          <w:color w:val="2272A3"/>
          <w:szCs w:val="24"/>
        </w:rPr>
        <w:t>BRI MOS allocations (TJ), service payments and commodity payments/charges ($000)</w:t>
      </w:r>
    </w:p>
    <w:p w:rsidR="00551D6B" w:rsidRPr="00A226E9" w:rsidRDefault="00497E1B" w:rsidP="00A226E9">
      <w:r w:rsidRPr="00497E1B">
        <w:rPr>
          <w:noProof/>
          <w:lang w:eastAsia="en-AU"/>
        </w:rPr>
        <w:drawing>
          <wp:inline distT="0" distB="0" distL="0" distR="0" wp14:anchorId="52080D2B" wp14:editId="19EE0463">
            <wp:extent cx="5731510" cy="1883137"/>
            <wp:effectExtent l="0" t="0" r="2540" b="3175"/>
            <wp:docPr id="45" name="Picture 45" descr="Figure 4.4 shows the daily MOS allocations sorted by facility for each facility in Brisbane this week. The figure also shows the daily breakdown of costs associated with the MOS provided. For a more detailed description of this figure, please refer to the user guide.   &#10;      &#10;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731510" cy="1883137"/>
                    </a:xfrm>
                    <a:prstGeom prst="rect">
                      <a:avLst/>
                    </a:prstGeom>
                    <a:noFill/>
                    <a:ln>
                      <a:noFill/>
                    </a:ln>
                  </pic:spPr>
                </pic:pic>
              </a:graphicData>
            </a:graphic>
          </wp:inline>
        </w:drawing>
      </w:r>
    </w:p>
    <w:p w:rsidR="00EC2CB1" w:rsidRDefault="00EC2CB1" w:rsidP="00EC2CB1">
      <w:pPr>
        <w:pStyle w:val="Heading3"/>
        <w:rPr>
          <w:rFonts w:eastAsia="Times New Roman" w:cs="Times New Roman"/>
          <w:color w:val="2272A3" w:themeColor="accent4" w:themeShade="80"/>
          <w:sz w:val="32"/>
          <w:szCs w:val="20"/>
        </w:rPr>
      </w:pPr>
      <w:r>
        <w:rPr>
          <w:rFonts w:eastAsia="Times New Roman" w:cs="Times New Roman"/>
          <w:color w:val="2272A3" w:themeColor="accent4" w:themeShade="80"/>
          <w:sz w:val="32"/>
          <w:szCs w:val="20"/>
        </w:rPr>
        <w:t>5</w:t>
      </w:r>
      <w:r w:rsidRPr="003171C6">
        <w:rPr>
          <w:rFonts w:eastAsia="Times New Roman" w:cs="Times New Roman"/>
          <w:color w:val="2272A3" w:themeColor="accent4" w:themeShade="80"/>
          <w:sz w:val="32"/>
          <w:szCs w:val="20"/>
        </w:rPr>
        <w:t xml:space="preserve">. </w:t>
      </w:r>
      <w:r>
        <w:rPr>
          <w:rFonts w:eastAsia="Times New Roman" w:cs="Times New Roman"/>
          <w:color w:val="2272A3" w:themeColor="accent4" w:themeShade="80"/>
          <w:sz w:val="32"/>
          <w:szCs w:val="20"/>
        </w:rPr>
        <w:t>National Gas Bulletin Board</w:t>
      </w:r>
    </w:p>
    <w:p w:rsidR="004C571B" w:rsidRDefault="00551D6B" w:rsidP="00551D6B">
      <w:pPr>
        <w:jc w:val="both"/>
      </w:pPr>
      <w:r w:rsidRPr="00A475A2">
        <w:t xml:space="preserve">Figure </w:t>
      </w:r>
      <w:r>
        <w:t>5</w:t>
      </w:r>
      <w:r w:rsidRPr="00A475A2">
        <w:t xml:space="preserve">.1 shows average daily </w:t>
      </w:r>
      <w:r>
        <w:t xml:space="preserve">actual </w:t>
      </w:r>
      <w:r w:rsidRPr="00A475A2">
        <w:t>flows for the current week</w:t>
      </w:r>
      <w:r>
        <w:rPr>
          <w:rStyle w:val="FootnoteReference"/>
        </w:rPr>
        <w:footnoteReference w:id="9"/>
      </w:r>
      <w:r>
        <w:t xml:space="preserve"> from </w:t>
      </w:r>
      <w:r w:rsidRPr="00A475A2">
        <w:t xml:space="preserve">the Bulletin Board (changes from the </w:t>
      </w:r>
      <w:r>
        <w:t>previous week’s</w:t>
      </w:r>
      <w:r w:rsidRPr="00A475A2">
        <w:t xml:space="preserve"> average are shown in brackets).</w:t>
      </w:r>
      <w:r w:rsidRPr="00DF25FF">
        <w:t xml:space="preserve"> </w:t>
      </w:r>
      <w:r>
        <w:t>Average daily prices</w:t>
      </w:r>
      <w:r>
        <w:rPr>
          <w:rStyle w:val="FootnoteReference"/>
        </w:rPr>
        <w:footnoteReference w:id="10"/>
      </w:r>
      <w:r>
        <w:t xml:space="preserve"> are provided for gas markets </w:t>
      </w:r>
      <w:r w:rsidR="00817724">
        <w:t>and gas supply hubs. Average daily quantities are provided for</w:t>
      </w:r>
      <w:r>
        <w:t xml:space="preserve"> gas powered generation for each region.</w:t>
      </w:r>
    </w:p>
    <w:p w:rsidR="004C571B" w:rsidRDefault="00551D6B" w:rsidP="00551D6B">
      <w:pPr>
        <w:pStyle w:val="Caption"/>
        <w:numPr>
          <w:ilvl w:val="0"/>
          <w:numId w:val="33"/>
        </w:numPr>
        <w:ind w:left="1418" w:hanging="1418"/>
        <w:rPr>
          <w:color w:val="2272A3"/>
          <w:szCs w:val="24"/>
        </w:rPr>
      </w:pPr>
      <w:r w:rsidRPr="00DD0358">
        <w:rPr>
          <w:color w:val="2272A3"/>
          <w:szCs w:val="24"/>
        </w:rPr>
        <w:lastRenderedPageBreak/>
        <w:t xml:space="preserve">Gas market data ($/GJ, TJ); </w:t>
      </w:r>
      <w:r w:rsidR="009508DF">
        <w:rPr>
          <w:color w:val="2272A3"/>
          <w:szCs w:val="24"/>
        </w:rPr>
        <w:t>Bulletin Board</w:t>
      </w:r>
      <w:r w:rsidRPr="00DD0358">
        <w:rPr>
          <w:color w:val="2272A3"/>
          <w:szCs w:val="24"/>
        </w:rPr>
        <w:t xml:space="preserve"> flows (TJ)</w:t>
      </w:r>
      <w:r w:rsidR="002C35B4">
        <w:rPr>
          <w:rStyle w:val="FootnoteReference"/>
          <w:color w:val="2272A3"/>
          <w:szCs w:val="24"/>
        </w:rPr>
        <w:footnoteReference w:id="11"/>
      </w:r>
    </w:p>
    <w:p w:rsidR="00665C0C" w:rsidRDefault="00185A2E">
      <w:pPr>
        <w:spacing w:line="240" w:lineRule="auto"/>
      </w:pPr>
      <w:r>
        <w:rPr>
          <w:b/>
          <w:bCs/>
          <w:noProof/>
          <w:lang w:eastAsia="en-AU"/>
        </w:rPr>
        <w:drawing>
          <wp:inline distT="0" distB="0" distL="0" distR="0" wp14:anchorId="3556334E" wp14:editId="46FB1A77">
            <wp:extent cx="5731510" cy="6261735"/>
            <wp:effectExtent l="0" t="0" r="2540" b="5715"/>
            <wp:docPr id="2" name="Picture 2" descr="Figure 5.1 shows the average daily Bulletin Board flows for this week compared to the previous week. It includes price data for gas markets across the east coast of Australia and gas powered generation usage estimates for each state. For a more detailed description of this figure, please refer to the user 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31510" cy="6261735"/>
                    </a:xfrm>
                    <a:prstGeom prst="rect">
                      <a:avLst/>
                    </a:prstGeom>
                    <a:noFill/>
                    <a:ln>
                      <a:noFill/>
                    </a:ln>
                  </pic:spPr>
                </pic:pic>
              </a:graphicData>
            </a:graphic>
          </wp:inline>
        </w:drawing>
      </w:r>
      <w:r w:rsidR="00665C0C">
        <w:rPr>
          <w:b/>
          <w:bCs/>
        </w:rPr>
        <w:br w:type="page"/>
      </w:r>
    </w:p>
    <w:p w:rsidR="00EC2CB1" w:rsidRDefault="00EC2CB1" w:rsidP="00EC2CB1">
      <w:pPr>
        <w:pStyle w:val="Heading3"/>
        <w:rPr>
          <w:rFonts w:eastAsia="Times New Roman" w:cs="Times New Roman"/>
          <w:color w:val="2272A3" w:themeColor="accent4" w:themeShade="80"/>
          <w:sz w:val="32"/>
          <w:szCs w:val="20"/>
        </w:rPr>
      </w:pPr>
      <w:r>
        <w:rPr>
          <w:rFonts w:eastAsia="Times New Roman" w:cs="Times New Roman"/>
          <w:color w:val="2272A3" w:themeColor="accent4" w:themeShade="80"/>
          <w:sz w:val="32"/>
          <w:szCs w:val="20"/>
        </w:rPr>
        <w:lastRenderedPageBreak/>
        <w:t>6</w:t>
      </w:r>
      <w:r w:rsidRPr="003171C6">
        <w:rPr>
          <w:rFonts w:eastAsia="Times New Roman" w:cs="Times New Roman"/>
          <w:color w:val="2272A3" w:themeColor="accent4" w:themeShade="80"/>
          <w:sz w:val="32"/>
          <w:szCs w:val="20"/>
        </w:rPr>
        <w:t xml:space="preserve">. </w:t>
      </w:r>
      <w:r>
        <w:rPr>
          <w:rFonts w:eastAsia="Times New Roman" w:cs="Times New Roman"/>
          <w:color w:val="2272A3" w:themeColor="accent4" w:themeShade="80"/>
          <w:sz w:val="32"/>
          <w:szCs w:val="20"/>
        </w:rPr>
        <w:t>Gas Supply Hub</w:t>
      </w:r>
    </w:p>
    <w:p w:rsidR="00A842B8" w:rsidRDefault="00A842B8" w:rsidP="00A842B8">
      <w:pPr>
        <w:jc w:val="both"/>
        <w:rPr>
          <w:color w:val="FF0000"/>
        </w:rPr>
      </w:pPr>
      <w:r w:rsidRPr="00DD0DBA">
        <w:t xml:space="preserve">The gas supply hub was established at Wallumbilla in March 2014 to facilitate the voluntary trading of gas between participants, with products listed for sale and purchase at delivery points on three major connecting pipelines at Wallumbilla – the </w:t>
      </w:r>
      <w:r w:rsidRPr="00DD0DBA">
        <w:rPr>
          <w:b/>
        </w:rPr>
        <w:t>QGP</w:t>
      </w:r>
      <w:r w:rsidRPr="00DD0DBA">
        <w:t xml:space="preserve">, the </w:t>
      </w:r>
      <w:r w:rsidRPr="00DD0DBA">
        <w:rPr>
          <w:b/>
        </w:rPr>
        <w:t>SWQP</w:t>
      </w:r>
      <w:r w:rsidRPr="00DD0DBA">
        <w:t xml:space="preserve"> and the </w:t>
      </w:r>
      <w:r w:rsidRPr="00DD0DBA">
        <w:rPr>
          <w:b/>
        </w:rPr>
        <w:t>RBP</w:t>
      </w:r>
      <w:r w:rsidRPr="00DD0DBA">
        <w:t xml:space="preserve">. </w:t>
      </w:r>
      <w:r w:rsidRPr="00552F68">
        <w:t>There are separate products for each pipeline (</w:t>
      </w:r>
      <w:r>
        <w:t>trading location</w:t>
      </w:r>
      <w:r w:rsidRPr="00552F68">
        <w:t>) and delivery period (daily, day-ahead, balance-of-day, weekly and monthly products).</w:t>
      </w:r>
      <w:r>
        <w:rPr>
          <w:rStyle w:val="FootnoteReference"/>
        </w:rPr>
        <w:footnoteReference w:id="12"/>
      </w:r>
      <w:r w:rsidRPr="00552F68">
        <w:rPr>
          <w:color w:val="FF0000"/>
        </w:rPr>
        <w:t xml:space="preserve"> </w:t>
      </w:r>
    </w:p>
    <w:p w:rsidR="00A842B8" w:rsidRDefault="00A842B8" w:rsidP="00A842B8">
      <w:pPr>
        <w:jc w:val="both"/>
      </w:pPr>
      <w:r w:rsidRPr="00DD0DBA">
        <w:t xml:space="preserve">The Moomba hub commenced operation from June 2016 to further facilitate trading on the </w:t>
      </w:r>
      <w:r w:rsidRPr="00DD0DBA">
        <w:rPr>
          <w:b/>
        </w:rPr>
        <w:t>MAP</w:t>
      </w:r>
      <w:r w:rsidRPr="00DD0DBA">
        <w:t xml:space="preserve"> and </w:t>
      </w:r>
      <w:r w:rsidRPr="00DD0DBA">
        <w:rPr>
          <w:b/>
        </w:rPr>
        <w:t>MSP</w:t>
      </w:r>
      <w:r w:rsidRPr="00DD0DBA">
        <w:t xml:space="preserve">, with trading between the two hubs </w:t>
      </w:r>
      <w:r>
        <w:t xml:space="preserve">on </w:t>
      </w:r>
      <w:r w:rsidRPr="00DD0DBA">
        <w:t>the SWQP</w:t>
      </w:r>
      <w:r>
        <w:t xml:space="preserve"> via a spread product (representing the price differential between the hubs). From October 2016, the addition of a Wallumbilla Compression Product was introduced to facilitate</w:t>
      </w:r>
      <w:r w:rsidRPr="003804B2">
        <w:t xml:space="preserve"> </w:t>
      </w:r>
      <w:r>
        <w:t xml:space="preserve">the supply </w:t>
      </w:r>
      <w:r w:rsidRPr="004A7BD7">
        <w:t>hub’s transition from three different trading locations into one</w:t>
      </w:r>
      <w:r>
        <w:t xml:space="preserve">. </w:t>
      </w:r>
    </w:p>
    <w:p w:rsidR="00A842B8" w:rsidRPr="00A842B8" w:rsidRDefault="00A842B8" w:rsidP="00A842B8">
      <w:pPr>
        <w:jc w:val="both"/>
      </w:pPr>
      <w:r w:rsidRPr="00A842B8">
        <w:t>This week in the Wallumbilla hub there were 16 trades for 77.4 TJ of gas at a volume weighted price of $8.65/GJ. There were two balance-of-day trades on the SWQP (10 TJ at $8.50/GJ) and balance-of-day, day-ahead and daily products were traded on the RBP (67.4 TJ at $8.67/GJ).</w:t>
      </w:r>
    </w:p>
    <w:p w:rsidR="00A842B8" w:rsidRDefault="00A842B8" w:rsidP="00A842B8">
      <w:pPr>
        <w:jc w:val="both"/>
      </w:pPr>
      <w:r w:rsidRPr="00552F68">
        <w:t>Figure 6.1 shows the quantity of gas traded by product type for each trading day on pipeline trading locations in the Wallumbilla and Moomba Gas Supply Hubs.</w:t>
      </w:r>
      <w:r>
        <w:rPr>
          <w:rStyle w:val="FootnoteReference"/>
        </w:rPr>
        <w:footnoteReference w:id="13"/>
      </w:r>
      <w:r>
        <w:t xml:space="preserve"> </w:t>
      </w:r>
    </w:p>
    <w:p w:rsidR="00E16EDC" w:rsidRDefault="00F65699" w:rsidP="00E16EDC">
      <w:pPr>
        <w:pStyle w:val="Caption"/>
        <w:numPr>
          <w:ilvl w:val="0"/>
          <w:numId w:val="34"/>
        </w:numPr>
        <w:ind w:left="709" w:hanging="709"/>
        <w:rPr>
          <w:color w:val="2272A3"/>
          <w:szCs w:val="24"/>
        </w:rPr>
      </w:pPr>
      <w:r>
        <w:rPr>
          <w:color w:val="2272A3"/>
          <w:szCs w:val="24"/>
        </w:rPr>
        <w:t>GSH traded quantities</w:t>
      </w:r>
    </w:p>
    <w:p w:rsidR="00E16EDC" w:rsidRDefault="004D4072" w:rsidP="00E16EDC">
      <w:r w:rsidRPr="004D4072">
        <w:rPr>
          <w:noProof/>
          <w:lang w:eastAsia="en-AU"/>
        </w:rPr>
        <w:drawing>
          <wp:inline distT="0" distB="0" distL="0" distR="0" wp14:anchorId="4597610E" wp14:editId="5B733E29">
            <wp:extent cx="5731510" cy="3127379"/>
            <wp:effectExtent l="0" t="0" r="2540" b="0"/>
            <wp:docPr id="13" name="Picture 13" descr="Figure 6.1 shows the daily quantity of gas traded during the week at each trading location. In the Moomba hub, trading locations include registered facilities at MSP (SWQP) and MAP. In the Wallumbilla hub, trading locations include registered facilities at RBP, SWQP and QGP, and registered/alternate delivery points for non-netted product trades (W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31510" cy="3127379"/>
                    </a:xfrm>
                    <a:prstGeom prst="rect">
                      <a:avLst/>
                    </a:prstGeom>
                    <a:noFill/>
                    <a:ln>
                      <a:noFill/>
                    </a:ln>
                  </pic:spPr>
                </pic:pic>
              </a:graphicData>
            </a:graphic>
          </wp:inline>
        </w:drawing>
      </w:r>
    </w:p>
    <w:bookmarkEnd w:id="0"/>
    <w:bookmarkEnd w:id="1"/>
    <w:bookmarkEnd w:id="2"/>
    <w:bookmarkEnd w:id="3"/>
    <w:bookmarkEnd w:id="4"/>
    <w:bookmarkEnd w:id="5"/>
    <w:p w:rsidR="00275002" w:rsidRPr="009F2CAC" w:rsidRDefault="00275002" w:rsidP="00783D4E">
      <w:pPr>
        <w:pStyle w:val="Heading4notnumbered"/>
      </w:pPr>
      <w:r w:rsidRPr="00D92E07">
        <w:t>Australian Energy Regulator</w:t>
      </w:r>
      <w:r w:rsidR="005B0EF5" w:rsidRPr="00D92E07">
        <w:br/>
      </w:r>
      <w:r w:rsidR="00525315" w:rsidRPr="00525315">
        <w:t>January 2017</w:t>
      </w:r>
    </w:p>
    <w:sectPr w:rsidR="00275002" w:rsidRPr="009F2CAC" w:rsidSect="00A226E9">
      <w:headerReference w:type="even" r:id="rId32"/>
      <w:headerReference w:type="default" r:id="rId33"/>
      <w:footerReference w:type="even" r:id="rId34"/>
      <w:footerReference w:type="default" r:id="rId35"/>
      <w:headerReference w:type="first" r:id="rId36"/>
      <w:footerReference w:type="first" r:id="rId37"/>
      <w:pgSz w:w="11906" w:h="16838"/>
      <w:pgMar w:top="709" w:right="1440" w:bottom="851" w:left="1440" w:header="708" w:footer="8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42B8" w:rsidRDefault="00A842B8" w:rsidP="004B4412">
      <w:pPr>
        <w:spacing w:before="0"/>
      </w:pPr>
      <w:r>
        <w:separator/>
      </w:r>
    </w:p>
  </w:endnote>
  <w:endnote w:type="continuationSeparator" w:id="0">
    <w:p w:rsidR="00A842B8" w:rsidRDefault="00A842B8" w:rsidP="004B441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Fax">
    <w:panose1 w:val="02060602050505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autami">
    <w:panose1 w:val="020B0502040204020203"/>
    <w:charset w:val="01"/>
    <w:family w:val="roman"/>
    <w:notTrueType/>
    <w:pitch w:val="variable"/>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2B8" w:rsidRPr="00A91A9E" w:rsidRDefault="00A842B8" w:rsidP="00275002">
    <w:pPr>
      <w:pBdr>
        <w:top w:val="single" w:sz="2" w:space="1" w:color="auto"/>
      </w:pBdr>
      <w:tabs>
        <w:tab w:val="right" w:pos="8448"/>
      </w:tabs>
      <w:rPr>
        <w:rStyle w:val="PageNumber"/>
      </w:rPr>
    </w:pPr>
    <w:r w:rsidRPr="00A91A9E">
      <w:rPr>
        <w:rStyle w:val="PageNumber"/>
      </w:rPr>
      <w:fldChar w:fldCharType="begin"/>
    </w:r>
    <w:r w:rsidRPr="00A91A9E">
      <w:rPr>
        <w:rStyle w:val="PageNumber"/>
      </w:rPr>
      <w:instrText xml:space="preserve"> PAGE   \* MERGEFORMAT </w:instrText>
    </w:r>
    <w:r w:rsidRPr="00A91A9E">
      <w:rPr>
        <w:rStyle w:val="PageNumber"/>
      </w:rPr>
      <w:fldChar w:fldCharType="separate"/>
    </w:r>
    <w:r>
      <w:rPr>
        <w:rStyle w:val="PageNumber"/>
        <w:noProof/>
      </w:rPr>
      <w:t>2</w:t>
    </w:r>
    <w:r w:rsidRPr="00A91A9E">
      <w:rPr>
        <w:rStyle w:val="PageNumber"/>
      </w:rPr>
      <w:fldChar w:fldCharType="end"/>
    </w:r>
    <w:r w:rsidRPr="00A91A9E">
      <w:rPr>
        <w:rStyle w:val="PageNumber"/>
      </w:rPr>
      <w:tab/>
      <w:t>Xxx report—month/year</w:t>
    </w:r>
  </w:p>
  <w:p w:rsidR="00A842B8" w:rsidRDefault="00A842B8"/>
  <w:p w:rsidR="00A842B8" w:rsidRDefault="00A842B8"/>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2B8" w:rsidRPr="00A94D89" w:rsidRDefault="00A842B8" w:rsidP="00A94D89">
    <w:pPr>
      <w:pStyle w:val="Footer"/>
      <w:pBdr>
        <w:top w:val="single" w:sz="4" w:space="1" w:color="auto"/>
      </w:pBdr>
      <w:rPr>
        <w:rFonts w:cs="Arial"/>
        <w:i/>
      </w:rPr>
    </w:pPr>
    <w:r w:rsidRPr="00F52F00">
      <w:rPr>
        <w:rFonts w:cs="Arial"/>
        <w:i/>
      </w:rPr>
      <w:tab/>
    </w:r>
    <w:r w:rsidRPr="001F1B78">
      <w:rPr>
        <w:rFonts w:cs="Arial"/>
        <w:i/>
      </w:rPr>
      <w:fldChar w:fldCharType="begin"/>
    </w:r>
    <w:r w:rsidRPr="001F1B78">
      <w:rPr>
        <w:rFonts w:cs="Arial"/>
        <w:i/>
      </w:rPr>
      <w:instrText xml:space="preserve"> PAGE   \* MERGEFORMAT </w:instrText>
    </w:r>
    <w:r w:rsidRPr="001F1B78">
      <w:rPr>
        <w:rFonts w:cs="Arial"/>
        <w:i/>
      </w:rPr>
      <w:fldChar w:fldCharType="separate"/>
    </w:r>
    <w:r w:rsidR="00C55AB1">
      <w:rPr>
        <w:rFonts w:cs="Arial"/>
        <w:i/>
        <w:noProof/>
      </w:rPr>
      <w:t>4</w:t>
    </w:r>
    <w:r w:rsidRPr="001F1B78">
      <w:rPr>
        <w:rFonts w:cs="Arial"/>
        <w:i/>
        <w:noProof/>
      </w:rPr>
      <w:fldChar w:fldCharType="end"/>
    </w:r>
    <w:r w:rsidRPr="00F52F00">
      <w:rPr>
        <w:rFonts w:cs="Arial"/>
        <w:i/>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2B8" w:rsidRPr="00A94D89" w:rsidRDefault="00A842B8" w:rsidP="00A94D89">
    <w:pPr>
      <w:pStyle w:val="Footer"/>
      <w:pBdr>
        <w:top w:val="single" w:sz="4" w:space="1" w:color="auto"/>
      </w:pBdr>
      <w:rPr>
        <w:rFonts w:cs="Arial"/>
        <w:i/>
      </w:rPr>
    </w:pPr>
    <w:r w:rsidRPr="00F52F00">
      <w:rPr>
        <w:rFonts w:cs="Arial"/>
        <w:i/>
      </w:rPr>
      <w:t>© Commonwealth of Australia</w:t>
    </w:r>
    <w:r w:rsidRPr="00F52F00">
      <w:rPr>
        <w:rFonts w:cs="Arial"/>
        <w:i/>
      </w:rPr>
      <w:tab/>
    </w:r>
    <w:r w:rsidRPr="001F1B78">
      <w:rPr>
        <w:rFonts w:cs="Arial"/>
        <w:i/>
      </w:rPr>
      <w:fldChar w:fldCharType="begin"/>
    </w:r>
    <w:r w:rsidRPr="001F1B78">
      <w:rPr>
        <w:rFonts w:cs="Arial"/>
        <w:i/>
      </w:rPr>
      <w:instrText xml:space="preserve"> PAGE   \* MERGEFORMAT </w:instrText>
    </w:r>
    <w:r w:rsidRPr="001F1B78">
      <w:rPr>
        <w:rFonts w:cs="Arial"/>
        <w:i/>
      </w:rPr>
      <w:fldChar w:fldCharType="separate"/>
    </w:r>
    <w:r w:rsidR="00C55AB1">
      <w:rPr>
        <w:rFonts w:cs="Arial"/>
        <w:i/>
        <w:noProof/>
      </w:rPr>
      <w:t>1</w:t>
    </w:r>
    <w:r w:rsidRPr="001F1B78">
      <w:rPr>
        <w:rFonts w:cs="Arial"/>
        <w:i/>
        <w:noProof/>
      </w:rPr>
      <w:fldChar w:fldCharType="end"/>
    </w:r>
    <w:r w:rsidRPr="00F52F00">
      <w:rPr>
        <w:rFonts w:cs="Arial"/>
        <w:i/>
      </w:rPr>
      <w:tab/>
      <w:t>AER reference: 392</w:t>
    </w:r>
    <w:r>
      <w:rPr>
        <w:rFonts w:cs="Arial"/>
        <w:i/>
      </w:rPr>
      <w:t>7</w:t>
    </w:r>
    <w:r w:rsidRPr="00F52F00">
      <w:rPr>
        <w:rFonts w:cs="Arial"/>
        <w:i/>
      </w:rPr>
      <w:t xml:space="preserve">0 – </w:t>
    </w:r>
    <w:r w:rsidRPr="007F43CB">
      <w:rPr>
        <w:rFonts w:cs="Arial"/>
        <w:i/>
        <w:szCs w:val="18"/>
      </w:rPr>
      <w:t>D1</w:t>
    </w:r>
    <w:r>
      <w:rPr>
        <w:rFonts w:cs="Arial"/>
        <w:i/>
        <w:szCs w:val="18"/>
      </w:rPr>
      <w:t>7</w:t>
    </w:r>
    <w:r w:rsidRPr="007F43CB">
      <w:rPr>
        <w:rFonts w:cs="Arial"/>
        <w:i/>
        <w:szCs w:val="18"/>
      </w:rPr>
      <w:t>/</w:t>
    </w:r>
    <w:r>
      <w:rPr>
        <w:rFonts w:cs="Arial"/>
        <w:i/>
        <w:szCs w:val="18"/>
      </w:rPr>
      <w:t>7617</w:t>
    </w:r>
  </w:p>
  <w:p w:rsidR="00A842B8" w:rsidRDefault="00A842B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42B8" w:rsidRDefault="00A842B8" w:rsidP="004B4412">
      <w:pPr>
        <w:spacing w:before="0"/>
      </w:pPr>
      <w:r>
        <w:separator/>
      </w:r>
    </w:p>
  </w:footnote>
  <w:footnote w:type="continuationSeparator" w:id="0">
    <w:p w:rsidR="00A842B8" w:rsidRDefault="00A842B8" w:rsidP="004B4412">
      <w:pPr>
        <w:spacing w:before="0"/>
      </w:pPr>
      <w:r>
        <w:continuationSeparator/>
      </w:r>
    </w:p>
  </w:footnote>
  <w:footnote w:id="1">
    <w:p w:rsidR="00A842B8" w:rsidRDefault="00A842B8">
      <w:pPr>
        <w:pStyle w:val="FootnoteText"/>
      </w:pPr>
      <w:r>
        <w:rPr>
          <w:rStyle w:val="FootnoteReference"/>
        </w:rPr>
        <w:footnoteRef/>
      </w:r>
      <w:r>
        <w:t xml:space="preserve"> </w:t>
      </w:r>
      <w:r>
        <w:tab/>
        <w:t xml:space="preserve">Details of the NSW-VIC interconnect capacity upgrade is provided in the </w:t>
      </w:r>
      <w:hyperlink r:id="rId1" w:history="1">
        <w:r w:rsidRPr="00375C60">
          <w:rPr>
            <w:rStyle w:val="Hyperlink"/>
            <w:sz w:val="16"/>
          </w:rPr>
          <w:t>13–19 November weekly report, p. 3</w:t>
        </w:r>
      </w:hyperlink>
      <w:r>
        <w:t xml:space="preserve">.  </w:t>
      </w:r>
    </w:p>
  </w:footnote>
  <w:footnote w:id="2">
    <w:p w:rsidR="00A842B8" w:rsidRPr="000835F4" w:rsidRDefault="00A842B8" w:rsidP="000835F4">
      <w:pPr>
        <w:pStyle w:val="FootnoteText"/>
        <w:spacing w:before="0"/>
        <w:ind w:left="709" w:hanging="709"/>
        <w:jc w:val="both"/>
        <w:rPr>
          <w:szCs w:val="16"/>
        </w:rPr>
      </w:pPr>
      <w:r w:rsidRPr="00EC137F">
        <w:rPr>
          <w:rStyle w:val="FootnoteReference"/>
        </w:rPr>
        <w:footnoteRef/>
      </w:r>
      <w:r w:rsidRPr="00EC137F">
        <w:t xml:space="preserve"> </w:t>
      </w:r>
      <w:r w:rsidRPr="00EC137F">
        <w:tab/>
        <w:t xml:space="preserve">Average daily quantities are displayed for each region, with the exception of Gas Supply Hubs (GSH). </w:t>
      </w:r>
      <w:r w:rsidRPr="00EC137F">
        <w:rPr>
          <w:szCs w:val="16"/>
        </w:rPr>
        <w:t>The weighted average daily imbalance price applies for Victoria. The prices shown for the GSH in Wallumbilla and Moomba are volume weighted average prices for all products traded across the period. The total quantity contributing to the weighted price is displayed for these GSH.</w:t>
      </w:r>
    </w:p>
  </w:footnote>
  <w:footnote w:id="3">
    <w:p w:rsidR="00A842B8" w:rsidRPr="00EC2CB1" w:rsidRDefault="00A842B8" w:rsidP="00EC2CB1">
      <w:pPr>
        <w:pStyle w:val="FootnoteText"/>
        <w:spacing w:before="0"/>
        <w:ind w:left="709" w:hanging="709"/>
        <w:jc w:val="both"/>
        <w:rPr>
          <w:szCs w:val="16"/>
        </w:rPr>
      </w:pPr>
      <w:r w:rsidRPr="00EC2CB1">
        <w:rPr>
          <w:rStyle w:val="FootnoteReference"/>
          <w:szCs w:val="16"/>
        </w:rPr>
        <w:footnoteRef/>
      </w:r>
      <w:r w:rsidRPr="00EC2CB1">
        <w:rPr>
          <w:szCs w:val="16"/>
        </w:rPr>
        <w:t xml:space="preserve"> </w:t>
      </w:r>
      <w:r w:rsidRPr="00EC2CB1">
        <w:rPr>
          <w:szCs w:val="16"/>
        </w:rPr>
        <w:tab/>
        <w:t>Prices for subsequent schedules are applied only to the differences in scheduled quantities (imbalances) to calculate the weighted price. The 6 am price applies to the entire scheduled quantity in the initial schedule.</w:t>
      </w:r>
    </w:p>
  </w:footnote>
  <w:footnote w:id="4">
    <w:p w:rsidR="00A842B8" w:rsidRPr="00EC2CB1" w:rsidRDefault="00A842B8" w:rsidP="00EC2CB1">
      <w:pPr>
        <w:pStyle w:val="FootnoteText"/>
        <w:spacing w:before="0"/>
        <w:ind w:left="709" w:hanging="709"/>
        <w:jc w:val="both"/>
        <w:rPr>
          <w:szCs w:val="16"/>
        </w:rPr>
      </w:pPr>
      <w:r w:rsidRPr="00EC2CB1">
        <w:rPr>
          <w:rStyle w:val="FootnoteReference"/>
          <w:szCs w:val="16"/>
        </w:rPr>
        <w:footnoteRef/>
      </w:r>
      <w:r w:rsidRPr="00EC2CB1">
        <w:rPr>
          <w:szCs w:val="16"/>
        </w:rPr>
        <w:t xml:space="preserve"> </w:t>
      </w:r>
      <w:r w:rsidRPr="00EC2CB1">
        <w:rPr>
          <w:szCs w:val="16"/>
        </w:rPr>
        <w:tab/>
        <w:t>The price might also be affected by transmission or production (contractual) constraints limiting how much gas can be delivered from a locale or System Injection Point (SIP) from time to time.</w:t>
      </w:r>
    </w:p>
  </w:footnote>
  <w:footnote w:id="5">
    <w:p w:rsidR="00A842B8" w:rsidRPr="00EC2CB1" w:rsidRDefault="00A842B8" w:rsidP="00EC2CB1">
      <w:pPr>
        <w:pStyle w:val="FootnoteText"/>
        <w:spacing w:before="0"/>
        <w:ind w:left="709" w:hanging="709"/>
        <w:jc w:val="both"/>
        <w:rPr>
          <w:szCs w:val="16"/>
        </w:rPr>
      </w:pPr>
      <w:r w:rsidRPr="00EC2CB1">
        <w:rPr>
          <w:rStyle w:val="FootnoteReference"/>
          <w:szCs w:val="16"/>
        </w:rPr>
        <w:footnoteRef/>
      </w:r>
      <w:r w:rsidRPr="00EC2CB1">
        <w:rPr>
          <w:szCs w:val="16"/>
        </w:rPr>
        <w:t xml:space="preserve">  </w:t>
      </w:r>
      <w:r w:rsidRPr="00EC2CB1">
        <w:rPr>
          <w:szCs w:val="16"/>
        </w:rPr>
        <w:tab/>
        <w:t>These are Market Participants’ aggregate demand forecasts adjusted for any override as applied by AEMO from time to time. These forecasts must be scheduled and cannot respond to price like withdrawal bids.</w:t>
      </w:r>
    </w:p>
  </w:footnote>
  <w:footnote w:id="6">
    <w:p w:rsidR="00A842B8" w:rsidRPr="00551D6B" w:rsidRDefault="00A842B8" w:rsidP="00551D6B">
      <w:pPr>
        <w:pStyle w:val="FootnoteText"/>
        <w:spacing w:before="0"/>
        <w:ind w:left="709" w:hanging="709"/>
        <w:jc w:val="both"/>
        <w:rPr>
          <w:szCs w:val="16"/>
        </w:rPr>
      </w:pPr>
      <w:r w:rsidRPr="00551D6B">
        <w:rPr>
          <w:rStyle w:val="FootnoteReference"/>
          <w:szCs w:val="16"/>
        </w:rPr>
        <w:footnoteRef/>
      </w:r>
      <w:r w:rsidRPr="00551D6B">
        <w:rPr>
          <w:szCs w:val="16"/>
        </w:rPr>
        <w:t xml:space="preserve"> </w:t>
      </w:r>
      <w:r w:rsidRPr="00551D6B">
        <w:rPr>
          <w:szCs w:val="16"/>
        </w:rPr>
        <w:tab/>
        <w:t>The main driver of the amount of gas scheduled on a gas day is the ‘price-taker’ bid, which is forecast hub demand that cannot respond to price and which must be delivered, regardless of the price.</w:t>
      </w:r>
    </w:p>
  </w:footnote>
  <w:footnote w:id="7">
    <w:p w:rsidR="00A842B8" w:rsidRPr="00551D6B" w:rsidRDefault="00A842B8" w:rsidP="00551D6B">
      <w:pPr>
        <w:pStyle w:val="AERbodytext"/>
        <w:spacing w:before="0" w:line="240" w:lineRule="auto"/>
        <w:ind w:left="709" w:hanging="709"/>
        <w:rPr>
          <w:sz w:val="16"/>
          <w:szCs w:val="16"/>
        </w:rPr>
      </w:pPr>
      <w:r w:rsidRPr="00551D6B">
        <w:rPr>
          <w:rStyle w:val="FootnoteReference"/>
          <w:sz w:val="16"/>
          <w:szCs w:val="16"/>
        </w:rPr>
        <w:footnoteRef/>
      </w:r>
      <w:r w:rsidRPr="00551D6B">
        <w:rPr>
          <w:sz w:val="16"/>
          <w:szCs w:val="16"/>
        </w:rPr>
        <w:t xml:space="preserve"> </w:t>
      </w:r>
      <w:r w:rsidRPr="00551D6B">
        <w:rPr>
          <w:sz w:val="16"/>
          <w:szCs w:val="16"/>
        </w:rPr>
        <w:tab/>
        <w:t>MOS service payments involve a payment for a MOS increase service when the actual quantity delivered exceeds final gas nominations for delivery to a hub, and a payment for a MOS decrease service when the actual quantity delivered is less than final nominations. As well as a MOS ‘service’ payment, as shown in figure 2.4, MOS providers are paid for or pay for the quantity of MOS sold into the market or bought from the market (MOS ‘commodity’ payments/charges).</w:t>
      </w:r>
    </w:p>
  </w:footnote>
  <w:footnote w:id="8">
    <w:p w:rsidR="00A842B8" w:rsidRPr="00552F68" w:rsidRDefault="00A842B8" w:rsidP="00914872">
      <w:pPr>
        <w:pStyle w:val="FootnoteText"/>
        <w:ind w:left="709" w:hanging="709"/>
        <w:jc w:val="both"/>
      </w:pPr>
      <w:r w:rsidRPr="00552F68">
        <w:rPr>
          <w:rStyle w:val="FootnoteReference"/>
        </w:rPr>
        <w:footnoteRef/>
      </w:r>
      <w:r w:rsidRPr="00552F68">
        <w:t xml:space="preserve"> </w:t>
      </w:r>
      <w:r w:rsidRPr="00552F68">
        <w:tab/>
        <w:t>The commodity cost of MOS illustrated on the right of the figure represents the commodity quantity at the D+2 ex ante price. Commodity payments and charges for a given gas day relate to quantities traded two days earlier. That is, the commodity cost for services provided on Sunday will appear in the chart for Tuesday, when the D+2 price is set. In contrast, service payments are shown alongside the day they occurred.</w:t>
      </w:r>
    </w:p>
  </w:footnote>
  <w:footnote w:id="9">
    <w:p w:rsidR="00A842B8" w:rsidRPr="0087350F" w:rsidRDefault="00A842B8" w:rsidP="00034A40">
      <w:pPr>
        <w:pStyle w:val="FootnoteText"/>
        <w:spacing w:before="0"/>
        <w:ind w:left="709" w:hanging="709"/>
        <w:jc w:val="both"/>
        <w:rPr>
          <w:szCs w:val="16"/>
        </w:rPr>
      </w:pPr>
      <w:r w:rsidRPr="00552F68">
        <w:rPr>
          <w:rStyle w:val="FootnoteReference"/>
          <w:sz w:val="20"/>
          <w:szCs w:val="16"/>
        </w:rPr>
        <w:footnoteRef/>
      </w:r>
      <w:r w:rsidRPr="00552F68">
        <w:rPr>
          <w:sz w:val="20"/>
          <w:szCs w:val="16"/>
        </w:rPr>
        <w:t xml:space="preserve"> </w:t>
      </w:r>
      <w:r w:rsidRPr="00552F68">
        <w:rPr>
          <w:sz w:val="20"/>
          <w:szCs w:val="16"/>
        </w:rPr>
        <w:tab/>
      </w:r>
      <w:r w:rsidRPr="0087350F">
        <w:rPr>
          <w:b/>
          <w:szCs w:val="16"/>
        </w:rPr>
        <w:t>Domestic gas flows</w:t>
      </w:r>
      <w:r w:rsidRPr="0087350F">
        <w:rPr>
          <w:szCs w:val="16"/>
        </w:rPr>
        <w:t xml:space="preserve"> are calculated as the total of:  </w:t>
      </w:r>
      <w:r w:rsidRPr="0087350F">
        <w:rPr>
          <w:b/>
          <w:szCs w:val="16"/>
        </w:rPr>
        <w:t>SA</w:t>
      </w:r>
      <w:r w:rsidRPr="0087350F">
        <w:rPr>
          <w:szCs w:val="16"/>
        </w:rPr>
        <w:t xml:space="preserve"> = MAP + SEAGAS; </w:t>
      </w:r>
      <w:r w:rsidRPr="0087350F">
        <w:rPr>
          <w:b/>
          <w:szCs w:val="16"/>
        </w:rPr>
        <w:t>VIC</w:t>
      </w:r>
      <w:r w:rsidRPr="0087350F">
        <w:rPr>
          <w:szCs w:val="16"/>
        </w:rPr>
        <w:t xml:space="preserve"> = SWP + LMP + (absolute quantity of negative flows only on the ‘NSW-VIC interconnect’); </w:t>
      </w:r>
      <w:r w:rsidRPr="0087350F">
        <w:rPr>
          <w:b/>
          <w:szCs w:val="16"/>
        </w:rPr>
        <w:t>NSW/ACT</w:t>
      </w:r>
      <w:r w:rsidRPr="0087350F">
        <w:rPr>
          <w:szCs w:val="16"/>
        </w:rPr>
        <w:t xml:space="preserve"> = EGP + MSP; </w:t>
      </w:r>
      <w:r w:rsidRPr="0087350F">
        <w:rPr>
          <w:b/>
          <w:szCs w:val="16"/>
        </w:rPr>
        <w:t>TAS</w:t>
      </w:r>
      <w:r w:rsidRPr="0087350F">
        <w:rPr>
          <w:szCs w:val="16"/>
        </w:rPr>
        <w:t xml:space="preserve"> = TGP; </w:t>
      </w:r>
      <w:r w:rsidRPr="0087350F">
        <w:rPr>
          <w:b/>
          <w:szCs w:val="16"/>
        </w:rPr>
        <w:t>QLD (Brisbane)</w:t>
      </w:r>
      <w:r w:rsidRPr="0087350F">
        <w:rPr>
          <w:szCs w:val="16"/>
        </w:rPr>
        <w:t xml:space="preserve"> = RBP; </w:t>
      </w:r>
      <w:r w:rsidRPr="0087350F">
        <w:rPr>
          <w:b/>
          <w:szCs w:val="16"/>
        </w:rPr>
        <w:t>QLD (Mt Isa)</w:t>
      </w:r>
      <w:r w:rsidRPr="0087350F">
        <w:rPr>
          <w:szCs w:val="16"/>
        </w:rPr>
        <w:t xml:space="preserve"> = CGP; and </w:t>
      </w:r>
      <w:r w:rsidRPr="0087350F">
        <w:rPr>
          <w:b/>
          <w:szCs w:val="16"/>
        </w:rPr>
        <w:t>QLD (Gladstone)</w:t>
      </w:r>
      <w:r w:rsidRPr="0087350F">
        <w:rPr>
          <w:szCs w:val="16"/>
        </w:rPr>
        <w:t xml:space="preserve"> = QGP. </w:t>
      </w:r>
    </w:p>
    <w:p w:rsidR="00A842B8" w:rsidRPr="0087350F" w:rsidRDefault="00A842B8" w:rsidP="003D30EE">
      <w:pPr>
        <w:pStyle w:val="FootnoteText"/>
        <w:spacing w:before="0"/>
        <w:ind w:left="709"/>
        <w:jc w:val="both"/>
        <w:rPr>
          <w:szCs w:val="16"/>
        </w:rPr>
      </w:pPr>
      <w:r w:rsidRPr="0087350F">
        <w:rPr>
          <w:b/>
          <w:szCs w:val="16"/>
        </w:rPr>
        <w:t xml:space="preserve">Export gas flows </w:t>
      </w:r>
      <w:r w:rsidRPr="0087350F">
        <w:rPr>
          <w:szCs w:val="16"/>
        </w:rPr>
        <w:t>are calculated as the total of: the APLNG pipeline; the GLNG pipeline; and the Wallumbilla to Gladstone pipeline.</w:t>
      </w:r>
    </w:p>
    <w:p w:rsidR="00A842B8" w:rsidRPr="0087350F" w:rsidRDefault="00A842B8" w:rsidP="00551D6B">
      <w:pPr>
        <w:pStyle w:val="FootnoteText"/>
        <w:spacing w:before="0"/>
        <w:ind w:left="709"/>
        <w:jc w:val="both"/>
        <w:rPr>
          <w:szCs w:val="16"/>
        </w:rPr>
      </w:pPr>
      <w:r w:rsidRPr="0087350F">
        <w:rPr>
          <w:b/>
          <w:szCs w:val="16"/>
        </w:rPr>
        <w:t>GPG volumes</w:t>
      </w:r>
      <w:r w:rsidRPr="0087350F">
        <w:rPr>
          <w:szCs w:val="16"/>
        </w:rPr>
        <w:t xml:space="preserve"> may include gas usage that does not show up on Bulletin Board pipeline flows.</w:t>
      </w:r>
    </w:p>
  </w:footnote>
  <w:footnote w:id="10">
    <w:p w:rsidR="00A842B8" w:rsidRPr="0087350F" w:rsidRDefault="00A842B8" w:rsidP="001C3452">
      <w:pPr>
        <w:pStyle w:val="FootnoteText"/>
        <w:spacing w:before="0"/>
        <w:ind w:left="709" w:hanging="709"/>
        <w:jc w:val="both"/>
        <w:rPr>
          <w:szCs w:val="16"/>
        </w:rPr>
      </w:pPr>
      <w:r w:rsidRPr="00552F68">
        <w:rPr>
          <w:rStyle w:val="FootnoteReference"/>
          <w:sz w:val="20"/>
          <w:szCs w:val="16"/>
        </w:rPr>
        <w:footnoteRef/>
      </w:r>
      <w:r w:rsidRPr="00552F68">
        <w:rPr>
          <w:sz w:val="20"/>
          <w:szCs w:val="16"/>
        </w:rPr>
        <w:t xml:space="preserve"> </w:t>
      </w:r>
      <w:r w:rsidRPr="00552F68">
        <w:rPr>
          <w:sz w:val="20"/>
          <w:szCs w:val="16"/>
        </w:rPr>
        <w:tab/>
      </w:r>
      <w:r w:rsidR="009508DF" w:rsidRPr="0087350F">
        <w:rPr>
          <w:szCs w:val="16"/>
        </w:rPr>
        <w:t>GSH supply is the average daily volume of gas ‘traded’, while price is a volume weighted average.</w:t>
      </w:r>
      <w:r w:rsidR="009508DF">
        <w:rPr>
          <w:szCs w:val="16"/>
        </w:rPr>
        <w:t xml:space="preserve"> Optional hub services (for compression and redirection) are shown separately from commodity trades.</w:t>
      </w:r>
    </w:p>
  </w:footnote>
  <w:footnote w:id="11">
    <w:p w:rsidR="002C35B4" w:rsidRDefault="002C35B4">
      <w:pPr>
        <w:pStyle w:val="FootnoteText"/>
      </w:pPr>
      <w:r w:rsidRPr="00886797">
        <w:rPr>
          <w:rStyle w:val="FootnoteReference"/>
          <w:sz w:val="20"/>
        </w:rPr>
        <w:footnoteRef/>
      </w:r>
      <w:r w:rsidRPr="00886797">
        <w:rPr>
          <w:sz w:val="20"/>
        </w:rPr>
        <w:t xml:space="preserve"> </w:t>
      </w:r>
      <w:r w:rsidRPr="00886797">
        <w:rPr>
          <w:sz w:val="20"/>
        </w:rPr>
        <w:tab/>
      </w:r>
      <w:r>
        <w:t xml:space="preserve">Net flows are shown for Bulletin Board facilities, as outlined in the </w:t>
      </w:r>
      <w:hyperlink r:id="rId2" w:history="1">
        <w:r w:rsidR="00A952AA" w:rsidRPr="00A952AA">
          <w:rPr>
            <w:rStyle w:val="Hyperlink"/>
            <w:sz w:val="16"/>
          </w:rPr>
          <w:t>user guide</w:t>
        </w:r>
      </w:hyperlink>
      <w:r w:rsidR="00A952AA">
        <w:t>.</w:t>
      </w:r>
    </w:p>
  </w:footnote>
  <w:footnote w:id="12">
    <w:p w:rsidR="00A842B8" w:rsidRDefault="00A842B8" w:rsidP="00A842B8">
      <w:pPr>
        <w:pStyle w:val="FootnoteText"/>
        <w:ind w:left="709" w:hanging="709"/>
        <w:jc w:val="both"/>
      </w:pPr>
      <w:r>
        <w:rPr>
          <w:rStyle w:val="FootnoteReference"/>
        </w:rPr>
        <w:footnoteRef/>
      </w:r>
      <w:r>
        <w:t xml:space="preserve"> </w:t>
      </w:r>
      <w:r>
        <w:tab/>
        <w:t xml:space="preserve">Additional information on trading locations and available products is detailed in the </w:t>
      </w:r>
      <w:hyperlink r:id="rId3" w:history="1">
        <w:r w:rsidRPr="00A952AA">
          <w:rPr>
            <w:rStyle w:val="Hyperlink"/>
            <w:sz w:val="16"/>
          </w:rPr>
          <w:t>user guide</w:t>
        </w:r>
      </w:hyperlink>
      <w:r>
        <w:t>.</w:t>
      </w:r>
    </w:p>
  </w:footnote>
  <w:footnote w:id="13">
    <w:p w:rsidR="00A842B8" w:rsidRDefault="00A842B8" w:rsidP="00A842B8">
      <w:pPr>
        <w:pStyle w:val="FootnoteText"/>
        <w:ind w:left="709" w:hanging="709"/>
        <w:jc w:val="both"/>
      </w:pPr>
      <w:r>
        <w:rPr>
          <w:rStyle w:val="FootnoteReference"/>
        </w:rPr>
        <w:footnoteRef/>
      </w:r>
      <w:r>
        <w:t xml:space="preserve"> </w:t>
      </w:r>
      <w:r>
        <w:tab/>
        <w:t>Non-netted (off-market) trades, allowing the selection of specific delivery point at a trading location, are denoted as WAL*.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7B36" w:rsidRDefault="00247B3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7B36" w:rsidRDefault="00247B3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7B36" w:rsidRDefault="00247B3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0CCD3AE"/>
    <w:lvl w:ilvl="0">
      <w:start w:val="1"/>
      <w:numFmt w:val="decimal"/>
      <w:pStyle w:val="ListNumber3"/>
      <w:lvlText w:val="%1."/>
      <w:lvlJc w:val="left"/>
      <w:pPr>
        <w:tabs>
          <w:tab w:val="num" w:pos="926"/>
        </w:tabs>
        <w:ind w:left="926" w:hanging="360"/>
      </w:pPr>
    </w:lvl>
  </w:abstractNum>
  <w:abstractNum w:abstractNumId="3">
    <w:nsid w:val="FFFFFF7F"/>
    <w:multiLevelType w:val="singleLevel"/>
    <w:tmpl w:val="7F741816"/>
    <w:lvl w:ilvl="0">
      <w:start w:val="1"/>
      <w:numFmt w:val="lowerLetter"/>
      <w:pStyle w:val="ListNumber2"/>
      <w:lvlText w:val="%1)"/>
      <w:lvlJc w:val="left"/>
      <w:pPr>
        <w:ind w:left="36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3C004CC0"/>
    <w:lvl w:ilvl="0">
      <w:start w:val="1"/>
      <w:numFmt w:val="decimal"/>
      <w:pStyle w:val="ListNumber"/>
      <w:lvlText w:val="%1."/>
      <w:lvlJc w:val="left"/>
      <w:pPr>
        <w:tabs>
          <w:tab w:val="num" w:pos="360"/>
        </w:tabs>
        <w:ind w:left="360" w:hanging="360"/>
      </w:pPr>
    </w:lvl>
  </w:abstractNum>
  <w:abstractNum w:abstractNumId="9">
    <w:nsid w:val="025F1CAC"/>
    <w:multiLevelType w:val="hybridMultilevel"/>
    <w:tmpl w:val="62FA8B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4E03282"/>
    <w:multiLevelType w:val="hybridMultilevel"/>
    <w:tmpl w:val="B7C2FE76"/>
    <w:lvl w:ilvl="0" w:tplc="F41A51E2">
      <w:start w:val="1"/>
      <w:numFmt w:val="decimal"/>
      <w:lvlText w:val="Figure 6.%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08D62AAE"/>
    <w:multiLevelType w:val="multilevel"/>
    <w:tmpl w:val="00C4BC7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13281AC6"/>
    <w:multiLevelType w:val="hybridMultilevel"/>
    <w:tmpl w:val="83BADF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33E73B6"/>
    <w:multiLevelType w:val="hybridMultilevel"/>
    <w:tmpl w:val="80220B84"/>
    <w:lvl w:ilvl="0" w:tplc="F5987420">
      <w:start w:val="1"/>
      <w:numFmt w:val="decimal"/>
      <w:pStyle w:val="Numberedlist"/>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5">
    <w:nsid w:val="16991208"/>
    <w:multiLevelType w:val="hybridMultilevel"/>
    <w:tmpl w:val="55284E2C"/>
    <w:lvl w:ilvl="0" w:tplc="F07A3D8A">
      <w:start w:val="1"/>
      <w:numFmt w:val="decimal"/>
      <w:lvlText w:val="Figure 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18E65396"/>
    <w:multiLevelType w:val="hybridMultilevel"/>
    <w:tmpl w:val="07384C54"/>
    <w:lvl w:ilvl="0" w:tplc="8530271E">
      <w:start w:val="1"/>
      <w:numFmt w:val="decimal"/>
      <w:pStyle w:val="NumberedChapterTitle"/>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1CF519CE"/>
    <w:multiLevelType w:val="multilevel"/>
    <w:tmpl w:val="3AD8CB48"/>
    <w:lvl w:ilvl="0">
      <w:start w:val="1"/>
      <w:numFmt w:val="decimal"/>
      <w:pStyle w:val="Numbered1"/>
      <w:lvlText w:val="%1."/>
      <w:lvlJc w:val="left"/>
      <w:pPr>
        <w:ind w:left="360" w:hanging="360"/>
      </w:pPr>
    </w:lvl>
    <w:lvl w:ilvl="1">
      <w:start w:val="1"/>
      <w:numFmt w:val="decimal"/>
      <w:pStyle w:val="Numbered11"/>
      <w:lvlText w:val="%1.%2."/>
      <w:lvlJc w:val="left"/>
      <w:pPr>
        <w:ind w:left="792" w:hanging="432"/>
      </w:pPr>
    </w:lvl>
    <w:lvl w:ilvl="2">
      <w:start w:val="1"/>
      <w:numFmt w:val="decimal"/>
      <w:pStyle w:val="Numbered111"/>
      <w:lvlText w:val="%1.%2.%3."/>
      <w:lvlJc w:val="left"/>
      <w:pPr>
        <w:ind w:left="1224" w:hanging="504"/>
      </w:pPr>
    </w:lvl>
    <w:lvl w:ilvl="3">
      <w:start w:val="1"/>
      <w:numFmt w:val="decimal"/>
      <w:pStyle w:val="Numbered1111"/>
      <w:lvlText w:val="%1.%2.%3.%4."/>
      <w:lvlJc w:val="left"/>
      <w:pPr>
        <w:ind w:left="1728" w:hanging="648"/>
      </w:pPr>
    </w:lvl>
    <w:lvl w:ilvl="4">
      <w:start w:val="1"/>
      <w:numFmt w:val="decimal"/>
      <w:pStyle w:val="Numbered11111"/>
      <w:lvlText w:val="%1.%2.%3.%4.%5."/>
      <w:lvlJc w:val="left"/>
      <w:pPr>
        <w:ind w:left="2232" w:hanging="792"/>
      </w:pPr>
    </w:lvl>
    <w:lvl w:ilvl="5">
      <w:start w:val="1"/>
      <w:numFmt w:val="decimal"/>
      <w:pStyle w:val="Numbered111111"/>
      <w:lvlText w:val="%1.%2.%3.%4.%5.%6."/>
      <w:lvlJc w:val="left"/>
      <w:pPr>
        <w:ind w:left="2736" w:hanging="936"/>
      </w:pPr>
    </w:lvl>
    <w:lvl w:ilvl="6">
      <w:start w:val="1"/>
      <w:numFmt w:val="decimal"/>
      <w:pStyle w:val="Numbered1111111"/>
      <w:lvlText w:val="%1.%2.%3.%4.%5.%6.%7."/>
      <w:lvlJc w:val="left"/>
      <w:pPr>
        <w:ind w:left="3240" w:hanging="1080"/>
      </w:pPr>
    </w:lvl>
    <w:lvl w:ilvl="7">
      <w:start w:val="1"/>
      <w:numFmt w:val="decimal"/>
      <w:pStyle w:val="Numbered11111111"/>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8">
    <w:nsid w:val="1F844A98"/>
    <w:multiLevelType w:val="hybridMultilevel"/>
    <w:tmpl w:val="9A46145E"/>
    <w:lvl w:ilvl="0" w:tplc="AB546016">
      <w:start w:val="10"/>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nsid w:val="25C95382"/>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28865DF8"/>
    <w:multiLevelType w:val="hybridMultilevel"/>
    <w:tmpl w:val="EC0E5568"/>
    <w:lvl w:ilvl="0" w:tplc="D90E7D7A">
      <w:start w:val="1"/>
      <w:numFmt w:val="lowerLetter"/>
      <w:pStyle w:val="Listalphabet2"/>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1">
    <w:nsid w:val="28F75099"/>
    <w:multiLevelType w:val="hybridMultilevel"/>
    <w:tmpl w:val="2E1E97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2E24560B"/>
    <w:multiLevelType w:val="multilevel"/>
    <w:tmpl w:val="50982A1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30916FA7"/>
    <w:multiLevelType w:val="multilevel"/>
    <w:tmpl w:val="3E42BAB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ECC5631"/>
    <w:multiLevelType w:val="multilevel"/>
    <w:tmpl w:val="9F2254F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nsid w:val="44E7206A"/>
    <w:multiLevelType w:val="multilevel"/>
    <w:tmpl w:val="8F30CA0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nsid w:val="48CB5BD0"/>
    <w:multiLevelType w:val="hybridMultilevel"/>
    <w:tmpl w:val="0E2C1E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720"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53396CE6"/>
    <w:multiLevelType w:val="hybridMultilevel"/>
    <w:tmpl w:val="6AF2555A"/>
    <w:lvl w:ilvl="0" w:tplc="D03C4C38">
      <w:start w:val="1"/>
      <w:numFmt w:val="decimal"/>
      <w:lvlText w:val="Figure 4.%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2">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33">
    <w:nsid w:val="68D1608A"/>
    <w:multiLevelType w:val="multilevel"/>
    <w:tmpl w:val="B6CC53D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nsid w:val="6C1C3940"/>
    <w:multiLevelType w:val="hybridMultilevel"/>
    <w:tmpl w:val="787CCB50"/>
    <w:lvl w:ilvl="0" w:tplc="4C920FA4">
      <w:start w:val="1"/>
      <w:numFmt w:val="decimal"/>
      <w:lvlText w:val="Figure 2.%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nsid w:val="6C3C7D8C"/>
    <w:multiLevelType w:val="multilevel"/>
    <w:tmpl w:val="611CD53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nsid w:val="6ED40010"/>
    <w:multiLevelType w:val="hybridMultilevel"/>
    <w:tmpl w:val="C89CC66C"/>
    <w:lvl w:ilvl="0" w:tplc="7792B686">
      <w:start w:val="1"/>
      <w:numFmt w:val="decimal"/>
      <w:lvlText w:val="Figure 3.%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6F62595F"/>
    <w:multiLevelType w:val="multilevel"/>
    <w:tmpl w:val="C074B03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nsid w:val="705C4980"/>
    <w:multiLevelType w:val="hybridMultilevel"/>
    <w:tmpl w:val="027A3B86"/>
    <w:lvl w:ilvl="0" w:tplc="982A071C">
      <w:start w:val="1"/>
      <w:numFmt w:val="decimal"/>
      <w:lvlText w:val="Figure 5.%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71052EFE"/>
    <w:multiLevelType w:val="hybridMultilevel"/>
    <w:tmpl w:val="52FCFAA8"/>
    <w:lvl w:ilvl="0" w:tplc="C846CA5C">
      <w:start w:val="1"/>
      <w:numFmt w:val="lowerRoman"/>
      <w:pStyle w:val="ListLegal3"/>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nsid w:val="7ACB7F6B"/>
    <w:multiLevelType w:val="hybridMultilevel"/>
    <w:tmpl w:val="0F2A3F9A"/>
    <w:lvl w:ilvl="0" w:tplc="1038B32C">
      <w:start w:val="1"/>
      <w:numFmt w:val="lowerRoman"/>
      <w:lvlText w:val="%1."/>
      <w:lvlJc w:val="righ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41">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4"/>
  </w:num>
  <w:num w:numId="2">
    <w:abstractNumId w:val="4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2"/>
  </w:num>
  <w:num w:numId="13">
    <w:abstractNumId w:val="24"/>
  </w:num>
  <w:num w:numId="14">
    <w:abstractNumId w:val="12"/>
  </w:num>
  <w:num w:numId="15">
    <w:abstractNumId w:val="17"/>
  </w:num>
  <w:num w:numId="16">
    <w:abstractNumId w:val="28"/>
  </w:num>
  <w:num w:numId="17">
    <w:abstractNumId w:val="20"/>
  </w:num>
  <w:num w:numId="18">
    <w:abstractNumId w:val="29"/>
  </w:num>
  <w:num w:numId="19">
    <w:abstractNumId w:val="39"/>
  </w:num>
  <w:num w:numId="20">
    <w:abstractNumId w:val="31"/>
  </w:num>
  <w:num w:numId="21">
    <w:abstractNumId w:val="16"/>
  </w:num>
  <w:num w:numId="22">
    <w:abstractNumId w:val="19"/>
  </w:num>
  <w:num w:numId="23">
    <w:abstractNumId w:val="27"/>
  </w:num>
  <w:num w:numId="24">
    <w:abstractNumId w:val="18"/>
  </w:num>
  <w:num w:numId="25">
    <w:abstractNumId w:val="40"/>
  </w:num>
  <w:num w:numId="26">
    <w:abstractNumId w:val="21"/>
  </w:num>
  <w:num w:numId="27">
    <w:abstractNumId w:val="9"/>
  </w:num>
  <w:num w:numId="28">
    <w:abstractNumId w:val="13"/>
  </w:num>
  <w:num w:numId="29">
    <w:abstractNumId w:val="15"/>
  </w:num>
  <w:num w:numId="30">
    <w:abstractNumId w:val="34"/>
  </w:num>
  <w:num w:numId="31">
    <w:abstractNumId w:val="36"/>
  </w:num>
  <w:num w:numId="32">
    <w:abstractNumId w:val="30"/>
  </w:num>
  <w:num w:numId="33">
    <w:abstractNumId w:val="38"/>
  </w:num>
  <w:num w:numId="34">
    <w:abstractNumId w:val="10"/>
  </w:num>
  <w:num w:numId="35">
    <w:abstractNumId w:val="3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stylePaneFormatFilter w:val="9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efaultTabStop w:val="720"/>
  <w:characterSpacingControl w:val="doNotCompress"/>
  <w:hdrShapeDefaults>
    <o:shapedefaults v:ext="edit" spidmax="130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adrae\Desktop\AER gas weekly report - 1 – 7 January 2017.docx"/>
  </w:docVars>
  <w:rsids>
    <w:rsidRoot w:val="00275002"/>
    <w:rsid w:val="00000817"/>
    <w:rsid w:val="00000BFE"/>
    <w:rsid w:val="00000CC3"/>
    <w:rsid w:val="00003169"/>
    <w:rsid w:val="00005D12"/>
    <w:rsid w:val="0000728F"/>
    <w:rsid w:val="00007624"/>
    <w:rsid w:val="000128E1"/>
    <w:rsid w:val="0001415C"/>
    <w:rsid w:val="000147C1"/>
    <w:rsid w:val="00014D5F"/>
    <w:rsid w:val="00017DD0"/>
    <w:rsid w:val="00021202"/>
    <w:rsid w:val="0002123D"/>
    <w:rsid w:val="00022F09"/>
    <w:rsid w:val="00024215"/>
    <w:rsid w:val="000242E7"/>
    <w:rsid w:val="00024369"/>
    <w:rsid w:val="00024C84"/>
    <w:rsid w:val="00026E0A"/>
    <w:rsid w:val="00030794"/>
    <w:rsid w:val="000308B1"/>
    <w:rsid w:val="000312E6"/>
    <w:rsid w:val="000316E7"/>
    <w:rsid w:val="00033902"/>
    <w:rsid w:val="00033BE8"/>
    <w:rsid w:val="00034A40"/>
    <w:rsid w:val="0003564D"/>
    <w:rsid w:val="0003578C"/>
    <w:rsid w:val="00035A9A"/>
    <w:rsid w:val="00037A6F"/>
    <w:rsid w:val="00037EB9"/>
    <w:rsid w:val="00040E4C"/>
    <w:rsid w:val="00041A89"/>
    <w:rsid w:val="000422AB"/>
    <w:rsid w:val="00043FA7"/>
    <w:rsid w:val="000442BA"/>
    <w:rsid w:val="00044D80"/>
    <w:rsid w:val="000452BA"/>
    <w:rsid w:val="000461E2"/>
    <w:rsid w:val="0005123C"/>
    <w:rsid w:val="00051880"/>
    <w:rsid w:val="000528FD"/>
    <w:rsid w:val="00056949"/>
    <w:rsid w:val="000572DC"/>
    <w:rsid w:val="000576CD"/>
    <w:rsid w:val="00057973"/>
    <w:rsid w:val="00061ABD"/>
    <w:rsid w:val="00061CE2"/>
    <w:rsid w:val="00061E3B"/>
    <w:rsid w:val="00063247"/>
    <w:rsid w:val="00063473"/>
    <w:rsid w:val="00066157"/>
    <w:rsid w:val="000661AF"/>
    <w:rsid w:val="00070EAB"/>
    <w:rsid w:val="00070F9F"/>
    <w:rsid w:val="0007137B"/>
    <w:rsid w:val="000738F4"/>
    <w:rsid w:val="00074A4E"/>
    <w:rsid w:val="000758D3"/>
    <w:rsid w:val="000766E2"/>
    <w:rsid w:val="00077616"/>
    <w:rsid w:val="00077819"/>
    <w:rsid w:val="000835F4"/>
    <w:rsid w:val="00085663"/>
    <w:rsid w:val="00085EBF"/>
    <w:rsid w:val="00086CF3"/>
    <w:rsid w:val="00087C4A"/>
    <w:rsid w:val="00087CDC"/>
    <w:rsid w:val="00091FB4"/>
    <w:rsid w:val="0009584C"/>
    <w:rsid w:val="000961FA"/>
    <w:rsid w:val="0009653D"/>
    <w:rsid w:val="000A241B"/>
    <w:rsid w:val="000A29ED"/>
    <w:rsid w:val="000A4529"/>
    <w:rsid w:val="000A62B4"/>
    <w:rsid w:val="000A62D6"/>
    <w:rsid w:val="000A6F14"/>
    <w:rsid w:val="000B0311"/>
    <w:rsid w:val="000B364C"/>
    <w:rsid w:val="000B3C8A"/>
    <w:rsid w:val="000C0472"/>
    <w:rsid w:val="000C1A94"/>
    <w:rsid w:val="000C52E2"/>
    <w:rsid w:val="000D122C"/>
    <w:rsid w:val="000D355E"/>
    <w:rsid w:val="000D3C77"/>
    <w:rsid w:val="000D4350"/>
    <w:rsid w:val="000D5ADE"/>
    <w:rsid w:val="000D68C5"/>
    <w:rsid w:val="000E1819"/>
    <w:rsid w:val="000E1A1B"/>
    <w:rsid w:val="000E2946"/>
    <w:rsid w:val="000E4F81"/>
    <w:rsid w:val="000E54D6"/>
    <w:rsid w:val="000E55C7"/>
    <w:rsid w:val="000E5B55"/>
    <w:rsid w:val="000E6C72"/>
    <w:rsid w:val="000E77BB"/>
    <w:rsid w:val="000E7D8C"/>
    <w:rsid w:val="000E7E24"/>
    <w:rsid w:val="000F189E"/>
    <w:rsid w:val="000F1956"/>
    <w:rsid w:val="000F1D61"/>
    <w:rsid w:val="000F56F6"/>
    <w:rsid w:val="000F5855"/>
    <w:rsid w:val="000F6FA7"/>
    <w:rsid w:val="000F77D6"/>
    <w:rsid w:val="00100142"/>
    <w:rsid w:val="00102B64"/>
    <w:rsid w:val="00105281"/>
    <w:rsid w:val="00105AF3"/>
    <w:rsid w:val="001107FF"/>
    <w:rsid w:val="00113430"/>
    <w:rsid w:val="00113AE0"/>
    <w:rsid w:val="001158FE"/>
    <w:rsid w:val="00115CCB"/>
    <w:rsid w:val="00116EB2"/>
    <w:rsid w:val="00117195"/>
    <w:rsid w:val="0012092C"/>
    <w:rsid w:val="00122831"/>
    <w:rsid w:val="001235DD"/>
    <w:rsid w:val="00124609"/>
    <w:rsid w:val="00125F4F"/>
    <w:rsid w:val="001270EB"/>
    <w:rsid w:val="00127CAB"/>
    <w:rsid w:val="00130196"/>
    <w:rsid w:val="0013057E"/>
    <w:rsid w:val="001337EF"/>
    <w:rsid w:val="00133FC8"/>
    <w:rsid w:val="00134BD7"/>
    <w:rsid w:val="00136716"/>
    <w:rsid w:val="00136A08"/>
    <w:rsid w:val="001373F1"/>
    <w:rsid w:val="001435CC"/>
    <w:rsid w:val="001436FC"/>
    <w:rsid w:val="001450FB"/>
    <w:rsid w:val="0014511E"/>
    <w:rsid w:val="00145982"/>
    <w:rsid w:val="00145ACE"/>
    <w:rsid w:val="00146F42"/>
    <w:rsid w:val="00151F61"/>
    <w:rsid w:val="001521CB"/>
    <w:rsid w:val="001539E0"/>
    <w:rsid w:val="00153C26"/>
    <w:rsid w:val="0015451B"/>
    <w:rsid w:val="0015496E"/>
    <w:rsid w:val="00155113"/>
    <w:rsid w:val="0015602B"/>
    <w:rsid w:val="001566F6"/>
    <w:rsid w:val="001573E4"/>
    <w:rsid w:val="00160756"/>
    <w:rsid w:val="0016152D"/>
    <w:rsid w:val="00162584"/>
    <w:rsid w:val="00164658"/>
    <w:rsid w:val="00164FB1"/>
    <w:rsid w:val="00165247"/>
    <w:rsid w:val="001653F3"/>
    <w:rsid w:val="00165C87"/>
    <w:rsid w:val="001666AA"/>
    <w:rsid w:val="00166BD2"/>
    <w:rsid w:val="001711CC"/>
    <w:rsid w:val="0017232E"/>
    <w:rsid w:val="00173AE6"/>
    <w:rsid w:val="00173DC1"/>
    <w:rsid w:val="00174102"/>
    <w:rsid w:val="001756AF"/>
    <w:rsid w:val="001778E3"/>
    <w:rsid w:val="00180157"/>
    <w:rsid w:val="00181C46"/>
    <w:rsid w:val="001832C7"/>
    <w:rsid w:val="00185A2E"/>
    <w:rsid w:val="00186831"/>
    <w:rsid w:val="00186F77"/>
    <w:rsid w:val="001901A4"/>
    <w:rsid w:val="00190F24"/>
    <w:rsid w:val="00191C6F"/>
    <w:rsid w:val="00192441"/>
    <w:rsid w:val="001926A4"/>
    <w:rsid w:val="001934E9"/>
    <w:rsid w:val="00193ED7"/>
    <w:rsid w:val="001968BD"/>
    <w:rsid w:val="001A2C0A"/>
    <w:rsid w:val="001A3CDA"/>
    <w:rsid w:val="001A6790"/>
    <w:rsid w:val="001B0C3B"/>
    <w:rsid w:val="001B2363"/>
    <w:rsid w:val="001B3ABC"/>
    <w:rsid w:val="001B45A0"/>
    <w:rsid w:val="001B4A7D"/>
    <w:rsid w:val="001B684F"/>
    <w:rsid w:val="001B6C15"/>
    <w:rsid w:val="001C027D"/>
    <w:rsid w:val="001C13CD"/>
    <w:rsid w:val="001C17B3"/>
    <w:rsid w:val="001C1BC0"/>
    <w:rsid w:val="001C2EE8"/>
    <w:rsid w:val="001C3452"/>
    <w:rsid w:val="001C5079"/>
    <w:rsid w:val="001C5EF2"/>
    <w:rsid w:val="001C5F6B"/>
    <w:rsid w:val="001C6748"/>
    <w:rsid w:val="001D055E"/>
    <w:rsid w:val="001D0C65"/>
    <w:rsid w:val="001D0CE3"/>
    <w:rsid w:val="001D3A5B"/>
    <w:rsid w:val="001D5BEB"/>
    <w:rsid w:val="001D60FF"/>
    <w:rsid w:val="001D7698"/>
    <w:rsid w:val="001D7FB7"/>
    <w:rsid w:val="001E01B4"/>
    <w:rsid w:val="001E14C2"/>
    <w:rsid w:val="001E2F01"/>
    <w:rsid w:val="001E4665"/>
    <w:rsid w:val="001E48B3"/>
    <w:rsid w:val="001E5AEE"/>
    <w:rsid w:val="001E6FDD"/>
    <w:rsid w:val="001F03EF"/>
    <w:rsid w:val="001F0EC9"/>
    <w:rsid w:val="001F1548"/>
    <w:rsid w:val="001F1B78"/>
    <w:rsid w:val="001F22EE"/>
    <w:rsid w:val="001F2577"/>
    <w:rsid w:val="001F3530"/>
    <w:rsid w:val="001F492E"/>
    <w:rsid w:val="001F6DA3"/>
    <w:rsid w:val="001F7575"/>
    <w:rsid w:val="00201136"/>
    <w:rsid w:val="0020132A"/>
    <w:rsid w:val="00201C06"/>
    <w:rsid w:val="00203300"/>
    <w:rsid w:val="0020376D"/>
    <w:rsid w:val="0020489F"/>
    <w:rsid w:val="002050F5"/>
    <w:rsid w:val="002062A9"/>
    <w:rsid w:val="002065C6"/>
    <w:rsid w:val="002072A2"/>
    <w:rsid w:val="00207D5B"/>
    <w:rsid w:val="0021027A"/>
    <w:rsid w:val="0021147E"/>
    <w:rsid w:val="00212D2F"/>
    <w:rsid w:val="00213CF6"/>
    <w:rsid w:val="00214FBA"/>
    <w:rsid w:val="0021500B"/>
    <w:rsid w:val="00215E19"/>
    <w:rsid w:val="002164FB"/>
    <w:rsid w:val="00216865"/>
    <w:rsid w:val="00217B86"/>
    <w:rsid w:val="00217C29"/>
    <w:rsid w:val="002214D9"/>
    <w:rsid w:val="002216F5"/>
    <w:rsid w:val="00222F04"/>
    <w:rsid w:val="00224DB9"/>
    <w:rsid w:val="00224EE7"/>
    <w:rsid w:val="002276F0"/>
    <w:rsid w:val="00227C97"/>
    <w:rsid w:val="00230D26"/>
    <w:rsid w:val="00231C73"/>
    <w:rsid w:val="00232A71"/>
    <w:rsid w:val="00232FBD"/>
    <w:rsid w:val="002338A0"/>
    <w:rsid w:val="00237048"/>
    <w:rsid w:val="00240AA4"/>
    <w:rsid w:val="002427B3"/>
    <w:rsid w:val="00242C25"/>
    <w:rsid w:val="00243222"/>
    <w:rsid w:val="00243347"/>
    <w:rsid w:val="002438D9"/>
    <w:rsid w:val="00245913"/>
    <w:rsid w:val="00247473"/>
    <w:rsid w:val="00247B36"/>
    <w:rsid w:val="00250859"/>
    <w:rsid w:val="002515C3"/>
    <w:rsid w:val="002516A1"/>
    <w:rsid w:val="00251745"/>
    <w:rsid w:val="00251C37"/>
    <w:rsid w:val="00251D74"/>
    <w:rsid w:val="00261C02"/>
    <w:rsid w:val="00262F65"/>
    <w:rsid w:val="00263AC0"/>
    <w:rsid w:val="002649D2"/>
    <w:rsid w:val="002649D8"/>
    <w:rsid w:val="00265486"/>
    <w:rsid w:val="0026772D"/>
    <w:rsid w:val="00270A51"/>
    <w:rsid w:val="00270AF4"/>
    <w:rsid w:val="0027318A"/>
    <w:rsid w:val="00275002"/>
    <w:rsid w:val="00275927"/>
    <w:rsid w:val="002762EA"/>
    <w:rsid w:val="00276A9F"/>
    <w:rsid w:val="00277570"/>
    <w:rsid w:val="002817AB"/>
    <w:rsid w:val="002828A0"/>
    <w:rsid w:val="00283BF8"/>
    <w:rsid w:val="0028440E"/>
    <w:rsid w:val="0028521F"/>
    <w:rsid w:val="00285B8A"/>
    <w:rsid w:val="00286866"/>
    <w:rsid w:val="00286874"/>
    <w:rsid w:val="00291658"/>
    <w:rsid w:val="0029246F"/>
    <w:rsid w:val="00294653"/>
    <w:rsid w:val="00294D01"/>
    <w:rsid w:val="00296B65"/>
    <w:rsid w:val="00296D07"/>
    <w:rsid w:val="002A0450"/>
    <w:rsid w:val="002A0AF0"/>
    <w:rsid w:val="002A1B5C"/>
    <w:rsid w:val="002A2900"/>
    <w:rsid w:val="002A3CF2"/>
    <w:rsid w:val="002A4EF8"/>
    <w:rsid w:val="002A7439"/>
    <w:rsid w:val="002A7729"/>
    <w:rsid w:val="002A7C78"/>
    <w:rsid w:val="002A7DEF"/>
    <w:rsid w:val="002B0749"/>
    <w:rsid w:val="002B0DAE"/>
    <w:rsid w:val="002B1949"/>
    <w:rsid w:val="002B1B50"/>
    <w:rsid w:val="002B3B2D"/>
    <w:rsid w:val="002B5F16"/>
    <w:rsid w:val="002B6FD1"/>
    <w:rsid w:val="002B720D"/>
    <w:rsid w:val="002C2278"/>
    <w:rsid w:val="002C2A63"/>
    <w:rsid w:val="002C2C08"/>
    <w:rsid w:val="002C341F"/>
    <w:rsid w:val="002C35B4"/>
    <w:rsid w:val="002C3E5B"/>
    <w:rsid w:val="002C42B0"/>
    <w:rsid w:val="002C4965"/>
    <w:rsid w:val="002C581B"/>
    <w:rsid w:val="002C621D"/>
    <w:rsid w:val="002C6B96"/>
    <w:rsid w:val="002C6DD3"/>
    <w:rsid w:val="002D1734"/>
    <w:rsid w:val="002D37FB"/>
    <w:rsid w:val="002D484E"/>
    <w:rsid w:val="002D4A1F"/>
    <w:rsid w:val="002E29A0"/>
    <w:rsid w:val="002E5E33"/>
    <w:rsid w:val="002E6254"/>
    <w:rsid w:val="002E64AB"/>
    <w:rsid w:val="002E7C9A"/>
    <w:rsid w:val="002F02A4"/>
    <w:rsid w:val="002F22FD"/>
    <w:rsid w:val="002F2481"/>
    <w:rsid w:val="002F3D02"/>
    <w:rsid w:val="002F4F34"/>
    <w:rsid w:val="002F7986"/>
    <w:rsid w:val="00300C0B"/>
    <w:rsid w:val="00302D83"/>
    <w:rsid w:val="003061FA"/>
    <w:rsid w:val="003062C2"/>
    <w:rsid w:val="00306DD8"/>
    <w:rsid w:val="00307F6D"/>
    <w:rsid w:val="003105F5"/>
    <w:rsid w:val="003106BC"/>
    <w:rsid w:val="0031318F"/>
    <w:rsid w:val="003152BD"/>
    <w:rsid w:val="003153EB"/>
    <w:rsid w:val="003171C6"/>
    <w:rsid w:val="003177A2"/>
    <w:rsid w:val="00317A81"/>
    <w:rsid w:val="003208C0"/>
    <w:rsid w:val="00320D36"/>
    <w:rsid w:val="00321853"/>
    <w:rsid w:val="00322300"/>
    <w:rsid w:val="00323CE7"/>
    <w:rsid w:val="003243B4"/>
    <w:rsid w:val="003271B5"/>
    <w:rsid w:val="003274A9"/>
    <w:rsid w:val="0032770E"/>
    <w:rsid w:val="00331264"/>
    <w:rsid w:val="00332F5D"/>
    <w:rsid w:val="00333970"/>
    <w:rsid w:val="00334C8D"/>
    <w:rsid w:val="00336D50"/>
    <w:rsid w:val="003375A4"/>
    <w:rsid w:val="00337F4F"/>
    <w:rsid w:val="003401B9"/>
    <w:rsid w:val="00341169"/>
    <w:rsid w:val="00342870"/>
    <w:rsid w:val="00343BF7"/>
    <w:rsid w:val="00346F05"/>
    <w:rsid w:val="0035089F"/>
    <w:rsid w:val="003518B3"/>
    <w:rsid w:val="00351FDC"/>
    <w:rsid w:val="00352DA8"/>
    <w:rsid w:val="00354887"/>
    <w:rsid w:val="00354A9E"/>
    <w:rsid w:val="0035522A"/>
    <w:rsid w:val="00355CDD"/>
    <w:rsid w:val="00355D1A"/>
    <w:rsid w:val="00355D2F"/>
    <w:rsid w:val="00356706"/>
    <w:rsid w:val="00356E72"/>
    <w:rsid w:val="00361D84"/>
    <w:rsid w:val="00362ABA"/>
    <w:rsid w:val="003642AD"/>
    <w:rsid w:val="00366515"/>
    <w:rsid w:val="003715C8"/>
    <w:rsid w:val="00371F3A"/>
    <w:rsid w:val="003749F7"/>
    <w:rsid w:val="00375C60"/>
    <w:rsid w:val="00375E24"/>
    <w:rsid w:val="00376373"/>
    <w:rsid w:val="00383C6B"/>
    <w:rsid w:val="003846F1"/>
    <w:rsid w:val="00384A55"/>
    <w:rsid w:val="00384B54"/>
    <w:rsid w:val="00386C86"/>
    <w:rsid w:val="003874F8"/>
    <w:rsid w:val="003904D2"/>
    <w:rsid w:val="00395B4C"/>
    <w:rsid w:val="00397EB2"/>
    <w:rsid w:val="003A0810"/>
    <w:rsid w:val="003A0CB8"/>
    <w:rsid w:val="003A1F17"/>
    <w:rsid w:val="003A3E2D"/>
    <w:rsid w:val="003A41E0"/>
    <w:rsid w:val="003A431D"/>
    <w:rsid w:val="003A4B6B"/>
    <w:rsid w:val="003A5878"/>
    <w:rsid w:val="003A7DC0"/>
    <w:rsid w:val="003B0D56"/>
    <w:rsid w:val="003B282E"/>
    <w:rsid w:val="003B40ED"/>
    <w:rsid w:val="003B4804"/>
    <w:rsid w:val="003B4D9B"/>
    <w:rsid w:val="003B6F90"/>
    <w:rsid w:val="003C0710"/>
    <w:rsid w:val="003C24A9"/>
    <w:rsid w:val="003C2B22"/>
    <w:rsid w:val="003C2BC1"/>
    <w:rsid w:val="003C30E5"/>
    <w:rsid w:val="003C3C98"/>
    <w:rsid w:val="003C3D77"/>
    <w:rsid w:val="003C62E9"/>
    <w:rsid w:val="003C6F27"/>
    <w:rsid w:val="003C7164"/>
    <w:rsid w:val="003C7B5B"/>
    <w:rsid w:val="003C7EFA"/>
    <w:rsid w:val="003D30EE"/>
    <w:rsid w:val="003D5258"/>
    <w:rsid w:val="003E1341"/>
    <w:rsid w:val="003E3C33"/>
    <w:rsid w:val="003E47DC"/>
    <w:rsid w:val="003E521D"/>
    <w:rsid w:val="003E74FF"/>
    <w:rsid w:val="003E78A9"/>
    <w:rsid w:val="003F004E"/>
    <w:rsid w:val="003F0289"/>
    <w:rsid w:val="003F3672"/>
    <w:rsid w:val="003F54CB"/>
    <w:rsid w:val="003F57F1"/>
    <w:rsid w:val="003F5F74"/>
    <w:rsid w:val="003F66C5"/>
    <w:rsid w:val="003F75C8"/>
    <w:rsid w:val="00401B53"/>
    <w:rsid w:val="00402142"/>
    <w:rsid w:val="00403473"/>
    <w:rsid w:val="004034C5"/>
    <w:rsid w:val="00404492"/>
    <w:rsid w:val="00404504"/>
    <w:rsid w:val="00405B42"/>
    <w:rsid w:val="00407337"/>
    <w:rsid w:val="00410584"/>
    <w:rsid w:val="00411897"/>
    <w:rsid w:val="00412176"/>
    <w:rsid w:val="00414488"/>
    <w:rsid w:val="00414EA6"/>
    <w:rsid w:val="00415788"/>
    <w:rsid w:val="004157C0"/>
    <w:rsid w:val="00416641"/>
    <w:rsid w:val="004176E8"/>
    <w:rsid w:val="00421154"/>
    <w:rsid w:val="0042429B"/>
    <w:rsid w:val="00424809"/>
    <w:rsid w:val="004253D6"/>
    <w:rsid w:val="004303EE"/>
    <w:rsid w:val="00436F76"/>
    <w:rsid w:val="00440D85"/>
    <w:rsid w:val="00441A99"/>
    <w:rsid w:val="00442767"/>
    <w:rsid w:val="00444A48"/>
    <w:rsid w:val="00450611"/>
    <w:rsid w:val="004507A1"/>
    <w:rsid w:val="0045129B"/>
    <w:rsid w:val="004518EA"/>
    <w:rsid w:val="00453327"/>
    <w:rsid w:val="00456C20"/>
    <w:rsid w:val="0046128B"/>
    <w:rsid w:val="00462CFF"/>
    <w:rsid w:val="00465210"/>
    <w:rsid w:val="00466293"/>
    <w:rsid w:val="00470AF4"/>
    <w:rsid w:val="00470EE9"/>
    <w:rsid w:val="0047130B"/>
    <w:rsid w:val="00471992"/>
    <w:rsid w:val="00471E68"/>
    <w:rsid w:val="0047346C"/>
    <w:rsid w:val="00477821"/>
    <w:rsid w:val="0048018F"/>
    <w:rsid w:val="00480B4B"/>
    <w:rsid w:val="00480DA9"/>
    <w:rsid w:val="004831F8"/>
    <w:rsid w:val="00485752"/>
    <w:rsid w:val="00485DC4"/>
    <w:rsid w:val="00487C10"/>
    <w:rsid w:val="004923CD"/>
    <w:rsid w:val="00492A06"/>
    <w:rsid w:val="00493B02"/>
    <w:rsid w:val="00494036"/>
    <w:rsid w:val="00495574"/>
    <w:rsid w:val="0049751C"/>
    <w:rsid w:val="00497E1B"/>
    <w:rsid w:val="004A0AB5"/>
    <w:rsid w:val="004A1061"/>
    <w:rsid w:val="004A1184"/>
    <w:rsid w:val="004A13A6"/>
    <w:rsid w:val="004A2770"/>
    <w:rsid w:val="004A364A"/>
    <w:rsid w:val="004B104F"/>
    <w:rsid w:val="004B1708"/>
    <w:rsid w:val="004B231C"/>
    <w:rsid w:val="004B42A7"/>
    <w:rsid w:val="004B4412"/>
    <w:rsid w:val="004B5B3F"/>
    <w:rsid w:val="004C05C7"/>
    <w:rsid w:val="004C28B2"/>
    <w:rsid w:val="004C348C"/>
    <w:rsid w:val="004C4E90"/>
    <w:rsid w:val="004C571B"/>
    <w:rsid w:val="004C63B9"/>
    <w:rsid w:val="004C6486"/>
    <w:rsid w:val="004C690D"/>
    <w:rsid w:val="004C6C5B"/>
    <w:rsid w:val="004C70C9"/>
    <w:rsid w:val="004D1774"/>
    <w:rsid w:val="004D4072"/>
    <w:rsid w:val="004D4A76"/>
    <w:rsid w:val="004D5447"/>
    <w:rsid w:val="004D55BA"/>
    <w:rsid w:val="004E1B1C"/>
    <w:rsid w:val="004E1E95"/>
    <w:rsid w:val="004E34E7"/>
    <w:rsid w:val="004E4142"/>
    <w:rsid w:val="004E6AFC"/>
    <w:rsid w:val="004E755C"/>
    <w:rsid w:val="004E7D10"/>
    <w:rsid w:val="004F171D"/>
    <w:rsid w:val="004F18F3"/>
    <w:rsid w:val="004F6D0A"/>
    <w:rsid w:val="004F6ED0"/>
    <w:rsid w:val="00501B85"/>
    <w:rsid w:val="0050244E"/>
    <w:rsid w:val="00502843"/>
    <w:rsid w:val="00502D42"/>
    <w:rsid w:val="005033F6"/>
    <w:rsid w:val="005047F1"/>
    <w:rsid w:val="00505B5E"/>
    <w:rsid w:val="00506624"/>
    <w:rsid w:val="00510A43"/>
    <w:rsid w:val="00513F90"/>
    <w:rsid w:val="005177C0"/>
    <w:rsid w:val="00522360"/>
    <w:rsid w:val="00522486"/>
    <w:rsid w:val="00522668"/>
    <w:rsid w:val="00523AD2"/>
    <w:rsid w:val="00524513"/>
    <w:rsid w:val="00525315"/>
    <w:rsid w:val="00527551"/>
    <w:rsid w:val="005279B6"/>
    <w:rsid w:val="00530128"/>
    <w:rsid w:val="00530657"/>
    <w:rsid w:val="005323B2"/>
    <w:rsid w:val="00532467"/>
    <w:rsid w:val="0053491C"/>
    <w:rsid w:val="00534DD9"/>
    <w:rsid w:val="0053611E"/>
    <w:rsid w:val="0054102B"/>
    <w:rsid w:val="0054173F"/>
    <w:rsid w:val="0054254C"/>
    <w:rsid w:val="00543945"/>
    <w:rsid w:val="00543BEC"/>
    <w:rsid w:val="00544C6F"/>
    <w:rsid w:val="00546B16"/>
    <w:rsid w:val="00547DC4"/>
    <w:rsid w:val="005502E7"/>
    <w:rsid w:val="00551739"/>
    <w:rsid w:val="00551D6B"/>
    <w:rsid w:val="00552DA2"/>
    <w:rsid w:val="00552F68"/>
    <w:rsid w:val="00555667"/>
    <w:rsid w:val="005556B9"/>
    <w:rsid w:val="00556B64"/>
    <w:rsid w:val="005575B9"/>
    <w:rsid w:val="00560CE5"/>
    <w:rsid w:val="00562103"/>
    <w:rsid w:val="00562CEE"/>
    <w:rsid w:val="00562EF1"/>
    <w:rsid w:val="00564A4D"/>
    <w:rsid w:val="00565239"/>
    <w:rsid w:val="005656E2"/>
    <w:rsid w:val="00565F50"/>
    <w:rsid w:val="0056783F"/>
    <w:rsid w:val="005703C9"/>
    <w:rsid w:val="005707D4"/>
    <w:rsid w:val="00571680"/>
    <w:rsid w:val="00571B35"/>
    <w:rsid w:val="005722FF"/>
    <w:rsid w:val="00572D20"/>
    <w:rsid w:val="00573042"/>
    <w:rsid w:val="00574241"/>
    <w:rsid w:val="00575C43"/>
    <w:rsid w:val="00577A09"/>
    <w:rsid w:val="00577F68"/>
    <w:rsid w:val="00580E72"/>
    <w:rsid w:val="005810AE"/>
    <w:rsid w:val="005819F3"/>
    <w:rsid w:val="00582446"/>
    <w:rsid w:val="005839B3"/>
    <w:rsid w:val="00584D8F"/>
    <w:rsid w:val="00585D42"/>
    <w:rsid w:val="00587CFB"/>
    <w:rsid w:val="00590EBF"/>
    <w:rsid w:val="0059539A"/>
    <w:rsid w:val="00595613"/>
    <w:rsid w:val="00595ED0"/>
    <w:rsid w:val="00596275"/>
    <w:rsid w:val="005A1287"/>
    <w:rsid w:val="005A1339"/>
    <w:rsid w:val="005A3B2C"/>
    <w:rsid w:val="005A3F7E"/>
    <w:rsid w:val="005A404D"/>
    <w:rsid w:val="005A42D5"/>
    <w:rsid w:val="005A5657"/>
    <w:rsid w:val="005A6CB0"/>
    <w:rsid w:val="005A6F22"/>
    <w:rsid w:val="005A731B"/>
    <w:rsid w:val="005B0461"/>
    <w:rsid w:val="005B0EF5"/>
    <w:rsid w:val="005B1402"/>
    <w:rsid w:val="005B1E3C"/>
    <w:rsid w:val="005B62AF"/>
    <w:rsid w:val="005B7F8F"/>
    <w:rsid w:val="005C26CC"/>
    <w:rsid w:val="005C3411"/>
    <w:rsid w:val="005C3D54"/>
    <w:rsid w:val="005C3DEC"/>
    <w:rsid w:val="005C4E3D"/>
    <w:rsid w:val="005C4F80"/>
    <w:rsid w:val="005C53C0"/>
    <w:rsid w:val="005C546A"/>
    <w:rsid w:val="005C553B"/>
    <w:rsid w:val="005C592F"/>
    <w:rsid w:val="005C5B36"/>
    <w:rsid w:val="005C5D2E"/>
    <w:rsid w:val="005C5E72"/>
    <w:rsid w:val="005D24A9"/>
    <w:rsid w:val="005D2FBD"/>
    <w:rsid w:val="005D5ECD"/>
    <w:rsid w:val="005D69AF"/>
    <w:rsid w:val="005E0B7E"/>
    <w:rsid w:val="005E2086"/>
    <w:rsid w:val="005E6FFA"/>
    <w:rsid w:val="005E7718"/>
    <w:rsid w:val="005F0661"/>
    <w:rsid w:val="005F0CD5"/>
    <w:rsid w:val="005F69C4"/>
    <w:rsid w:val="005F6ADE"/>
    <w:rsid w:val="005F702C"/>
    <w:rsid w:val="005F7247"/>
    <w:rsid w:val="00600B2D"/>
    <w:rsid w:val="00602A58"/>
    <w:rsid w:val="00603914"/>
    <w:rsid w:val="00604DB6"/>
    <w:rsid w:val="006057DD"/>
    <w:rsid w:val="00607BA0"/>
    <w:rsid w:val="00610304"/>
    <w:rsid w:val="00612006"/>
    <w:rsid w:val="00613324"/>
    <w:rsid w:val="00613DEC"/>
    <w:rsid w:val="00615619"/>
    <w:rsid w:val="00615C6B"/>
    <w:rsid w:val="00616CEC"/>
    <w:rsid w:val="00620B1B"/>
    <w:rsid w:val="00621545"/>
    <w:rsid w:val="0062525D"/>
    <w:rsid w:val="00626A3A"/>
    <w:rsid w:val="00626E1A"/>
    <w:rsid w:val="00627B2D"/>
    <w:rsid w:val="0063066D"/>
    <w:rsid w:val="006309A2"/>
    <w:rsid w:val="00630A15"/>
    <w:rsid w:val="00631560"/>
    <w:rsid w:val="006319C1"/>
    <w:rsid w:val="00632D6D"/>
    <w:rsid w:val="00634D01"/>
    <w:rsid w:val="0063567F"/>
    <w:rsid w:val="00636936"/>
    <w:rsid w:val="006411E6"/>
    <w:rsid w:val="00642C3E"/>
    <w:rsid w:val="00644F6E"/>
    <w:rsid w:val="006471D4"/>
    <w:rsid w:val="00647804"/>
    <w:rsid w:val="0065049E"/>
    <w:rsid w:val="00651005"/>
    <w:rsid w:val="0065226B"/>
    <w:rsid w:val="0065567D"/>
    <w:rsid w:val="006556AA"/>
    <w:rsid w:val="00656588"/>
    <w:rsid w:val="0065661E"/>
    <w:rsid w:val="006566B8"/>
    <w:rsid w:val="006569A5"/>
    <w:rsid w:val="006573B5"/>
    <w:rsid w:val="00660F82"/>
    <w:rsid w:val="00661F88"/>
    <w:rsid w:val="006621AB"/>
    <w:rsid w:val="00663DAD"/>
    <w:rsid w:val="00665ACC"/>
    <w:rsid w:val="00665C0C"/>
    <w:rsid w:val="00666226"/>
    <w:rsid w:val="0067180B"/>
    <w:rsid w:val="00673D15"/>
    <w:rsid w:val="006741D4"/>
    <w:rsid w:val="00675E21"/>
    <w:rsid w:val="00676679"/>
    <w:rsid w:val="00677233"/>
    <w:rsid w:val="006777D7"/>
    <w:rsid w:val="00686411"/>
    <w:rsid w:val="00687AA8"/>
    <w:rsid w:val="00694FD6"/>
    <w:rsid w:val="0069547C"/>
    <w:rsid w:val="006956EC"/>
    <w:rsid w:val="006A0411"/>
    <w:rsid w:val="006A1226"/>
    <w:rsid w:val="006A20CE"/>
    <w:rsid w:val="006A21CD"/>
    <w:rsid w:val="006A35B0"/>
    <w:rsid w:val="006A6EDD"/>
    <w:rsid w:val="006A7C64"/>
    <w:rsid w:val="006B0C7B"/>
    <w:rsid w:val="006B245C"/>
    <w:rsid w:val="006B32F3"/>
    <w:rsid w:val="006B4CF9"/>
    <w:rsid w:val="006B6CC3"/>
    <w:rsid w:val="006B77F5"/>
    <w:rsid w:val="006B7AC8"/>
    <w:rsid w:val="006C196C"/>
    <w:rsid w:val="006C1E8B"/>
    <w:rsid w:val="006C2373"/>
    <w:rsid w:val="006C318F"/>
    <w:rsid w:val="006C3620"/>
    <w:rsid w:val="006C41C4"/>
    <w:rsid w:val="006C447D"/>
    <w:rsid w:val="006C5B09"/>
    <w:rsid w:val="006C62B7"/>
    <w:rsid w:val="006D0C1E"/>
    <w:rsid w:val="006D1D94"/>
    <w:rsid w:val="006D3561"/>
    <w:rsid w:val="006D38CE"/>
    <w:rsid w:val="006D550F"/>
    <w:rsid w:val="006D5B9F"/>
    <w:rsid w:val="006D6001"/>
    <w:rsid w:val="006D6AE2"/>
    <w:rsid w:val="006D7923"/>
    <w:rsid w:val="006E0523"/>
    <w:rsid w:val="006E1E7D"/>
    <w:rsid w:val="006E218F"/>
    <w:rsid w:val="006E244A"/>
    <w:rsid w:val="006E2AD5"/>
    <w:rsid w:val="006E5F3E"/>
    <w:rsid w:val="006E78CF"/>
    <w:rsid w:val="006F0601"/>
    <w:rsid w:val="006F0B74"/>
    <w:rsid w:val="006F0D76"/>
    <w:rsid w:val="006F1044"/>
    <w:rsid w:val="006F3750"/>
    <w:rsid w:val="006F393C"/>
    <w:rsid w:val="006F3FCB"/>
    <w:rsid w:val="006F48AA"/>
    <w:rsid w:val="006F4C38"/>
    <w:rsid w:val="006F6C2D"/>
    <w:rsid w:val="00700DAB"/>
    <w:rsid w:val="00701CAB"/>
    <w:rsid w:val="007037F6"/>
    <w:rsid w:val="00704518"/>
    <w:rsid w:val="00704CA4"/>
    <w:rsid w:val="00707011"/>
    <w:rsid w:val="00707563"/>
    <w:rsid w:val="00711BF6"/>
    <w:rsid w:val="00712D03"/>
    <w:rsid w:val="00715AD1"/>
    <w:rsid w:val="00716355"/>
    <w:rsid w:val="0071735A"/>
    <w:rsid w:val="0072073C"/>
    <w:rsid w:val="00720AB2"/>
    <w:rsid w:val="0072348C"/>
    <w:rsid w:val="007241D7"/>
    <w:rsid w:val="007247EC"/>
    <w:rsid w:val="00724827"/>
    <w:rsid w:val="00724A37"/>
    <w:rsid w:val="00724BF3"/>
    <w:rsid w:val="00727D4D"/>
    <w:rsid w:val="007303C3"/>
    <w:rsid w:val="00731F13"/>
    <w:rsid w:val="0073214E"/>
    <w:rsid w:val="0073561F"/>
    <w:rsid w:val="007356A7"/>
    <w:rsid w:val="00741247"/>
    <w:rsid w:val="00741D03"/>
    <w:rsid w:val="007426D5"/>
    <w:rsid w:val="00743223"/>
    <w:rsid w:val="00743977"/>
    <w:rsid w:val="00746063"/>
    <w:rsid w:val="00746E01"/>
    <w:rsid w:val="00747D2F"/>
    <w:rsid w:val="00751821"/>
    <w:rsid w:val="007532DD"/>
    <w:rsid w:val="00753ADA"/>
    <w:rsid w:val="00760FD8"/>
    <w:rsid w:val="007618A3"/>
    <w:rsid w:val="00762D41"/>
    <w:rsid w:val="00763E5D"/>
    <w:rsid w:val="00764C7F"/>
    <w:rsid w:val="00767740"/>
    <w:rsid w:val="00771822"/>
    <w:rsid w:val="007722E6"/>
    <w:rsid w:val="00772A95"/>
    <w:rsid w:val="007768E1"/>
    <w:rsid w:val="00777EE6"/>
    <w:rsid w:val="00780452"/>
    <w:rsid w:val="00781A01"/>
    <w:rsid w:val="00782EEA"/>
    <w:rsid w:val="0078319A"/>
    <w:rsid w:val="00783A50"/>
    <w:rsid w:val="00783D4E"/>
    <w:rsid w:val="00783E1A"/>
    <w:rsid w:val="00784059"/>
    <w:rsid w:val="0078423F"/>
    <w:rsid w:val="00784A7E"/>
    <w:rsid w:val="007861E0"/>
    <w:rsid w:val="0079277A"/>
    <w:rsid w:val="0079310A"/>
    <w:rsid w:val="007959E7"/>
    <w:rsid w:val="00796C78"/>
    <w:rsid w:val="00796D6A"/>
    <w:rsid w:val="007A1135"/>
    <w:rsid w:val="007A1428"/>
    <w:rsid w:val="007A1AB0"/>
    <w:rsid w:val="007A33E8"/>
    <w:rsid w:val="007A6656"/>
    <w:rsid w:val="007A7264"/>
    <w:rsid w:val="007B1732"/>
    <w:rsid w:val="007B2C72"/>
    <w:rsid w:val="007B3F68"/>
    <w:rsid w:val="007B497F"/>
    <w:rsid w:val="007B57F8"/>
    <w:rsid w:val="007B742A"/>
    <w:rsid w:val="007B78AB"/>
    <w:rsid w:val="007C152C"/>
    <w:rsid w:val="007C1C53"/>
    <w:rsid w:val="007C2EE8"/>
    <w:rsid w:val="007C62FE"/>
    <w:rsid w:val="007C6FE2"/>
    <w:rsid w:val="007D1133"/>
    <w:rsid w:val="007D2028"/>
    <w:rsid w:val="007D47B2"/>
    <w:rsid w:val="007D53A8"/>
    <w:rsid w:val="007D6FC9"/>
    <w:rsid w:val="007E1516"/>
    <w:rsid w:val="007E4904"/>
    <w:rsid w:val="007E4CB5"/>
    <w:rsid w:val="007E5597"/>
    <w:rsid w:val="007E74E0"/>
    <w:rsid w:val="007F066B"/>
    <w:rsid w:val="007F0F77"/>
    <w:rsid w:val="007F2BBD"/>
    <w:rsid w:val="007F2D03"/>
    <w:rsid w:val="007F3B2C"/>
    <w:rsid w:val="007F43CB"/>
    <w:rsid w:val="007F475F"/>
    <w:rsid w:val="007F4AB4"/>
    <w:rsid w:val="007F5457"/>
    <w:rsid w:val="008011F4"/>
    <w:rsid w:val="008033C4"/>
    <w:rsid w:val="00806C88"/>
    <w:rsid w:val="00807112"/>
    <w:rsid w:val="00807A5C"/>
    <w:rsid w:val="0081034E"/>
    <w:rsid w:val="0081253D"/>
    <w:rsid w:val="00812E7B"/>
    <w:rsid w:val="0081351D"/>
    <w:rsid w:val="00813CE4"/>
    <w:rsid w:val="0081592A"/>
    <w:rsid w:val="00817724"/>
    <w:rsid w:val="008238B2"/>
    <w:rsid w:val="008245E2"/>
    <w:rsid w:val="008257CA"/>
    <w:rsid w:val="008301E7"/>
    <w:rsid w:val="00831483"/>
    <w:rsid w:val="008344B4"/>
    <w:rsid w:val="008344F6"/>
    <w:rsid w:val="0083510F"/>
    <w:rsid w:val="008366CD"/>
    <w:rsid w:val="00836890"/>
    <w:rsid w:val="00840C6C"/>
    <w:rsid w:val="00840FCC"/>
    <w:rsid w:val="008445D3"/>
    <w:rsid w:val="00845396"/>
    <w:rsid w:val="00847ED9"/>
    <w:rsid w:val="00851209"/>
    <w:rsid w:val="0085188E"/>
    <w:rsid w:val="00851B46"/>
    <w:rsid w:val="00852B3D"/>
    <w:rsid w:val="008556A5"/>
    <w:rsid w:val="00856965"/>
    <w:rsid w:val="00857917"/>
    <w:rsid w:val="00861AED"/>
    <w:rsid w:val="00864A9F"/>
    <w:rsid w:val="00867506"/>
    <w:rsid w:val="008707C1"/>
    <w:rsid w:val="00870903"/>
    <w:rsid w:val="0087280A"/>
    <w:rsid w:val="0087308C"/>
    <w:rsid w:val="0087350F"/>
    <w:rsid w:val="00873B1F"/>
    <w:rsid w:val="0087479D"/>
    <w:rsid w:val="008837AC"/>
    <w:rsid w:val="00884D30"/>
    <w:rsid w:val="0088604D"/>
    <w:rsid w:val="00886662"/>
    <w:rsid w:val="00886797"/>
    <w:rsid w:val="00886BAB"/>
    <w:rsid w:val="00886CEC"/>
    <w:rsid w:val="00886FA8"/>
    <w:rsid w:val="00887EBF"/>
    <w:rsid w:val="008909FD"/>
    <w:rsid w:val="008934F4"/>
    <w:rsid w:val="00895878"/>
    <w:rsid w:val="00896C79"/>
    <w:rsid w:val="008A147B"/>
    <w:rsid w:val="008A157D"/>
    <w:rsid w:val="008A4DB6"/>
    <w:rsid w:val="008A587D"/>
    <w:rsid w:val="008A59AB"/>
    <w:rsid w:val="008A6198"/>
    <w:rsid w:val="008A7580"/>
    <w:rsid w:val="008A7E37"/>
    <w:rsid w:val="008B0D4C"/>
    <w:rsid w:val="008B22BE"/>
    <w:rsid w:val="008B416B"/>
    <w:rsid w:val="008B6DA5"/>
    <w:rsid w:val="008B7644"/>
    <w:rsid w:val="008C094A"/>
    <w:rsid w:val="008C1D7C"/>
    <w:rsid w:val="008C1FE0"/>
    <w:rsid w:val="008C4E0D"/>
    <w:rsid w:val="008C50F7"/>
    <w:rsid w:val="008C50FB"/>
    <w:rsid w:val="008C5486"/>
    <w:rsid w:val="008C6384"/>
    <w:rsid w:val="008C6B16"/>
    <w:rsid w:val="008D21CB"/>
    <w:rsid w:val="008D2CEE"/>
    <w:rsid w:val="008D4820"/>
    <w:rsid w:val="008D4E23"/>
    <w:rsid w:val="008D6AC3"/>
    <w:rsid w:val="008E1E8E"/>
    <w:rsid w:val="008E2C54"/>
    <w:rsid w:val="008E535A"/>
    <w:rsid w:val="008E6CAE"/>
    <w:rsid w:val="008E7031"/>
    <w:rsid w:val="008F05DF"/>
    <w:rsid w:val="008F14C9"/>
    <w:rsid w:val="008F2DE1"/>
    <w:rsid w:val="008F2F48"/>
    <w:rsid w:val="008F4AD5"/>
    <w:rsid w:val="008F4C72"/>
    <w:rsid w:val="008F4DFD"/>
    <w:rsid w:val="008F6E27"/>
    <w:rsid w:val="008F6FC7"/>
    <w:rsid w:val="008F71C7"/>
    <w:rsid w:val="008F7954"/>
    <w:rsid w:val="009004F5"/>
    <w:rsid w:val="0090239D"/>
    <w:rsid w:val="00902445"/>
    <w:rsid w:val="00903A78"/>
    <w:rsid w:val="009057E0"/>
    <w:rsid w:val="009064FC"/>
    <w:rsid w:val="0091130F"/>
    <w:rsid w:val="00913C7D"/>
    <w:rsid w:val="00914872"/>
    <w:rsid w:val="00914975"/>
    <w:rsid w:val="00914A87"/>
    <w:rsid w:val="00915BFF"/>
    <w:rsid w:val="0091710E"/>
    <w:rsid w:val="0092084D"/>
    <w:rsid w:val="00921066"/>
    <w:rsid w:val="00921957"/>
    <w:rsid w:val="00922ACF"/>
    <w:rsid w:val="009233EE"/>
    <w:rsid w:val="00924207"/>
    <w:rsid w:val="0092422F"/>
    <w:rsid w:val="00925EDB"/>
    <w:rsid w:val="00932606"/>
    <w:rsid w:val="009335AE"/>
    <w:rsid w:val="00933B55"/>
    <w:rsid w:val="00936740"/>
    <w:rsid w:val="009377D8"/>
    <w:rsid w:val="00940393"/>
    <w:rsid w:val="0094150C"/>
    <w:rsid w:val="00941935"/>
    <w:rsid w:val="00942863"/>
    <w:rsid w:val="00944863"/>
    <w:rsid w:val="009456DC"/>
    <w:rsid w:val="00947919"/>
    <w:rsid w:val="009508DF"/>
    <w:rsid w:val="00950B15"/>
    <w:rsid w:val="0095158D"/>
    <w:rsid w:val="00952CF7"/>
    <w:rsid w:val="00953534"/>
    <w:rsid w:val="009540FA"/>
    <w:rsid w:val="00956C19"/>
    <w:rsid w:val="00957591"/>
    <w:rsid w:val="0095772E"/>
    <w:rsid w:val="00960AC5"/>
    <w:rsid w:val="00960C83"/>
    <w:rsid w:val="00963914"/>
    <w:rsid w:val="00963EC7"/>
    <w:rsid w:val="009661DE"/>
    <w:rsid w:val="009721AF"/>
    <w:rsid w:val="00972A40"/>
    <w:rsid w:val="00974CDB"/>
    <w:rsid w:val="009777E3"/>
    <w:rsid w:val="00981578"/>
    <w:rsid w:val="00981E7F"/>
    <w:rsid w:val="00982FEB"/>
    <w:rsid w:val="009837D1"/>
    <w:rsid w:val="00983EEC"/>
    <w:rsid w:val="009856B7"/>
    <w:rsid w:val="00985A66"/>
    <w:rsid w:val="0098646A"/>
    <w:rsid w:val="009920D2"/>
    <w:rsid w:val="009928BC"/>
    <w:rsid w:val="009937B4"/>
    <w:rsid w:val="0099572C"/>
    <w:rsid w:val="009A090B"/>
    <w:rsid w:val="009A0A73"/>
    <w:rsid w:val="009A0EDF"/>
    <w:rsid w:val="009A14D0"/>
    <w:rsid w:val="009A1F41"/>
    <w:rsid w:val="009A3D22"/>
    <w:rsid w:val="009A4B08"/>
    <w:rsid w:val="009A574C"/>
    <w:rsid w:val="009A6D69"/>
    <w:rsid w:val="009B0884"/>
    <w:rsid w:val="009B1174"/>
    <w:rsid w:val="009B21F2"/>
    <w:rsid w:val="009B4E65"/>
    <w:rsid w:val="009B533B"/>
    <w:rsid w:val="009B5478"/>
    <w:rsid w:val="009B5D28"/>
    <w:rsid w:val="009B615C"/>
    <w:rsid w:val="009B69AA"/>
    <w:rsid w:val="009B74B0"/>
    <w:rsid w:val="009C01D7"/>
    <w:rsid w:val="009C05B5"/>
    <w:rsid w:val="009C1BE3"/>
    <w:rsid w:val="009C381D"/>
    <w:rsid w:val="009C4C5E"/>
    <w:rsid w:val="009C4FB9"/>
    <w:rsid w:val="009C6A83"/>
    <w:rsid w:val="009C77CC"/>
    <w:rsid w:val="009C7E88"/>
    <w:rsid w:val="009C7FDF"/>
    <w:rsid w:val="009D0B16"/>
    <w:rsid w:val="009D3016"/>
    <w:rsid w:val="009D30B3"/>
    <w:rsid w:val="009D3902"/>
    <w:rsid w:val="009D47E3"/>
    <w:rsid w:val="009D633E"/>
    <w:rsid w:val="009D6B46"/>
    <w:rsid w:val="009E1209"/>
    <w:rsid w:val="009E1242"/>
    <w:rsid w:val="009E2520"/>
    <w:rsid w:val="009E2B88"/>
    <w:rsid w:val="009E464D"/>
    <w:rsid w:val="009E6668"/>
    <w:rsid w:val="009E7749"/>
    <w:rsid w:val="009E7AC6"/>
    <w:rsid w:val="009E7D2D"/>
    <w:rsid w:val="009F0590"/>
    <w:rsid w:val="009F0A79"/>
    <w:rsid w:val="009F1D03"/>
    <w:rsid w:val="009F1E42"/>
    <w:rsid w:val="009F2CAC"/>
    <w:rsid w:val="009F4806"/>
    <w:rsid w:val="009F4940"/>
    <w:rsid w:val="00A041F4"/>
    <w:rsid w:val="00A04451"/>
    <w:rsid w:val="00A04F9F"/>
    <w:rsid w:val="00A057D1"/>
    <w:rsid w:val="00A05BED"/>
    <w:rsid w:val="00A06AD1"/>
    <w:rsid w:val="00A06E0E"/>
    <w:rsid w:val="00A1210E"/>
    <w:rsid w:val="00A159BF"/>
    <w:rsid w:val="00A15E40"/>
    <w:rsid w:val="00A16975"/>
    <w:rsid w:val="00A16DAF"/>
    <w:rsid w:val="00A16F26"/>
    <w:rsid w:val="00A21F54"/>
    <w:rsid w:val="00A226E9"/>
    <w:rsid w:val="00A2302C"/>
    <w:rsid w:val="00A25353"/>
    <w:rsid w:val="00A26739"/>
    <w:rsid w:val="00A26C2F"/>
    <w:rsid w:val="00A30B76"/>
    <w:rsid w:val="00A3632A"/>
    <w:rsid w:val="00A42006"/>
    <w:rsid w:val="00A432BC"/>
    <w:rsid w:val="00A433FB"/>
    <w:rsid w:val="00A4478A"/>
    <w:rsid w:val="00A44852"/>
    <w:rsid w:val="00A45EAC"/>
    <w:rsid w:val="00A47A03"/>
    <w:rsid w:val="00A52A18"/>
    <w:rsid w:val="00A5631E"/>
    <w:rsid w:val="00A575E8"/>
    <w:rsid w:val="00A57D04"/>
    <w:rsid w:val="00A57D69"/>
    <w:rsid w:val="00A60A26"/>
    <w:rsid w:val="00A61598"/>
    <w:rsid w:val="00A61DCF"/>
    <w:rsid w:val="00A645F9"/>
    <w:rsid w:val="00A64EBB"/>
    <w:rsid w:val="00A672B8"/>
    <w:rsid w:val="00A6730F"/>
    <w:rsid w:val="00A679F2"/>
    <w:rsid w:val="00A70908"/>
    <w:rsid w:val="00A71AA6"/>
    <w:rsid w:val="00A75AAA"/>
    <w:rsid w:val="00A81710"/>
    <w:rsid w:val="00A81EF8"/>
    <w:rsid w:val="00A8219E"/>
    <w:rsid w:val="00A84149"/>
    <w:rsid w:val="00A842B8"/>
    <w:rsid w:val="00A84E2D"/>
    <w:rsid w:val="00A84F46"/>
    <w:rsid w:val="00A871F4"/>
    <w:rsid w:val="00A87F90"/>
    <w:rsid w:val="00A912B1"/>
    <w:rsid w:val="00A91A4B"/>
    <w:rsid w:val="00A923DD"/>
    <w:rsid w:val="00A9455D"/>
    <w:rsid w:val="00A94D89"/>
    <w:rsid w:val="00A952AA"/>
    <w:rsid w:val="00A956AD"/>
    <w:rsid w:val="00A96CE0"/>
    <w:rsid w:val="00A971A0"/>
    <w:rsid w:val="00AA0CEB"/>
    <w:rsid w:val="00AA12D3"/>
    <w:rsid w:val="00AA39C0"/>
    <w:rsid w:val="00AA3A2C"/>
    <w:rsid w:val="00AA476F"/>
    <w:rsid w:val="00AA649A"/>
    <w:rsid w:val="00AA73F0"/>
    <w:rsid w:val="00AB6478"/>
    <w:rsid w:val="00AB6927"/>
    <w:rsid w:val="00AC0FE9"/>
    <w:rsid w:val="00AC1B2C"/>
    <w:rsid w:val="00AC1CF3"/>
    <w:rsid w:val="00AC242C"/>
    <w:rsid w:val="00AC3264"/>
    <w:rsid w:val="00AC48DA"/>
    <w:rsid w:val="00AC4BF5"/>
    <w:rsid w:val="00AC5A66"/>
    <w:rsid w:val="00AD0424"/>
    <w:rsid w:val="00AD23A4"/>
    <w:rsid w:val="00AD36D0"/>
    <w:rsid w:val="00AD3987"/>
    <w:rsid w:val="00AD3D69"/>
    <w:rsid w:val="00AD592F"/>
    <w:rsid w:val="00AD6D98"/>
    <w:rsid w:val="00AD76AE"/>
    <w:rsid w:val="00AE0399"/>
    <w:rsid w:val="00AE18EA"/>
    <w:rsid w:val="00AE1BF1"/>
    <w:rsid w:val="00AE20B1"/>
    <w:rsid w:val="00AE2792"/>
    <w:rsid w:val="00AE317D"/>
    <w:rsid w:val="00AE33E0"/>
    <w:rsid w:val="00AF0CA1"/>
    <w:rsid w:val="00AF0DD2"/>
    <w:rsid w:val="00AF0ED5"/>
    <w:rsid w:val="00AF3A41"/>
    <w:rsid w:val="00AF46F3"/>
    <w:rsid w:val="00AF66A7"/>
    <w:rsid w:val="00AF7058"/>
    <w:rsid w:val="00AF7C0E"/>
    <w:rsid w:val="00B01BD3"/>
    <w:rsid w:val="00B02ED5"/>
    <w:rsid w:val="00B03817"/>
    <w:rsid w:val="00B057C8"/>
    <w:rsid w:val="00B06353"/>
    <w:rsid w:val="00B065C9"/>
    <w:rsid w:val="00B0779B"/>
    <w:rsid w:val="00B109DD"/>
    <w:rsid w:val="00B11C09"/>
    <w:rsid w:val="00B1285B"/>
    <w:rsid w:val="00B13048"/>
    <w:rsid w:val="00B135AC"/>
    <w:rsid w:val="00B14CE4"/>
    <w:rsid w:val="00B162BD"/>
    <w:rsid w:val="00B16A28"/>
    <w:rsid w:val="00B1716D"/>
    <w:rsid w:val="00B17A1D"/>
    <w:rsid w:val="00B207A0"/>
    <w:rsid w:val="00B20F61"/>
    <w:rsid w:val="00B211EE"/>
    <w:rsid w:val="00B23484"/>
    <w:rsid w:val="00B251A4"/>
    <w:rsid w:val="00B25887"/>
    <w:rsid w:val="00B26AAA"/>
    <w:rsid w:val="00B276D9"/>
    <w:rsid w:val="00B302BF"/>
    <w:rsid w:val="00B30D82"/>
    <w:rsid w:val="00B31071"/>
    <w:rsid w:val="00B33C7F"/>
    <w:rsid w:val="00B35810"/>
    <w:rsid w:val="00B35937"/>
    <w:rsid w:val="00B3773B"/>
    <w:rsid w:val="00B4128D"/>
    <w:rsid w:val="00B41686"/>
    <w:rsid w:val="00B44E99"/>
    <w:rsid w:val="00B474EE"/>
    <w:rsid w:val="00B52EC8"/>
    <w:rsid w:val="00B55C24"/>
    <w:rsid w:val="00B56CF6"/>
    <w:rsid w:val="00B56E03"/>
    <w:rsid w:val="00B6278D"/>
    <w:rsid w:val="00B62BB5"/>
    <w:rsid w:val="00B63E2C"/>
    <w:rsid w:val="00B64DF7"/>
    <w:rsid w:val="00B652AF"/>
    <w:rsid w:val="00B65CAC"/>
    <w:rsid w:val="00B66E74"/>
    <w:rsid w:val="00B673A4"/>
    <w:rsid w:val="00B70A7F"/>
    <w:rsid w:val="00B70CA5"/>
    <w:rsid w:val="00B7397E"/>
    <w:rsid w:val="00B73C3A"/>
    <w:rsid w:val="00B752C5"/>
    <w:rsid w:val="00B8080B"/>
    <w:rsid w:val="00B82845"/>
    <w:rsid w:val="00B8349A"/>
    <w:rsid w:val="00B85D8A"/>
    <w:rsid w:val="00B87C39"/>
    <w:rsid w:val="00B87DD6"/>
    <w:rsid w:val="00B904FF"/>
    <w:rsid w:val="00B91BE8"/>
    <w:rsid w:val="00B92CD5"/>
    <w:rsid w:val="00B956D7"/>
    <w:rsid w:val="00BA05DD"/>
    <w:rsid w:val="00BA1F27"/>
    <w:rsid w:val="00BA2E61"/>
    <w:rsid w:val="00BA390A"/>
    <w:rsid w:val="00BA3992"/>
    <w:rsid w:val="00BA4665"/>
    <w:rsid w:val="00BB20BA"/>
    <w:rsid w:val="00BB2FB2"/>
    <w:rsid w:val="00BB3304"/>
    <w:rsid w:val="00BB4732"/>
    <w:rsid w:val="00BB51C2"/>
    <w:rsid w:val="00BB6815"/>
    <w:rsid w:val="00BB7780"/>
    <w:rsid w:val="00BC03BC"/>
    <w:rsid w:val="00BC1B6B"/>
    <w:rsid w:val="00BC4CD2"/>
    <w:rsid w:val="00BC614B"/>
    <w:rsid w:val="00BC6398"/>
    <w:rsid w:val="00BC675F"/>
    <w:rsid w:val="00BD0BD0"/>
    <w:rsid w:val="00BD10B4"/>
    <w:rsid w:val="00BD1AD7"/>
    <w:rsid w:val="00BD1BCA"/>
    <w:rsid w:val="00BD26AE"/>
    <w:rsid w:val="00BD3446"/>
    <w:rsid w:val="00BD412C"/>
    <w:rsid w:val="00BD4E33"/>
    <w:rsid w:val="00BD545F"/>
    <w:rsid w:val="00BD5467"/>
    <w:rsid w:val="00BD6CD4"/>
    <w:rsid w:val="00BD7176"/>
    <w:rsid w:val="00BD71BD"/>
    <w:rsid w:val="00BE1F1B"/>
    <w:rsid w:val="00BE2075"/>
    <w:rsid w:val="00BE2F8A"/>
    <w:rsid w:val="00BE377D"/>
    <w:rsid w:val="00BE3F55"/>
    <w:rsid w:val="00BE40E3"/>
    <w:rsid w:val="00BE47B5"/>
    <w:rsid w:val="00BE5AC5"/>
    <w:rsid w:val="00BE6087"/>
    <w:rsid w:val="00BE7DBC"/>
    <w:rsid w:val="00BF19CB"/>
    <w:rsid w:val="00BF1BF5"/>
    <w:rsid w:val="00BF1E45"/>
    <w:rsid w:val="00BF295F"/>
    <w:rsid w:val="00BF4639"/>
    <w:rsid w:val="00BF4D68"/>
    <w:rsid w:val="00BF65C1"/>
    <w:rsid w:val="00BF771C"/>
    <w:rsid w:val="00C008E0"/>
    <w:rsid w:val="00C008FE"/>
    <w:rsid w:val="00C01734"/>
    <w:rsid w:val="00C024A5"/>
    <w:rsid w:val="00C030BB"/>
    <w:rsid w:val="00C03C71"/>
    <w:rsid w:val="00C04914"/>
    <w:rsid w:val="00C05C48"/>
    <w:rsid w:val="00C064A7"/>
    <w:rsid w:val="00C075A3"/>
    <w:rsid w:val="00C07A89"/>
    <w:rsid w:val="00C101F2"/>
    <w:rsid w:val="00C11AE0"/>
    <w:rsid w:val="00C12A83"/>
    <w:rsid w:val="00C154C0"/>
    <w:rsid w:val="00C15CB2"/>
    <w:rsid w:val="00C15DA4"/>
    <w:rsid w:val="00C16B2C"/>
    <w:rsid w:val="00C1786D"/>
    <w:rsid w:val="00C17CB8"/>
    <w:rsid w:val="00C17F0D"/>
    <w:rsid w:val="00C17FC7"/>
    <w:rsid w:val="00C21CBD"/>
    <w:rsid w:val="00C238EB"/>
    <w:rsid w:val="00C24398"/>
    <w:rsid w:val="00C248B1"/>
    <w:rsid w:val="00C25A9A"/>
    <w:rsid w:val="00C273A6"/>
    <w:rsid w:val="00C30BBE"/>
    <w:rsid w:val="00C34065"/>
    <w:rsid w:val="00C34D31"/>
    <w:rsid w:val="00C35876"/>
    <w:rsid w:val="00C361EB"/>
    <w:rsid w:val="00C402E0"/>
    <w:rsid w:val="00C41237"/>
    <w:rsid w:val="00C420D7"/>
    <w:rsid w:val="00C420EB"/>
    <w:rsid w:val="00C43C4F"/>
    <w:rsid w:val="00C44454"/>
    <w:rsid w:val="00C452B9"/>
    <w:rsid w:val="00C466B4"/>
    <w:rsid w:val="00C46AB5"/>
    <w:rsid w:val="00C4709E"/>
    <w:rsid w:val="00C4712A"/>
    <w:rsid w:val="00C47DEE"/>
    <w:rsid w:val="00C47EC0"/>
    <w:rsid w:val="00C50EC2"/>
    <w:rsid w:val="00C51484"/>
    <w:rsid w:val="00C51BE7"/>
    <w:rsid w:val="00C532EF"/>
    <w:rsid w:val="00C538A9"/>
    <w:rsid w:val="00C53B5A"/>
    <w:rsid w:val="00C54CF3"/>
    <w:rsid w:val="00C54F5A"/>
    <w:rsid w:val="00C55452"/>
    <w:rsid w:val="00C55AB1"/>
    <w:rsid w:val="00C56506"/>
    <w:rsid w:val="00C565C5"/>
    <w:rsid w:val="00C5766F"/>
    <w:rsid w:val="00C601EF"/>
    <w:rsid w:val="00C60452"/>
    <w:rsid w:val="00C6191E"/>
    <w:rsid w:val="00C62797"/>
    <w:rsid w:val="00C6290C"/>
    <w:rsid w:val="00C63A42"/>
    <w:rsid w:val="00C672E0"/>
    <w:rsid w:val="00C70205"/>
    <w:rsid w:val="00C729B4"/>
    <w:rsid w:val="00C73A47"/>
    <w:rsid w:val="00C73C83"/>
    <w:rsid w:val="00C74A11"/>
    <w:rsid w:val="00C80612"/>
    <w:rsid w:val="00C81324"/>
    <w:rsid w:val="00C81890"/>
    <w:rsid w:val="00C81A67"/>
    <w:rsid w:val="00C823CE"/>
    <w:rsid w:val="00C8473D"/>
    <w:rsid w:val="00C86679"/>
    <w:rsid w:val="00C86919"/>
    <w:rsid w:val="00C872DB"/>
    <w:rsid w:val="00C87867"/>
    <w:rsid w:val="00C91830"/>
    <w:rsid w:val="00C9478B"/>
    <w:rsid w:val="00C950AF"/>
    <w:rsid w:val="00C9660A"/>
    <w:rsid w:val="00C96A92"/>
    <w:rsid w:val="00CA04F2"/>
    <w:rsid w:val="00CA0ECB"/>
    <w:rsid w:val="00CA4EE0"/>
    <w:rsid w:val="00CA51FE"/>
    <w:rsid w:val="00CA6B3A"/>
    <w:rsid w:val="00CA771A"/>
    <w:rsid w:val="00CA7D3F"/>
    <w:rsid w:val="00CB0FA5"/>
    <w:rsid w:val="00CB45EC"/>
    <w:rsid w:val="00CB666B"/>
    <w:rsid w:val="00CB695E"/>
    <w:rsid w:val="00CC1AC0"/>
    <w:rsid w:val="00CC1D64"/>
    <w:rsid w:val="00CC2C03"/>
    <w:rsid w:val="00CC2CA1"/>
    <w:rsid w:val="00CC3B19"/>
    <w:rsid w:val="00CC6516"/>
    <w:rsid w:val="00CC656F"/>
    <w:rsid w:val="00CC6738"/>
    <w:rsid w:val="00CD2754"/>
    <w:rsid w:val="00CD40AD"/>
    <w:rsid w:val="00CD4E7F"/>
    <w:rsid w:val="00CE0A5F"/>
    <w:rsid w:val="00CE15A5"/>
    <w:rsid w:val="00CE1831"/>
    <w:rsid w:val="00CE1B68"/>
    <w:rsid w:val="00CE6345"/>
    <w:rsid w:val="00CE661E"/>
    <w:rsid w:val="00CE695E"/>
    <w:rsid w:val="00CE6F6D"/>
    <w:rsid w:val="00CF0B65"/>
    <w:rsid w:val="00CF0E01"/>
    <w:rsid w:val="00CF0E07"/>
    <w:rsid w:val="00CF36F5"/>
    <w:rsid w:val="00CF455C"/>
    <w:rsid w:val="00CF4D2E"/>
    <w:rsid w:val="00CF5382"/>
    <w:rsid w:val="00CF62CA"/>
    <w:rsid w:val="00CF6F3C"/>
    <w:rsid w:val="00CF7D47"/>
    <w:rsid w:val="00D01CF0"/>
    <w:rsid w:val="00D0442A"/>
    <w:rsid w:val="00D05840"/>
    <w:rsid w:val="00D07128"/>
    <w:rsid w:val="00D10120"/>
    <w:rsid w:val="00D10E76"/>
    <w:rsid w:val="00D11721"/>
    <w:rsid w:val="00D11CB3"/>
    <w:rsid w:val="00D1516F"/>
    <w:rsid w:val="00D1614C"/>
    <w:rsid w:val="00D16710"/>
    <w:rsid w:val="00D22BD4"/>
    <w:rsid w:val="00D22E23"/>
    <w:rsid w:val="00D2306D"/>
    <w:rsid w:val="00D250AC"/>
    <w:rsid w:val="00D270E1"/>
    <w:rsid w:val="00D323D0"/>
    <w:rsid w:val="00D32767"/>
    <w:rsid w:val="00D33489"/>
    <w:rsid w:val="00D340BF"/>
    <w:rsid w:val="00D372FA"/>
    <w:rsid w:val="00D40B44"/>
    <w:rsid w:val="00D43663"/>
    <w:rsid w:val="00D44037"/>
    <w:rsid w:val="00D4594F"/>
    <w:rsid w:val="00D4681D"/>
    <w:rsid w:val="00D5111E"/>
    <w:rsid w:val="00D5124C"/>
    <w:rsid w:val="00D53F55"/>
    <w:rsid w:val="00D61388"/>
    <w:rsid w:val="00D613F3"/>
    <w:rsid w:val="00D615F9"/>
    <w:rsid w:val="00D61A54"/>
    <w:rsid w:val="00D62BAD"/>
    <w:rsid w:val="00D631F0"/>
    <w:rsid w:val="00D64DEA"/>
    <w:rsid w:val="00D65E49"/>
    <w:rsid w:val="00D67D07"/>
    <w:rsid w:val="00D70F71"/>
    <w:rsid w:val="00D71771"/>
    <w:rsid w:val="00D725C2"/>
    <w:rsid w:val="00D73D17"/>
    <w:rsid w:val="00D74261"/>
    <w:rsid w:val="00D74971"/>
    <w:rsid w:val="00D76F67"/>
    <w:rsid w:val="00D80893"/>
    <w:rsid w:val="00D839A7"/>
    <w:rsid w:val="00D843CA"/>
    <w:rsid w:val="00D86899"/>
    <w:rsid w:val="00D87097"/>
    <w:rsid w:val="00D90FB7"/>
    <w:rsid w:val="00D92A31"/>
    <w:rsid w:val="00D92CF1"/>
    <w:rsid w:val="00D92D38"/>
    <w:rsid w:val="00D92E07"/>
    <w:rsid w:val="00D936B6"/>
    <w:rsid w:val="00D950F5"/>
    <w:rsid w:val="00D95177"/>
    <w:rsid w:val="00D96914"/>
    <w:rsid w:val="00DA0C4C"/>
    <w:rsid w:val="00DA1CA3"/>
    <w:rsid w:val="00DA289D"/>
    <w:rsid w:val="00DA331C"/>
    <w:rsid w:val="00DA4BC4"/>
    <w:rsid w:val="00DA4E07"/>
    <w:rsid w:val="00DA5C3F"/>
    <w:rsid w:val="00DB0F93"/>
    <w:rsid w:val="00DB134D"/>
    <w:rsid w:val="00DB16A7"/>
    <w:rsid w:val="00DB196A"/>
    <w:rsid w:val="00DB20BF"/>
    <w:rsid w:val="00DB2353"/>
    <w:rsid w:val="00DB402D"/>
    <w:rsid w:val="00DB4CC4"/>
    <w:rsid w:val="00DB4FF1"/>
    <w:rsid w:val="00DB6861"/>
    <w:rsid w:val="00DB7193"/>
    <w:rsid w:val="00DB7AB9"/>
    <w:rsid w:val="00DB7B59"/>
    <w:rsid w:val="00DB7FD1"/>
    <w:rsid w:val="00DC153A"/>
    <w:rsid w:val="00DC22E3"/>
    <w:rsid w:val="00DC24BF"/>
    <w:rsid w:val="00DC2907"/>
    <w:rsid w:val="00DC395C"/>
    <w:rsid w:val="00DC5E54"/>
    <w:rsid w:val="00DC693A"/>
    <w:rsid w:val="00DC7981"/>
    <w:rsid w:val="00DC7B5A"/>
    <w:rsid w:val="00DD15C2"/>
    <w:rsid w:val="00DD1973"/>
    <w:rsid w:val="00DD27EA"/>
    <w:rsid w:val="00DD33DE"/>
    <w:rsid w:val="00DD79F4"/>
    <w:rsid w:val="00DE45B5"/>
    <w:rsid w:val="00DE4EFA"/>
    <w:rsid w:val="00DE5104"/>
    <w:rsid w:val="00DE5520"/>
    <w:rsid w:val="00DE5AB1"/>
    <w:rsid w:val="00DE6AA6"/>
    <w:rsid w:val="00DE7345"/>
    <w:rsid w:val="00DF02A4"/>
    <w:rsid w:val="00DF0714"/>
    <w:rsid w:val="00DF1C55"/>
    <w:rsid w:val="00DF2298"/>
    <w:rsid w:val="00DF2D42"/>
    <w:rsid w:val="00DF3C7E"/>
    <w:rsid w:val="00DF6E09"/>
    <w:rsid w:val="00DF7793"/>
    <w:rsid w:val="00E00EC9"/>
    <w:rsid w:val="00E03069"/>
    <w:rsid w:val="00E034A6"/>
    <w:rsid w:val="00E03725"/>
    <w:rsid w:val="00E04818"/>
    <w:rsid w:val="00E06442"/>
    <w:rsid w:val="00E06937"/>
    <w:rsid w:val="00E113E2"/>
    <w:rsid w:val="00E115DE"/>
    <w:rsid w:val="00E13056"/>
    <w:rsid w:val="00E135DB"/>
    <w:rsid w:val="00E13C85"/>
    <w:rsid w:val="00E15B15"/>
    <w:rsid w:val="00E15F74"/>
    <w:rsid w:val="00E16EDC"/>
    <w:rsid w:val="00E2257E"/>
    <w:rsid w:val="00E227A4"/>
    <w:rsid w:val="00E2374E"/>
    <w:rsid w:val="00E23993"/>
    <w:rsid w:val="00E24D12"/>
    <w:rsid w:val="00E2504E"/>
    <w:rsid w:val="00E25B8C"/>
    <w:rsid w:val="00E25F40"/>
    <w:rsid w:val="00E3279F"/>
    <w:rsid w:val="00E32A8C"/>
    <w:rsid w:val="00E333EF"/>
    <w:rsid w:val="00E334A4"/>
    <w:rsid w:val="00E35AE8"/>
    <w:rsid w:val="00E3678B"/>
    <w:rsid w:val="00E3724C"/>
    <w:rsid w:val="00E37F0B"/>
    <w:rsid w:val="00E40426"/>
    <w:rsid w:val="00E40B9C"/>
    <w:rsid w:val="00E42976"/>
    <w:rsid w:val="00E42DF3"/>
    <w:rsid w:val="00E43848"/>
    <w:rsid w:val="00E438D4"/>
    <w:rsid w:val="00E43BBA"/>
    <w:rsid w:val="00E4482C"/>
    <w:rsid w:val="00E4680F"/>
    <w:rsid w:val="00E46D48"/>
    <w:rsid w:val="00E47EAD"/>
    <w:rsid w:val="00E5181B"/>
    <w:rsid w:val="00E52107"/>
    <w:rsid w:val="00E52A27"/>
    <w:rsid w:val="00E54461"/>
    <w:rsid w:val="00E55C3C"/>
    <w:rsid w:val="00E56018"/>
    <w:rsid w:val="00E6018A"/>
    <w:rsid w:val="00E605DA"/>
    <w:rsid w:val="00E65839"/>
    <w:rsid w:val="00E65C85"/>
    <w:rsid w:val="00E65CF4"/>
    <w:rsid w:val="00E66199"/>
    <w:rsid w:val="00E675DF"/>
    <w:rsid w:val="00E715D5"/>
    <w:rsid w:val="00E7180D"/>
    <w:rsid w:val="00E737E3"/>
    <w:rsid w:val="00E74532"/>
    <w:rsid w:val="00E7472E"/>
    <w:rsid w:val="00E755EC"/>
    <w:rsid w:val="00E761D6"/>
    <w:rsid w:val="00E7624D"/>
    <w:rsid w:val="00E8137D"/>
    <w:rsid w:val="00E823D9"/>
    <w:rsid w:val="00E8569F"/>
    <w:rsid w:val="00E86851"/>
    <w:rsid w:val="00E91678"/>
    <w:rsid w:val="00E91BED"/>
    <w:rsid w:val="00E926FC"/>
    <w:rsid w:val="00E95390"/>
    <w:rsid w:val="00E95CA7"/>
    <w:rsid w:val="00E96EFF"/>
    <w:rsid w:val="00EA1DEE"/>
    <w:rsid w:val="00EA3D42"/>
    <w:rsid w:val="00EA4DD9"/>
    <w:rsid w:val="00EA550B"/>
    <w:rsid w:val="00EA6B1B"/>
    <w:rsid w:val="00EB049F"/>
    <w:rsid w:val="00EB100D"/>
    <w:rsid w:val="00EB456D"/>
    <w:rsid w:val="00EB540F"/>
    <w:rsid w:val="00EB7D7F"/>
    <w:rsid w:val="00EC05BF"/>
    <w:rsid w:val="00EC0D58"/>
    <w:rsid w:val="00EC10A1"/>
    <w:rsid w:val="00EC137F"/>
    <w:rsid w:val="00EC24B0"/>
    <w:rsid w:val="00EC2CB1"/>
    <w:rsid w:val="00EC317E"/>
    <w:rsid w:val="00EC67D4"/>
    <w:rsid w:val="00EC7EB1"/>
    <w:rsid w:val="00ED3C5B"/>
    <w:rsid w:val="00ED4A25"/>
    <w:rsid w:val="00ED6E24"/>
    <w:rsid w:val="00EE164B"/>
    <w:rsid w:val="00EE28F3"/>
    <w:rsid w:val="00EE347F"/>
    <w:rsid w:val="00EE42C2"/>
    <w:rsid w:val="00EE46CE"/>
    <w:rsid w:val="00EE575A"/>
    <w:rsid w:val="00EF013A"/>
    <w:rsid w:val="00EF0E42"/>
    <w:rsid w:val="00EF0FE6"/>
    <w:rsid w:val="00EF1961"/>
    <w:rsid w:val="00EF3FB8"/>
    <w:rsid w:val="00EF5110"/>
    <w:rsid w:val="00EF62CA"/>
    <w:rsid w:val="00EF69CB"/>
    <w:rsid w:val="00F00587"/>
    <w:rsid w:val="00F019C5"/>
    <w:rsid w:val="00F02D9B"/>
    <w:rsid w:val="00F031FE"/>
    <w:rsid w:val="00F05EAD"/>
    <w:rsid w:val="00F06B5B"/>
    <w:rsid w:val="00F072C7"/>
    <w:rsid w:val="00F10CDA"/>
    <w:rsid w:val="00F113FD"/>
    <w:rsid w:val="00F13B99"/>
    <w:rsid w:val="00F13EAA"/>
    <w:rsid w:val="00F1535C"/>
    <w:rsid w:val="00F15882"/>
    <w:rsid w:val="00F15AB9"/>
    <w:rsid w:val="00F167CF"/>
    <w:rsid w:val="00F16858"/>
    <w:rsid w:val="00F1785E"/>
    <w:rsid w:val="00F20BD3"/>
    <w:rsid w:val="00F248D0"/>
    <w:rsid w:val="00F26128"/>
    <w:rsid w:val="00F27967"/>
    <w:rsid w:val="00F32D35"/>
    <w:rsid w:val="00F336DF"/>
    <w:rsid w:val="00F3590E"/>
    <w:rsid w:val="00F36430"/>
    <w:rsid w:val="00F373A5"/>
    <w:rsid w:val="00F376D3"/>
    <w:rsid w:val="00F4040B"/>
    <w:rsid w:val="00F42DB4"/>
    <w:rsid w:val="00F45B2F"/>
    <w:rsid w:val="00F47559"/>
    <w:rsid w:val="00F5112C"/>
    <w:rsid w:val="00F55548"/>
    <w:rsid w:val="00F55859"/>
    <w:rsid w:val="00F6043C"/>
    <w:rsid w:val="00F60561"/>
    <w:rsid w:val="00F61055"/>
    <w:rsid w:val="00F61AA8"/>
    <w:rsid w:val="00F61EEA"/>
    <w:rsid w:val="00F6307C"/>
    <w:rsid w:val="00F64A21"/>
    <w:rsid w:val="00F64C7B"/>
    <w:rsid w:val="00F64F82"/>
    <w:rsid w:val="00F65699"/>
    <w:rsid w:val="00F662F1"/>
    <w:rsid w:val="00F66967"/>
    <w:rsid w:val="00F676DD"/>
    <w:rsid w:val="00F70811"/>
    <w:rsid w:val="00F70D8D"/>
    <w:rsid w:val="00F71486"/>
    <w:rsid w:val="00F72F41"/>
    <w:rsid w:val="00F74CBC"/>
    <w:rsid w:val="00F75A26"/>
    <w:rsid w:val="00F766B3"/>
    <w:rsid w:val="00F77D49"/>
    <w:rsid w:val="00F8021A"/>
    <w:rsid w:val="00F805F3"/>
    <w:rsid w:val="00F83FAD"/>
    <w:rsid w:val="00F87EBA"/>
    <w:rsid w:val="00F90A80"/>
    <w:rsid w:val="00F91BC0"/>
    <w:rsid w:val="00F93027"/>
    <w:rsid w:val="00F946BA"/>
    <w:rsid w:val="00F94788"/>
    <w:rsid w:val="00F952A0"/>
    <w:rsid w:val="00F965FC"/>
    <w:rsid w:val="00FA25D4"/>
    <w:rsid w:val="00FA3830"/>
    <w:rsid w:val="00FA3C7F"/>
    <w:rsid w:val="00FA7736"/>
    <w:rsid w:val="00FA7920"/>
    <w:rsid w:val="00FB153F"/>
    <w:rsid w:val="00FB265D"/>
    <w:rsid w:val="00FB2690"/>
    <w:rsid w:val="00FB4068"/>
    <w:rsid w:val="00FB411D"/>
    <w:rsid w:val="00FB41E6"/>
    <w:rsid w:val="00FB45CF"/>
    <w:rsid w:val="00FB6C59"/>
    <w:rsid w:val="00FB74E2"/>
    <w:rsid w:val="00FC0060"/>
    <w:rsid w:val="00FC447B"/>
    <w:rsid w:val="00FC4CF7"/>
    <w:rsid w:val="00FC52AC"/>
    <w:rsid w:val="00FC54E6"/>
    <w:rsid w:val="00FC5EB3"/>
    <w:rsid w:val="00FC5FE0"/>
    <w:rsid w:val="00FC626F"/>
    <w:rsid w:val="00FC656F"/>
    <w:rsid w:val="00FC7B0B"/>
    <w:rsid w:val="00FD0763"/>
    <w:rsid w:val="00FD166D"/>
    <w:rsid w:val="00FD22A2"/>
    <w:rsid w:val="00FD29EE"/>
    <w:rsid w:val="00FD2F97"/>
    <w:rsid w:val="00FD5316"/>
    <w:rsid w:val="00FD5614"/>
    <w:rsid w:val="00FD72DC"/>
    <w:rsid w:val="00FE07CB"/>
    <w:rsid w:val="00FE0BE1"/>
    <w:rsid w:val="00FE12E5"/>
    <w:rsid w:val="00FE1DE9"/>
    <w:rsid w:val="00FE292D"/>
    <w:rsid w:val="00FE39C2"/>
    <w:rsid w:val="00FE3E67"/>
    <w:rsid w:val="00FE4B6D"/>
    <w:rsid w:val="00FE602C"/>
    <w:rsid w:val="00FE64AE"/>
    <w:rsid w:val="00FE6FD3"/>
    <w:rsid w:val="00FE7E62"/>
    <w:rsid w:val="00FF2C56"/>
    <w:rsid w:val="00FF3373"/>
    <w:rsid w:val="00FF3980"/>
    <w:rsid w:val="00FF657C"/>
    <w:rsid w:val="00FF6EE1"/>
    <w:rsid w:val="00FF7A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30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uiPriority="0" w:qFormat="1"/>
    <w:lsdException w:name="header" w:uiPriority="0" w:qFormat="1"/>
    <w:lsdException w:name="footer" w:qFormat="1"/>
    <w:lsdException w:name="caption" w:uiPriority="0" w:qFormat="1"/>
    <w:lsdException w:name="footnote reference" w:uiPriority="0"/>
    <w:lsdException w:name="page number" w:uiPriority="0"/>
    <w:lsdException w:name="endnote reference" w:uiPriority="0"/>
    <w:lsdException w:name="endnote text" w:uiPriority="0"/>
    <w:lsdException w:name="List" w:qFormat="1"/>
    <w:lsdException w:name="List Number" w:qFormat="1"/>
    <w:lsdException w:name="List Number 2" w:qFormat="1"/>
    <w:lsdException w:name="Title" w:semiHidden="0" w:uiPriority="0" w:unhideWhenUsed="0" w:qFormat="1"/>
    <w:lsdException w:name="Default Paragraph Font" w:uiPriority="1"/>
    <w:lsdException w:name="List Continue" w:qFormat="1"/>
    <w:lsdException w:name="Subtitle" w:semiHidden="0" w:uiPriority="11" w:unhideWhenUsed="0" w:qFormat="1"/>
    <w:lsdException w:name="Hyperlink" w:uiPriority="0" w:qFormat="1"/>
    <w:lsdException w:name="FollowedHyperlink" w:uiPriority="0"/>
    <w:lsdException w:name="Strong" w:semiHidden="0" w:uiPriority="22" w:unhideWhenUsed="0" w:qFormat="1"/>
    <w:lsdException w:name="Emphasis" w:semiHidden="0" w:uiPriority="0" w:unhideWhenUsed="0" w:qFormat="1"/>
    <w:lsdException w:name="Document Map" w:uiPriority="0"/>
    <w:lsdException w:name="annotation subject" w:uiPriority="0"/>
    <w:lsdException w:name="Outline List 1" w:uiPriority="0"/>
    <w:lsdException w:name="Table Classic 1" w:uiPriority="0"/>
    <w:lsdException w:name="Table Classic 2" w:uiPriority="0"/>
    <w:lsdException w:name="Table List 3" w:uiPriority="0"/>
    <w:lsdException w:name="Table Contemporary"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275002"/>
    <w:pPr>
      <w:spacing w:line="276" w:lineRule="auto"/>
    </w:pPr>
    <w:rPr>
      <w:rFonts w:ascii="Arial" w:hAnsi="Arial"/>
    </w:rPr>
  </w:style>
  <w:style w:type="paragraph" w:styleId="Heading1">
    <w:name w:val="heading 1"/>
    <w:basedOn w:val="Normal"/>
    <w:next w:val="Normal"/>
    <w:link w:val="Heading1Char"/>
    <w:qFormat/>
    <w:rsid w:val="009D6B46"/>
    <w:pPr>
      <w:spacing w:before="240"/>
      <w:outlineLvl w:val="0"/>
    </w:pPr>
    <w:rPr>
      <w:rFonts w:ascii="Lucida Fax" w:eastAsiaTheme="majorEastAsia" w:hAnsi="Lucida Fax" w:cstheme="majorBidi"/>
      <w:bCs/>
      <w:color w:val="51626F"/>
      <w:sz w:val="32"/>
      <w:szCs w:val="28"/>
    </w:rPr>
  </w:style>
  <w:style w:type="paragraph" w:styleId="Heading2">
    <w:name w:val="heading 2"/>
    <w:aliases w:val="AER Heading 2 (new)"/>
    <w:next w:val="Normal"/>
    <w:link w:val="Heading2Char"/>
    <w:qFormat/>
    <w:rsid w:val="004F6D0A"/>
    <w:pPr>
      <w:keepNext/>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spacing w:before="240"/>
      <w:outlineLvl w:val="2"/>
    </w:pPr>
    <w:rPr>
      <w:rFonts w:eastAsiaTheme="majorEastAsia" w:cstheme="majorBidi"/>
      <w:b/>
      <w:bCs/>
      <w:color w:val="000000" w:themeColor="text1" w:themeShade="BF"/>
      <w:sz w:val="24"/>
    </w:rPr>
  </w:style>
  <w:style w:type="paragraph" w:styleId="Heading4">
    <w:name w:val="heading 4"/>
    <w:basedOn w:val="Normal"/>
    <w:next w:val="Normal"/>
    <w:link w:val="Heading4Char"/>
    <w:qFormat/>
    <w:rsid w:val="009D6B46"/>
    <w:pPr>
      <w:spacing w:before="240"/>
      <w:outlineLvl w:val="3"/>
    </w:pPr>
    <w:rPr>
      <w:rFonts w:eastAsiaTheme="majorEastAsia" w:cstheme="majorBidi"/>
      <w:b/>
      <w:bCs/>
      <w:i/>
      <w:iCs/>
      <w:color w:val="51626F"/>
      <w:sz w:val="24"/>
    </w:rPr>
  </w:style>
  <w:style w:type="paragraph" w:styleId="Heading5">
    <w:name w:val="heading 5"/>
    <w:next w:val="Normal"/>
    <w:link w:val="Heading5Char"/>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9"/>
    <w:qFormat/>
    <w:rsid w:val="009D6B46"/>
    <w:pPr>
      <w:spacing w:before="240"/>
      <w:outlineLvl w:val="5"/>
    </w:pPr>
    <w:rPr>
      <w:rFonts w:eastAsiaTheme="majorEastAsia" w:cstheme="majorBidi"/>
      <w:b/>
      <w:i/>
      <w:iCs/>
    </w:rPr>
  </w:style>
  <w:style w:type="paragraph" w:styleId="Heading7">
    <w:name w:val="heading 7"/>
    <w:basedOn w:val="Normal"/>
    <w:next w:val="Normal"/>
    <w:link w:val="Heading7Char"/>
    <w:uiPriority w:val="9"/>
    <w:qFormat/>
    <w:rsid w:val="009D6B46"/>
    <w:pPr>
      <w:spacing w:before="240"/>
      <w:outlineLvl w:val="6"/>
    </w:pPr>
    <w:rPr>
      <w:rFonts w:eastAsiaTheme="majorEastAsia" w:cstheme="majorBidi"/>
      <w:i/>
      <w:iCs/>
      <w:color w:val="404040" w:themeColor="text1" w:themeTint="BF"/>
    </w:rPr>
  </w:style>
  <w:style w:type="paragraph" w:styleId="Heading8">
    <w:name w:val="heading 8"/>
    <w:basedOn w:val="Normal"/>
    <w:next w:val="Normal"/>
    <w:link w:val="Heading8Char"/>
    <w:qFormat/>
    <w:rsid w:val="009D6B46"/>
    <w:pPr>
      <w:spacing w:before="240"/>
      <w:outlineLvl w:val="7"/>
    </w:pPr>
    <w:rPr>
      <w:rFonts w:eastAsiaTheme="majorEastAsia" w:cstheme="majorBidi"/>
      <w:color w:val="51626F" w:themeColor="accent1"/>
      <w:szCs w:val="20"/>
    </w:rPr>
  </w:style>
  <w:style w:type="paragraph" w:styleId="Heading9">
    <w:name w:val="heading 9"/>
    <w:basedOn w:val="Normal"/>
    <w:next w:val="Normal"/>
    <w:link w:val="Heading9Char"/>
    <w:uiPriority w:val="9"/>
    <w:qFormat/>
    <w:rsid w:val="009D6B46"/>
    <w:pPr>
      <w:spacing w:before="240"/>
      <w:outlineLvl w:val="8"/>
    </w:pPr>
    <w:rPr>
      <w:rFonts w:eastAsiaTheme="majorEastAsia" w:cstheme="majorBidi"/>
      <w:i/>
      <w:iCs/>
      <w:color w:val="51626F" w:themeColor="accent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6B46"/>
    <w:rPr>
      <w:rFonts w:ascii="Lucida Fax" w:eastAsiaTheme="majorEastAsia" w:hAnsi="Lucida Fax" w:cstheme="majorBidi"/>
      <w:bCs/>
      <w:color w:val="51626F"/>
      <w:sz w:val="32"/>
      <w:szCs w:val="28"/>
    </w:rPr>
  </w:style>
  <w:style w:type="character" w:customStyle="1" w:styleId="Heading2Char">
    <w:name w:val="Heading 2 Char"/>
    <w:aliases w:val="AER Heading 2 (new) Char"/>
    <w:basedOn w:val="DefaultParagraphFont"/>
    <w:link w:val="Heading2"/>
    <w:rsid w:val="004F6D0A"/>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9"/>
    <w:rsid w:val="009D6B46"/>
    <w:rPr>
      <w:rFonts w:ascii="Arial" w:eastAsiaTheme="majorEastAsia" w:hAnsi="Arial" w:cstheme="majorBidi"/>
      <w:b/>
      <w:i/>
      <w:iCs/>
    </w:rPr>
  </w:style>
  <w:style w:type="paragraph" w:customStyle="1" w:styleId="Reporttitle">
    <w:name w:val="Report title"/>
    <w:basedOn w:val="Normal"/>
    <w:link w:val="ReporttitleChar"/>
    <w:qFormat/>
    <w:rsid w:val="005C26CC"/>
    <w:pPr>
      <w:spacing w:before="520" w:after="120"/>
    </w:pPr>
    <w:rPr>
      <w:rFonts w:ascii="Lucida Fax" w:hAnsi="Lucida Fax"/>
      <w:color w:val="4F2D7F"/>
      <w:sz w:val="72"/>
      <w:szCs w:val="56"/>
    </w:rPr>
  </w:style>
  <w:style w:type="character" w:customStyle="1" w:styleId="ReporttitleChar">
    <w:name w:val="Report title Char"/>
    <w:basedOn w:val="DefaultParagraphFont"/>
    <w:link w:val="Reporttitle"/>
    <w:rsid w:val="005C26CC"/>
    <w:rPr>
      <w:rFonts w:ascii="Lucida Fax" w:hAnsi="Lucida Fax"/>
      <w:color w:val="4F2D7F"/>
      <w:sz w:val="72"/>
      <w:szCs w:val="56"/>
    </w:rPr>
  </w:style>
  <w:style w:type="paragraph" w:customStyle="1" w:styleId="Chaptertitle">
    <w:name w:val="Chapter title"/>
    <w:basedOn w:val="Reporttitle"/>
    <w:link w:val="ChaptertitleChar"/>
    <w:qFormat/>
    <w:rsid w:val="00B87C39"/>
    <w:rPr>
      <w:sz w:val="52"/>
      <w:szCs w:val="52"/>
    </w:rPr>
  </w:style>
  <w:style w:type="character" w:customStyle="1" w:styleId="ChaptertitleChar">
    <w:name w:val="Chapter title Char"/>
    <w:basedOn w:val="ReporttitleChar"/>
    <w:link w:val="Chaptertitle"/>
    <w:rsid w:val="00B87C39"/>
    <w:rPr>
      <w:rFonts w:ascii="Lucida Fax" w:hAnsi="Lucida Fax"/>
      <w:color w:val="4F2D7F"/>
      <w:sz w:val="52"/>
      <w:szCs w:val="52"/>
    </w:rPr>
  </w:style>
  <w:style w:type="paragraph" w:customStyle="1" w:styleId="Tabletext">
    <w:name w:val="Table text"/>
    <w:basedOn w:val="Normal"/>
    <w:link w:val="TabletextChar"/>
    <w:uiPriority w:val="1"/>
    <w:qFormat/>
    <w:rsid w:val="00214FBA"/>
    <w:pPr>
      <w:spacing w:before="120" w:after="60"/>
    </w:pPr>
    <w:rPr>
      <w:sz w:val="18"/>
    </w:rPr>
  </w:style>
  <w:style w:type="paragraph" w:customStyle="1" w:styleId="Copyrighttext">
    <w:name w:val="Copyright text"/>
    <w:basedOn w:val="Normal"/>
    <w:link w:val="CopyrighttextChar"/>
    <w:uiPriority w:val="2"/>
    <w:qFormat/>
    <w:rsid w:val="00F952A0"/>
    <w:pPr>
      <w:spacing w:line="360" w:lineRule="auto"/>
      <w:contextualSpacing/>
    </w:pPr>
    <w:rPr>
      <w:color w:val="51626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rsid w:val="009F4940"/>
    <w:pPr>
      <w:tabs>
        <w:tab w:val="right" w:leader="dot" w:pos="9016"/>
      </w:tabs>
      <w:spacing w:after="100"/>
      <w:ind w:left="2977"/>
    </w:pPr>
    <w:rPr>
      <w:noProof/>
    </w:rPr>
  </w:style>
  <w:style w:type="paragraph" w:styleId="TOC9">
    <w:name w:val="toc 9"/>
    <w:basedOn w:val="Normal"/>
    <w:next w:val="Normal"/>
    <w:rsid w:val="009F4940"/>
    <w:pPr>
      <w:tabs>
        <w:tab w:val="right" w:leader="dot" w:pos="9016"/>
      </w:tabs>
      <w:spacing w:after="100"/>
      <w:ind w:left="3402"/>
    </w:pPr>
    <w:rPr>
      <w:noProof/>
    </w:rPr>
  </w:style>
  <w:style w:type="paragraph" w:customStyle="1" w:styleId="Numbered1">
    <w:name w:val="Numbered 1"/>
    <w:basedOn w:val="Heading1"/>
    <w:next w:val="Normal"/>
    <w:link w:val="Numbered1Char"/>
    <w:qFormat/>
    <w:rsid w:val="00085663"/>
    <w:pPr>
      <w:numPr>
        <w:numId w:val="15"/>
      </w:numPr>
      <w:ind w:left="680" w:hanging="680"/>
    </w:pPr>
  </w:style>
  <w:style w:type="paragraph" w:customStyle="1" w:styleId="Numbered11">
    <w:name w:val="Numbered 1.1"/>
    <w:basedOn w:val="Heading2"/>
    <w:next w:val="Normal"/>
    <w:qFormat/>
    <w:rsid w:val="00B17A1D"/>
    <w:pPr>
      <w:numPr>
        <w:ilvl w:val="1"/>
        <w:numId w:val="15"/>
      </w:numPr>
      <w:ind w:left="1021" w:hanging="1021"/>
    </w:pPr>
    <w:rPr>
      <w:rFonts w:cs="Arial"/>
      <w:b w:val="0"/>
    </w:rPr>
  </w:style>
  <w:style w:type="paragraph" w:customStyle="1" w:styleId="Numbered111">
    <w:name w:val="Numbered 1.1.1"/>
    <w:basedOn w:val="Heading3"/>
    <w:next w:val="Normal"/>
    <w:qFormat/>
    <w:rsid w:val="00B17A1D"/>
    <w:pPr>
      <w:numPr>
        <w:ilvl w:val="2"/>
        <w:numId w:val="15"/>
      </w:numPr>
      <w:ind w:left="1247" w:hanging="1247"/>
      <w:contextualSpacing/>
    </w:pPr>
  </w:style>
  <w:style w:type="paragraph" w:customStyle="1" w:styleId="Numbered1111">
    <w:name w:val="Numbered 1.1.1.1"/>
    <w:basedOn w:val="Heading4"/>
    <w:next w:val="Normal"/>
    <w:rsid w:val="00B17A1D"/>
    <w:pPr>
      <w:numPr>
        <w:ilvl w:val="3"/>
        <w:numId w:val="15"/>
      </w:numPr>
      <w:ind w:left="1474" w:hanging="1474"/>
    </w:pPr>
  </w:style>
  <w:style w:type="paragraph" w:customStyle="1" w:styleId="Numbered11111">
    <w:name w:val="Numbered 1.1.1.1.1"/>
    <w:basedOn w:val="Heading5"/>
    <w:next w:val="Normal"/>
    <w:uiPriority w:val="2"/>
    <w:rsid w:val="00B17A1D"/>
    <w:pPr>
      <w:numPr>
        <w:ilvl w:val="4"/>
        <w:numId w:val="15"/>
      </w:numPr>
      <w:ind w:left="1701" w:hanging="1701"/>
    </w:pPr>
  </w:style>
  <w:style w:type="paragraph" w:customStyle="1" w:styleId="Numbered111111">
    <w:name w:val="Numbered 1.1.1.1.1.1"/>
    <w:basedOn w:val="Heading6"/>
    <w:next w:val="Normal"/>
    <w:uiPriority w:val="2"/>
    <w:rsid w:val="00B17A1D"/>
    <w:pPr>
      <w:numPr>
        <w:ilvl w:val="5"/>
        <w:numId w:val="15"/>
      </w:numPr>
      <w:ind w:left="2155" w:hanging="2155"/>
    </w:pPr>
  </w:style>
  <w:style w:type="paragraph" w:styleId="Header">
    <w:name w:val="header"/>
    <w:basedOn w:val="Normal"/>
    <w:link w:val="HeaderChar"/>
    <w:unhideWhenUsed/>
    <w:qFormat/>
    <w:rsid w:val="008344F6"/>
    <w:pPr>
      <w:tabs>
        <w:tab w:val="center" w:pos="4513"/>
        <w:tab w:val="right" w:pos="9026"/>
      </w:tabs>
      <w:spacing w:after="120"/>
    </w:pPr>
    <w:rPr>
      <w:color w:val="51626F" w:themeColor="accent1"/>
      <w:sz w:val="18"/>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b/>
      <w:szCs w:val="20"/>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qFormat/>
    <w:rsid w:val="005C26CC"/>
    <w:rPr>
      <w:sz w:val="24"/>
    </w:rPr>
  </w:style>
  <w:style w:type="paragraph" w:styleId="EndnoteText">
    <w:name w:val="endnote text"/>
    <w:basedOn w:val="Normal"/>
    <w:link w:val="EndnoteTextChar"/>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qFormat/>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FE64AE"/>
    <w:pPr>
      <w:numPr>
        <w:numId w:val="2"/>
      </w:numPr>
      <w:ind w:left="357" w:hanging="357"/>
    </w:pPr>
    <w:rPr>
      <w:rFonts w:cs="Times New Roman"/>
    </w:rPr>
  </w:style>
  <w:style w:type="paragraph" w:styleId="ListBullet">
    <w:name w:val="List Bullet"/>
    <w:basedOn w:val="Normal"/>
    <w:uiPriority w:val="99"/>
    <w:unhideWhenUsed/>
    <w:rsid w:val="008033C4"/>
    <w:pPr>
      <w:numPr>
        <w:numId w:val="13"/>
      </w:numPr>
      <w:spacing w:before="120"/>
      <w:ind w:left="357" w:hanging="357"/>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basedOn w:val="Normal"/>
    <w:uiPriority w:val="99"/>
    <w:qFormat/>
    <w:rsid w:val="008033C4"/>
    <w:pPr>
      <w:numPr>
        <w:numId w:val="7"/>
      </w:numPr>
      <w:spacing w:before="120"/>
      <w:ind w:left="357" w:hanging="357"/>
    </w:pPr>
    <w:rPr>
      <w:color w:val="000000" w:themeColor="text1" w:themeShade="BF"/>
    </w:rPr>
  </w:style>
  <w:style w:type="paragraph" w:styleId="ListBullet2">
    <w:name w:val="List Bullet 2"/>
    <w:basedOn w:val="Normal"/>
    <w:uiPriority w:val="99"/>
    <w:unhideWhenUsed/>
    <w:rsid w:val="008033C4"/>
    <w:pPr>
      <w:numPr>
        <w:numId w:val="3"/>
      </w:numPr>
      <w:spacing w:before="120"/>
      <w:ind w:left="641" w:hanging="357"/>
    </w:pPr>
  </w:style>
  <w:style w:type="paragraph" w:styleId="TOCHeading">
    <w:name w:val="TOC Heading"/>
    <w:basedOn w:val="Normal"/>
    <w:next w:val="Normal"/>
    <w:uiPriority w:val="39"/>
    <w:qFormat/>
    <w:rsid w:val="00E04818"/>
    <w:pPr>
      <w:spacing w:before="480" w:after="120"/>
    </w:pPr>
    <w:rPr>
      <w:rFonts w:ascii="Lucida Fax" w:eastAsiaTheme="majorEastAsia" w:hAnsi="Lucida Fax" w:cstheme="majorBidi"/>
      <w:bCs/>
      <w:color w:val="51626F"/>
      <w:sz w:val="32"/>
      <w:szCs w:val="28"/>
      <w:lang w:val="en-US" w:eastAsia="ja-JP"/>
    </w:rPr>
  </w:style>
  <w:style w:type="paragraph" w:styleId="ListNumber2">
    <w:name w:val="List Number 2"/>
    <w:aliases w:val="List alphabet"/>
    <w:next w:val="Normal"/>
    <w:uiPriority w:val="99"/>
    <w:qFormat/>
    <w:rsid w:val="008033C4"/>
    <w:pPr>
      <w:numPr>
        <w:numId w:val="8"/>
      </w:numPr>
      <w:spacing w:before="120"/>
      <w:ind w:left="357" w:hanging="357"/>
    </w:pPr>
    <w:rPr>
      <w:rFonts w:ascii="Arial" w:hAnsi="Arial"/>
    </w:rPr>
  </w:style>
  <w:style w:type="character" w:styleId="Hyperlink">
    <w:name w:val="Hyperlink"/>
    <w:basedOn w:val="DefaultParagraphFont"/>
    <w:qFormat/>
    <w:rsid w:val="00BE1F1B"/>
    <w:rPr>
      <w:rFonts w:ascii="Arial" w:hAnsi="Arial"/>
      <w:color w:val="0000FF"/>
      <w:sz w:val="22"/>
      <w:u w:val="single"/>
    </w:rPr>
  </w:style>
  <w:style w:type="paragraph" w:styleId="BalloonText">
    <w:name w:val="Balloon Text"/>
    <w:basedOn w:val="Normal"/>
    <w:link w:val="BalloonTextChar"/>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tabs>
        <w:tab w:val="center" w:pos="4513"/>
        <w:tab w:val="right" w:pos="9026"/>
      </w:tabs>
      <w:spacing w:after="120"/>
    </w:pPr>
    <w:rPr>
      <w:color w:val="51626F" w:themeColor="accent1"/>
      <w:sz w:val="18"/>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8033C4"/>
    <w:pPr>
      <w:numPr>
        <w:numId w:val="14"/>
      </w:numPr>
      <w:spacing w:before="120"/>
      <w:ind w:left="714" w:hanging="357"/>
    </w:pPr>
  </w:style>
  <w:style w:type="character" w:customStyle="1" w:styleId="Heading7Char">
    <w:name w:val="Heading 7 Char"/>
    <w:basedOn w:val="DefaultParagraphFont"/>
    <w:link w:val="Heading7"/>
    <w:uiPriority w:val="9"/>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rsid w:val="009D6B46"/>
    <w:rPr>
      <w:rFonts w:ascii="Arial" w:eastAsiaTheme="majorEastAsia" w:hAnsi="Arial" w:cstheme="majorBidi"/>
      <w:color w:val="51626F" w:themeColor="accent1"/>
      <w:szCs w:val="20"/>
    </w:rPr>
  </w:style>
  <w:style w:type="character" w:customStyle="1" w:styleId="Heading9Char">
    <w:name w:val="Heading 9 Char"/>
    <w:basedOn w:val="DefaultParagraphFont"/>
    <w:link w:val="Heading9"/>
    <w:uiPriority w:val="9"/>
    <w:rsid w:val="009D6B46"/>
    <w:rPr>
      <w:rFonts w:ascii="Arial" w:eastAsiaTheme="majorEastAsia" w:hAnsi="Arial" w:cstheme="majorBidi"/>
      <w:i/>
      <w:iCs/>
      <w:color w:val="51626F" w:themeColor="accent1"/>
      <w:szCs w:val="20"/>
    </w:rPr>
  </w:style>
  <w:style w:type="paragraph" w:customStyle="1" w:styleId="Numbered1111111">
    <w:name w:val="Numbered 1.1.1.1.1.1.1"/>
    <w:basedOn w:val="Heading7"/>
    <w:next w:val="Normal"/>
    <w:uiPriority w:val="2"/>
    <w:rsid w:val="00B17A1D"/>
    <w:pPr>
      <w:numPr>
        <w:ilvl w:val="6"/>
        <w:numId w:val="15"/>
      </w:numPr>
      <w:ind w:left="2381" w:hanging="2381"/>
    </w:pPr>
  </w:style>
  <w:style w:type="paragraph" w:customStyle="1" w:styleId="Numbered11111111">
    <w:name w:val="Numbered 1.1.1.1.1.1.1.1"/>
    <w:basedOn w:val="Heading8"/>
    <w:next w:val="Normal"/>
    <w:uiPriority w:val="2"/>
    <w:rsid w:val="00B17A1D"/>
    <w:pPr>
      <w:numPr>
        <w:ilvl w:val="7"/>
        <w:numId w:val="15"/>
      </w:numPr>
      <w:ind w:left="2608" w:hanging="2608"/>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Borders>
        <w:top w:val="single" w:sz="8" w:space="0" w:color="51626F" w:themeColor="accent1"/>
        <w:bottom w:val="single" w:sz="8" w:space="0" w:color="51626F" w:themeColor="accent1"/>
      </w:tblBorders>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Borders>
        <w:top w:val="single" w:sz="8" w:space="0" w:color="0098C3" w:themeColor="accent3"/>
        <w:bottom w:val="single" w:sz="8" w:space="0" w:color="0098C3" w:themeColor="accent3"/>
      </w:tblBorders>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Borders>
        <w:top w:val="single" w:sz="8" w:space="0" w:color="B71202" w:themeColor="accent5"/>
        <w:bottom w:val="single" w:sz="8" w:space="0" w:color="B71202" w:themeColor="accent5"/>
      </w:tblBorders>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after="100"/>
    </w:pPr>
    <w:rPr>
      <w:noProof/>
      <w:lang w:val="en-US" w:eastAsia="ja-JP"/>
    </w:rPr>
  </w:style>
  <w:style w:type="paragraph" w:styleId="TOC2">
    <w:name w:val="toc 2"/>
    <w:basedOn w:val="Normal"/>
    <w:next w:val="Normal"/>
    <w:uiPriority w:val="39"/>
    <w:qFormat/>
    <w:rsid w:val="009F4940"/>
    <w:pPr>
      <w:tabs>
        <w:tab w:val="left" w:pos="880"/>
        <w:tab w:val="right" w:leader="dot" w:pos="9016"/>
      </w:tabs>
      <w:spacing w:after="100"/>
      <w:ind w:left="425"/>
    </w:pPr>
    <w:rPr>
      <w:noProof/>
    </w:rPr>
  </w:style>
  <w:style w:type="paragraph" w:styleId="TOC3">
    <w:name w:val="toc 3"/>
    <w:basedOn w:val="Normal"/>
    <w:next w:val="Normal"/>
    <w:uiPriority w:val="39"/>
    <w:qFormat/>
    <w:rsid w:val="009F4940"/>
    <w:pPr>
      <w:tabs>
        <w:tab w:val="left" w:pos="1760"/>
        <w:tab w:val="right" w:leader="dot" w:pos="9016"/>
      </w:tabs>
      <w:spacing w:after="100"/>
      <w:ind w:left="851"/>
    </w:pPr>
    <w:rPr>
      <w:noProof/>
    </w:rPr>
  </w:style>
  <w:style w:type="paragraph" w:styleId="Title">
    <w:name w:val="Title"/>
    <w:basedOn w:val="Normal"/>
    <w:next w:val="Normal"/>
    <w:link w:val="TitleChar"/>
    <w:qFormat/>
    <w:rsid w:val="000E2946"/>
    <w:pPr>
      <w:spacing w:before="100" w:beforeAutospacing="1" w:after="120"/>
      <w:contextualSpacing/>
      <w:outlineLvl w:val="0"/>
    </w:pPr>
    <w:rPr>
      <w:rFonts w:eastAsiaTheme="majorEastAsia" w:cstheme="majorBidi"/>
      <w:b/>
      <w:spacing w:val="5"/>
      <w:kern w:val="28"/>
      <w:sz w:val="44"/>
      <w:szCs w:val="52"/>
    </w:rPr>
  </w:style>
  <w:style w:type="character" w:customStyle="1" w:styleId="TitleChar">
    <w:name w:val="Title Char"/>
    <w:basedOn w:val="DefaultParagraphFont"/>
    <w:link w:val="Title"/>
    <w:rsid w:val="000E2946"/>
    <w:rPr>
      <w:rFonts w:ascii="Arial" w:eastAsiaTheme="majorEastAsia" w:hAnsi="Arial" w:cstheme="majorBidi"/>
      <w:b/>
      <w:spacing w:val="5"/>
      <w:kern w:val="28"/>
      <w:sz w:val="44"/>
      <w:szCs w:val="52"/>
    </w:rPr>
  </w:style>
  <w:style w:type="paragraph" w:customStyle="1" w:styleId="CoverDate">
    <w:name w:val="Cover Date"/>
    <w:qFormat/>
    <w:rsid w:val="00746E01"/>
    <w:rPr>
      <w:rFonts w:ascii="Lucida Fax" w:hAnsi="Lucida Fax"/>
      <w:color w:val="DC503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tblBorders>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tblBorders>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tblBorders>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qFormat/>
    <w:rsid w:val="00701CAB"/>
    <w:rPr>
      <w:i/>
      <w:iCs/>
    </w:rPr>
  </w:style>
  <w:style w:type="paragraph" w:styleId="NormalIndent">
    <w:name w:val="Normal Indent"/>
    <w:basedOn w:val="Normal"/>
    <w:uiPriority w:val="1"/>
    <w:rsid w:val="00085663"/>
    <w:pPr>
      <w:ind w:left="720"/>
    </w:pPr>
  </w:style>
  <w:style w:type="paragraph" w:styleId="FootnoteText">
    <w:name w:val="footnote text"/>
    <w:aliases w:val="ALTS FOOTNOTE,(NECG) Footnote Text,Footnote text,AR Footnote Text,AR Footnote Text Char Char Char Char Char,ALTS FOOTNOTE Char1,Footnote Text Char1 Char,Footnote Text Char Char Char,Footnote Text Char1 Char Char Char,fn,Footnote Text1,f"/>
    <w:basedOn w:val="Normal"/>
    <w:link w:val="FootnoteTextChar"/>
    <w:qFormat/>
    <w:rsid w:val="00615C6B"/>
    <w:pPr>
      <w:spacing w:before="60"/>
    </w:pPr>
    <w:rPr>
      <w:sz w:val="16"/>
      <w:szCs w:val="20"/>
    </w:rPr>
  </w:style>
  <w:style w:type="character" w:customStyle="1" w:styleId="FootnoteTextChar">
    <w:name w:val="Footnote Text Char"/>
    <w:aliases w:val="ALTS FOOTNOTE Char,(NECG) Footnote Text Char,Footnote text Char,AR Footnote Text Char,AR Footnote Text Char Char Char Char Char Char,ALTS FOOTNOTE Char1 Char,Footnote Text Char1 Char Char,Footnote Text Char Char Char Char,fn Char"/>
    <w:basedOn w:val="DefaultParagraphFont"/>
    <w:link w:val="FootnoteText"/>
    <w:rsid w:val="00615C6B"/>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Borders>
        <w:top w:val="single" w:sz="8" w:space="0" w:color="A0CFEB" w:themeColor="accent4"/>
        <w:bottom w:val="single" w:sz="8" w:space="0" w:color="A0CFEB" w:themeColor="accent4"/>
      </w:tblBorders>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Borders>
        <w:top w:val="single" w:sz="8" w:space="0" w:color="DC5034" w:themeColor="accent6"/>
        <w:bottom w:val="single" w:sz="8" w:space="0" w:color="DC5034" w:themeColor="accent6"/>
      </w:tblBorders>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rsid w:val="009F4940"/>
    <w:pPr>
      <w:tabs>
        <w:tab w:val="right" w:leader="dot" w:pos="9016"/>
      </w:tabs>
      <w:spacing w:after="100"/>
      <w:ind w:left="1276"/>
    </w:pPr>
    <w:rPr>
      <w:noProof/>
    </w:rPr>
  </w:style>
  <w:style w:type="paragraph" w:styleId="TOC5">
    <w:name w:val="toc 5"/>
    <w:basedOn w:val="Normal"/>
    <w:next w:val="Normal"/>
    <w:rsid w:val="009F4940"/>
    <w:pPr>
      <w:tabs>
        <w:tab w:val="right" w:leader="dot" w:pos="9016"/>
      </w:tabs>
      <w:spacing w:after="100"/>
      <w:ind w:left="1701"/>
    </w:pPr>
    <w:rPr>
      <w:noProof/>
    </w:rPr>
  </w:style>
  <w:style w:type="paragraph" w:styleId="TOC6">
    <w:name w:val="toc 6"/>
    <w:basedOn w:val="Normal"/>
    <w:next w:val="Normal"/>
    <w:rsid w:val="009F4940"/>
    <w:pPr>
      <w:tabs>
        <w:tab w:val="right" w:leader="dot" w:pos="9016"/>
      </w:tabs>
      <w:spacing w:after="100"/>
      <w:ind w:left="2127"/>
    </w:pPr>
    <w:rPr>
      <w:noProof/>
    </w:rPr>
  </w:style>
  <w:style w:type="paragraph" w:styleId="TOC7">
    <w:name w:val="toc 7"/>
    <w:basedOn w:val="Normal"/>
    <w:next w:val="Normal"/>
    <w:rsid w:val="009F4940"/>
    <w:pPr>
      <w:tabs>
        <w:tab w:val="right" w:leader="dot" w:pos="9016"/>
      </w:tabs>
      <w:spacing w:after="100"/>
      <w:ind w:left="2552"/>
    </w:pPr>
    <w:rPr>
      <w:noProof/>
    </w:rPr>
  </w:style>
  <w:style w:type="paragraph" w:customStyle="1" w:styleId="Numberedlist">
    <w:name w:val="Numbered list"/>
    <w:basedOn w:val="ListNumber"/>
    <w:rsid w:val="008033C4"/>
    <w:pPr>
      <w:numPr>
        <w:numId w:val="1"/>
      </w:numPr>
      <w:ind w:left="357" w:hanging="357"/>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tblBorders>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tblBorders>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tblBorders>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17A1D"/>
    <w:pPr>
      <w:numPr>
        <w:ilvl w:val="8"/>
        <w:numId w:val="15"/>
      </w:numPr>
      <w:ind w:left="2948" w:hanging="2948"/>
    </w:pPr>
  </w:style>
  <w:style w:type="paragraph" w:styleId="Caption">
    <w:name w:val="caption"/>
    <w:basedOn w:val="Normal"/>
    <w:next w:val="Normal"/>
    <w:unhideWhenUsed/>
    <w:qFormat/>
    <w:rsid w:val="000E2946"/>
    <w:pPr>
      <w:keepNext/>
      <w:spacing w:before="240" w:after="120"/>
    </w:pPr>
    <w:rPr>
      <w:b/>
      <w:bCs/>
      <w:color w:val="2272A3" w:themeColor="accent4" w:themeShade="80"/>
      <w:sz w:val="24"/>
      <w:szCs w:val="18"/>
    </w:rPr>
  </w:style>
  <w:style w:type="paragraph" w:styleId="List">
    <w:name w:val="List"/>
    <w:basedOn w:val="Normal"/>
    <w:uiPriority w:val="99"/>
    <w:unhideWhenUsed/>
    <w:qFormat/>
    <w:rsid w:val="008033C4"/>
    <w:pPr>
      <w:spacing w:before="120"/>
      <w:ind w:left="284" w:hanging="284"/>
    </w:pPr>
  </w:style>
  <w:style w:type="paragraph" w:styleId="List2">
    <w:name w:val="List 2"/>
    <w:basedOn w:val="Normal"/>
    <w:uiPriority w:val="99"/>
    <w:unhideWhenUsed/>
    <w:rsid w:val="008033C4"/>
    <w:pPr>
      <w:spacing w:before="120"/>
      <w:ind w:left="568" w:hanging="284"/>
    </w:pPr>
  </w:style>
  <w:style w:type="paragraph" w:styleId="List3">
    <w:name w:val="List 3"/>
    <w:basedOn w:val="Normal"/>
    <w:uiPriority w:val="99"/>
    <w:unhideWhenUsed/>
    <w:rsid w:val="008033C4"/>
    <w:pPr>
      <w:spacing w:before="120"/>
      <w:ind w:left="851" w:hanging="284"/>
    </w:pPr>
  </w:style>
  <w:style w:type="paragraph" w:styleId="List4">
    <w:name w:val="List 4"/>
    <w:basedOn w:val="Normal"/>
    <w:uiPriority w:val="99"/>
    <w:unhideWhenUsed/>
    <w:rsid w:val="008033C4"/>
    <w:pPr>
      <w:spacing w:before="120"/>
      <w:ind w:left="1135" w:hanging="284"/>
    </w:pPr>
  </w:style>
  <w:style w:type="paragraph" w:styleId="List5">
    <w:name w:val="List 5"/>
    <w:basedOn w:val="Normal"/>
    <w:uiPriority w:val="99"/>
    <w:unhideWhenUsed/>
    <w:rsid w:val="008033C4"/>
    <w:pPr>
      <w:spacing w:before="120"/>
      <w:ind w:left="1418" w:hanging="284"/>
    </w:pPr>
  </w:style>
  <w:style w:type="paragraph" w:styleId="ListBullet3">
    <w:name w:val="List Bullet 3"/>
    <w:basedOn w:val="Normal"/>
    <w:uiPriority w:val="99"/>
    <w:unhideWhenUsed/>
    <w:rsid w:val="008033C4"/>
    <w:pPr>
      <w:numPr>
        <w:numId w:val="4"/>
      </w:numPr>
      <w:spacing w:before="120"/>
      <w:ind w:left="924" w:hanging="357"/>
    </w:pPr>
  </w:style>
  <w:style w:type="paragraph" w:styleId="ListBullet4">
    <w:name w:val="List Bullet 4"/>
    <w:basedOn w:val="Normal"/>
    <w:uiPriority w:val="99"/>
    <w:unhideWhenUsed/>
    <w:rsid w:val="008033C4"/>
    <w:pPr>
      <w:numPr>
        <w:numId w:val="5"/>
      </w:numPr>
      <w:spacing w:before="120"/>
      <w:ind w:left="1208" w:hanging="357"/>
    </w:pPr>
  </w:style>
  <w:style w:type="paragraph" w:styleId="ListBullet5">
    <w:name w:val="List Bullet 5"/>
    <w:basedOn w:val="Normal"/>
    <w:uiPriority w:val="99"/>
    <w:unhideWhenUsed/>
    <w:rsid w:val="008033C4"/>
    <w:pPr>
      <w:numPr>
        <w:numId w:val="6"/>
      </w:numPr>
      <w:spacing w:before="120"/>
      <w:ind w:left="1491" w:hanging="357"/>
    </w:pPr>
  </w:style>
  <w:style w:type="paragraph" w:styleId="ListContinue">
    <w:name w:val="List Continue"/>
    <w:basedOn w:val="Normal"/>
    <w:uiPriority w:val="99"/>
    <w:unhideWhenUsed/>
    <w:qFormat/>
    <w:rsid w:val="0007137B"/>
    <w:pPr>
      <w:spacing w:before="120"/>
      <w:ind w:left="284"/>
    </w:pPr>
  </w:style>
  <w:style w:type="paragraph" w:styleId="ListContinue2">
    <w:name w:val="List Continue 2"/>
    <w:basedOn w:val="Normal"/>
    <w:uiPriority w:val="99"/>
    <w:unhideWhenUsed/>
    <w:rsid w:val="008033C4"/>
    <w:pPr>
      <w:spacing w:before="120"/>
      <w:ind w:left="567"/>
    </w:pPr>
  </w:style>
  <w:style w:type="paragraph" w:styleId="ListContinue3">
    <w:name w:val="List Continue 3"/>
    <w:basedOn w:val="Normal"/>
    <w:uiPriority w:val="99"/>
    <w:unhideWhenUsed/>
    <w:rsid w:val="0007137B"/>
    <w:pPr>
      <w:spacing w:before="120"/>
      <w:ind w:left="851"/>
    </w:pPr>
  </w:style>
  <w:style w:type="paragraph" w:styleId="ListContinue4">
    <w:name w:val="List Continue 4"/>
    <w:basedOn w:val="Normal"/>
    <w:uiPriority w:val="99"/>
    <w:unhideWhenUsed/>
    <w:rsid w:val="008033C4"/>
    <w:pPr>
      <w:spacing w:before="120"/>
      <w:ind w:left="1134"/>
    </w:pPr>
  </w:style>
  <w:style w:type="paragraph" w:styleId="ListNumber3">
    <w:name w:val="List Number 3"/>
    <w:basedOn w:val="Normal"/>
    <w:uiPriority w:val="99"/>
    <w:unhideWhenUsed/>
    <w:rsid w:val="008033C4"/>
    <w:pPr>
      <w:numPr>
        <w:numId w:val="9"/>
      </w:numPr>
      <w:spacing w:before="120"/>
      <w:ind w:left="924" w:hanging="357"/>
    </w:pPr>
  </w:style>
  <w:style w:type="paragraph" w:styleId="ListNumber4">
    <w:name w:val="List Number 4"/>
    <w:basedOn w:val="Normal"/>
    <w:uiPriority w:val="99"/>
    <w:unhideWhenUsed/>
    <w:rsid w:val="008033C4"/>
    <w:pPr>
      <w:numPr>
        <w:numId w:val="10"/>
      </w:numPr>
      <w:spacing w:before="120"/>
      <w:ind w:left="1208" w:hanging="357"/>
    </w:pPr>
  </w:style>
  <w:style w:type="paragraph" w:styleId="ListNumber5">
    <w:name w:val="List Number 5"/>
    <w:basedOn w:val="Normal"/>
    <w:uiPriority w:val="99"/>
    <w:unhideWhenUsed/>
    <w:rsid w:val="008033C4"/>
    <w:pPr>
      <w:numPr>
        <w:numId w:val="11"/>
      </w:numPr>
      <w:spacing w:before="120"/>
      <w:ind w:left="1491" w:hanging="357"/>
    </w:pPr>
  </w:style>
  <w:style w:type="paragraph" w:customStyle="1" w:styleId="TableHeading">
    <w:name w:val="Table Heading"/>
    <w:basedOn w:val="Tabletext"/>
    <w:link w:val="TableHeadingChar"/>
    <w:qFormat/>
    <w:rsid w:val="00957591"/>
    <w:pPr>
      <w:spacing w:before="60"/>
    </w:pPr>
    <w:rPr>
      <w:color w:val="FFFFFF" w:themeColor="background1"/>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214FBA"/>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214FBA"/>
    <w:rPr>
      <w:rFonts w:ascii="Arial" w:hAnsi="Arial"/>
      <w:sz w:val="18"/>
    </w:rPr>
  </w:style>
  <w:style w:type="character" w:customStyle="1" w:styleId="TableHeadingChar">
    <w:name w:val="Table Heading Char"/>
    <w:basedOn w:val="TabletextChar"/>
    <w:link w:val="TableHeading"/>
    <w:rsid w:val="00957591"/>
    <w:rPr>
      <w:rFonts w:ascii="Arial" w:hAnsi="Arial"/>
      <w:color w:val="FFFFFF" w:themeColor="background1"/>
      <w:sz w:val="18"/>
    </w:rPr>
  </w:style>
  <w:style w:type="character" w:customStyle="1" w:styleId="TableHeading-rightChar">
    <w:name w:val="Table Heading - right Char"/>
    <w:basedOn w:val="TableHeadingChar"/>
    <w:link w:val="TableHeading-right"/>
    <w:rsid w:val="00584D8F"/>
    <w:rPr>
      <w:rFonts w:ascii="Arial" w:eastAsia="Times New Roman" w:hAnsi="Arial" w:cs="Times New Roman"/>
      <w:b w:val="0"/>
      <w:bCs/>
      <w:color w:val="FFFFFF" w:themeColor="background1"/>
      <w:sz w:val="20"/>
      <w:szCs w:val="20"/>
    </w:rPr>
  </w:style>
  <w:style w:type="character" w:customStyle="1" w:styleId="Tabletext-centredChar">
    <w:name w:val="Table text - centred Char"/>
    <w:basedOn w:val="Tabletext-rightChar"/>
    <w:link w:val="Tabletext-centred"/>
    <w:rsid w:val="00214FBA"/>
    <w:rPr>
      <w:rFonts w:ascii="Arial" w:eastAsia="Times New Roman" w:hAnsi="Arial" w:cs="Times New Roman"/>
      <w:sz w:val="18"/>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rsid w:val="00263AC0"/>
    <w:rPr>
      <w:vertAlign w:val="superscript"/>
    </w:rPr>
  </w:style>
  <w:style w:type="paragraph" w:customStyle="1" w:styleId="Numberedparagraph11">
    <w:name w:val="Numbered paragraph 1.1"/>
    <w:basedOn w:val="Numbered11"/>
    <w:qFormat/>
    <w:rsid w:val="00063247"/>
    <w:pPr>
      <w:ind w:left="680" w:hanging="680"/>
      <w:outlineLvl w:val="9"/>
    </w:pPr>
    <w:rPr>
      <w:bCs w:val="0"/>
      <w:color w:val="auto"/>
      <w:sz w:val="22"/>
    </w:rPr>
  </w:style>
  <w:style w:type="character" w:customStyle="1" w:styleId="Numbered1Char">
    <w:name w:val="Numbered 1 Char"/>
    <w:basedOn w:val="Heading1Char"/>
    <w:link w:val="Numbered1"/>
    <w:rsid w:val="00085663"/>
    <w:rPr>
      <w:rFonts w:ascii="Lucida Fax" w:eastAsiaTheme="majorEastAsia" w:hAnsi="Lucida Fax" w:cstheme="majorBidi"/>
      <w:bCs/>
      <w:color w:val="51626F"/>
      <w:sz w:val="32"/>
      <w:szCs w:val="28"/>
    </w:rPr>
  </w:style>
  <w:style w:type="paragraph" w:customStyle="1" w:styleId="Numberedparagraph">
    <w:name w:val="Numbered paragraph"/>
    <w:basedOn w:val="Numberedlist"/>
    <w:rsid w:val="00FE64AE"/>
    <w:pPr>
      <w:spacing w:before="200"/>
      <w:ind w:left="680" w:hanging="680"/>
    </w:pPr>
    <w:rPr>
      <w:rFonts w:eastAsia="Times New Roman" w:cs="Times New Roman"/>
      <w:szCs w:val="20"/>
    </w:rPr>
  </w:style>
  <w:style w:type="paragraph" w:customStyle="1" w:styleId="Heading1notnumber">
    <w:name w:val="Heading 1 not number"/>
    <w:basedOn w:val="Heading1"/>
    <w:qFormat/>
    <w:rsid w:val="00275002"/>
    <w:pPr>
      <w:pageBreakBefore/>
      <w:tabs>
        <w:tab w:val="left" w:pos="680"/>
      </w:tabs>
    </w:pPr>
    <w:rPr>
      <w:rFonts w:ascii="Arial" w:hAnsi="Arial"/>
      <w:b/>
      <w:color w:val="70635A"/>
      <w:sz w:val="36"/>
    </w:rPr>
  </w:style>
  <w:style w:type="paragraph" w:customStyle="1" w:styleId="Heading2notnumbered">
    <w:name w:val="Heading 2 not numbered"/>
    <w:basedOn w:val="Heading2"/>
    <w:link w:val="Heading2notnumberedChar"/>
    <w:rsid w:val="00275002"/>
    <w:pPr>
      <w:tabs>
        <w:tab w:val="left" w:pos="680"/>
      </w:tabs>
    </w:pPr>
    <w:rPr>
      <w:rFonts w:eastAsia="Times New Roman" w:cs="Times New Roman"/>
      <w:color w:val="003591" w:themeColor="text2"/>
      <w:sz w:val="32"/>
      <w:szCs w:val="20"/>
    </w:rPr>
  </w:style>
  <w:style w:type="paragraph" w:customStyle="1" w:styleId="Heading3notnumbered">
    <w:name w:val="Heading 3 not numbered"/>
    <w:basedOn w:val="Heading3"/>
    <w:rsid w:val="00275002"/>
    <w:pPr>
      <w:tabs>
        <w:tab w:val="left" w:pos="1021"/>
      </w:tabs>
    </w:pPr>
    <w:rPr>
      <w:rFonts w:eastAsia="Times New Roman" w:cs="Times New Roman"/>
      <w:color w:val="003591" w:themeColor="text2"/>
      <w:sz w:val="28"/>
      <w:szCs w:val="20"/>
    </w:rPr>
  </w:style>
  <w:style w:type="paragraph" w:customStyle="1" w:styleId="Heading4notnumbered">
    <w:name w:val="Heading 4 not numbered"/>
    <w:basedOn w:val="Heading4"/>
    <w:link w:val="Heading4notnumberedChar"/>
    <w:rsid w:val="00275002"/>
    <w:pPr>
      <w:tabs>
        <w:tab w:val="left" w:pos="1021"/>
      </w:tabs>
    </w:pPr>
    <w:rPr>
      <w:rFonts w:eastAsia="Times New Roman" w:cs="Times New Roman"/>
      <w:i w:val="0"/>
      <w:iCs w:val="0"/>
      <w:szCs w:val="20"/>
    </w:rPr>
  </w:style>
  <w:style w:type="paragraph" w:customStyle="1" w:styleId="Heading5notnumbered">
    <w:name w:val="Heading 5 not numbered"/>
    <w:basedOn w:val="Heading5"/>
    <w:rsid w:val="00275002"/>
    <w:pPr>
      <w:tabs>
        <w:tab w:val="left" w:pos="1361"/>
      </w:tabs>
    </w:pPr>
    <w:rPr>
      <w:rFonts w:eastAsia="Times New Roman" w:cs="Times New Roman"/>
      <w:bCs/>
      <w:szCs w:val="20"/>
    </w:rPr>
  </w:style>
  <w:style w:type="paragraph" w:customStyle="1" w:styleId="Heading6notnumbered">
    <w:name w:val="Heading 6 not numbered"/>
    <w:basedOn w:val="Heading6"/>
    <w:rsid w:val="00275002"/>
    <w:pPr>
      <w:tabs>
        <w:tab w:val="left" w:pos="1361"/>
      </w:tabs>
    </w:pPr>
    <w:rPr>
      <w:rFonts w:eastAsia="Times New Roman" w:cs="Times New Roman"/>
      <w:bCs/>
      <w:color w:val="000000" w:themeColor="text1"/>
      <w:szCs w:val="20"/>
    </w:rPr>
  </w:style>
  <w:style w:type="paragraph" w:styleId="Index1">
    <w:name w:val="index 1"/>
    <w:basedOn w:val="Normal"/>
    <w:next w:val="Normal"/>
    <w:autoRedefine/>
    <w:uiPriority w:val="99"/>
    <w:unhideWhenUsed/>
    <w:rsid w:val="00275002"/>
    <w:pPr>
      <w:spacing w:before="0" w:line="240" w:lineRule="auto"/>
      <w:ind w:left="220" w:hanging="220"/>
    </w:pPr>
  </w:style>
  <w:style w:type="paragraph" w:styleId="Index2">
    <w:name w:val="index 2"/>
    <w:basedOn w:val="Normal"/>
    <w:next w:val="Normal"/>
    <w:autoRedefine/>
    <w:uiPriority w:val="99"/>
    <w:unhideWhenUsed/>
    <w:rsid w:val="00275002"/>
    <w:pPr>
      <w:spacing w:before="0" w:line="240" w:lineRule="auto"/>
      <w:ind w:left="440" w:hanging="220"/>
    </w:pPr>
  </w:style>
  <w:style w:type="paragraph" w:customStyle="1" w:styleId="Heading7notnumbered">
    <w:name w:val="Heading 7 not numbered"/>
    <w:basedOn w:val="Heading7"/>
    <w:rsid w:val="00275002"/>
    <w:pPr>
      <w:tabs>
        <w:tab w:val="left" w:pos="1701"/>
      </w:tabs>
    </w:pPr>
    <w:rPr>
      <w:rFonts w:eastAsia="Times New Roman" w:cs="Times New Roman"/>
      <w:color w:val="auto"/>
      <w:szCs w:val="20"/>
    </w:rPr>
  </w:style>
  <w:style w:type="paragraph" w:customStyle="1" w:styleId="Heading8notnumbered">
    <w:name w:val="Heading 8 not numbered"/>
    <w:basedOn w:val="Heading8"/>
    <w:rsid w:val="00275002"/>
    <w:pPr>
      <w:tabs>
        <w:tab w:val="left" w:pos="1701"/>
      </w:tabs>
    </w:pPr>
    <w:rPr>
      <w:rFonts w:eastAsia="Times New Roman" w:cs="Times New Roman"/>
    </w:rPr>
  </w:style>
  <w:style w:type="paragraph" w:styleId="Salutation">
    <w:name w:val="Salutation"/>
    <w:basedOn w:val="Normal"/>
    <w:next w:val="Normal"/>
    <w:link w:val="SalutationChar"/>
    <w:uiPriority w:val="99"/>
    <w:unhideWhenUsed/>
    <w:rsid w:val="00275002"/>
  </w:style>
  <w:style w:type="character" w:customStyle="1" w:styleId="SalutationChar">
    <w:name w:val="Salutation Char"/>
    <w:basedOn w:val="DefaultParagraphFont"/>
    <w:link w:val="Salutation"/>
    <w:uiPriority w:val="99"/>
    <w:rsid w:val="00275002"/>
    <w:rPr>
      <w:rFonts w:ascii="Arial" w:hAnsi="Arial"/>
    </w:rPr>
  </w:style>
  <w:style w:type="paragraph" w:customStyle="1" w:styleId="Heading9notnumbered">
    <w:name w:val="Heading 9 not numbered"/>
    <w:basedOn w:val="Heading9"/>
    <w:rsid w:val="00275002"/>
    <w:pPr>
      <w:tabs>
        <w:tab w:val="left" w:pos="1701"/>
      </w:tabs>
    </w:pPr>
    <w:rPr>
      <w:rFonts w:eastAsia="Times New Roman" w:cs="Times New Roman"/>
      <w:color w:val="auto"/>
    </w:rPr>
  </w:style>
  <w:style w:type="paragraph" w:customStyle="1" w:styleId="Copyright">
    <w:name w:val="Copyright"/>
    <w:basedOn w:val="Normal"/>
    <w:next w:val="Normal"/>
    <w:link w:val="CopyrightChar"/>
    <w:rsid w:val="00275002"/>
    <w:pPr>
      <w:spacing w:line="288" w:lineRule="auto"/>
    </w:pPr>
    <w:rPr>
      <w:sz w:val="20"/>
      <w:szCs w:val="20"/>
    </w:rPr>
  </w:style>
  <w:style w:type="paragraph" w:customStyle="1" w:styleId="ReportTitle0">
    <w:name w:val="Report Title"/>
    <w:basedOn w:val="Normal"/>
    <w:next w:val="Normal"/>
    <w:link w:val="ReportTitleChar0"/>
    <w:rsid w:val="00275002"/>
    <w:pPr>
      <w:tabs>
        <w:tab w:val="center" w:pos="4598"/>
        <w:tab w:val="right" w:pos="9026"/>
      </w:tabs>
      <w:spacing w:before="240"/>
      <w:contextualSpacing/>
      <w:jc w:val="center"/>
    </w:pPr>
    <w:rPr>
      <w:rFonts w:eastAsiaTheme="majorEastAsia" w:cstheme="majorBidi"/>
      <w:b/>
      <w:noProof/>
      <w:color w:val="51626F"/>
      <w:sz w:val="72"/>
      <w:szCs w:val="72"/>
      <w:lang w:eastAsia="en-AU"/>
    </w:rPr>
  </w:style>
  <w:style w:type="numbering" w:customStyle="1" w:styleId="AlphanumericList">
    <w:name w:val="Alphanumeric List"/>
    <w:uiPriority w:val="99"/>
    <w:rsid w:val="00275002"/>
    <w:pPr>
      <w:numPr>
        <w:numId w:val="16"/>
      </w:numPr>
    </w:pPr>
  </w:style>
  <w:style w:type="table" w:customStyle="1" w:styleId="AERTable-Text">
    <w:name w:val="AER Table - Text"/>
    <w:basedOn w:val="TableNormal"/>
    <w:uiPriority w:val="99"/>
    <w:rsid w:val="00A81EF8"/>
    <w:pPr>
      <w:spacing w:before="120" w:after="120"/>
    </w:pPr>
    <w:rPr>
      <w:rFonts w:ascii="Arial" w:hAnsi="Arial"/>
      <w:sz w:val="18"/>
    </w:rPr>
    <w:tblPr>
      <w:tblStyleRowBandSize w:val="1"/>
      <w:tblBorders>
        <w:bottom w:val="single" w:sz="4" w:space="0" w:color="auto"/>
      </w:tblBorders>
    </w:tblPr>
    <w:trPr>
      <w:cantSplit/>
    </w:trPr>
    <w:tblStylePr w:type="firstRow">
      <w:pPr>
        <w:wordWrap/>
        <w:spacing w:beforeLines="0" w:before="240" w:beforeAutospacing="0" w:afterLines="0" w:after="120" w:afterAutospacing="0"/>
      </w:pPr>
      <w:rPr>
        <w:rFonts w:ascii="Arial" w:hAnsi="Arial"/>
        <w:b/>
        <w:color w:val="FFFFFF" w:themeColor="background1"/>
        <w:sz w:val="24"/>
        <w14:numSpacing w14:val="tabular"/>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0"/>
    <w:link w:val="ReportDateChar"/>
    <w:rsid w:val="00275002"/>
    <w:rPr>
      <w:b w:val="0"/>
      <w:sz w:val="36"/>
      <w:szCs w:val="36"/>
    </w:rPr>
  </w:style>
  <w:style w:type="paragraph" w:customStyle="1" w:styleId="ReportSubtitle">
    <w:name w:val="Report Subtitle"/>
    <w:basedOn w:val="ReportTitle0"/>
    <w:link w:val="ReportSubtitleChar"/>
    <w:rsid w:val="00275002"/>
    <w:rPr>
      <w:sz w:val="56"/>
      <w:szCs w:val="56"/>
    </w:rPr>
  </w:style>
  <w:style w:type="character" w:customStyle="1" w:styleId="ReportTitleChar0">
    <w:name w:val="Report Title Char"/>
    <w:basedOn w:val="Heading1Char"/>
    <w:link w:val="ReportTitle0"/>
    <w:rsid w:val="00275002"/>
    <w:rPr>
      <w:rFonts w:ascii="Arial" w:eastAsiaTheme="majorEastAsia" w:hAnsi="Arial" w:cstheme="majorBidi"/>
      <w:b/>
      <w:bCs w:val="0"/>
      <w:noProof/>
      <w:color w:val="51626F"/>
      <w:sz w:val="72"/>
      <w:szCs w:val="72"/>
      <w:lang w:eastAsia="en-AU"/>
    </w:rPr>
  </w:style>
  <w:style w:type="character" w:customStyle="1" w:styleId="ReportDateChar">
    <w:name w:val="Report Date Char"/>
    <w:basedOn w:val="ReportTitleChar0"/>
    <w:link w:val="ReportDate"/>
    <w:rsid w:val="00275002"/>
    <w:rPr>
      <w:rFonts w:ascii="Arial" w:eastAsiaTheme="majorEastAsia" w:hAnsi="Arial" w:cstheme="majorBidi"/>
      <w:b w:val="0"/>
      <w:bCs w:val="0"/>
      <w:noProof/>
      <w:color w:val="51626F"/>
      <w:sz w:val="36"/>
      <w:szCs w:val="36"/>
      <w:lang w:eastAsia="en-AU"/>
    </w:rPr>
  </w:style>
  <w:style w:type="character" w:customStyle="1" w:styleId="ReportSubtitleChar">
    <w:name w:val="Report Subtitle Char"/>
    <w:basedOn w:val="ReportTitleChar0"/>
    <w:link w:val="ReportSubtitle"/>
    <w:rsid w:val="00275002"/>
    <w:rPr>
      <w:rFonts w:ascii="Arial" w:eastAsiaTheme="majorEastAsia" w:hAnsi="Arial" w:cstheme="majorBidi"/>
      <w:b/>
      <w:bCs w:val="0"/>
      <w:noProof/>
      <w:color w:val="51626F"/>
      <w:sz w:val="56"/>
      <w:szCs w:val="56"/>
      <w:lang w:eastAsia="en-AU"/>
    </w:rPr>
  </w:style>
  <w:style w:type="character" w:customStyle="1" w:styleId="CopyrightChar">
    <w:name w:val="Copyright Char"/>
    <w:basedOn w:val="DefaultParagraphFont"/>
    <w:link w:val="Copyright"/>
    <w:rsid w:val="00275002"/>
    <w:rPr>
      <w:rFonts w:ascii="Arial" w:hAnsi="Arial"/>
      <w:sz w:val="20"/>
      <w:szCs w:val="20"/>
    </w:rPr>
  </w:style>
  <w:style w:type="paragraph" w:styleId="BodyTextIndent">
    <w:name w:val="Body Text Indent"/>
    <w:basedOn w:val="Normal"/>
    <w:link w:val="BodyTextIndentChar"/>
    <w:uiPriority w:val="99"/>
    <w:semiHidden/>
    <w:unhideWhenUsed/>
    <w:rsid w:val="00275002"/>
    <w:pPr>
      <w:spacing w:after="120"/>
      <w:ind w:left="283"/>
    </w:pPr>
  </w:style>
  <w:style w:type="character" w:customStyle="1" w:styleId="BodyTextIndentChar">
    <w:name w:val="Body Text Indent Char"/>
    <w:basedOn w:val="DefaultParagraphFont"/>
    <w:link w:val="BodyTextIndent"/>
    <w:uiPriority w:val="99"/>
    <w:semiHidden/>
    <w:rsid w:val="00275002"/>
    <w:rPr>
      <w:rFonts w:ascii="Arial" w:hAnsi="Arial"/>
    </w:rPr>
  </w:style>
  <w:style w:type="paragraph" w:styleId="BodyTextFirstIndent2">
    <w:name w:val="Body Text First Indent 2"/>
    <w:basedOn w:val="BodyTextIndent"/>
    <w:link w:val="BodyTextFirstIndent2Char"/>
    <w:uiPriority w:val="99"/>
    <w:unhideWhenUsed/>
    <w:rsid w:val="00275002"/>
    <w:pPr>
      <w:spacing w:after="0"/>
      <w:ind w:left="360" w:firstLine="360"/>
    </w:pPr>
  </w:style>
  <w:style w:type="character" w:customStyle="1" w:styleId="BodyTextFirstIndent2Char">
    <w:name w:val="Body Text First Indent 2 Char"/>
    <w:basedOn w:val="BodyTextIndentChar"/>
    <w:link w:val="BodyTextFirstIndent2"/>
    <w:uiPriority w:val="99"/>
    <w:rsid w:val="00275002"/>
    <w:rPr>
      <w:rFonts w:ascii="Arial" w:hAnsi="Arial"/>
    </w:rPr>
  </w:style>
  <w:style w:type="paragraph" w:styleId="Closing">
    <w:name w:val="Closing"/>
    <w:basedOn w:val="Normal"/>
    <w:link w:val="ClosingChar"/>
    <w:uiPriority w:val="99"/>
    <w:unhideWhenUsed/>
    <w:rsid w:val="00275002"/>
    <w:pPr>
      <w:spacing w:before="0" w:line="240" w:lineRule="auto"/>
      <w:ind w:left="4252"/>
    </w:pPr>
  </w:style>
  <w:style w:type="character" w:customStyle="1" w:styleId="ClosingChar">
    <w:name w:val="Closing Char"/>
    <w:basedOn w:val="DefaultParagraphFont"/>
    <w:link w:val="Closing"/>
    <w:uiPriority w:val="99"/>
    <w:rsid w:val="00275002"/>
    <w:rPr>
      <w:rFonts w:ascii="Arial" w:hAnsi="Arial"/>
    </w:rPr>
  </w:style>
  <w:style w:type="paragraph" w:styleId="BodyText">
    <w:name w:val="Body Text"/>
    <w:basedOn w:val="Normal"/>
    <w:link w:val="BodyTextChar"/>
    <w:uiPriority w:val="99"/>
    <w:semiHidden/>
    <w:unhideWhenUsed/>
    <w:rsid w:val="00275002"/>
    <w:pPr>
      <w:spacing w:after="120"/>
    </w:pPr>
  </w:style>
  <w:style w:type="character" w:customStyle="1" w:styleId="BodyTextChar">
    <w:name w:val="Body Text Char"/>
    <w:basedOn w:val="DefaultParagraphFont"/>
    <w:link w:val="BodyText"/>
    <w:uiPriority w:val="99"/>
    <w:semiHidden/>
    <w:rsid w:val="00275002"/>
    <w:rPr>
      <w:rFonts w:ascii="Arial" w:hAnsi="Arial"/>
    </w:rPr>
  </w:style>
  <w:style w:type="paragraph" w:styleId="BodyTextFirstIndent">
    <w:name w:val="Body Text First Indent"/>
    <w:basedOn w:val="Normal"/>
    <w:link w:val="BodyTextFirstIndentChar"/>
    <w:uiPriority w:val="99"/>
    <w:unhideWhenUsed/>
    <w:rsid w:val="00275002"/>
    <w:pPr>
      <w:ind w:firstLine="360"/>
    </w:pPr>
  </w:style>
  <w:style w:type="character" w:customStyle="1" w:styleId="BodyTextFirstIndentChar">
    <w:name w:val="Body Text First Indent Char"/>
    <w:basedOn w:val="BodyTextChar"/>
    <w:link w:val="BodyTextFirstIndent"/>
    <w:uiPriority w:val="99"/>
    <w:rsid w:val="00275002"/>
    <w:rPr>
      <w:rFonts w:ascii="Arial" w:hAnsi="Arial"/>
    </w:rPr>
  </w:style>
  <w:style w:type="paragraph" w:styleId="BodyText2">
    <w:name w:val="Body Text 2"/>
    <w:basedOn w:val="Normal"/>
    <w:link w:val="BodyText2Char"/>
    <w:uiPriority w:val="99"/>
    <w:unhideWhenUsed/>
    <w:rsid w:val="00275002"/>
    <w:pPr>
      <w:spacing w:after="120" w:line="480" w:lineRule="auto"/>
    </w:pPr>
  </w:style>
  <w:style w:type="character" w:customStyle="1" w:styleId="BodyText2Char">
    <w:name w:val="Body Text 2 Char"/>
    <w:basedOn w:val="DefaultParagraphFont"/>
    <w:link w:val="BodyText2"/>
    <w:uiPriority w:val="99"/>
    <w:rsid w:val="00275002"/>
    <w:rPr>
      <w:rFonts w:ascii="Arial" w:hAnsi="Arial"/>
    </w:rPr>
  </w:style>
  <w:style w:type="paragraph" w:customStyle="1" w:styleId="ListLegal">
    <w:name w:val="List Legal"/>
    <w:basedOn w:val="ListParagraph"/>
    <w:rsid w:val="00275002"/>
    <w:pPr>
      <w:numPr>
        <w:numId w:val="18"/>
      </w:numPr>
      <w:tabs>
        <w:tab w:val="left" w:pos="680"/>
      </w:tabs>
      <w:ind w:left="680" w:hanging="340"/>
    </w:pPr>
  </w:style>
  <w:style w:type="character" w:styleId="CommentReference">
    <w:name w:val="annotation reference"/>
    <w:basedOn w:val="DefaultParagraphFont"/>
    <w:uiPriority w:val="99"/>
    <w:unhideWhenUsed/>
    <w:rsid w:val="00275002"/>
    <w:rPr>
      <w:sz w:val="16"/>
      <w:szCs w:val="16"/>
    </w:rPr>
  </w:style>
  <w:style w:type="paragraph" w:customStyle="1" w:styleId="ListLegal2">
    <w:name w:val="List Legal 2"/>
    <w:basedOn w:val="ListLegal"/>
    <w:rsid w:val="00275002"/>
    <w:pPr>
      <w:tabs>
        <w:tab w:val="clear" w:pos="680"/>
        <w:tab w:val="left" w:pos="1021"/>
      </w:tabs>
      <w:ind w:left="1020"/>
    </w:pPr>
  </w:style>
  <w:style w:type="paragraph" w:customStyle="1" w:styleId="ListLegal3">
    <w:name w:val="List Legal 3"/>
    <w:basedOn w:val="ListNumber3"/>
    <w:rsid w:val="00275002"/>
    <w:pPr>
      <w:numPr>
        <w:numId w:val="19"/>
      </w:numPr>
      <w:tabs>
        <w:tab w:val="left" w:pos="1361"/>
      </w:tabs>
      <w:ind w:left="1361" w:hanging="340"/>
    </w:pPr>
  </w:style>
  <w:style w:type="paragraph" w:customStyle="1" w:styleId="ListLegal4">
    <w:name w:val="List Legal 4"/>
    <w:basedOn w:val="ListLegal3"/>
    <w:rsid w:val="00275002"/>
    <w:pPr>
      <w:tabs>
        <w:tab w:val="clear" w:pos="1361"/>
        <w:tab w:val="left" w:pos="1701"/>
      </w:tabs>
      <w:ind w:left="1701"/>
    </w:pPr>
  </w:style>
  <w:style w:type="paragraph" w:customStyle="1" w:styleId="ListLegal5">
    <w:name w:val="List Legal 5"/>
    <w:basedOn w:val="ListLegal4"/>
    <w:rsid w:val="00275002"/>
    <w:pPr>
      <w:tabs>
        <w:tab w:val="clear" w:pos="1701"/>
        <w:tab w:val="left" w:pos="2041"/>
      </w:tabs>
      <w:ind w:left="2041"/>
    </w:pPr>
  </w:style>
  <w:style w:type="paragraph" w:styleId="Date">
    <w:name w:val="Date"/>
    <w:basedOn w:val="Normal"/>
    <w:next w:val="Normal"/>
    <w:link w:val="DateChar"/>
    <w:uiPriority w:val="99"/>
    <w:unhideWhenUsed/>
    <w:rsid w:val="00275002"/>
  </w:style>
  <w:style w:type="character" w:customStyle="1" w:styleId="DateChar">
    <w:name w:val="Date Char"/>
    <w:basedOn w:val="DefaultParagraphFont"/>
    <w:link w:val="Date"/>
    <w:uiPriority w:val="99"/>
    <w:rsid w:val="00275002"/>
    <w:rPr>
      <w:rFonts w:ascii="Arial" w:hAnsi="Arial"/>
    </w:rPr>
  </w:style>
  <w:style w:type="paragraph" w:styleId="DocumentMap">
    <w:name w:val="Document Map"/>
    <w:basedOn w:val="Normal"/>
    <w:link w:val="DocumentMapChar"/>
    <w:unhideWhenUsed/>
    <w:rsid w:val="00275002"/>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rsid w:val="00275002"/>
    <w:rPr>
      <w:rFonts w:ascii="Tahoma" w:hAnsi="Tahoma" w:cs="Tahoma"/>
      <w:sz w:val="16"/>
      <w:szCs w:val="16"/>
    </w:rPr>
  </w:style>
  <w:style w:type="paragraph" w:styleId="E-mailSignature">
    <w:name w:val="E-mail Signature"/>
    <w:basedOn w:val="Normal"/>
    <w:link w:val="E-mailSignatureChar"/>
    <w:uiPriority w:val="99"/>
    <w:unhideWhenUsed/>
    <w:rsid w:val="00275002"/>
    <w:pPr>
      <w:spacing w:before="0" w:line="240" w:lineRule="auto"/>
    </w:pPr>
  </w:style>
  <w:style w:type="character" w:customStyle="1" w:styleId="E-mailSignatureChar">
    <w:name w:val="E-mail Signature Char"/>
    <w:basedOn w:val="DefaultParagraphFont"/>
    <w:link w:val="E-mailSignature"/>
    <w:uiPriority w:val="99"/>
    <w:rsid w:val="00275002"/>
    <w:rPr>
      <w:rFonts w:ascii="Arial" w:hAnsi="Arial"/>
    </w:rPr>
  </w:style>
  <w:style w:type="paragraph" w:styleId="EnvelopeAddress">
    <w:name w:val="envelope address"/>
    <w:basedOn w:val="Normal"/>
    <w:uiPriority w:val="99"/>
    <w:unhideWhenUsed/>
    <w:rsid w:val="00275002"/>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275002"/>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275002"/>
    <w:rPr>
      <w:color w:val="800080" w:themeColor="followedHyperlink"/>
      <w:u w:val="single"/>
    </w:rPr>
  </w:style>
  <w:style w:type="paragraph" w:styleId="Index3">
    <w:name w:val="index 3"/>
    <w:basedOn w:val="Normal"/>
    <w:next w:val="Normal"/>
    <w:autoRedefine/>
    <w:uiPriority w:val="99"/>
    <w:unhideWhenUsed/>
    <w:rsid w:val="00275002"/>
    <w:pPr>
      <w:spacing w:before="0" w:line="240" w:lineRule="auto"/>
      <w:ind w:left="660" w:hanging="220"/>
    </w:pPr>
  </w:style>
  <w:style w:type="paragraph" w:styleId="Index4">
    <w:name w:val="index 4"/>
    <w:basedOn w:val="Normal"/>
    <w:next w:val="Normal"/>
    <w:autoRedefine/>
    <w:uiPriority w:val="99"/>
    <w:unhideWhenUsed/>
    <w:rsid w:val="00275002"/>
    <w:pPr>
      <w:spacing w:before="0" w:line="240" w:lineRule="auto"/>
      <w:ind w:left="880" w:hanging="220"/>
    </w:pPr>
  </w:style>
  <w:style w:type="paragraph" w:styleId="Index5">
    <w:name w:val="index 5"/>
    <w:basedOn w:val="Normal"/>
    <w:next w:val="Normal"/>
    <w:autoRedefine/>
    <w:uiPriority w:val="99"/>
    <w:unhideWhenUsed/>
    <w:rsid w:val="00275002"/>
    <w:pPr>
      <w:spacing w:before="0" w:line="240" w:lineRule="auto"/>
      <w:ind w:left="1100" w:hanging="220"/>
    </w:pPr>
  </w:style>
  <w:style w:type="paragraph" w:styleId="IndexHeading">
    <w:name w:val="index heading"/>
    <w:basedOn w:val="Normal"/>
    <w:next w:val="Index1"/>
    <w:uiPriority w:val="99"/>
    <w:unhideWhenUsed/>
    <w:rsid w:val="00275002"/>
    <w:rPr>
      <w:rFonts w:asciiTheme="majorHAnsi" w:eastAsiaTheme="majorEastAsia" w:hAnsiTheme="majorHAnsi" w:cstheme="majorBidi"/>
      <w:b/>
      <w:bCs/>
    </w:rPr>
  </w:style>
  <w:style w:type="character" w:styleId="IntenseEmphasis">
    <w:name w:val="Intense Emphasis"/>
    <w:basedOn w:val="DefaultParagraphFont"/>
    <w:uiPriority w:val="21"/>
    <w:unhideWhenUsed/>
    <w:rsid w:val="00275002"/>
    <w:rPr>
      <w:b/>
      <w:bCs/>
      <w:i/>
      <w:iCs/>
      <w:color w:val="51626F" w:themeColor="accent1"/>
    </w:rPr>
  </w:style>
  <w:style w:type="paragraph" w:styleId="IntenseQuote">
    <w:name w:val="Intense Quote"/>
    <w:basedOn w:val="Normal"/>
    <w:next w:val="Normal"/>
    <w:link w:val="IntenseQuoteChar"/>
    <w:uiPriority w:val="30"/>
    <w:unhideWhenUsed/>
    <w:rsid w:val="00275002"/>
    <w:pPr>
      <w:pBdr>
        <w:bottom w:val="single" w:sz="4" w:space="4" w:color="51626F" w:themeColor="accent1"/>
      </w:pBdr>
      <w:spacing w:after="280"/>
      <w:ind w:left="936" w:right="936"/>
    </w:pPr>
    <w:rPr>
      <w:b/>
      <w:bCs/>
      <w:i/>
      <w:iCs/>
      <w:color w:val="51626F" w:themeColor="accent1"/>
    </w:rPr>
  </w:style>
  <w:style w:type="character" w:customStyle="1" w:styleId="IntenseQuoteChar">
    <w:name w:val="Intense Quote Char"/>
    <w:basedOn w:val="DefaultParagraphFont"/>
    <w:link w:val="IntenseQuote"/>
    <w:uiPriority w:val="30"/>
    <w:rsid w:val="00275002"/>
    <w:rPr>
      <w:rFonts w:ascii="Arial" w:hAnsi="Arial"/>
      <w:b/>
      <w:bCs/>
      <w:i/>
      <w:iCs/>
      <w:color w:val="51626F" w:themeColor="accent1"/>
    </w:rPr>
  </w:style>
  <w:style w:type="character" w:styleId="IntenseReference">
    <w:name w:val="Intense Reference"/>
    <w:basedOn w:val="DefaultParagraphFont"/>
    <w:uiPriority w:val="32"/>
    <w:unhideWhenUsed/>
    <w:rsid w:val="00275002"/>
    <w:rPr>
      <w:b/>
      <w:bCs/>
      <w:smallCaps/>
      <w:color w:val="4F2D7D" w:themeColor="accent2"/>
      <w:spacing w:val="5"/>
      <w:u w:val="single"/>
    </w:rPr>
  </w:style>
  <w:style w:type="character" w:styleId="LineNumber">
    <w:name w:val="line number"/>
    <w:basedOn w:val="DefaultParagraphFont"/>
    <w:uiPriority w:val="99"/>
    <w:unhideWhenUsed/>
    <w:rsid w:val="00275002"/>
  </w:style>
  <w:style w:type="paragraph" w:customStyle="1" w:styleId="Listalphabet2">
    <w:name w:val="List alphabet 2"/>
    <w:basedOn w:val="ListNumber2"/>
    <w:rsid w:val="00275002"/>
    <w:pPr>
      <w:numPr>
        <w:numId w:val="17"/>
      </w:numPr>
      <w:tabs>
        <w:tab w:val="left" w:pos="680"/>
      </w:tabs>
      <w:spacing w:line="276" w:lineRule="auto"/>
      <w:ind w:left="680" w:hanging="340"/>
    </w:pPr>
  </w:style>
  <w:style w:type="paragraph" w:customStyle="1" w:styleId="Listalphabet3">
    <w:name w:val="List alphabet 3"/>
    <w:basedOn w:val="Listalphabet2"/>
    <w:rsid w:val="00275002"/>
    <w:pPr>
      <w:tabs>
        <w:tab w:val="clear" w:pos="680"/>
        <w:tab w:val="left" w:pos="1021"/>
      </w:tabs>
      <w:ind w:left="1020"/>
    </w:pPr>
  </w:style>
  <w:style w:type="paragraph" w:customStyle="1" w:styleId="Listalphabet4">
    <w:name w:val="List alphabet 4"/>
    <w:basedOn w:val="Listalphabet3"/>
    <w:rsid w:val="00275002"/>
    <w:pPr>
      <w:tabs>
        <w:tab w:val="clear" w:pos="1021"/>
        <w:tab w:val="left" w:pos="1361"/>
      </w:tabs>
      <w:ind w:left="1361"/>
    </w:pPr>
  </w:style>
  <w:style w:type="paragraph" w:customStyle="1" w:styleId="Listalphabet5">
    <w:name w:val="List alphabet 5"/>
    <w:basedOn w:val="Listalphabet4"/>
    <w:rsid w:val="00275002"/>
    <w:pPr>
      <w:tabs>
        <w:tab w:val="clear" w:pos="1361"/>
        <w:tab w:val="left" w:pos="1701"/>
      </w:tabs>
      <w:ind w:left="1701"/>
    </w:pPr>
  </w:style>
  <w:style w:type="paragraph" w:styleId="ListContinue5">
    <w:name w:val="List Continue 5"/>
    <w:basedOn w:val="Normal"/>
    <w:uiPriority w:val="99"/>
    <w:unhideWhenUsed/>
    <w:rsid w:val="00275002"/>
    <w:pPr>
      <w:tabs>
        <w:tab w:val="left" w:pos="1701"/>
      </w:tabs>
      <w:spacing w:after="120"/>
      <w:ind w:left="1701"/>
      <w:contextualSpacing/>
    </w:pPr>
  </w:style>
  <w:style w:type="paragraph" w:styleId="Signature">
    <w:name w:val="Signature"/>
    <w:basedOn w:val="Normal"/>
    <w:link w:val="SignatureChar"/>
    <w:uiPriority w:val="99"/>
    <w:unhideWhenUsed/>
    <w:rsid w:val="00275002"/>
    <w:pPr>
      <w:spacing w:before="0" w:line="240" w:lineRule="auto"/>
      <w:ind w:left="4252"/>
    </w:pPr>
  </w:style>
  <w:style w:type="character" w:customStyle="1" w:styleId="SignatureChar">
    <w:name w:val="Signature Char"/>
    <w:basedOn w:val="DefaultParagraphFont"/>
    <w:link w:val="Signature"/>
    <w:uiPriority w:val="99"/>
    <w:rsid w:val="00275002"/>
    <w:rPr>
      <w:rFonts w:ascii="Arial" w:hAnsi="Arial"/>
    </w:rPr>
  </w:style>
  <w:style w:type="character" w:styleId="SubtleEmphasis">
    <w:name w:val="Subtle Emphasis"/>
    <w:basedOn w:val="DefaultParagraphFont"/>
    <w:uiPriority w:val="19"/>
    <w:unhideWhenUsed/>
    <w:rsid w:val="00275002"/>
    <w:rPr>
      <w:b/>
      <w:i/>
      <w:iCs/>
      <w:color w:val="51626F" w:themeColor="accent1"/>
    </w:rPr>
  </w:style>
  <w:style w:type="character" w:styleId="SubtleReference">
    <w:name w:val="Subtle Reference"/>
    <w:basedOn w:val="DefaultParagraphFont"/>
    <w:uiPriority w:val="31"/>
    <w:unhideWhenUsed/>
    <w:rsid w:val="00275002"/>
    <w:rPr>
      <w:smallCaps/>
      <w:color w:val="4F2D7D" w:themeColor="accent2"/>
      <w:u w:val="single"/>
    </w:rPr>
  </w:style>
  <w:style w:type="paragraph" w:customStyle="1" w:styleId="Quotes">
    <w:name w:val="Quotes"/>
    <w:basedOn w:val="Normal"/>
    <w:rsid w:val="00275002"/>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75002"/>
  </w:style>
  <w:style w:type="character" w:styleId="PlaceholderText">
    <w:name w:val="Placeholder Text"/>
    <w:basedOn w:val="DefaultParagraphFont"/>
    <w:uiPriority w:val="99"/>
    <w:semiHidden/>
    <w:rsid w:val="00275002"/>
    <w:rPr>
      <w:color w:val="808080"/>
    </w:rPr>
  </w:style>
  <w:style w:type="paragraph" w:customStyle="1" w:styleId="StyleCopyrightBefore0pt">
    <w:name w:val="Style Copyright + Before:  0 pt"/>
    <w:basedOn w:val="Copyright"/>
    <w:rsid w:val="00275002"/>
    <w:pPr>
      <w:spacing w:before="120"/>
    </w:pPr>
    <w:rPr>
      <w:rFonts w:eastAsia="Times New Roman" w:cs="Times New Roman"/>
    </w:rPr>
  </w:style>
  <w:style w:type="character" w:customStyle="1" w:styleId="Bold">
    <w:name w:val="Bold"/>
    <w:basedOn w:val="DefaultParagraphFont"/>
    <w:rsid w:val="00275002"/>
    <w:rPr>
      <w:b/>
      <w:bCs/>
    </w:rPr>
  </w:style>
  <w:style w:type="paragraph" w:customStyle="1" w:styleId="LegalNumbering">
    <w:name w:val="Legal Numbering"/>
    <w:basedOn w:val="Normal"/>
    <w:rsid w:val="00275002"/>
    <w:pPr>
      <w:numPr>
        <w:numId w:val="20"/>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275002"/>
    <w:rPr>
      <w:rFonts w:ascii="Arial" w:hAnsi="Arial"/>
      <w:color w:val="auto"/>
      <w:sz w:val="16"/>
    </w:rPr>
  </w:style>
  <w:style w:type="paragraph" w:customStyle="1" w:styleId="NumberedChapterTitle">
    <w:name w:val="Numbered Chapter Title"/>
    <w:basedOn w:val="Chaptertitle"/>
    <w:qFormat/>
    <w:rsid w:val="00275002"/>
    <w:pPr>
      <w:pageBreakBefore/>
      <w:numPr>
        <w:numId w:val="21"/>
      </w:numPr>
      <w:tabs>
        <w:tab w:val="left" w:pos="680"/>
      </w:tabs>
      <w:ind w:left="680" w:hanging="680"/>
      <w:outlineLvl w:val="0"/>
    </w:pPr>
    <w:rPr>
      <w:rFonts w:ascii="Arial" w:hAnsi="Arial"/>
      <w:color w:val="000000" w:themeColor="text1"/>
    </w:rPr>
  </w:style>
  <w:style w:type="paragraph" w:styleId="Revision">
    <w:name w:val="Revision"/>
    <w:hidden/>
    <w:uiPriority w:val="99"/>
    <w:semiHidden/>
    <w:rsid w:val="00275002"/>
    <w:pPr>
      <w:spacing w:before="0"/>
    </w:pPr>
    <w:rPr>
      <w:rFonts w:ascii="Arial" w:hAnsi="Arial"/>
    </w:rPr>
  </w:style>
  <w:style w:type="paragraph" w:styleId="CommentText">
    <w:name w:val="annotation text"/>
    <w:basedOn w:val="Normal"/>
    <w:link w:val="CommentTextChar"/>
    <w:uiPriority w:val="99"/>
    <w:unhideWhenUsed/>
    <w:rsid w:val="00275002"/>
    <w:pPr>
      <w:spacing w:line="240" w:lineRule="auto"/>
    </w:pPr>
    <w:rPr>
      <w:sz w:val="20"/>
      <w:szCs w:val="20"/>
    </w:rPr>
  </w:style>
  <w:style w:type="character" w:customStyle="1" w:styleId="CommentTextChar">
    <w:name w:val="Comment Text Char"/>
    <w:basedOn w:val="DefaultParagraphFont"/>
    <w:link w:val="CommentText"/>
    <w:uiPriority w:val="99"/>
    <w:rsid w:val="00275002"/>
    <w:rPr>
      <w:rFonts w:ascii="Arial" w:hAnsi="Arial"/>
      <w:sz w:val="20"/>
      <w:szCs w:val="20"/>
    </w:rPr>
  </w:style>
  <w:style w:type="paragraph" w:styleId="CommentSubject">
    <w:name w:val="annotation subject"/>
    <w:basedOn w:val="Normal"/>
    <w:link w:val="CommentSubjectChar"/>
    <w:semiHidden/>
    <w:rsid w:val="00275002"/>
    <w:pPr>
      <w:spacing w:before="0" w:line="288" w:lineRule="auto"/>
      <w:jc w:val="both"/>
    </w:pPr>
    <w:rPr>
      <w:rFonts w:ascii="Gautami" w:eastAsia="Times New Roman" w:hAnsi="Gautami" w:cs="Times New Roman"/>
      <w:b/>
      <w:bCs/>
      <w:sz w:val="20"/>
      <w:szCs w:val="24"/>
      <w:lang w:eastAsia="en-AU"/>
    </w:rPr>
  </w:style>
  <w:style w:type="character" w:customStyle="1" w:styleId="CommentSubjectChar">
    <w:name w:val="Comment Subject Char"/>
    <w:basedOn w:val="CommentTextChar"/>
    <w:link w:val="CommentSubject"/>
    <w:semiHidden/>
    <w:rsid w:val="00275002"/>
    <w:rPr>
      <w:rFonts w:ascii="Gautami" w:eastAsia="Times New Roman" w:hAnsi="Gautami" w:cs="Times New Roman"/>
      <w:b/>
      <w:bCs/>
      <w:sz w:val="20"/>
      <w:szCs w:val="24"/>
      <w:lang w:eastAsia="en-AU"/>
    </w:rPr>
  </w:style>
  <w:style w:type="numbering" w:styleId="1ai">
    <w:name w:val="Outline List 1"/>
    <w:aliases w:val="AER Numbered List"/>
    <w:basedOn w:val="NoList"/>
    <w:rsid w:val="00275002"/>
    <w:pPr>
      <w:numPr>
        <w:numId w:val="22"/>
      </w:numPr>
    </w:pPr>
  </w:style>
  <w:style w:type="table" w:styleId="TableClassic2">
    <w:name w:val="Table Classic 2"/>
    <w:basedOn w:val="TableNormal"/>
    <w:rsid w:val="00275002"/>
    <w:pPr>
      <w:spacing w:before="0"/>
    </w:pPr>
    <w:rPr>
      <w:rFonts w:ascii="Times" w:eastAsia="Times New Roman" w:hAnsi="Times" w:cs="Times New Roman"/>
      <w:sz w:val="20"/>
      <w:szCs w:val="20"/>
      <w:lang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ntemporary">
    <w:name w:val="Table Contemporary"/>
    <w:basedOn w:val="TableNormal"/>
    <w:rsid w:val="00275002"/>
    <w:pPr>
      <w:spacing w:before="0"/>
    </w:pPr>
    <w:rPr>
      <w:rFonts w:ascii="Times" w:eastAsia="Times New Roman" w:hAnsi="Times" w:cs="Times New Roman"/>
      <w:sz w:val="20"/>
      <w:szCs w:val="20"/>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Classic1">
    <w:name w:val="Table Classic 1"/>
    <w:basedOn w:val="TableNormal"/>
    <w:rsid w:val="00275002"/>
    <w:pPr>
      <w:spacing w:before="0"/>
    </w:pPr>
    <w:rPr>
      <w:rFonts w:ascii="Times" w:eastAsia="Times New Roman" w:hAnsi="Times" w:cs="Times New Roman"/>
      <w:sz w:val="20"/>
      <w:szCs w:val="20"/>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75002"/>
    <w:pPr>
      <w:spacing w:before="0"/>
    </w:pPr>
    <w:rPr>
      <w:rFonts w:ascii="Calibri" w:eastAsia="Times New Roman" w:hAnsi="Calibri" w:cs="Times New Roman"/>
      <w:sz w:val="20"/>
      <w:szCs w:val="20"/>
      <w:lang w:eastAsia="en-AU"/>
    </w:rPr>
    <w:tblPr>
      <w:tblBorders>
        <w:top w:val="single" w:sz="12" w:space="0" w:color="000000"/>
        <w:bottom w:val="single" w:sz="12" w:space="0" w:color="000000"/>
        <w:insideH w:val="single" w:sz="6" w:space="0" w:color="000000"/>
      </w:tblBorders>
    </w:tblPr>
    <w:tcPr>
      <w:shd w:val="clear" w:color="auto" w:fill="auto"/>
    </w:tcPr>
    <w:tblStylePr w:type="firstRow">
      <w:rPr>
        <w:rFonts w:ascii="Calibri" w:hAnsi="Calibri"/>
        <w:b/>
        <w:bCs/>
        <w:color w:val="000000"/>
        <w:sz w:val="20"/>
      </w:r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MediumShading2-Accent5">
    <w:name w:val="Medium Shading 2 Accent 5"/>
    <w:basedOn w:val="TableNormal"/>
    <w:uiPriority w:val="64"/>
    <w:rsid w:val="00275002"/>
    <w:pPr>
      <w:spacing w:before="0"/>
    </w:pPr>
    <w:rPr>
      <w:rFonts w:ascii="Calibri" w:eastAsia="Calibri" w:hAnsi="Calibri" w:cs="Times New Roman"/>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unhideWhenUsed/>
    <w:rsid w:val="0027500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AERHeading1">
    <w:name w:val="AER Heading 1"/>
    <w:basedOn w:val="Heading2notnumbered"/>
    <w:link w:val="AERHeading1Char"/>
    <w:qFormat/>
    <w:rsid w:val="000E2946"/>
    <w:rPr>
      <w:color w:val="2272A3" w:themeColor="accent4" w:themeShade="80"/>
    </w:rPr>
  </w:style>
  <w:style w:type="paragraph" w:customStyle="1" w:styleId="AERHeading3">
    <w:name w:val="AER Heading 3"/>
    <w:basedOn w:val="Heading4notnumbered"/>
    <w:link w:val="AERHeading3Char"/>
    <w:qFormat/>
    <w:rsid w:val="00914A87"/>
  </w:style>
  <w:style w:type="character" w:customStyle="1" w:styleId="Heading2notnumberedChar">
    <w:name w:val="Heading 2 not numbered Char"/>
    <w:basedOn w:val="Heading2Char"/>
    <w:link w:val="Heading2notnumbered"/>
    <w:rsid w:val="000E2946"/>
    <w:rPr>
      <w:rFonts w:ascii="Arial" w:eastAsia="Times New Roman" w:hAnsi="Arial" w:cs="Times New Roman"/>
      <w:b/>
      <w:bCs/>
      <w:color w:val="003591" w:themeColor="text2"/>
      <w:sz w:val="32"/>
      <w:szCs w:val="20"/>
    </w:rPr>
  </w:style>
  <w:style w:type="character" w:customStyle="1" w:styleId="AERHeading1Char">
    <w:name w:val="AER Heading 1 Char"/>
    <w:basedOn w:val="Heading2notnumberedChar"/>
    <w:link w:val="AERHeading1"/>
    <w:rsid w:val="000E2946"/>
    <w:rPr>
      <w:rFonts w:ascii="Arial" w:eastAsia="Times New Roman" w:hAnsi="Arial" w:cs="Times New Roman"/>
      <w:b/>
      <w:bCs/>
      <w:color w:val="2272A3" w:themeColor="accent4" w:themeShade="80"/>
      <w:sz w:val="32"/>
      <w:szCs w:val="20"/>
    </w:rPr>
  </w:style>
  <w:style w:type="paragraph" w:customStyle="1" w:styleId="Tablesumline">
    <w:name w:val="Table sum line"/>
    <w:basedOn w:val="Normal"/>
    <w:link w:val="TablesumlineChar"/>
    <w:qFormat/>
    <w:rsid w:val="00FD72DC"/>
    <w:pPr>
      <w:spacing w:before="120" w:after="120"/>
    </w:pPr>
    <w:rPr>
      <w:b/>
      <w:sz w:val="20"/>
    </w:rPr>
  </w:style>
  <w:style w:type="character" w:customStyle="1" w:styleId="Heading4notnumberedChar">
    <w:name w:val="Heading 4 not numbered Char"/>
    <w:basedOn w:val="Heading4Char"/>
    <w:link w:val="Heading4notnumbered"/>
    <w:rsid w:val="00914A87"/>
    <w:rPr>
      <w:rFonts w:ascii="Arial" w:eastAsia="Times New Roman" w:hAnsi="Arial" w:cs="Times New Roman"/>
      <w:b/>
      <w:bCs/>
      <w:i w:val="0"/>
      <w:iCs w:val="0"/>
      <w:color w:val="51626F"/>
      <w:sz w:val="24"/>
      <w:szCs w:val="20"/>
    </w:rPr>
  </w:style>
  <w:style w:type="character" w:customStyle="1" w:styleId="AERHeading3Char">
    <w:name w:val="AER Heading 3 Char"/>
    <w:basedOn w:val="Heading4notnumberedChar"/>
    <w:link w:val="AERHeading3"/>
    <w:rsid w:val="00914A87"/>
    <w:rPr>
      <w:rFonts w:ascii="Arial" w:eastAsia="Times New Roman" w:hAnsi="Arial" w:cs="Times New Roman"/>
      <w:b/>
      <w:bCs/>
      <w:i w:val="0"/>
      <w:iCs w:val="0"/>
      <w:color w:val="51626F"/>
      <w:sz w:val="24"/>
      <w:szCs w:val="20"/>
    </w:rPr>
  </w:style>
  <w:style w:type="table" w:customStyle="1" w:styleId="AERsummarytable">
    <w:name w:val="AER summary table"/>
    <w:basedOn w:val="AERTable-Text"/>
    <w:uiPriority w:val="99"/>
    <w:rsid w:val="00FD72DC"/>
    <w:pPr>
      <w:spacing w:before="0"/>
    </w:pPr>
    <w:tbl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TablesumlineChar">
    <w:name w:val="Table sum line Char"/>
    <w:basedOn w:val="DefaultParagraphFont"/>
    <w:link w:val="Tablesumline"/>
    <w:rsid w:val="00FD72DC"/>
    <w:rPr>
      <w:rFonts w:ascii="Arial" w:hAnsi="Arial"/>
      <w:b/>
      <w:sz w:val="20"/>
    </w:rPr>
  </w:style>
  <w:style w:type="table" w:customStyle="1" w:styleId="Style1">
    <w:name w:val="Style1"/>
    <w:basedOn w:val="TableNormal"/>
    <w:uiPriority w:val="99"/>
    <w:rsid w:val="00A81EF8"/>
    <w:pPr>
      <w:spacing w:before="0"/>
    </w:pPr>
    <w:tblPr/>
    <w:tblStylePr w:type="firstRow">
      <w:rPr>
        <w:rFonts w:ascii="Arial" w:hAnsi="Arial"/>
        <w:color w:val="FFFFFF" w:themeColor="background1"/>
        <w:sz w:val="18"/>
      </w:rPr>
      <w:tblPr/>
      <w:tcPr>
        <w:shd w:val="clear" w:color="auto" w:fill="2272A3" w:themeFill="accent4" w:themeFillShade="80"/>
      </w:tcPr>
    </w:tblStylePr>
  </w:style>
  <w:style w:type="paragraph" w:customStyle="1" w:styleId="tableheadingline2">
    <w:name w:val="table heading line 2"/>
    <w:basedOn w:val="Normal"/>
    <w:link w:val="tableheadingline2Char"/>
    <w:qFormat/>
    <w:rsid w:val="00FA3830"/>
    <w:pPr>
      <w:spacing w:before="0" w:after="120"/>
      <w:jc w:val="center"/>
    </w:pPr>
    <w:rPr>
      <w:b/>
      <w:sz w:val="18"/>
      <w14:numSpacing w14:val="tabular"/>
    </w:rPr>
  </w:style>
  <w:style w:type="character" w:customStyle="1" w:styleId="tableheadingline2Char">
    <w:name w:val="table heading line 2 Char"/>
    <w:basedOn w:val="DefaultParagraphFont"/>
    <w:link w:val="tableheadingline2"/>
    <w:rsid w:val="00FA3830"/>
    <w:rPr>
      <w:rFonts w:ascii="Arial" w:hAnsi="Arial"/>
      <w:b/>
      <w:sz w:val="18"/>
      <w14:numSpacing w14:val="tabular"/>
    </w:rPr>
  </w:style>
  <w:style w:type="paragraph" w:customStyle="1" w:styleId="AERbodytext">
    <w:name w:val="AER body text"/>
    <w:link w:val="AERbodytextChar"/>
    <w:qFormat/>
    <w:rsid w:val="001778E3"/>
    <w:pPr>
      <w:spacing w:before="120" w:after="120" w:line="288" w:lineRule="auto"/>
      <w:jc w:val="both"/>
    </w:pPr>
    <w:rPr>
      <w:rFonts w:ascii="Arial" w:eastAsia="Times New Roman" w:hAnsi="Arial" w:cs="Arial"/>
      <w:bCs/>
      <w:lang w:eastAsia="en-AU"/>
    </w:rPr>
  </w:style>
  <w:style w:type="character" w:customStyle="1" w:styleId="AERbodytextChar">
    <w:name w:val="AER body text Char"/>
    <w:basedOn w:val="DefaultParagraphFont"/>
    <w:link w:val="AERbodytext"/>
    <w:rsid w:val="001778E3"/>
    <w:rPr>
      <w:rFonts w:ascii="Arial" w:eastAsia="Times New Roman" w:hAnsi="Arial" w:cs="Arial"/>
      <w:bCs/>
      <w:lang w:eastAsia="en-AU"/>
    </w:rPr>
  </w:style>
  <w:style w:type="paragraph" w:customStyle="1" w:styleId="tablenormal0">
    <w:name w:val="table normal"/>
    <w:basedOn w:val="Normal"/>
    <w:link w:val="tablenormalChar"/>
    <w:qFormat/>
    <w:rsid w:val="005D2FBD"/>
    <w:pPr>
      <w:spacing w:before="120" w:after="120"/>
    </w:pPr>
    <w:rPr>
      <w:rFonts w:cs="Arial"/>
      <w:sz w:val="18"/>
    </w:rPr>
  </w:style>
  <w:style w:type="character" w:customStyle="1" w:styleId="tablenormalChar">
    <w:name w:val="table normal Char"/>
    <w:basedOn w:val="DefaultParagraphFont"/>
    <w:link w:val="tablenormal0"/>
    <w:rsid w:val="005D2FBD"/>
    <w:rPr>
      <w:rFonts w:ascii="Arial" w:hAnsi="Arial" w:cs="Arial"/>
      <w:sz w:val="18"/>
    </w:rPr>
  </w:style>
  <w:style w:type="table" w:customStyle="1" w:styleId="AERsummarytable1">
    <w:name w:val="AER summary table1"/>
    <w:basedOn w:val="AERTable-Text"/>
    <w:uiPriority w:val="99"/>
    <w:rsid w:val="00784A7E"/>
    <w:pPr>
      <w:spacing w:before="0"/>
    </w:pPr>
    <w:tbl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table" w:customStyle="1" w:styleId="AERsummarytable2">
    <w:name w:val="AER summary table2"/>
    <w:basedOn w:val="TableNormal"/>
    <w:uiPriority w:val="99"/>
    <w:rsid w:val="002D1734"/>
    <w:pPr>
      <w:spacing w:before="0" w:after="120"/>
    </w:pPr>
    <w:rPr>
      <w:rFonts w:ascii="Arial" w:hAnsi="Arial"/>
      <w:sz w:val="18"/>
    </w:rPr>
    <w:tblPr>
      <w:tblStyleRowBandSize w:val="1"/>
      <w:tblBorders>
        <w:bottom w:val="single" w:sz="4" w:space="0" w:color="auto"/>
      </w:tblBorders>
    </w:tblPr>
    <w:trPr>
      <w:cantSplit/>
    </w:tr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a531">
    <w:name w:val="a53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571">
    <w:name w:val="a57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691">
    <w:name w:val="a69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731">
    <w:name w:val="a73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771">
    <w:name w:val="a77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displayonly">
    <w:name w:val="display_only"/>
    <w:basedOn w:val="DefaultParagraphFont"/>
    <w:rsid w:val="00091FB4"/>
  </w:style>
  <w:style w:type="character" w:customStyle="1" w:styleId="a501">
    <w:name w:val="a501"/>
    <w:basedOn w:val="DefaultParagraphFont"/>
    <w:rsid w:val="00320D36"/>
    <w:rPr>
      <w:rFonts w:ascii="Arial" w:hAnsi="Arial" w:cs="Arial" w:hint="default"/>
      <w:b w:val="0"/>
      <w:bCs w:val="0"/>
      <w:i w:val="0"/>
      <w:iCs w:val="0"/>
      <w:strike w:val="0"/>
      <w:dstrike w:val="0"/>
      <w:color w:val="000000"/>
      <w:sz w:val="18"/>
      <w:szCs w:val="18"/>
      <w:u w:val="none"/>
      <w:effect w:val="none"/>
    </w:rPr>
  </w:style>
  <w:style w:type="paragraph" w:styleId="PlainText">
    <w:name w:val="Plain Text"/>
    <w:basedOn w:val="Normal"/>
    <w:link w:val="PlainTextChar"/>
    <w:uiPriority w:val="99"/>
    <w:semiHidden/>
    <w:unhideWhenUsed/>
    <w:rsid w:val="00F4040B"/>
    <w:pPr>
      <w:spacing w:before="0" w:line="240" w:lineRule="auto"/>
    </w:pPr>
    <w:rPr>
      <w:rFonts w:ascii="Calibri" w:hAnsi="Calibri"/>
      <w:szCs w:val="21"/>
    </w:rPr>
  </w:style>
  <w:style w:type="character" w:customStyle="1" w:styleId="PlainTextChar">
    <w:name w:val="Plain Text Char"/>
    <w:basedOn w:val="DefaultParagraphFont"/>
    <w:link w:val="PlainText"/>
    <w:uiPriority w:val="99"/>
    <w:semiHidden/>
    <w:rsid w:val="00F4040B"/>
    <w:rPr>
      <w:rFonts w:ascii="Calibri" w:hAnsi="Calibri"/>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uiPriority="0" w:qFormat="1"/>
    <w:lsdException w:name="header" w:uiPriority="0" w:qFormat="1"/>
    <w:lsdException w:name="footer" w:qFormat="1"/>
    <w:lsdException w:name="caption" w:uiPriority="0" w:qFormat="1"/>
    <w:lsdException w:name="footnote reference" w:uiPriority="0"/>
    <w:lsdException w:name="page number" w:uiPriority="0"/>
    <w:lsdException w:name="endnote reference" w:uiPriority="0"/>
    <w:lsdException w:name="endnote text" w:uiPriority="0"/>
    <w:lsdException w:name="List" w:qFormat="1"/>
    <w:lsdException w:name="List Number" w:qFormat="1"/>
    <w:lsdException w:name="List Number 2" w:qFormat="1"/>
    <w:lsdException w:name="Title" w:semiHidden="0" w:uiPriority="0" w:unhideWhenUsed="0" w:qFormat="1"/>
    <w:lsdException w:name="Default Paragraph Font" w:uiPriority="1"/>
    <w:lsdException w:name="List Continue" w:qFormat="1"/>
    <w:lsdException w:name="Subtitle" w:semiHidden="0" w:uiPriority="11" w:unhideWhenUsed="0" w:qFormat="1"/>
    <w:lsdException w:name="Hyperlink" w:uiPriority="0" w:qFormat="1"/>
    <w:lsdException w:name="FollowedHyperlink" w:uiPriority="0"/>
    <w:lsdException w:name="Strong" w:semiHidden="0" w:uiPriority="22" w:unhideWhenUsed="0" w:qFormat="1"/>
    <w:lsdException w:name="Emphasis" w:semiHidden="0" w:uiPriority="0" w:unhideWhenUsed="0" w:qFormat="1"/>
    <w:lsdException w:name="Document Map" w:uiPriority="0"/>
    <w:lsdException w:name="annotation subject" w:uiPriority="0"/>
    <w:lsdException w:name="Outline List 1" w:uiPriority="0"/>
    <w:lsdException w:name="Table Classic 1" w:uiPriority="0"/>
    <w:lsdException w:name="Table Classic 2" w:uiPriority="0"/>
    <w:lsdException w:name="Table List 3" w:uiPriority="0"/>
    <w:lsdException w:name="Table Contemporary"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275002"/>
    <w:pPr>
      <w:spacing w:line="276" w:lineRule="auto"/>
    </w:pPr>
    <w:rPr>
      <w:rFonts w:ascii="Arial" w:hAnsi="Arial"/>
    </w:rPr>
  </w:style>
  <w:style w:type="paragraph" w:styleId="Heading1">
    <w:name w:val="heading 1"/>
    <w:basedOn w:val="Normal"/>
    <w:next w:val="Normal"/>
    <w:link w:val="Heading1Char"/>
    <w:qFormat/>
    <w:rsid w:val="009D6B46"/>
    <w:pPr>
      <w:spacing w:before="240"/>
      <w:outlineLvl w:val="0"/>
    </w:pPr>
    <w:rPr>
      <w:rFonts w:ascii="Lucida Fax" w:eastAsiaTheme="majorEastAsia" w:hAnsi="Lucida Fax" w:cstheme="majorBidi"/>
      <w:bCs/>
      <w:color w:val="51626F"/>
      <w:sz w:val="32"/>
      <w:szCs w:val="28"/>
    </w:rPr>
  </w:style>
  <w:style w:type="paragraph" w:styleId="Heading2">
    <w:name w:val="heading 2"/>
    <w:aliases w:val="AER Heading 2 (new)"/>
    <w:next w:val="Normal"/>
    <w:link w:val="Heading2Char"/>
    <w:qFormat/>
    <w:rsid w:val="004F6D0A"/>
    <w:pPr>
      <w:keepNext/>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spacing w:before="240"/>
      <w:outlineLvl w:val="2"/>
    </w:pPr>
    <w:rPr>
      <w:rFonts w:eastAsiaTheme="majorEastAsia" w:cstheme="majorBidi"/>
      <w:b/>
      <w:bCs/>
      <w:color w:val="000000" w:themeColor="text1" w:themeShade="BF"/>
      <w:sz w:val="24"/>
    </w:rPr>
  </w:style>
  <w:style w:type="paragraph" w:styleId="Heading4">
    <w:name w:val="heading 4"/>
    <w:basedOn w:val="Normal"/>
    <w:next w:val="Normal"/>
    <w:link w:val="Heading4Char"/>
    <w:qFormat/>
    <w:rsid w:val="009D6B46"/>
    <w:pPr>
      <w:spacing w:before="240"/>
      <w:outlineLvl w:val="3"/>
    </w:pPr>
    <w:rPr>
      <w:rFonts w:eastAsiaTheme="majorEastAsia" w:cstheme="majorBidi"/>
      <w:b/>
      <w:bCs/>
      <w:i/>
      <w:iCs/>
      <w:color w:val="51626F"/>
      <w:sz w:val="24"/>
    </w:rPr>
  </w:style>
  <w:style w:type="paragraph" w:styleId="Heading5">
    <w:name w:val="heading 5"/>
    <w:next w:val="Normal"/>
    <w:link w:val="Heading5Char"/>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9"/>
    <w:qFormat/>
    <w:rsid w:val="009D6B46"/>
    <w:pPr>
      <w:spacing w:before="240"/>
      <w:outlineLvl w:val="5"/>
    </w:pPr>
    <w:rPr>
      <w:rFonts w:eastAsiaTheme="majorEastAsia" w:cstheme="majorBidi"/>
      <w:b/>
      <w:i/>
      <w:iCs/>
    </w:rPr>
  </w:style>
  <w:style w:type="paragraph" w:styleId="Heading7">
    <w:name w:val="heading 7"/>
    <w:basedOn w:val="Normal"/>
    <w:next w:val="Normal"/>
    <w:link w:val="Heading7Char"/>
    <w:uiPriority w:val="9"/>
    <w:qFormat/>
    <w:rsid w:val="009D6B46"/>
    <w:pPr>
      <w:spacing w:before="240"/>
      <w:outlineLvl w:val="6"/>
    </w:pPr>
    <w:rPr>
      <w:rFonts w:eastAsiaTheme="majorEastAsia" w:cstheme="majorBidi"/>
      <w:i/>
      <w:iCs/>
      <w:color w:val="404040" w:themeColor="text1" w:themeTint="BF"/>
    </w:rPr>
  </w:style>
  <w:style w:type="paragraph" w:styleId="Heading8">
    <w:name w:val="heading 8"/>
    <w:basedOn w:val="Normal"/>
    <w:next w:val="Normal"/>
    <w:link w:val="Heading8Char"/>
    <w:qFormat/>
    <w:rsid w:val="009D6B46"/>
    <w:pPr>
      <w:spacing w:before="240"/>
      <w:outlineLvl w:val="7"/>
    </w:pPr>
    <w:rPr>
      <w:rFonts w:eastAsiaTheme="majorEastAsia" w:cstheme="majorBidi"/>
      <w:color w:val="51626F" w:themeColor="accent1"/>
      <w:szCs w:val="20"/>
    </w:rPr>
  </w:style>
  <w:style w:type="paragraph" w:styleId="Heading9">
    <w:name w:val="heading 9"/>
    <w:basedOn w:val="Normal"/>
    <w:next w:val="Normal"/>
    <w:link w:val="Heading9Char"/>
    <w:uiPriority w:val="9"/>
    <w:qFormat/>
    <w:rsid w:val="009D6B46"/>
    <w:pPr>
      <w:spacing w:before="240"/>
      <w:outlineLvl w:val="8"/>
    </w:pPr>
    <w:rPr>
      <w:rFonts w:eastAsiaTheme="majorEastAsia" w:cstheme="majorBidi"/>
      <w:i/>
      <w:iCs/>
      <w:color w:val="51626F" w:themeColor="accent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6B46"/>
    <w:rPr>
      <w:rFonts w:ascii="Lucida Fax" w:eastAsiaTheme="majorEastAsia" w:hAnsi="Lucida Fax" w:cstheme="majorBidi"/>
      <w:bCs/>
      <w:color w:val="51626F"/>
      <w:sz w:val="32"/>
      <w:szCs w:val="28"/>
    </w:rPr>
  </w:style>
  <w:style w:type="character" w:customStyle="1" w:styleId="Heading2Char">
    <w:name w:val="Heading 2 Char"/>
    <w:aliases w:val="AER Heading 2 (new) Char"/>
    <w:basedOn w:val="DefaultParagraphFont"/>
    <w:link w:val="Heading2"/>
    <w:rsid w:val="004F6D0A"/>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9"/>
    <w:rsid w:val="009D6B46"/>
    <w:rPr>
      <w:rFonts w:ascii="Arial" w:eastAsiaTheme="majorEastAsia" w:hAnsi="Arial" w:cstheme="majorBidi"/>
      <w:b/>
      <w:i/>
      <w:iCs/>
    </w:rPr>
  </w:style>
  <w:style w:type="paragraph" w:customStyle="1" w:styleId="Reporttitle">
    <w:name w:val="Report title"/>
    <w:basedOn w:val="Normal"/>
    <w:link w:val="ReporttitleChar"/>
    <w:qFormat/>
    <w:rsid w:val="005C26CC"/>
    <w:pPr>
      <w:spacing w:before="520" w:after="120"/>
    </w:pPr>
    <w:rPr>
      <w:rFonts w:ascii="Lucida Fax" w:hAnsi="Lucida Fax"/>
      <w:color w:val="4F2D7F"/>
      <w:sz w:val="72"/>
      <w:szCs w:val="56"/>
    </w:rPr>
  </w:style>
  <w:style w:type="character" w:customStyle="1" w:styleId="ReporttitleChar">
    <w:name w:val="Report title Char"/>
    <w:basedOn w:val="DefaultParagraphFont"/>
    <w:link w:val="Reporttitle"/>
    <w:rsid w:val="005C26CC"/>
    <w:rPr>
      <w:rFonts w:ascii="Lucida Fax" w:hAnsi="Lucida Fax"/>
      <w:color w:val="4F2D7F"/>
      <w:sz w:val="72"/>
      <w:szCs w:val="56"/>
    </w:rPr>
  </w:style>
  <w:style w:type="paragraph" w:customStyle="1" w:styleId="Chaptertitle">
    <w:name w:val="Chapter title"/>
    <w:basedOn w:val="Reporttitle"/>
    <w:link w:val="ChaptertitleChar"/>
    <w:qFormat/>
    <w:rsid w:val="00B87C39"/>
    <w:rPr>
      <w:sz w:val="52"/>
      <w:szCs w:val="52"/>
    </w:rPr>
  </w:style>
  <w:style w:type="character" w:customStyle="1" w:styleId="ChaptertitleChar">
    <w:name w:val="Chapter title Char"/>
    <w:basedOn w:val="ReporttitleChar"/>
    <w:link w:val="Chaptertitle"/>
    <w:rsid w:val="00B87C39"/>
    <w:rPr>
      <w:rFonts w:ascii="Lucida Fax" w:hAnsi="Lucida Fax"/>
      <w:color w:val="4F2D7F"/>
      <w:sz w:val="52"/>
      <w:szCs w:val="52"/>
    </w:rPr>
  </w:style>
  <w:style w:type="paragraph" w:customStyle="1" w:styleId="Tabletext">
    <w:name w:val="Table text"/>
    <w:basedOn w:val="Normal"/>
    <w:link w:val="TabletextChar"/>
    <w:uiPriority w:val="1"/>
    <w:qFormat/>
    <w:rsid w:val="00214FBA"/>
    <w:pPr>
      <w:spacing w:before="120" w:after="60"/>
    </w:pPr>
    <w:rPr>
      <w:sz w:val="18"/>
    </w:rPr>
  </w:style>
  <w:style w:type="paragraph" w:customStyle="1" w:styleId="Copyrighttext">
    <w:name w:val="Copyright text"/>
    <w:basedOn w:val="Normal"/>
    <w:link w:val="CopyrighttextChar"/>
    <w:uiPriority w:val="2"/>
    <w:qFormat/>
    <w:rsid w:val="00F952A0"/>
    <w:pPr>
      <w:spacing w:line="360" w:lineRule="auto"/>
      <w:contextualSpacing/>
    </w:pPr>
    <w:rPr>
      <w:color w:val="51626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rsid w:val="009F4940"/>
    <w:pPr>
      <w:tabs>
        <w:tab w:val="right" w:leader="dot" w:pos="9016"/>
      </w:tabs>
      <w:spacing w:after="100"/>
      <w:ind w:left="2977"/>
    </w:pPr>
    <w:rPr>
      <w:noProof/>
    </w:rPr>
  </w:style>
  <w:style w:type="paragraph" w:styleId="TOC9">
    <w:name w:val="toc 9"/>
    <w:basedOn w:val="Normal"/>
    <w:next w:val="Normal"/>
    <w:rsid w:val="009F4940"/>
    <w:pPr>
      <w:tabs>
        <w:tab w:val="right" w:leader="dot" w:pos="9016"/>
      </w:tabs>
      <w:spacing w:after="100"/>
      <w:ind w:left="3402"/>
    </w:pPr>
    <w:rPr>
      <w:noProof/>
    </w:rPr>
  </w:style>
  <w:style w:type="paragraph" w:customStyle="1" w:styleId="Numbered1">
    <w:name w:val="Numbered 1"/>
    <w:basedOn w:val="Heading1"/>
    <w:next w:val="Normal"/>
    <w:link w:val="Numbered1Char"/>
    <w:qFormat/>
    <w:rsid w:val="00085663"/>
    <w:pPr>
      <w:numPr>
        <w:numId w:val="15"/>
      </w:numPr>
      <w:ind w:left="680" w:hanging="680"/>
    </w:pPr>
  </w:style>
  <w:style w:type="paragraph" w:customStyle="1" w:styleId="Numbered11">
    <w:name w:val="Numbered 1.1"/>
    <w:basedOn w:val="Heading2"/>
    <w:next w:val="Normal"/>
    <w:qFormat/>
    <w:rsid w:val="00B17A1D"/>
    <w:pPr>
      <w:numPr>
        <w:ilvl w:val="1"/>
        <w:numId w:val="15"/>
      </w:numPr>
      <w:ind w:left="1021" w:hanging="1021"/>
    </w:pPr>
    <w:rPr>
      <w:rFonts w:cs="Arial"/>
      <w:b w:val="0"/>
    </w:rPr>
  </w:style>
  <w:style w:type="paragraph" w:customStyle="1" w:styleId="Numbered111">
    <w:name w:val="Numbered 1.1.1"/>
    <w:basedOn w:val="Heading3"/>
    <w:next w:val="Normal"/>
    <w:qFormat/>
    <w:rsid w:val="00B17A1D"/>
    <w:pPr>
      <w:numPr>
        <w:ilvl w:val="2"/>
        <w:numId w:val="15"/>
      </w:numPr>
      <w:ind w:left="1247" w:hanging="1247"/>
      <w:contextualSpacing/>
    </w:pPr>
  </w:style>
  <w:style w:type="paragraph" w:customStyle="1" w:styleId="Numbered1111">
    <w:name w:val="Numbered 1.1.1.1"/>
    <w:basedOn w:val="Heading4"/>
    <w:next w:val="Normal"/>
    <w:rsid w:val="00B17A1D"/>
    <w:pPr>
      <w:numPr>
        <w:ilvl w:val="3"/>
        <w:numId w:val="15"/>
      </w:numPr>
      <w:ind w:left="1474" w:hanging="1474"/>
    </w:pPr>
  </w:style>
  <w:style w:type="paragraph" w:customStyle="1" w:styleId="Numbered11111">
    <w:name w:val="Numbered 1.1.1.1.1"/>
    <w:basedOn w:val="Heading5"/>
    <w:next w:val="Normal"/>
    <w:uiPriority w:val="2"/>
    <w:rsid w:val="00B17A1D"/>
    <w:pPr>
      <w:numPr>
        <w:ilvl w:val="4"/>
        <w:numId w:val="15"/>
      </w:numPr>
      <w:ind w:left="1701" w:hanging="1701"/>
    </w:pPr>
  </w:style>
  <w:style w:type="paragraph" w:customStyle="1" w:styleId="Numbered111111">
    <w:name w:val="Numbered 1.1.1.1.1.1"/>
    <w:basedOn w:val="Heading6"/>
    <w:next w:val="Normal"/>
    <w:uiPriority w:val="2"/>
    <w:rsid w:val="00B17A1D"/>
    <w:pPr>
      <w:numPr>
        <w:ilvl w:val="5"/>
        <w:numId w:val="15"/>
      </w:numPr>
      <w:ind w:left="2155" w:hanging="2155"/>
    </w:pPr>
  </w:style>
  <w:style w:type="paragraph" w:styleId="Header">
    <w:name w:val="header"/>
    <w:basedOn w:val="Normal"/>
    <w:link w:val="HeaderChar"/>
    <w:unhideWhenUsed/>
    <w:qFormat/>
    <w:rsid w:val="008344F6"/>
    <w:pPr>
      <w:tabs>
        <w:tab w:val="center" w:pos="4513"/>
        <w:tab w:val="right" w:pos="9026"/>
      </w:tabs>
      <w:spacing w:after="120"/>
    </w:pPr>
    <w:rPr>
      <w:color w:val="51626F" w:themeColor="accent1"/>
      <w:sz w:val="18"/>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b/>
      <w:szCs w:val="20"/>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qFormat/>
    <w:rsid w:val="005C26CC"/>
    <w:rPr>
      <w:sz w:val="24"/>
    </w:rPr>
  </w:style>
  <w:style w:type="paragraph" w:styleId="EndnoteText">
    <w:name w:val="endnote text"/>
    <w:basedOn w:val="Normal"/>
    <w:link w:val="EndnoteTextChar"/>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qFormat/>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FE64AE"/>
    <w:pPr>
      <w:numPr>
        <w:numId w:val="2"/>
      </w:numPr>
      <w:ind w:left="357" w:hanging="357"/>
    </w:pPr>
    <w:rPr>
      <w:rFonts w:cs="Times New Roman"/>
    </w:rPr>
  </w:style>
  <w:style w:type="paragraph" w:styleId="ListBullet">
    <w:name w:val="List Bullet"/>
    <w:basedOn w:val="Normal"/>
    <w:uiPriority w:val="99"/>
    <w:unhideWhenUsed/>
    <w:rsid w:val="008033C4"/>
    <w:pPr>
      <w:numPr>
        <w:numId w:val="13"/>
      </w:numPr>
      <w:spacing w:before="120"/>
      <w:ind w:left="357" w:hanging="357"/>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basedOn w:val="Normal"/>
    <w:uiPriority w:val="99"/>
    <w:qFormat/>
    <w:rsid w:val="008033C4"/>
    <w:pPr>
      <w:numPr>
        <w:numId w:val="7"/>
      </w:numPr>
      <w:spacing w:before="120"/>
      <w:ind w:left="357" w:hanging="357"/>
    </w:pPr>
    <w:rPr>
      <w:color w:val="000000" w:themeColor="text1" w:themeShade="BF"/>
    </w:rPr>
  </w:style>
  <w:style w:type="paragraph" w:styleId="ListBullet2">
    <w:name w:val="List Bullet 2"/>
    <w:basedOn w:val="Normal"/>
    <w:uiPriority w:val="99"/>
    <w:unhideWhenUsed/>
    <w:rsid w:val="008033C4"/>
    <w:pPr>
      <w:numPr>
        <w:numId w:val="3"/>
      </w:numPr>
      <w:spacing w:before="120"/>
      <w:ind w:left="641" w:hanging="357"/>
    </w:pPr>
  </w:style>
  <w:style w:type="paragraph" w:styleId="TOCHeading">
    <w:name w:val="TOC Heading"/>
    <w:basedOn w:val="Normal"/>
    <w:next w:val="Normal"/>
    <w:uiPriority w:val="39"/>
    <w:qFormat/>
    <w:rsid w:val="00E04818"/>
    <w:pPr>
      <w:spacing w:before="480" w:after="120"/>
    </w:pPr>
    <w:rPr>
      <w:rFonts w:ascii="Lucida Fax" w:eastAsiaTheme="majorEastAsia" w:hAnsi="Lucida Fax" w:cstheme="majorBidi"/>
      <w:bCs/>
      <w:color w:val="51626F"/>
      <w:sz w:val="32"/>
      <w:szCs w:val="28"/>
      <w:lang w:val="en-US" w:eastAsia="ja-JP"/>
    </w:rPr>
  </w:style>
  <w:style w:type="paragraph" w:styleId="ListNumber2">
    <w:name w:val="List Number 2"/>
    <w:aliases w:val="List alphabet"/>
    <w:next w:val="Normal"/>
    <w:uiPriority w:val="99"/>
    <w:qFormat/>
    <w:rsid w:val="008033C4"/>
    <w:pPr>
      <w:numPr>
        <w:numId w:val="8"/>
      </w:numPr>
      <w:spacing w:before="120"/>
      <w:ind w:left="357" w:hanging="357"/>
    </w:pPr>
    <w:rPr>
      <w:rFonts w:ascii="Arial" w:hAnsi="Arial"/>
    </w:rPr>
  </w:style>
  <w:style w:type="character" w:styleId="Hyperlink">
    <w:name w:val="Hyperlink"/>
    <w:basedOn w:val="DefaultParagraphFont"/>
    <w:qFormat/>
    <w:rsid w:val="00BE1F1B"/>
    <w:rPr>
      <w:rFonts w:ascii="Arial" w:hAnsi="Arial"/>
      <w:color w:val="0000FF"/>
      <w:sz w:val="22"/>
      <w:u w:val="single"/>
    </w:rPr>
  </w:style>
  <w:style w:type="paragraph" w:styleId="BalloonText">
    <w:name w:val="Balloon Text"/>
    <w:basedOn w:val="Normal"/>
    <w:link w:val="BalloonTextChar"/>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tabs>
        <w:tab w:val="center" w:pos="4513"/>
        <w:tab w:val="right" w:pos="9026"/>
      </w:tabs>
      <w:spacing w:after="120"/>
    </w:pPr>
    <w:rPr>
      <w:color w:val="51626F" w:themeColor="accent1"/>
      <w:sz w:val="18"/>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8033C4"/>
    <w:pPr>
      <w:numPr>
        <w:numId w:val="14"/>
      </w:numPr>
      <w:spacing w:before="120"/>
      <w:ind w:left="714" w:hanging="357"/>
    </w:pPr>
  </w:style>
  <w:style w:type="character" w:customStyle="1" w:styleId="Heading7Char">
    <w:name w:val="Heading 7 Char"/>
    <w:basedOn w:val="DefaultParagraphFont"/>
    <w:link w:val="Heading7"/>
    <w:uiPriority w:val="9"/>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rsid w:val="009D6B46"/>
    <w:rPr>
      <w:rFonts w:ascii="Arial" w:eastAsiaTheme="majorEastAsia" w:hAnsi="Arial" w:cstheme="majorBidi"/>
      <w:color w:val="51626F" w:themeColor="accent1"/>
      <w:szCs w:val="20"/>
    </w:rPr>
  </w:style>
  <w:style w:type="character" w:customStyle="1" w:styleId="Heading9Char">
    <w:name w:val="Heading 9 Char"/>
    <w:basedOn w:val="DefaultParagraphFont"/>
    <w:link w:val="Heading9"/>
    <w:uiPriority w:val="9"/>
    <w:rsid w:val="009D6B46"/>
    <w:rPr>
      <w:rFonts w:ascii="Arial" w:eastAsiaTheme="majorEastAsia" w:hAnsi="Arial" w:cstheme="majorBidi"/>
      <w:i/>
      <w:iCs/>
      <w:color w:val="51626F" w:themeColor="accent1"/>
      <w:szCs w:val="20"/>
    </w:rPr>
  </w:style>
  <w:style w:type="paragraph" w:customStyle="1" w:styleId="Numbered1111111">
    <w:name w:val="Numbered 1.1.1.1.1.1.1"/>
    <w:basedOn w:val="Heading7"/>
    <w:next w:val="Normal"/>
    <w:uiPriority w:val="2"/>
    <w:rsid w:val="00B17A1D"/>
    <w:pPr>
      <w:numPr>
        <w:ilvl w:val="6"/>
        <w:numId w:val="15"/>
      </w:numPr>
      <w:ind w:left="2381" w:hanging="2381"/>
    </w:pPr>
  </w:style>
  <w:style w:type="paragraph" w:customStyle="1" w:styleId="Numbered11111111">
    <w:name w:val="Numbered 1.1.1.1.1.1.1.1"/>
    <w:basedOn w:val="Heading8"/>
    <w:next w:val="Normal"/>
    <w:uiPriority w:val="2"/>
    <w:rsid w:val="00B17A1D"/>
    <w:pPr>
      <w:numPr>
        <w:ilvl w:val="7"/>
        <w:numId w:val="15"/>
      </w:numPr>
      <w:ind w:left="2608" w:hanging="2608"/>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Borders>
        <w:top w:val="single" w:sz="8" w:space="0" w:color="51626F" w:themeColor="accent1"/>
        <w:bottom w:val="single" w:sz="8" w:space="0" w:color="51626F" w:themeColor="accent1"/>
      </w:tblBorders>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Borders>
        <w:top w:val="single" w:sz="8" w:space="0" w:color="0098C3" w:themeColor="accent3"/>
        <w:bottom w:val="single" w:sz="8" w:space="0" w:color="0098C3" w:themeColor="accent3"/>
      </w:tblBorders>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Borders>
        <w:top w:val="single" w:sz="8" w:space="0" w:color="B71202" w:themeColor="accent5"/>
        <w:bottom w:val="single" w:sz="8" w:space="0" w:color="B71202" w:themeColor="accent5"/>
      </w:tblBorders>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after="100"/>
    </w:pPr>
    <w:rPr>
      <w:noProof/>
      <w:lang w:val="en-US" w:eastAsia="ja-JP"/>
    </w:rPr>
  </w:style>
  <w:style w:type="paragraph" w:styleId="TOC2">
    <w:name w:val="toc 2"/>
    <w:basedOn w:val="Normal"/>
    <w:next w:val="Normal"/>
    <w:uiPriority w:val="39"/>
    <w:qFormat/>
    <w:rsid w:val="009F4940"/>
    <w:pPr>
      <w:tabs>
        <w:tab w:val="left" w:pos="880"/>
        <w:tab w:val="right" w:leader="dot" w:pos="9016"/>
      </w:tabs>
      <w:spacing w:after="100"/>
      <w:ind w:left="425"/>
    </w:pPr>
    <w:rPr>
      <w:noProof/>
    </w:rPr>
  </w:style>
  <w:style w:type="paragraph" w:styleId="TOC3">
    <w:name w:val="toc 3"/>
    <w:basedOn w:val="Normal"/>
    <w:next w:val="Normal"/>
    <w:uiPriority w:val="39"/>
    <w:qFormat/>
    <w:rsid w:val="009F4940"/>
    <w:pPr>
      <w:tabs>
        <w:tab w:val="left" w:pos="1760"/>
        <w:tab w:val="right" w:leader="dot" w:pos="9016"/>
      </w:tabs>
      <w:spacing w:after="100"/>
      <w:ind w:left="851"/>
    </w:pPr>
    <w:rPr>
      <w:noProof/>
    </w:rPr>
  </w:style>
  <w:style w:type="paragraph" w:styleId="Title">
    <w:name w:val="Title"/>
    <w:basedOn w:val="Normal"/>
    <w:next w:val="Normal"/>
    <w:link w:val="TitleChar"/>
    <w:qFormat/>
    <w:rsid w:val="000E2946"/>
    <w:pPr>
      <w:spacing w:before="100" w:beforeAutospacing="1" w:after="120"/>
      <w:contextualSpacing/>
      <w:outlineLvl w:val="0"/>
    </w:pPr>
    <w:rPr>
      <w:rFonts w:eastAsiaTheme="majorEastAsia" w:cstheme="majorBidi"/>
      <w:b/>
      <w:spacing w:val="5"/>
      <w:kern w:val="28"/>
      <w:sz w:val="44"/>
      <w:szCs w:val="52"/>
    </w:rPr>
  </w:style>
  <w:style w:type="character" w:customStyle="1" w:styleId="TitleChar">
    <w:name w:val="Title Char"/>
    <w:basedOn w:val="DefaultParagraphFont"/>
    <w:link w:val="Title"/>
    <w:rsid w:val="000E2946"/>
    <w:rPr>
      <w:rFonts w:ascii="Arial" w:eastAsiaTheme="majorEastAsia" w:hAnsi="Arial" w:cstheme="majorBidi"/>
      <w:b/>
      <w:spacing w:val="5"/>
      <w:kern w:val="28"/>
      <w:sz w:val="44"/>
      <w:szCs w:val="52"/>
    </w:rPr>
  </w:style>
  <w:style w:type="paragraph" w:customStyle="1" w:styleId="CoverDate">
    <w:name w:val="Cover Date"/>
    <w:qFormat/>
    <w:rsid w:val="00746E01"/>
    <w:rPr>
      <w:rFonts w:ascii="Lucida Fax" w:hAnsi="Lucida Fax"/>
      <w:color w:val="DC503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tblBorders>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tblBorders>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tblBorders>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qFormat/>
    <w:rsid w:val="00701CAB"/>
    <w:rPr>
      <w:i/>
      <w:iCs/>
    </w:rPr>
  </w:style>
  <w:style w:type="paragraph" w:styleId="NormalIndent">
    <w:name w:val="Normal Indent"/>
    <w:basedOn w:val="Normal"/>
    <w:uiPriority w:val="1"/>
    <w:rsid w:val="00085663"/>
    <w:pPr>
      <w:ind w:left="720"/>
    </w:pPr>
  </w:style>
  <w:style w:type="paragraph" w:styleId="FootnoteText">
    <w:name w:val="footnote text"/>
    <w:aliases w:val="ALTS FOOTNOTE,(NECG) Footnote Text,Footnote text,AR Footnote Text,AR Footnote Text Char Char Char Char Char,ALTS FOOTNOTE Char1,Footnote Text Char1 Char,Footnote Text Char Char Char,Footnote Text Char1 Char Char Char,fn,Footnote Text1,f"/>
    <w:basedOn w:val="Normal"/>
    <w:link w:val="FootnoteTextChar"/>
    <w:qFormat/>
    <w:rsid w:val="00615C6B"/>
    <w:pPr>
      <w:spacing w:before="60"/>
    </w:pPr>
    <w:rPr>
      <w:sz w:val="16"/>
      <w:szCs w:val="20"/>
    </w:rPr>
  </w:style>
  <w:style w:type="character" w:customStyle="1" w:styleId="FootnoteTextChar">
    <w:name w:val="Footnote Text Char"/>
    <w:aliases w:val="ALTS FOOTNOTE Char,(NECG) Footnote Text Char,Footnote text Char,AR Footnote Text Char,AR Footnote Text Char Char Char Char Char Char,ALTS FOOTNOTE Char1 Char,Footnote Text Char1 Char Char,Footnote Text Char Char Char Char,fn Char"/>
    <w:basedOn w:val="DefaultParagraphFont"/>
    <w:link w:val="FootnoteText"/>
    <w:rsid w:val="00615C6B"/>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Borders>
        <w:top w:val="single" w:sz="8" w:space="0" w:color="A0CFEB" w:themeColor="accent4"/>
        <w:bottom w:val="single" w:sz="8" w:space="0" w:color="A0CFEB" w:themeColor="accent4"/>
      </w:tblBorders>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Borders>
        <w:top w:val="single" w:sz="8" w:space="0" w:color="DC5034" w:themeColor="accent6"/>
        <w:bottom w:val="single" w:sz="8" w:space="0" w:color="DC5034" w:themeColor="accent6"/>
      </w:tblBorders>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rsid w:val="009F4940"/>
    <w:pPr>
      <w:tabs>
        <w:tab w:val="right" w:leader="dot" w:pos="9016"/>
      </w:tabs>
      <w:spacing w:after="100"/>
      <w:ind w:left="1276"/>
    </w:pPr>
    <w:rPr>
      <w:noProof/>
    </w:rPr>
  </w:style>
  <w:style w:type="paragraph" w:styleId="TOC5">
    <w:name w:val="toc 5"/>
    <w:basedOn w:val="Normal"/>
    <w:next w:val="Normal"/>
    <w:rsid w:val="009F4940"/>
    <w:pPr>
      <w:tabs>
        <w:tab w:val="right" w:leader="dot" w:pos="9016"/>
      </w:tabs>
      <w:spacing w:after="100"/>
      <w:ind w:left="1701"/>
    </w:pPr>
    <w:rPr>
      <w:noProof/>
    </w:rPr>
  </w:style>
  <w:style w:type="paragraph" w:styleId="TOC6">
    <w:name w:val="toc 6"/>
    <w:basedOn w:val="Normal"/>
    <w:next w:val="Normal"/>
    <w:rsid w:val="009F4940"/>
    <w:pPr>
      <w:tabs>
        <w:tab w:val="right" w:leader="dot" w:pos="9016"/>
      </w:tabs>
      <w:spacing w:after="100"/>
      <w:ind w:left="2127"/>
    </w:pPr>
    <w:rPr>
      <w:noProof/>
    </w:rPr>
  </w:style>
  <w:style w:type="paragraph" w:styleId="TOC7">
    <w:name w:val="toc 7"/>
    <w:basedOn w:val="Normal"/>
    <w:next w:val="Normal"/>
    <w:rsid w:val="009F4940"/>
    <w:pPr>
      <w:tabs>
        <w:tab w:val="right" w:leader="dot" w:pos="9016"/>
      </w:tabs>
      <w:spacing w:after="100"/>
      <w:ind w:left="2552"/>
    </w:pPr>
    <w:rPr>
      <w:noProof/>
    </w:rPr>
  </w:style>
  <w:style w:type="paragraph" w:customStyle="1" w:styleId="Numberedlist">
    <w:name w:val="Numbered list"/>
    <w:basedOn w:val="ListNumber"/>
    <w:rsid w:val="008033C4"/>
    <w:pPr>
      <w:numPr>
        <w:numId w:val="1"/>
      </w:numPr>
      <w:ind w:left="357" w:hanging="357"/>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tblBorders>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tblBorders>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tblBorders>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17A1D"/>
    <w:pPr>
      <w:numPr>
        <w:ilvl w:val="8"/>
        <w:numId w:val="15"/>
      </w:numPr>
      <w:ind w:left="2948" w:hanging="2948"/>
    </w:pPr>
  </w:style>
  <w:style w:type="paragraph" w:styleId="Caption">
    <w:name w:val="caption"/>
    <w:basedOn w:val="Normal"/>
    <w:next w:val="Normal"/>
    <w:unhideWhenUsed/>
    <w:qFormat/>
    <w:rsid w:val="000E2946"/>
    <w:pPr>
      <w:keepNext/>
      <w:spacing w:before="240" w:after="120"/>
    </w:pPr>
    <w:rPr>
      <w:b/>
      <w:bCs/>
      <w:color w:val="2272A3" w:themeColor="accent4" w:themeShade="80"/>
      <w:sz w:val="24"/>
      <w:szCs w:val="18"/>
    </w:rPr>
  </w:style>
  <w:style w:type="paragraph" w:styleId="List">
    <w:name w:val="List"/>
    <w:basedOn w:val="Normal"/>
    <w:uiPriority w:val="99"/>
    <w:unhideWhenUsed/>
    <w:qFormat/>
    <w:rsid w:val="008033C4"/>
    <w:pPr>
      <w:spacing w:before="120"/>
      <w:ind w:left="284" w:hanging="284"/>
    </w:pPr>
  </w:style>
  <w:style w:type="paragraph" w:styleId="List2">
    <w:name w:val="List 2"/>
    <w:basedOn w:val="Normal"/>
    <w:uiPriority w:val="99"/>
    <w:unhideWhenUsed/>
    <w:rsid w:val="008033C4"/>
    <w:pPr>
      <w:spacing w:before="120"/>
      <w:ind w:left="568" w:hanging="284"/>
    </w:pPr>
  </w:style>
  <w:style w:type="paragraph" w:styleId="List3">
    <w:name w:val="List 3"/>
    <w:basedOn w:val="Normal"/>
    <w:uiPriority w:val="99"/>
    <w:unhideWhenUsed/>
    <w:rsid w:val="008033C4"/>
    <w:pPr>
      <w:spacing w:before="120"/>
      <w:ind w:left="851" w:hanging="284"/>
    </w:pPr>
  </w:style>
  <w:style w:type="paragraph" w:styleId="List4">
    <w:name w:val="List 4"/>
    <w:basedOn w:val="Normal"/>
    <w:uiPriority w:val="99"/>
    <w:unhideWhenUsed/>
    <w:rsid w:val="008033C4"/>
    <w:pPr>
      <w:spacing w:before="120"/>
      <w:ind w:left="1135" w:hanging="284"/>
    </w:pPr>
  </w:style>
  <w:style w:type="paragraph" w:styleId="List5">
    <w:name w:val="List 5"/>
    <w:basedOn w:val="Normal"/>
    <w:uiPriority w:val="99"/>
    <w:unhideWhenUsed/>
    <w:rsid w:val="008033C4"/>
    <w:pPr>
      <w:spacing w:before="120"/>
      <w:ind w:left="1418" w:hanging="284"/>
    </w:pPr>
  </w:style>
  <w:style w:type="paragraph" w:styleId="ListBullet3">
    <w:name w:val="List Bullet 3"/>
    <w:basedOn w:val="Normal"/>
    <w:uiPriority w:val="99"/>
    <w:unhideWhenUsed/>
    <w:rsid w:val="008033C4"/>
    <w:pPr>
      <w:numPr>
        <w:numId w:val="4"/>
      </w:numPr>
      <w:spacing w:before="120"/>
      <w:ind w:left="924" w:hanging="357"/>
    </w:pPr>
  </w:style>
  <w:style w:type="paragraph" w:styleId="ListBullet4">
    <w:name w:val="List Bullet 4"/>
    <w:basedOn w:val="Normal"/>
    <w:uiPriority w:val="99"/>
    <w:unhideWhenUsed/>
    <w:rsid w:val="008033C4"/>
    <w:pPr>
      <w:numPr>
        <w:numId w:val="5"/>
      </w:numPr>
      <w:spacing w:before="120"/>
      <w:ind w:left="1208" w:hanging="357"/>
    </w:pPr>
  </w:style>
  <w:style w:type="paragraph" w:styleId="ListBullet5">
    <w:name w:val="List Bullet 5"/>
    <w:basedOn w:val="Normal"/>
    <w:uiPriority w:val="99"/>
    <w:unhideWhenUsed/>
    <w:rsid w:val="008033C4"/>
    <w:pPr>
      <w:numPr>
        <w:numId w:val="6"/>
      </w:numPr>
      <w:spacing w:before="120"/>
      <w:ind w:left="1491" w:hanging="357"/>
    </w:pPr>
  </w:style>
  <w:style w:type="paragraph" w:styleId="ListContinue">
    <w:name w:val="List Continue"/>
    <w:basedOn w:val="Normal"/>
    <w:uiPriority w:val="99"/>
    <w:unhideWhenUsed/>
    <w:qFormat/>
    <w:rsid w:val="0007137B"/>
    <w:pPr>
      <w:spacing w:before="120"/>
      <w:ind w:left="284"/>
    </w:pPr>
  </w:style>
  <w:style w:type="paragraph" w:styleId="ListContinue2">
    <w:name w:val="List Continue 2"/>
    <w:basedOn w:val="Normal"/>
    <w:uiPriority w:val="99"/>
    <w:unhideWhenUsed/>
    <w:rsid w:val="008033C4"/>
    <w:pPr>
      <w:spacing w:before="120"/>
      <w:ind w:left="567"/>
    </w:pPr>
  </w:style>
  <w:style w:type="paragraph" w:styleId="ListContinue3">
    <w:name w:val="List Continue 3"/>
    <w:basedOn w:val="Normal"/>
    <w:uiPriority w:val="99"/>
    <w:unhideWhenUsed/>
    <w:rsid w:val="0007137B"/>
    <w:pPr>
      <w:spacing w:before="120"/>
      <w:ind w:left="851"/>
    </w:pPr>
  </w:style>
  <w:style w:type="paragraph" w:styleId="ListContinue4">
    <w:name w:val="List Continue 4"/>
    <w:basedOn w:val="Normal"/>
    <w:uiPriority w:val="99"/>
    <w:unhideWhenUsed/>
    <w:rsid w:val="008033C4"/>
    <w:pPr>
      <w:spacing w:before="120"/>
      <w:ind w:left="1134"/>
    </w:pPr>
  </w:style>
  <w:style w:type="paragraph" w:styleId="ListNumber3">
    <w:name w:val="List Number 3"/>
    <w:basedOn w:val="Normal"/>
    <w:uiPriority w:val="99"/>
    <w:unhideWhenUsed/>
    <w:rsid w:val="008033C4"/>
    <w:pPr>
      <w:numPr>
        <w:numId w:val="9"/>
      </w:numPr>
      <w:spacing w:before="120"/>
      <w:ind w:left="924" w:hanging="357"/>
    </w:pPr>
  </w:style>
  <w:style w:type="paragraph" w:styleId="ListNumber4">
    <w:name w:val="List Number 4"/>
    <w:basedOn w:val="Normal"/>
    <w:uiPriority w:val="99"/>
    <w:unhideWhenUsed/>
    <w:rsid w:val="008033C4"/>
    <w:pPr>
      <w:numPr>
        <w:numId w:val="10"/>
      </w:numPr>
      <w:spacing w:before="120"/>
      <w:ind w:left="1208" w:hanging="357"/>
    </w:pPr>
  </w:style>
  <w:style w:type="paragraph" w:styleId="ListNumber5">
    <w:name w:val="List Number 5"/>
    <w:basedOn w:val="Normal"/>
    <w:uiPriority w:val="99"/>
    <w:unhideWhenUsed/>
    <w:rsid w:val="008033C4"/>
    <w:pPr>
      <w:numPr>
        <w:numId w:val="11"/>
      </w:numPr>
      <w:spacing w:before="120"/>
      <w:ind w:left="1491" w:hanging="357"/>
    </w:pPr>
  </w:style>
  <w:style w:type="paragraph" w:customStyle="1" w:styleId="TableHeading">
    <w:name w:val="Table Heading"/>
    <w:basedOn w:val="Tabletext"/>
    <w:link w:val="TableHeadingChar"/>
    <w:qFormat/>
    <w:rsid w:val="00957591"/>
    <w:pPr>
      <w:spacing w:before="60"/>
    </w:pPr>
    <w:rPr>
      <w:color w:val="FFFFFF" w:themeColor="background1"/>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214FBA"/>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214FBA"/>
    <w:rPr>
      <w:rFonts w:ascii="Arial" w:hAnsi="Arial"/>
      <w:sz w:val="18"/>
    </w:rPr>
  </w:style>
  <w:style w:type="character" w:customStyle="1" w:styleId="TableHeadingChar">
    <w:name w:val="Table Heading Char"/>
    <w:basedOn w:val="TabletextChar"/>
    <w:link w:val="TableHeading"/>
    <w:rsid w:val="00957591"/>
    <w:rPr>
      <w:rFonts w:ascii="Arial" w:hAnsi="Arial"/>
      <w:color w:val="FFFFFF" w:themeColor="background1"/>
      <w:sz w:val="18"/>
    </w:rPr>
  </w:style>
  <w:style w:type="character" w:customStyle="1" w:styleId="TableHeading-rightChar">
    <w:name w:val="Table Heading - right Char"/>
    <w:basedOn w:val="TableHeadingChar"/>
    <w:link w:val="TableHeading-right"/>
    <w:rsid w:val="00584D8F"/>
    <w:rPr>
      <w:rFonts w:ascii="Arial" w:eastAsia="Times New Roman" w:hAnsi="Arial" w:cs="Times New Roman"/>
      <w:b w:val="0"/>
      <w:bCs/>
      <w:color w:val="FFFFFF" w:themeColor="background1"/>
      <w:sz w:val="20"/>
      <w:szCs w:val="20"/>
    </w:rPr>
  </w:style>
  <w:style w:type="character" w:customStyle="1" w:styleId="Tabletext-centredChar">
    <w:name w:val="Table text - centred Char"/>
    <w:basedOn w:val="Tabletext-rightChar"/>
    <w:link w:val="Tabletext-centred"/>
    <w:rsid w:val="00214FBA"/>
    <w:rPr>
      <w:rFonts w:ascii="Arial" w:eastAsia="Times New Roman" w:hAnsi="Arial" w:cs="Times New Roman"/>
      <w:sz w:val="18"/>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rsid w:val="00263AC0"/>
    <w:rPr>
      <w:vertAlign w:val="superscript"/>
    </w:rPr>
  </w:style>
  <w:style w:type="paragraph" w:customStyle="1" w:styleId="Numberedparagraph11">
    <w:name w:val="Numbered paragraph 1.1"/>
    <w:basedOn w:val="Numbered11"/>
    <w:qFormat/>
    <w:rsid w:val="00063247"/>
    <w:pPr>
      <w:ind w:left="680" w:hanging="680"/>
      <w:outlineLvl w:val="9"/>
    </w:pPr>
    <w:rPr>
      <w:bCs w:val="0"/>
      <w:color w:val="auto"/>
      <w:sz w:val="22"/>
    </w:rPr>
  </w:style>
  <w:style w:type="character" w:customStyle="1" w:styleId="Numbered1Char">
    <w:name w:val="Numbered 1 Char"/>
    <w:basedOn w:val="Heading1Char"/>
    <w:link w:val="Numbered1"/>
    <w:rsid w:val="00085663"/>
    <w:rPr>
      <w:rFonts w:ascii="Lucida Fax" w:eastAsiaTheme="majorEastAsia" w:hAnsi="Lucida Fax" w:cstheme="majorBidi"/>
      <w:bCs/>
      <w:color w:val="51626F"/>
      <w:sz w:val="32"/>
      <w:szCs w:val="28"/>
    </w:rPr>
  </w:style>
  <w:style w:type="paragraph" w:customStyle="1" w:styleId="Numberedparagraph">
    <w:name w:val="Numbered paragraph"/>
    <w:basedOn w:val="Numberedlist"/>
    <w:rsid w:val="00FE64AE"/>
    <w:pPr>
      <w:spacing w:before="200"/>
      <w:ind w:left="680" w:hanging="680"/>
    </w:pPr>
    <w:rPr>
      <w:rFonts w:eastAsia="Times New Roman" w:cs="Times New Roman"/>
      <w:szCs w:val="20"/>
    </w:rPr>
  </w:style>
  <w:style w:type="paragraph" w:customStyle="1" w:styleId="Heading1notnumber">
    <w:name w:val="Heading 1 not number"/>
    <w:basedOn w:val="Heading1"/>
    <w:qFormat/>
    <w:rsid w:val="00275002"/>
    <w:pPr>
      <w:pageBreakBefore/>
      <w:tabs>
        <w:tab w:val="left" w:pos="680"/>
      </w:tabs>
    </w:pPr>
    <w:rPr>
      <w:rFonts w:ascii="Arial" w:hAnsi="Arial"/>
      <w:b/>
      <w:color w:val="70635A"/>
      <w:sz w:val="36"/>
    </w:rPr>
  </w:style>
  <w:style w:type="paragraph" w:customStyle="1" w:styleId="Heading2notnumbered">
    <w:name w:val="Heading 2 not numbered"/>
    <w:basedOn w:val="Heading2"/>
    <w:link w:val="Heading2notnumberedChar"/>
    <w:rsid w:val="00275002"/>
    <w:pPr>
      <w:tabs>
        <w:tab w:val="left" w:pos="680"/>
      </w:tabs>
    </w:pPr>
    <w:rPr>
      <w:rFonts w:eastAsia="Times New Roman" w:cs="Times New Roman"/>
      <w:color w:val="003591" w:themeColor="text2"/>
      <w:sz w:val="32"/>
      <w:szCs w:val="20"/>
    </w:rPr>
  </w:style>
  <w:style w:type="paragraph" w:customStyle="1" w:styleId="Heading3notnumbered">
    <w:name w:val="Heading 3 not numbered"/>
    <w:basedOn w:val="Heading3"/>
    <w:rsid w:val="00275002"/>
    <w:pPr>
      <w:tabs>
        <w:tab w:val="left" w:pos="1021"/>
      </w:tabs>
    </w:pPr>
    <w:rPr>
      <w:rFonts w:eastAsia="Times New Roman" w:cs="Times New Roman"/>
      <w:color w:val="003591" w:themeColor="text2"/>
      <w:sz w:val="28"/>
      <w:szCs w:val="20"/>
    </w:rPr>
  </w:style>
  <w:style w:type="paragraph" w:customStyle="1" w:styleId="Heading4notnumbered">
    <w:name w:val="Heading 4 not numbered"/>
    <w:basedOn w:val="Heading4"/>
    <w:link w:val="Heading4notnumberedChar"/>
    <w:rsid w:val="00275002"/>
    <w:pPr>
      <w:tabs>
        <w:tab w:val="left" w:pos="1021"/>
      </w:tabs>
    </w:pPr>
    <w:rPr>
      <w:rFonts w:eastAsia="Times New Roman" w:cs="Times New Roman"/>
      <w:i w:val="0"/>
      <w:iCs w:val="0"/>
      <w:szCs w:val="20"/>
    </w:rPr>
  </w:style>
  <w:style w:type="paragraph" w:customStyle="1" w:styleId="Heading5notnumbered">
    <w:name w:val="Heading 5 not numbered"/>
    <w:basedOn w:val="Heading5"/>
    <w:rsid w:val="00275002"/>
    <w:pPr>
      <w:tabs>
        <w:tab w:val="left" w:pos="1361"/>
      </w:tabs>
    </w:pPr>
    <w:rPr>
      <w:rFonts w:eastAsia="Times New Roman" w:cs="Times New Roman"/>
      <w:bCs/>
      <w:szCs w:val="20"/>
    </w:rPr>
  </w:style>
  <w:style w:type="paragraph" w:customStyle="1" w:styleId="Heading6notnumbered">
    <w:name w:val="Heading 6 not numbered"/>
    <w:basedOn w:val="Heading6"/>
    <w:rsid w:val="00275002"/>
    <w:pPr>
      <w:tabs>
        <w:tab w:val="left" w:pos="1361"/>
      </w:tabs>
    </w:pPr>
    <w:rPr>
      <w:rFonts w:eastAsia="Times New Roman" w:cs="Times New Roman"/>
      <w:bCs/>
      <w:color w:val="000000" w:themeColor="text1"/>
      <w:szCs w:val="20"/>
    </w:rPr>
  </w:style>
  <w:style w:type="paragraph" w:styleId="Index1">
    <w:name w:val="index 1"/>
    <w:basedOn w:val="Normal"/>
    <w:next w:val="Normal"/>
    <w:autoRedefine/>
    <w:uiPriority w:val="99"/>
    <w:unhideWhenUsed/>
    <w:rsid w:val="00275002"/>
    <w:pPr>
      <w:spacing w:before="0" w:line="240" w:lineRule="auto"/>
      <w:ind w:left="220" w:hanging="220"/>
    </w:pPr>
  </w:style>
  <w:style w:type="paragraph" w:styleId="Index2">
    <w:name w:val="index 2"/>
    <w:basedOn w:val="Normal"/>
    <w:next w:val="Normal"/>
    <w:autoRedefine/>
    <w:uiPriority w:val="99"/>
    <w:unhideWhenUsed/>
    <w:rsid w:val="00275002"/>
    <w:pPr>
      <w:spacing w:before="0" w:line="240" w:lineRule="auto"/>
      <w:ind w:left="440" w:hanging="220"/>
    </w:pPr>
  </w:style>
  <w:style w:type="paragraph" w:customStyle="1" w:styleId="Heading7notnumbered">
    <w:name w:val="Heading 7 not numbered"/>
    <w:basedOn w:val="Heading7"/>
    <w:rsid w:val="00275002"/>
    <w:pPr>
      <w:tabs>
        <w:tab w:val="left" w:pos="1701"/>
      </w:tabs>
    </w:pPr>
    <w:rPr>
      <w:rFonts w:eastAsia="Times New Roman" w:cs="Times New Roman"/>
      <w:color w:val="auto"/>
      <w:szCs w:val="20"/>
    </w:rPr>
  </w:style>
  <w:style w:type="paragraph" w:customStyle="1" w:styleId="Heading8notnumbered">
    <w:name w:val="Heading 8 not numbered"/>
    <w:basedOn w:val="Heading8"/>
    <w:rsid w:val="00275002"/>
    <w:pPr>
      <w:tabs>
        <w:tab w:val="left" w:pos="1701"/>
      </w:tabs>
    </w:pPr>
    <w:rPr>
      <w:rFonts w:eastAsia="Times New Roman" w:cs="Times New Roman"/>
    </w:rPr>
  </w:style>
  <w:style w:type="paragraph" w:styleId="Salutation">
    <w:name w:val="Salutation"/>
    <w:basedOn w:val="Normal"/>
    <w:next w:val="Normal"/>
    <w:link w:val="SalutationChar"/>
    <w:uiPriority w:val="99"/>
    <w:unhideWhenUsed/>
    <w:rsid w:val="00275002"/>
  </w:style>
  <w:style w:type="character" w:customStyle="1" w:styleId="SalutationChar">
    <w:name w:val="Salutation Char"/>
    <w:basedOn w:val="DefaultParagraphFont"/>
    <w:link w:val="Salutation"/>
    <w:uiPriority w:val="99"/>
    <w:rsid w:val="00275002"/>
    <w:rPr>
      <w:rFonts w:ascii="Arial" w:hAnsi="Arial"/>
    </w:rPr>
  </w:style>
  <w:style w:type="paragraph" w:customStyle="1" w:styleId="Heading9notnumbered">
    <w:name w:val="Heading 9 not numbered"/>
    <w:basedOn w:val="Heading9"/>
    <w:rsid w:val="00275002"/>
    <w:pPr>
      <w:tabs>
        <w:tab w:val="left" w:pos="1701"/>
      </w:tabs>
    </w:pPr>
    <w:rPr>
      <w:rFonts w:eastAsia="Times New Roman" w:cs="Times New Roman"/>
      <w:color w:val="auto"/>
    </w:rPr>
  </w:style>
  <w:style w:type="paragraph" w:customStyle="1" w:styleId="Copyright">
    <w:name w:val="Copyright"/>
    <w:basedOn w:val="Normal"/>
    <w:next w:val="Normal"/>
    <w:link w:val="CopyrightChar"/>
    <w:rsid w:val="00275002"/>
    <w:pPr>
      <w:spacing w:line="288" w:lineRule="auto"/>
    </w:pPr>
    <w:rPr>
      <w:sz w:val="20"/>
      <w:szCs w:val="20"/>
    </w:rPr>
  </w:style>
  <w:style w:type="paragraph" w:customStyle="1" w:styleId="ReportTitle0">
    <w:name w:val="Report Title"/>
    <w:basedOn w:val="Normal"/>
    <w:next w:val="Normal"/>
    <w:link w:val="ReportTitleChar0"/>
    <w:rsid w:val="00275002"/>
    <w:pPr>
      <w:tabs>
        <w:tab w:val="center" w:pos="4598"/>
        <w:tab w:val="right" w:pos="9026"/>
      </w:tabs>
      <w:spacing w:before="240"/>
      <w:contextualSpacing/>
      <w:jc w:val="center"/>
    </w:pPr>
    <w:rPr>
      <w:rFonts w:eastAsiaTheme="majorEastAsia" w:cstheme="majorBidi"/>
      <w:b/>
      <w:noProof/>
      <w:color w:val="51626F"/>
      <w:sz w:val="72"/>
      <w:szCs w:val="72"/>
      <w:lang w:eastAsia="en-AU"/>
    </w:rPr>
  </w:style>
  <w:style w:type="numbering" w:customStyle="1" w:styleId="AlphanumericList">
    <w:name w:val="Alphanumeric List"/>
    <w:uiPriority w:val="99"/>
    <w:rsid w:val="00275002"/>
    <w:pPr>
      <w:numPr>
        <w:numId w:val="16"/>
      </w:numPr>
    </w:pPr>
  </w:style>
  <w:style w:type="table" w:customStyle="1" w:styleId="AERTable-Text">
    <w:name w:val="AER Table - Text"/>
    <w:basedOn w:val="TableNormal"/>
    <w:uiPriority w:val="99"/>
    <w:rsid w:val="00A81EF8"/>
    <w:pPr>
      <w:spacing w:before="120" w:after="120"/>
    </w:pPr>
    <w:rPr>
      <w:rFonts w:ascii="Arial" w:hAnsi="Arial"/>
      <w:sz w:val="18"/>
    </w:rPr>
    <w:tblPr>
      <w:tblStyleRowBandSize w:val="1"/>
      <w:tblBorders>
        <w:bottom w:val="single" w:sz="4" w:space="0" w:color="auto"/>
      </w:tblBorders>
    </w:tblPr>
    <w:trPr>
      <w:cantSplit/>
    </w:trPr>
    <w:tblStylePr w:type="firstRow">
      <w:pPr>
        <w:wordWrap/>
        <w:spacing w:beforeLines="0" w:before="240" w:beforeAutospacing="0" w:afterLines="0" w:after="120" w:afterAutospacing="0"/>
      </w:pPr>
      <w:rPr>
        <w:rFonts w:ascii="Arial" w:hAnsi="Arial"/>
        <w:b/>
        <w:color w:val="FFFFFF" w:themeColor="background1"/>
        <w:sz w:val="24"/>
        <w14:numSpacing w14:val="tabular"/>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0"/>
    <w:link w:val="ReportDateChar"/>
    <w:rsid w:val="00275002"/>
    <w:rPr>
      <w:b w:val="0"/>
      <w:sz w:val="36"/>
      <w:szCs w:val="36"/>
    </w:rPr>
  </w:style>
  <w:style w:type="paragraph" w:customStyle="1" w:styleId="ReportSubtitle">
    <w:name w:val="Report Subtitle"/>
    <w:basedOn w:val="ReportTitle0"/>
    <w:link w:val="ReportSubtitleChar"/>
    <w:rsid w:val="00275002"/>
    <w:rPr>
      <w:sz w:val="56"/>
      <w:szCs w:val="56"/>
    </w:rPr>
  </w:style>
  <w:style w:type="character" w:customStyle="1" w:styleId="ReportTitleChar0">
    <w:name w:val="Report Title Char"/>
    <w:basedOn w:val="Heading1Char"/>
    <w:link w:val="ReportTitle0"/>
    <w:rsid w:val="00275002"/>
    <w:rPr>
      <w:rFonts w:ascii="Arial" w:eastAsiaTheme="majorEastAsia" w:hAnsi="Arial" w:cstheme="majorBidi"/>
      <w:b/>
      <w:bCs w:val="0"/>
      <w:noProof/>
      <w:color w:val="51626F"/>
      <w:sz w:val="72"/>
      <w:szCs w:val="72"/>
      <w:lang w:eastAsia="en-AU"/>
    </w:rPr>
  </w:style>
  <w:style w:type="character" w:customStyle="1" w:styleId="ReportDateChar">
    <w:name w:val="Report Date Char"/>
    <w:basedOn w:val="ReportTitleChar0"/>
    <w:link w:val="ReportDate"/>
    <w:rsid w:val="00275002"/>
    <w:rPr>
      <w:rFonts w:ascii="Arial" w:eastAsiaTheme="majorEastAsia" w:hAnsi="Arial" w:cstheme="majorBidi"/>
      <w:b w:val="0"/>
      <w:bCs w:val="0"/>
      <w:noProof/>
      <w:color w:val="51626F"/>
      <w:sz w:val="36"/>
      <w:szCs w:val="36"/>
      <w:lang w:eastAsia="en-AU"/>
    </w:rPr>
  </w:style>
  <w:style w:type="character" w:customStyle="1" w:styleId="ReportSubtitleChar">
    <w:name w:val="Report Subtitle Char"/>
    <w:basedOn w:val="ReportTitleChar0"/>
    <w:link w:val="ReportSubtitle"/>
    <w:rsid w:val="00275002"/>
    <w:rPr>
      <w:rFonts w:ascii="Arial" w:eastAsiaTheme="majorEastAsia" w:hAnsi="Arial" w:cstheme="majorBidi"/>
      <w:b/>
      <w:bCs w:val="0"/>
      <w:noProof/>
      <w:color w:val="51626F"/>
      <w:sz w:val="56"/>
      <w:szCs w:val="56"/>
      <w:lang w:eastAsia="en-AU"/>
    </w:rPr>
  </w:style>
  <w:style w:type="character" w:customStyle="1" w:styleId="CopyrightChar">
    <w:name w:val="Copyright Char"/>
    <w:basedOn w:val="DefaultParagraphFont"/>
    <w:link w:val="Copyright"/>
    <w:rsid w:val="00275002"/>
    <w:rPr>
      <w:rFonts w:ascii="Arial" w:hAnsi="Arial"/>
      <w:sz w:val="20"/>
      <w:szCs w:val="20"/>
    </w:rPr>
  </w:style>
  <w:style w:type="paragraph" w:styleId="BodyTextIndent">
    <w:name w:val="Body Text Indent"/>
    <w:basedOn w:val="Normal"/>
    <w:link w:val="BodyTextIndentChar"/>
    <w:uiPriority w:val="99"/>
    <w:semiHidden/>
    <w:unhideWhenUsed/>
    <w:rsid w:val="00275002"/>
    <w:pPr>
      <w:spacing w:after="120"/>
      <w:ind w:left="283"/>
    </w:pPr>
  </w:style>
  <w:style w:type="character" w:customStyle="1" w:styleId="BodyTextIndentChar">
    <w:name w:val="Body Text Indent Char"/>
    <w:basedOn w:val="DefaultParagraphFont"/>
    <w:link w:val="BodyTextIndent"/>
    <w:uiPriority w:val="99"/>
    <w:semiHidden/>
    <w:rsid w:val="00275002"/>
    <w:rPr>
      <w:rFonts w:ascii="Arial" w:hAnsi="Arial"/>
    </w:rPr>
  </w:style>
  <w:style w:type="paragraph" w:styleId="BodyTextFirstIndent2">
    <w:name w:val="Body Text First Indent 2"/>
    <w:basedOn w:val="BodyTextIndent"/>
    <w:link w:val="BodyTextFirstIndent2Char"/>
    <w:uiPriority w:val="99"/>
    <w:unhideWhenUsed/>
    <w:rsid w:val="00275002"/>
    <w:pPr>
      <w:spacing w:after="0"/>
      <w:ind w:left="360" w:firstLine="360"/>
    </w:pPr>
  </w:style>
  <w:style w:type="character" w:customStyle="1" w:styleId="BodyTextFirstIndent2Char">
    <w:name w:val="Body Text First Indent 2 Char"/>
    <w:basedOn w:val="BodyTextIndentChar"/>
    <w:link w:val="BodyTextFirstIndent2"/>
    <w:uiPriority w:val="99"/>
    <w:rsid w:val="00275002"/>
    <w:rPr>
      <w:rFonts w:ascii="Arial" w:hAnsi="Arial"/>
    </w:rPr>
  </w:style>
  <w:style w:type="paragraph" w:styleId="Closing">
    <w:name w:val="Closing"/>
    <w:basedOn w:val="Normal"/>
    <w:link w:val="ClosingChar"/>
    <w:uiPriority w:val="99"/>
    <w:unhideWhenUsed/>
    <w:rsid w:val="00275002"/>
    <w:pPr>
      <w:spacing w:before="0" w:line="240" w:lineRule="auto"/>
      <w:ind w:left="4252"/>
    </w:pPr>
  </w:style>
  <w:style w:type="character" w:customStyle="1" w:styleId="ClosingChar">
    <w:name w:val="Closing Char"/>
    <w:basedOn w:val="DefaultParagraphFont"/>
    <w:link w:val="Closing"/>
    <w:uiPriority w:val="99"/>
    <w:rsid w:val="00275002"/>
    <w:rPr>
      <w:rFonts w:ascii="Arial" w:hAnsi="Arial"/>
    </w:rPr>
  </w:style>
  <w:style w:type="paragraph" w:styleId="BodyText">
    <w:name w:val="Body Text"/>
    <w:basedOn w:val="Normal"/>
    <w:link w:val="BodyTextChar"/>
    <w:uiPriority w:val="99"/>
    <w:semiHidden/>
    <w:unhideWhenUsed/>
    <w:rsid w:val="00275002"/>
    <w:pPr>
      <w:spacing w:after="120"/>
    </w:pPr>
  </w:style>
  <w:style w:type="character" w:customStyle="1" w:styleId="BodyTextChar">
    <w:name w:val="Body Text Char"/>
    <w:basedOn w:val="DefaultParagraphFont"/>
    <w:link w:val="BodyText"/>
    <w:uiPriority w:val="99"/>
    <w:semiHidden/>
    <w:rsid w:val="00275002"/>
    <w:rPr>
      <w:rFonts w:ascii="Arial" w:hAnsi="Arial"/>
    </w:rPr>
  </w:style>
  <w:style w:type="paragraph" w:styleId="BodyTextFirstIndent">
    <w:name w:val="Body Text First Indent"/>
    <w:basedOn w:val="Normal"/>
    <w:link w:val="BodyTextFirstIndentChar"/>
    <w:uiPriority w:val="99"/>
    <w:unhideWhenUsed/>
    <w:rsid w:val="00275002"/>
    <w:pPr>
      <w:ind w:firstLine="360"/>
    </w:pPr>
  </w:style>
  <w:style w:type="character" w:customStyle="1" w:styleId="BodyTextFirstIndentChar">
    <w:name w:val="Body Text First Indent Char"/>
    <w:basedOn w:val="BodyTextChar"/>
    <w:link w:val="BodyTextFirstIndent"/>
    <w:uiPriority w:val="99"/>
    <w:rsid w:val="00275002"/>
    <w:rPr>
      <w:rFonts w:ascii="Arial" w:hAnsi="Arial"/>
    </w:rPr>
  </w:style>
  <w:style w:type="paragraph" w:styleId="BodyText2">
    <w:name w:val="Body Text 2"/>
    <w:basedOn w:val="Normal"/>
    <w:link w:val="BodyText2Char"/>
    <w:uiPriority w:val="99"/>
    <w:unhideWhenUsed/>
    <w:rsid w:val="00275002"/>
    <w:pPr>
      <w:spacing w:after="120" w:line="480" w:lineRule="auto"/>
    </w:pPr>
  </w:style>
  <w:style w:type="character" w:customStyle="1" w:styleId="BodyText2Char">
    <w:name w:val="Body Text 2 Char"/>
    <w:basedOn w:val="DefaultParagraphFont"/>
    <w:link w:val="BodyText2"/>
    <w:uiPriority w:val="99"/>
    <w:rsid w:val="00275002"/>
    <w:rPr>
      <w:rFonts w:ascii="Arial" w:hAnsi="Arial"/>
    </w:rPr>
  </w:style>
  <w:style w:type="paragraph" w:customStyle="1" w:styleId="ListLegal">
    <w:name w:val="List Legal"/>
    <w:basedOn w:val="ListParagraph"/>
    <w:rsid w:val="00275002"/>
    <w:pPr>
      <w:numPr>
        <w:numId w:val="18"/>
      </w:numPr>
      <w:tabs>
        <w:tab w:val="left" w:pos="680"/>
      </w:tabs>
      <w:ind w:left="680" w:hanging="340"/>
    </w:pPr>
  </w:style>
  <w:style w:type="character" w:styleId="CommentReference">
    <w:name w:val="annotation reference"/>
    <w:basedOn w:val="DefaultParagraphFont"/>
    <w:uiPriority w:val="99"/>
    <w:unhideWhenUsed/>
    <w:rsid w:val="00275002"/>
    <w:rPr>
      <w:sz w:val="16"/>
      <w:szCs w:val="16"/>
    </w:rPr>
  </w:style>
  <w:style w:type="paragraph" w:customStyle="1" w:styleId="ListLegal2">
    <w:name w:val="List Legal 2"/>
    <w:basedOn w:val="ListLegal"/>
    <w:rsid w:val="00275002"/>
    <w:pPr>
      <w:tabs>
        <w:tab w:val="clear" w:pos="680"/>
        <w:tab w:val="left" w:pos="1021"/>
      </w:tabs>
      <w:ind w:left="1020"/>
    </w:pPr>
  </w:style>
  <w:style w:type="paragraph" w:customStyle="1" w:styleId="ListLegal3">
    <w:name w:val="List Legal 3"/>
    <w:basedOn w:val="ListNumber3"/>
    <w:rsid w:val="00275002"/>
    <w:pPr>
      <w:numPr>
        <w:numId w:val="19"/>
      </w:numPr>
      <w:tabs>
        <w:tab w:val="left" w:pos="1361"/>
      </w:tabs>
      <w:ind w:left="1361" w:hanging="340"/>
    </w:pPr>
  </w:style>
  <w:style w:type="paragraph" w:customStyle="1" w:styleId="ListLegal4">
    <w:name w:val="List Legal 4"/>
    <w:basedOn w:val="ListLegal3"/>
    <w:rsid w:val="00275002"/>
    <w:pPr>
      <w:tabs>
        <w:tab w:val="clear" w:pos="1361"/>
        <w:tab w:val="left" w:pos="1701"/>
      </w:tabs>
      <w:ind w:left="1701"/>
    </w:pPr>
  </w:style>
  <w:style w:type="paragraph" w:customStyle="1" w:styleId="ListLegal5">
    <w:name w:val="List Legal 5"/>
    <w:basedOn w:val="ListLegal4"/>
    <w:rsid w:val="00275002"/>
    <w:pPr>
      <w:tabs>
        <w:tab w:val="clear" w:pos="1701"/>
        <w:tab w:val="left" w:pos="2041"/>
      </w:tabs>
      <w:ind w:left="2041"/>
    </w:pPr>
  </w:style>
  <w:style w:type="paragraph" w:styleId="Date">
    <w:name w:val="Date"/>
    <w:basedOn w:val="Normal"/>
    <w:next w:val="Normal"/>
    <w:link w:val="DateChar"/>
    <w:uiPriority w:val="99"/>
    <w:unhideWhenUsed/>
    <w:rsid w:val="00275002"/>
  </w:style>
  <w:style w:type="character" w:customStyle="1" w:styleId="DateChar">
    <w:name w:val="Date Char"/>
    <w:basedOn w:val="DefaultParagraphFont"/>
    <w:link w:val="Date"/>
    <w:uiPriority w:val="99"/>
    <w:rsid w:val="00275002"/>
    <w:rPr>
      <w:rFonts w:ascii="Arial" w:hAnsi="Arial"/>
    </w:rPr>
  </w:style>
  <w:style w:type="paragraph" w:styleId="DocumentMap">
    <w:name w:val="Document Map"/>
    <w:basedOn w:val="Normal"/>
    <w:link w:val="DocumentMapChar"/>
    <w:unhideWhenUsed/>
    <w:rsid w:val="00275002"/>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rsid w:val="00275002"/>
    <w:rPr>
      <w:rFonts w:ascii="Tahoma" w:hAnsi="Tahoma" w:cs="Tahoma"/>
      <w:sz w:val="16"/>
      <w:szCs w:val="16"/>
    </w:rPr>
  </w:style>
  <w:style w:type="paragraph" w:styleId="E-mailSignature">
    <w:name w:val="E-mail Signature"/>
    <w:basedOn w:val="Normal"/>
    <w:link w:val="E-mailSignatureChar"/>
    <w:uiPriority w:val="99"/>
    <w:unhideWhenUsed/>
    <w:rsid w:val="00275002"/>
    <w:pPr>
      <w:spacing w:before="0" w:line="240" w:lineRule="auto"/>
    </w:pPr>
  </w:style>
  <w:style w:type="character" w:customStyle="1" w:styleId="E-mailSignatureChar">
    <w:name w:val="E-mail Signature Char"/>
    <w:basedOn w:val="DefaultParagraphFont"/>
    <w:link w:val="E-mailSignature"/>
    <w:uiPriority w:val="99"/>
    <w:rsid w:val="00275002"/>
    <w:rPr>
      <w:rFonts w:ascii="Arial" w:hAnsi="Arial"/>
    </w:rPr>
  </w:style>
  <w:style w:type="paragraph" w:styleId="EnvelopeAddress">
    <w:name w:val="envelope address"/>
    <w:basedOn w:val="Normal"/>
    <w:uiPriority w:val="99"/>
    <w:unhideWhenUsed/>
    <w:rsid w:val="00275002"/>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275002"/>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275002"/>
    <w:rPr>
      <w:color w:val="800080" w:themeColor="followedHyperlink"/>
      <w:u w:val="single"/>
    </w:rPr>
  </w:style>
  <w:style w:type="paragraph" w:styleId="Index3">
    <w:name w:val="index 3"/>
    <w:basedOn w:val="Normal"/>
    <w:next w:val="Normal"/>
    <w:autoRedefine/>
    <w:uiPriority w:val="99"/>
    <w:unhideWhenUsed/>
    <w:rsid w:val="00275002"/>
    <w:pPr>
      <w:spacing w:before="0" w:line="240" w:lineRule="auto"/>
      <w:ind w:left="660" w:hanging="220"/>
    </w:pPr>
  </w:style>
  <w:style w:type="paragraph" w:styleId="Index4">
    <w:name w:val="index 4"/>
    <w:basedOn w:val="Normal"/>
    <w:next w:val="Normal"/>
    <w:autoRedefine/>
    <w:uiPriority w:val="99"/>
    <w:unhideWhenUsed/>
    <w:rsid w:val="00275002"/>
    <w:pPr>
      <w:spacing w:before="0" w:line="240" w:lineRule="auto"/>
      <w:ind w:left="880" w:hanging="220"/>
    </w:pPr>
  </w:style>
  <w:style w:type="paragraph" w:styleId="Index5">
    <w:name w:val="index 5"/>
    <w:basedOn w:val="Normal"/>
    <w:next w:val="Normal"/>
    <w:autoRedefine/>
    <w:uiPriority w:val="99"/>
    <w:unhideWhenUsed/>
    <w:rsid w:val="00275002"/>
    <w:pPr>
      <w:spacing w:before="0" w:line="240" w:lineRule="auto"/>
      <w:ind w:left="1100" w:hanging="220"/>
    </w:pPr>
  </w:style>
  <w:style w:type="paragraph" w:styleId="IndexHeading">
    <w:name w:val="index heading"/>
    <w:basedOn w:val="Normal"/>
    <w:next w:val="Index1"/>
    <w:uiPriority w:val="99"/>
    <w:unhideWhenUsed/>
    <w:rsid w:val="00275002"/>
    <w:rPr>
      <w:rFonts w:asciiTheme="majorHAnsi" w:eastAsiaTheme="majorEastAsia" w:hAnsiTheme="majorHAnsi" w:cstheme="majorBidi"/>
      <w:b/>
      <w:bCs/>
    </w:rPr>
  </w:style>
  <w:style w:type="character" w:styleId="IntenseEmphasis">
    <w:name w:val="Intense Emphasis"/>
    <w:basedOn w:val="DefaultParagraphFont"/>
    <w:uiPriority w:val="21"/>
    <w:unhideWhenUsed/>
    <w:rsid w:val="00275002"/>
    <w:rPr>
      <w:b/>
      <w:bCs/>
      <w:i/>
      <w:iCs/>
      <w:color w:val="51626F" w:themeColor="accent1"/>
    </w:rPr>
  </w:style>
  <w:style w:type="paragraph" w:styleId="IntenseQuote">
    <w:name w:val="Intense Quote"/>
    <w:basedOn w:val="Normal"/>
    <w:next w:val="Normal"/>
    <w:link w:val="IntenseQuoteChar"/>
    <w:uiPriority w:val="30"/>
    <w:unhideWhenUsed/>
    <w:rsid w:val="00275002"/>
    <w:pPr>
      <w:pBdr>
        <w:bottom w:val="single" w:sz="4" w:space="4" w:color="51626F" w:themeColor="accent1"/>
      </w:pBdr>
      <w:spacing w:after="280"/>
      <w:ind w:left="936" w:right="936"/>
    </w:pPr>
    <w:rPr>
      <w:b/>
      <w:bCs/>
      <w:i/>
      <w:iCs/>
      <w:color w:val="51626F" w:themeColor="accent1"/>
    </w:rPr>
  </w:style>
  <w:style w:type="character" w:customStyle="1" w:styleId="IntenseQuoteChar">
    <w:name w:val="Intense Quote Char"/>
    <w:basedOn w:val="DefaultParagraphFont"/>
    <w:link w:val="IntenseQuote"/>
    <w:uiPriority w:val="30"/>
    <w:rsid w:val="00275002"/>
    <w:rPr>
      <w:rFonts w:ascii="Arial" w:hAnsi="Arial"/>
      <w:b/>
      <w:bCs/>
      <w:i/>
      <w:iCs/>
      <w:color w:val="51626F" w:themeColor="accent1"/>
    </w:rPr>
  </w:style>
  <w:style w:type="character" w:styleId="IntenseReference">
    <w:name w:val="Intense Reference"/>
    <w:basedOn w:val="DefaultParagraphFont"/>
    <w:uiPriority w:val="32"/>
    <w:unhideWhenUsed/>
    <w:rsid w:val="00275002"/>
    <w:rPr>
      <w:b/>
      <w:bCs/>
      <w:smallCaps/>
      <w:color w:val="4F2D7D" w:themeColor="accent2"/>
      <w:spacing w:val="5"/>
      <w:u w:val="single"/>
    </w:rPr>
  </w:style>
  <w:style w:type="character" w:styleId="LineNumber">
    <w:name w:val="line number"/>
    <w:basedOn w:val="DefaultParagraphFont"/>
    <w:uiPriority w:val="99"/>
    <w:unhideWhenUsed/>
    <w:rsid w:val="00275002"/>
  </w:style>
  <w:style w:type="paragraph" w:customStyle="1" w:styleId="Listalphabet2">
    <w:name w:val="List alphabet 2"/>
    <w:basedOn w:val="ListNumber2"/>
    <w:rsid w:val="00275002"/>
    <w:pPr>
      <w:numPr>
        <w:numId w:val="17"/>
      </w:numPr>
      <w:tabs>
        <w:tab w:val="left" w:pos="680"/>
      </w:tabs>
      <w:spacing w:line="276" w:lineRule="auto"/>
      <w:ind w:left="680" w:hanging="340"/>
    </w:pPr>
  </w:style>
  <w:style w:type="paragraph" w:customStyle="1" w:styleId="Listalphabet3">
    <w:name w:val="List alphabet 3"/>
    <w:basedOn w:val="Listalphabet2"/>
    <w:rsid w:val="00275002"/>
    <w:pPr>
      <w:tabs>
        <w:tab w:val="clear" w:pos="680"/>
        <w:tab w:val="left" w:pos="1021"/>
      </w:tabs>
      <w:ind w:left="1020"/>
    </w:pPr>
  </w:style>
  <w:style w:type="paragraph" w:customStyle="1" w:styleId="Listalphabet4">
    <w:name w:val="List alphabet 4"/>
    <w:basedOn w:val="Listalphabet3"/>
    <w:rsid w:val="00275002"/>
    <w:pPr>
      <w:tabs>
        <w:tab w:val="clear" w:pos="1021"/>
        <w:tab w:val="left" w:pos="1361"/>
      </w:tabs>
      <w:ind w:left="1361"/>
    </w:pPr>
  </w:style>
  <w:style w:type="paragraph" w:customStyle="1" w:styleId="Listalphabet5">
    <w:name w:val="List alphabet 5"/>
    <w:basedOn w:val="Listalphabet4"/>
    <w:rsid w:val="00275002"/>
    <w:pPr>
      <w:tabs>
        <w:tab w:val="clear" w:pos="1361"/>
        <w:tab w:val="left" w:pos="1701"/>
      </w:tabs>
      <w:ind w:left="1701"/>
    </w:pPr>
  </w:style>
  <w:style w:type="paragraph" w:styleId="ListContinue5">
    <w:name w:val="List Continue 5"/>
    <w:basedOn w:val="Normal"/>
    <w:uiPriority w:val="99"/>
    <w:unhideWhenUsed/>
    <w:rsid w:val="00275002"/>
    <w:pPr>
      <w:tabs>
        <w:tab w:val="left" w:pos="1701"/>
      </w:tabs>
      <w:spacing w:after="120"/>
      <w:ind w:left="1701"/>
      <w:contextualSpacing/>
    </w:pPr>
  </w:style>
  <w:style w:type="paragraph" w:styleId="Signature">
    <w:name w:val="Signature"/>
    <w:basedOn w:val="Normal"/>
    <w:link w:val="SignatureChar"/>
    <w:uiPriority w:val="99"/>
    <w:unhideWhenUsed/>
    <w:rsid w:val="00275002"/>
    <w:pPr>
      <w:spacing w:before="0" w:line="240" w:lineRule="auto"/>
      <w:ind w:left="4252"/>
    </w:pPr>
  </w:style>
  <w:style w:type="character" w:customStyle="1" w:styleId="SignatureChar">
    <w:name w:val="Signature Char"/>
    <w:basedOn w:val="DefaultParagraphFont"/>
    <w:link w:val="Signature"/>
    <w:uiPriority w:val="99"/>
    <w:rsid w:val="00275002"/>
    <w:rPr>
      <w:rFonts w:ascii="Arial" w:hAnsi="Arial"/>
    </w:rPr>
  </w:style>
  <w:style w:type="character" w:styleId="SubtleEmphasis">
    <w:name w:val="Subtle Emphasis"/>
    <w:basedOn w:val="DefaultParagraphFont"/>
    <w:uiPriority w:val="19"/>
    <w:unhideWhenUsed/>
    <w:rsid w:val="00275002"/>
    <w:rPr>
      <w:b/>
      <w:i/>
      <w:iCs/>
      <w:color w:val="51626F" w:themeColor="accent1"/>
    </w:rPr>
  </w:style>
  <w:style w:type="character" w:styleId="SubtleReference">
    <w:name w:val="Subtle Reference"/>
    <w:basedOn w:val="DefaultParagraphFont"/>
    <w:uiPriority w:val="31"/>
    <w:unhideWhenUsed/>
    <w:rsid w:val="00275002"/>
    <w:rPr>
      <w:smallCaps/>
      <w:color w:val="4F2D7D" w:themeColor="accent2"/>
      <w:u w:val="single"/>
    </w:rPr>
  </w:style>
  <w:style w:type="paragraph" w:customStyle="1" w:styleId="Quotes">
    <w:name w:val="Quotes"/>
    <w:basedOn w:val="Normal"/>
    <w:rsid w:val="00275002"/>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75002"/>
  </w:style>
  <w:style w:type="character" w:styleId="PlaceholderText">
    <w:name w:val="Placeholder Text"/>
    <w:basedOn w:val="DefaultParagraphFont"/>
    <w:uiPriority w:val="99"/>
    <w:semiHidden/>
    <w:rsid w:val="00275002"/>
    <w:rPr>
      <w:color w:val="808080"/>
    </w:rPr>
  </w:style>
  <w:style w:type="paragraph" w:customStyle="1" w:styleId="StyleCopyrightBefore0pt">
    <w:name w:val="Style Copyright + Before:  0 pt"/>
    <w:basedOn w:val="Copyright"/>
    <w:rsid w:val="00275002"/>
    <w:pPr>
      <w:spacing w:before="120"/>
    </w:pPr>
    <w:rPr>
      <w:rFonts w:eastAsia="Times New Roman" w:cs="Times New Roman"/>
    </w:rPr>
  </w:style>
  <w:style w:type="character" w:customStyle="1" w:styleId="Bold">
    <w:name w:val="Bold"/>
    <w:basedOn w:val="DefaultParagraphFont"/>
    <w:rsid w:val="00275002"/>
    <w:rPr>
      <w:b/>
      <w:bCs/>
    </w:rPr>
  </w:style>
  <w:style w:type="paragraph" w:customStyle="1" w:styleId="LegalNumbering">
    <w:name w:val="Legal Numbering"/>
    <w:basedOn w:val="Normal"/>
    <w:rsid w:val="00275002"/>
    <w:pPr>
      <w:numPr>
        <w:numId w:val="20"/>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275002"/>
    <w:rPr>
      <w:rFonts w:ascii="Arial" w:hAnsi="Arial"/>
      <w:color w:val="auto"/>
      <w:sz w:val="16"/>
    </w:rPr>
  </w:style>
  <w:style w:type="paragraph" w:customStyle="1" w:styleId="NumberedChapterTitle">
    <w:name w:val="Numbered Chapter Title"/>
    <w:basedOn w:val="Chaptertitle"/>
    <w:qFormat/>
    <w:rsid w:val="00275002"/>
    <w:pPr>
      <w:pageBreakBefore/>
      <w:numPr>
        <w:numId w:val="21"/>
      </w:numPr>
      <w:tabs>
        <w:tab w:val="left" w:pos="680"/>
      </w:tabs>
      <w:ind w:left="680" w:hanging="680"/>
      <w:outlineLvl w:val="0"/>
    </w:pPr>
    <w:rPr>
      <w:rFonts w:ascii="Arial" w:hAnsi="Arial"/>
      <w:color w:val="000000" w:themeColor="text1"/>
    </w:rPr>
  </w:style>
  <w:style w:type="paragraph" w:styleId="Revision">
    <w:name w:val="Revision"/>
    <w:hidden/>
    <w:uiPriority w:val="99"/>
    <w:semiHidden/>
    <w:rsid w:val="00275002"/>
    <w:pPr>
      <w:spacing w:before="0"/>
    </w:pPr>
    <w:rPr>
      <w:rFonts w:ascii="Arial" w:hAnsi="Arial"/>
    </w:rPr>
  </w:style>
  <w:style w:type="paragraph" w:styleId="CommentText">
    <w:name w:val="annotation text"/>
    <w:basedOn w:val="Normal"/>
    <w:link w:val="CommentTextChar"/>
    <w:uiPriority w:val="99"/>
    <w:unhideWhenUsed/>
    <w:rsid w:val="00275002"/>
    <w:pPr>
      <w:spacing w:line="240" w:lineRule="auto"/>
    </w:pPr>
    <w:rPr>
      <w:sz w:val="20"/>
      <w:szCs w:val="20"/>
    </w:rPr>
  </w:style>
  <w:style w:type="character" w:customStyle="1" w:styleId="CommentTextChar">
    <w:name w:val="Comment Text Char"/>
    <w:basedOn w:val="DefaultParagraphFont"/>
    <w:link w:val="CommentText"/>
    <w:uiPriority w:val="99"/>
    <w:rsid w:val="00275002"/>
    <w:rPr>
      <w:rFonts w:ascii="Arial" w:hAnsi="Arial"/>
      <w:sz w:val="20"/>
      <w:szCs w:val="20"/>
    </w:rPr>
  </w:style>
  <w:style w:type="paragraph" w:styleId="CommentSubject">
    <w:name w:val="annotation subject"/>
    <w:basedOn w:val="Normal"/>
    <w:link w:val="CommentSubjectChar"/>
    <w:semiHidden/>
    <w:rsid w:val="00275002"/>
    <w:pPr>
      <w:spacing w:before="0" w:line="288" w:lineRule="auto"/>
      <w:jc w:val="both"/>
    </w:pPr>
    <w:rPr>
      <w:rFonts w:ascii="Gautami" w:eastAsia="Times New Roman" w:hAnsi="Gautami" w:cs="Times New Roman"/>
      <w:b/>
      <w:bCs/>
      <w:sz w:val="20"/>
      <w:szCs w:val="24"/>
      <w:lang w:eastAsia="en-AU"/>
    </w:rPr>
  </w:style>
  <w:style w:type="character" w:customStyle="1" w:styleId="CommentSubjectChar">
    <w:name w:val="Comment Subject Char"/>
    <w:basedOn w:val="CommentTextChar"/>
    <w:link w:val="CommentSubject"/>
    <w:semiHidden/>
    <w:rsid w:val="00275002"/>
    <w:rPr>
      <w:rFonts w:ascii="Gautami" w:eastAsia="Times New Roman" w:hAnsi="Gautami" w:cs="Times New Roman"/>
      <w:b/>
      <w:bCs/>
      <w:sz w:val="20"/>
      <w:szCs w:val="24"/>
      <w:lang w:eastAsia="en-AU"/>
    </w:rPr>
  </w:style>
  <w:style w:type="numbering" w:styleId="1ai">
    <w:name w:val="Outline List 1"/>
    <w:aliases w:val="AER Numbered List"/>
    <w:basedOn w:val="NoList"/>
    <w:rsid w:val="00275002"/>
    <w:pPr>
      <w:numPr>
        <w:numId w:val="22"/>
      </w:numPr>
    </w:pPr>
  </w:style>
  <w:style w:type="table" w:styleId="TableClassic2">
    <w:name w:val="Table Classic 2"/>
    <w:basedOn w:val="TableNormal"/>
    <w:rsid w:val="00275002"/>
    <w:pPr>
      <w:spacing w:before="0"/>
    </w:pPr>
    <w:rPr>
      <w:rFonts w:ascii="Times" w:eastAsia="Times New Roman" w:hAnsi="Times" w:cs="Times New Roman"/>
      <w:sz w:val="20"/>
      <w:szCs w:val="20"/>
      <w:lang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ntemporary">
    <w:name w:val="Table Contemporary"/>
    <w:basedOn w:val="TableNormal"/>
    <w:rsid w:val="00275002"/>
    <w:pPr>
      <w:spacing w:before="0"/>
    </w:pPr>
    <w:rPr>
      <w:rFonts w:ascii="Times" w:eastAsia="Times New Roman" w:hAnsi="Times" w:cs="Times New Roman"/>
      <w:sz w:val="20"/>
      <w:szCs w:val="20"/>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Classic1">
    <w:name w:val="Table Classic 1"/>
    <w:basedOn w:val="TableNormal"/>
    <w:rsid w:val="00275002"/>
    <w:pPr>
      <w:spacing w:before="0"/>
    </w:pPr>
    <w:rPr>
      <w:rFonts w:ascii="Times" w:eastAsia="Times New Roman" w:hAnsi="Times" w:cs="Times New Roman"/>
      <w:sz w:val="20"/>
      <w:szCs w:val="20"/>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75002"/>
    <w:pPr>
      <w:spacing w:before="0"/>
    </w:pPr>
    <w:rPr>
      <w:rFonts w:ascii="Calibri" w:eastAsia="Times New Roman" w:hAnsi="Calibri" w:cs="Times New Roman"/>
      <w:sz w:val="20"/>
      <w:szCs w:val="20"/>
      <w:lang w:eastAsia="en-AU"/>
    </w:rPr>
    <w:tblPr>
      <w:tblBorders>
        <w:top w:val="single" w:sz="12" w:space="0" w:color="000000"/>
        <w:bottom w:val="single" w:sz="12" w:space="0" w:color="000000"/>
        <w:insideH w:val="single" w:sz="6" w:space="0" w:color="000000"/>
      </w:tblBorders>
    </w:tblPr>
    <w:tcPr>
      <w:shd w:val="clear" w:color="auto" w:fill="auto"/>
    </w:tcPr>
    <w:tblStylePr w:type="firstRow">
      <w:rPr>
        <w:rFonts w:ascii="Calibri" w:hAnsi="Calibri"/>
        <w:b/>
        <w:bCs/>
        <w:color w:val="000000"/>
        <w:sz w:val="20"/>
      </w:r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MediumShading2-Accent5">
    <w:name w:val="Medium Shading 2 Accent 5"/>
    <w:basedOn w:val="TableNormal"/>
    <w:uiPriority w:val="64"/>
    <w:rsid w:val="00275002"/>
    <w:pPr>
      <w:spacing w:before="0"/>
    </w:pPr>
    <w:rPr>
      <w:rFonts w:ascii="Calibri" w:eastAsia="Calibri" w:hAnsi="Calibri" w:cs="Times New Roman"/>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unhideWhenUsed/>
    <w:rsid w:val="0027500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AERHeading1">
    <w:name w:val="AER Heading 1"/>
    <w:basedOn w:val="Heading2notnumbered"/>
    <w:link w:val="AERHeading1Char"/>
    <w:qFormat/>
    <w:rsid w:val="000E2946"/>
    <w:rPr>
      <w:color w:val="2272A3" w:themeColor="accent4" w:themeShade="80"/>
    </w:rPr>
  </w:style>
  <w:style w:type="paragraph" w:customStyle="1" w:styleId="AERHeading3">
    <w:name w:val="AER Heading 3"/>
    <w:basedOn w:val="Heading4notnumbered"/>
    <w:link w:val="AERHeading3Char"/>
    <w:qFormat/>
    <w:rsid w:val="00914A87"/>
  </w:style>
  <w:style w:type="character" w:customStyle="1" w:styleId="Heading2notnumberedChar">
    <w:name w:val="Heading 2 not numbered Char"/>
    <w:basedOn w:val="Heading2Char"/>
    <w:link w:val="Heading2notnumbered"/>
    <w:rsid w:val="000E2946"/>
    <w:rPr>
      <w:rFonts w:ascii="Arial" w:eastAsia="Times New Roman" w:hAnsi="Arial" w:cs="Times New Roman"/>
      <w:b/>
      <w:bCs/>
      <w:color w:val="003591" w:themeColor="text2"/>
      <w:sz w:val="32"/>
      <w:szCs w:val="20"/>
    </w:rPr>
  </w:style>
  <w:style w:type="character" w:customStyle="1" w:styleId="AERHeading1Char">
    <w:name w:val="AER Heading 1 Char"/>
    <w:basedOn w:val="Heading2notnumberedChar"/>
    <w:link w:val="AERHeading1"/>
    <w:rsid w:val="000E2946"/>
    <w:rPr>
      <w:rFonts w:ascii="Arial" w:eastAsia="Times New Roman" w:hAnsi="Arial" w:cs="Times New Roman"/>
      <w:b/>
      <w:bCs/>
      <w:color w:val="2272A3" w:themeColor="accent4" w:themeShade="80"/>
      <w:sz w:val="32"/>
      <w:szCs w:val="20"/>
    </w:rPr>
  </w:style>
  <w:style w:type="paragraph" w:customStyle="1" w:styleId="Tablesumline">
    <w:name w:val="Table sum line"/>
    <w:basedOn w:val="Normal"/>
    <w:link w:val="TablesumlineChar"/>
    <w:qFormat/>
    <w:rsid w:val="00FD72DC"/>
    <w:pPr>
      <w:spacing w:before="120" w:after="120"/>
    </w:pPr>
    <w:rPr>
      <w:b/>
      <w:sz w:val="20"/>
    </w:rPr>
  </w:style>
  <w:style w:type="character" w:customStyle="1" w:styleId="Heading4notnumberedChar">
    <w:name w:val="Heading 4 not numbered Char"/>
    <w:basedOn w:val="Heading4Char"/>
    <w:link w:val="Heading4notnumbered"/>
    <w:rsid w:val="00914A87"/>
    <w:rPr>
      <w:rFonts w:ascii="Arial" w:eastAsia="Times New Roman" w:hAnsi="Arial" w:cs="Times New Roman"/>
      <w:b/>
      <w:bCs/>
      <w:i w:val="0"/>
      <w:iCs w:val="0"/>
      <w:color w:val="51626F"/>
      <w:sz w:val="24"/>
      <w:szCs w:val="20"/>
    </w:rPr>
  </w:style>
  <w:style w:type="character" w:customStyle="1" w:styleId="AERHeading3Char">
    <w:name w:val="AER Heading 3 Char"/>
    <w:basedOn w:val="Heading4notnumberedChar"/>
    <w:link w:val="AERHeading3"/>
    <w:rsid w:val="00914A87"/>
    <w:rPr>
      <w:rFonts w:ascii="Arial" w:eastAsia="Times New Roman" w:hAnsi="Arial" w:cs="Times New Roman"/>
      <w:b/>
      <w:bCs/>
      <w:i w:val="0"/>
      <w:iCs w:val="0"/>
      <w:color w:val="51626F"/>
      <w:sz w:val="24"/>
      <w:szCs w:val="20"/>
    </w:rPr>
  </w:style>
  <w:style w:type="table" w:customStyle="1" w:styleId="AERsummarytable">
    <w:name w:val="AER summary table"/>
    <w:basedOn w:val="AERTable-Text"/>
    <w:uiPriority w:val="99"/>
    <w:rsid w:val="00FD72DC"/>
    <w:pPr>
      <w:spacing w:before="0"/>
    </w:pPr>
    <w:tbl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TablesumlineChar">
    <w:name w:val="Table sum line Char"/>
    <w:basedOn w:val="DefaultParagraphFont"/>
    <w:link w:val="Tablesumline"/>
    <w:rsid w:val="00FD72DC"/>
    <w:rPr>
      <w:rFonts w:ascii="Arial" w:hAnsi="Arial"/>
      <w:b/>
      <w:sz w:val="20"/>
    </w:rPr>
  </w:style>
  <w:style w:type="table" w:customStyle="1" w:styleId="Style1">
    <w:name w:val="Style1"/>
    <w:basedOn w:val="TableNormal"/>
    <w:uiPriority w:val="99"/>
    <w:rsid w:val="00A81EF8"/>
    <w:pPr>
      <w:spacing w:before="0"/>
    </w:pPr>
    <w:tblPr/>
    <w:tblStylePr w:type="firstRow">
      <w:rPr>
        <w:rFonts w:ascii="Arial" w:hAnsi="Arial"/>
        <w:color w:val="FFFFFF" w:themeColor="background1"/>
        <w:sz w:val="18"/>
      </w:rPr>
      <w:tblPr/>
      <w:tcPr>
        <w:shd w:val="clear" w:color="auto" w:fill="2272A3" w:themeFill="accent4" w:themeFillShade="80"/>
      </w:tcPr>
    </w:tblStylePr>
  </w:style>
  <w:style w:type="paragraph" w:customStyle="1" w:styleId="tableheadingline2">
    <w:name w:val="table heading line 2"/>
    <w:basedOn w:val="Normal"/>
    <w:link w:val="tableheadingline2Char"/>
    <w:qFormat/>
    <w:rsid w:val="00FA3830"/>
    <w:pPr>
      <w:spacing w:before="0" w:after="120"/>
      <w:jc w:val="center"/>
    </w:pPr>
    <w:rPr>
      <w:b/>
      <w:sz w:val="18"/>
      <w14:numSpacing w14:val="tabular"/>
    </w:rPr>
  </w:style>
  <w:style w:type="character" w:customStyle="1" w:styleId="tableheadingline2Char">
    <w:name w:val="table heading line 2 Char"/>
    <w:basedOn w:val="DefaultParagraphFont"/>
    <w:link w:val="tableheadingline2"/>
    <w:rsid w:val="00FA3830"/>
    <w:rPr>
      <w:rFonts w:ascii="Arial" w:hAnsi="Arial"/>
      <w:b/>
      <w:sz w:val="18"/>
      <w14:numSpacing w14:val="tabular"/>
    </w:rPr>
  </w:style>
  <w:style w:type="paragraph" w:customStyle="1" w:styleId="AERbodytext">
    <w:name w:val="AER body text"/>
    <w:link w:val="AERbodytextChar"/>
    <w:qFormat/>
    <w:rsid w:val="001778E3"/>
    <w:pPr>
      <w:spacing w:before="120" w:after="120" w:line="288" w:lineRule="auto"/>
      <w:jc w:val="both"/>
    </w:pPr>
    <w:rPr>
      <w:rFonts w:ascii="Arial" w:eastAsia="Times New Roman" w:hAnsi="Arial" w:cs="Arial"/>
      <w:bCs/>
      <w:lang w:eastAsia="en-AU"/>
    </w:rPr>
  </w:style>
  <w:style w:type="character" w:customStyle="1" w:styleId="AERbodytextChar">
    <w:name w:val="AER body text Char"/>
    <w:basedOn w:val="DefaultParagraphFont"/>
    <w:link w:val="AERbodytext"/>
    <w:rsid w:val="001778E3"/>
    <w:rPr>
      <w:rFonts w:ascii="Arial" w:eastAsia="Times New Roman" w:hAnsi="Arial" w:cs="Arial"/>
      <w:bCs/>
      <w:lang w:eastAsia="en-AU"/>
    </w:rPr>
  </w:style>
  <w:style w:type="paragraph" w:customStyle="1" w:styleId="tablenormal0">
    <w:name w:val="table normal"/>
    <w:basedOn w:val="Normal"/>
    <w:link w:val="tablenormalChar"/>
    <w:qFormat/>
    <w:rsid w:val="005D2FBD"/>
    <w:pPr>
      <w:spacing w:before="120" w:after="120"/>
    </w:pPr>
    <w:rPr>
      <w:rFonts w:cs="Arial"/>
      <w:sz w:val="18"/>
    </w:rPr>
  </w:style>
  <w:style w:type="character" w:customStyle="1" w:styleId="tablenormalChar">
    <w:name w:val="table normal Char"/>
    <w:basedOn w:val="DefaultParagraphFont"/>
    <w:link w:val="tablenormal0"/>
    <w:rsid w:val="005D2FBD"/>
    <w:rPr>
      <w:rFonts w:ascii="Arial" w:hAnsi="Arial" w:cs="Arial"/>
      <w:sz w:val="18"/>
    </w:rPr>
  </w:style>
  <w:style w:type="table" w:customStyle="1" w:styleId="AERsummarytable1">
    <w:name w:val="AER summary table1"/>
    <w:basedOn w:val="AERTable-Text"/>
    <w:uiPriority w:val="99"/>
    <w:rsid w:val="00784A7E"/>
    <w:pPr>
      <w:spacing w:before="0"/>
    </w:pPr>
    <w:tbl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table" w:customStyle="1" w:styleId="AERsummarytable2">
    <w:name w:val="AER summary table2"/>
    <w:basedOn w:val="TableNormal"/>
    <w:uiPriority w:val="99"/>
    <w:rsid w:val="002D1734"/>
    <w:pPr>
      <w:spacing w:before="0" w:after="120"/>
    </w:pPr>
    <w:rPr>
      <w:rFonts w:ascii="Arial" w:hAnsi="Arial"/>
      <w:sz w:val="18"/>
    </w:rPr>
    <w:tblPr>
      <w:tblStyleRowBandSize w:val="1"/>
      <w:tblBorders>
        <w:bottom w:val="single" w:sz="4" w:space="0" w:color="auto"/>
      </w:tblBorders>
    </w:tblPr>
    <w:trPr>
      <w:cantSplit/>
    </w:trPr>
    <w:tblStylePr w:type="firstRow">
      <w:pPr>
        <w:wordWrap/>
        <w:spacing w:beforeLines="0" w:before="240" w:beforeAutospacing="0" w:afterLines="0" w:after="120" w:afterAutospacing="0"/>
      </w:pPr>
      <w:rPr>
        <w:rFonts w:ascii="Arial" w:hAnsi="Arial"/>
        <w:b/>
        <w:color w:val="FFFFFF" w:themeColor="background1"/>
        <w:sz w:val="18"/>
        <w14:numSpacing w14:val="tabular"/>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a531">
    <w:name w:val="a53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571">
    <w:name w:val="a57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691">
    <w:name w:val="a69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731">
    <w:name w:val="a73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a771">
    <w:name w:val="a771"/>
    <w:basedOn w:val="DefaultParagraphFont"/>
    <w:rsid w:val="003153EB"/>
    <w:rPr>
      <w:rFonts w:ascii="Arial" w:hAnsi="Arial" w:cs="Arial" w:hint="default"/>
      <w:b w:val="0"/>
      <w:bCs w:val="0"/>
      <w:i w:val="0"/>
      <w:iCs w:val="0"/>
      <w:strike w:val="0"/>
      <w:dstrike w:val="0"/>
      <w:color w:val="FFFFFF"/>
      <w:sz w:val="18"/>
      <w:szCs w:val="18"/>
      <w:u w:val="none"/>
      <w:effect w:val="none"/>
    </w:rPr>
  </w:style>
  <w:style w:type="character" w:customStyle="1" w:styleId="displayonly">
    <w:name w:val="display_only"/>
    <w:basedOn w:val="DefaultParagraphFont"/>
    <w:rsid w:val="00091FB4"/>
  </w:style>
  <w:style w:type="character" w:customStyle="1" w:styleId="a501">
    <w:name w:val="a501"/>
    <w:basedOn w:val="DefaultParagraphFont"/>
    <w:rsid w:val="00320D36"/>
    <w:rPr>
      <w:rFonts w:ascii="Arial" w:hAnsi="Arial" w:cs="Arial" w:hint="default"/>
      <w:b w:val="0"/>
      <w:bCs w:val="0"/>
      <w:i w:val="0"/>
      <w:iCs w:val="0"/>
      <w:strike w:val="0"/>
      <w:dstrike w:val="0"/>
      <w:color w:val="000000"/>
      <w:sz w:val="18"/>
      <w:szCs w:val="18"/>
      <w:u w:val="none"/>
      <w:effect w:val="none"/>
    </w:rPr>
  </w:style>
  <w:style w:type="paragraph" w:styleId="PlainText">
    <w:name w:val="Plain Text"/>
    <w:basedOn w:val="Normal"/>
    <w:link w:val="PlainTextChar"/>
    <w:uiPriority w:val="99"/>
    <w:semiHidden/>
    <w:unhideWhenUsed/>
    <w:rsid w:val="00F4040B"/>
    <w:pPr>
      <w:spacing w:before="0" w:line="240" w:lineRule="auto"/>
    </w:pPr>
    <w:rPr>
      <w:rFonts w:ascii="Calibri" w:hAnsi="Calibri"/>
      <w:szCs w:val="21"/>
    </w:rPr>
  </w:style>
  <w:style w:type="character" w:customStyle="1" w:styleId="PlainTextChar">
    <w:name w:val="Plain Text Char"/>
    <w:basedOn w:val="DefaultParagraphFont"/>
    <w:link w:val="PlainText"/>
    <w:uiPriority w:val="99"/>
    <w:semiHidden/>
    <w:rsid w:val="00F4040B"/>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38346">
      <w:bodyDiv w:val="1"/>
      <w:marLeft w:val="0"/>
      <w:marRight w:val="0"/>
      <w:marTop w:val="0"/>
      <w:marBottom w:val="0"/>
      <w:divBdr>
        <w:top w:val="none" w:sz="0" w:space="0" w:color="auto"/>
        <w:left w:val="none" w:sz="0" w:space="0" w:color="auto"/>
        <w:bottom w:val="none" w:sz="0" w:space="0" w:color="auto"/>
        <w:right w:val="none" w:sz="0" w:space="0" w:color="auto"/>
      </w:divBdr>
    </w:div>
    <w:div w:id="206188841">
      <w:bodyDiv w:val="1"/>
      <w:marLeft w:val="0"/>
      <w:marRight w:val="0"/>
      <w:marTop w:val="0"/>
      <w:marBottom w:val="0"/>
      <w:divBdr>
        <w:top w:val="none" w:sz="0" w:space="0" w:color="auto"/>
        <w:left w:val="none" w:sz="0" w:space="0" w:color="auto"/>
        <w:bottom w:val="none" w:sz="0" w:space="0" w:color="auto"/>
        <w:right w:val="none" w:sz="0" w:space="0" w:color="auto"/>
      </w:divBdr>
    </w:div>
    <w:div w:id="227882484">
      <w:bodyDiv w:val="1"/>
      <w:marLeft w:val="0"/>
      <w:marRight w:val="0"/>
      <w:marTop w:val="0"/>
      <w:marBottom w:val="0"/>
      <w:divBdr>
        <w:top w:val="none" w:sz="0" w:space="0" w:color="auto"/>
        <w:left w:val="none" w:sz="0" w:space="0" w:color="auto"/>
        <w:bottom w:val="none" w:sz="0" w:space="0" w:color="auto"/>
        <w:right w:val="none" w:sz="0" w:space="0" w:color="auto"/>
      </w:divBdr>
    </w:div>
    <w:div w:id="300615641">
      <w:bodyDiv w:val="1"/>
      <w:marLeft w:val="0"/>
      <w:marRight w:val="0"/>
      <w:marTop w:val="0"/>
      <w:marBottom w:val="0"/>
      <w:divBdr>
        <w:top w:val="none" w:sz="0" w:space="0" w:color="auto"/>
        <w:left w:val="none" w:sz="0" w:space="0" w:color="auto"/>
        <w:bottom w:val="none" w:sz="0" w:space="0" w:color="auto"/>
        <w:right w:val="none" w:sz="0" w:space="0" w:color="auto"/>
      </w:divBdr>
    </w:div>
    <w:div w:id="319504544">
      <w:bodyDiv w:val="1"/>
      <w:marLeft w:val="0"/>
      <w:marRight w:val="0"/>
      <w:marTop w:val="0"/>
      <w:marBottom w:val="0"/>
      <w:divBdr>
        <w:top w:val="none" w:sz="0" w:space="0" w:color="auto"/>
        <w:left w:val="none" w:sz="0" w:space="0" w:color="auto"/>
        <w:bottom w:val="none" w:sz="0" w:space="0" w:color="auto"/>
        <w:right w:val="none" w:sz="0" w:space="0" w:color="auto"/>
      </w:divBdr>
    </w:div>
    <w:div w:id="326597061">
      <w:bodyDiv w:val="1"/>
      <w:marLeft w:val="0"/>
      <w:marRight w:val="0"/>
      <w:marTop w:val="0"/>
      <w:marBottom w:val="0"/>
      <w:divBdr>
        <w:top w:val="none" w:sz="0" w:space="0" w:color="auto"/>
        <w:left w:val="none" w:sz="0" w:space="0" w:color="auto"/>
        <w:bottom w:val="none" w:sz="0" w:space="0" w:color="auto"/>
        <w:right w:val="none" w:sz="0" w:space="0" w:color="auto"/>
      </w:divBdr>
    </w:div>
    <w:div w:id="361899807">
      <w:bodyDiv w:val="1"/>
      <w:marLeft w:val="0"/>
      <w:marRight w:val="0"/>
      <w:marTop w:val="0"/>
      <w:marBottom w:val="0"/>
      <w:divBdr>
        <w:top w:val="none" w:sz="0" w:space="0" w:color="auto"/>
        <w:left w:val="none" w:sz="0" w:space="0" w:color="auto"/>
        <w:bottom w:val="none" w:sz="0" w:space="0" w:color="auto"/>
        <w:right w:val="none" w:sz="0" w:space="0" w:color="auto"/>
      </w:divBdr>
    </w:div>
    <w:div w:id="368650552">
      <w:bodyDiv w:val="1"/>
      <w:marLeft w:val="0"/>
      <w:marRight w:val="0"/>
      <w:marTop w:val="0"/>
      <w:marBottom w:val="0"/>
      <w:divBdr>
        <w:top w:val="none" w:sz="0" w:space="0" w:color="auto"/>
        <w:left w:val="none" w:sz="0" w:space="0" w:color="auto"/>
        <w:bottom w:val="none" w:sz="0" w:space="0" w:color="auto"/>
        <w:right w:val="none" w:sz="0" w:space="0" w:color="auto"/>
      </w:divBdr>
    </w:div>
    <w:div w:id="370884515">
      <w:bodyDiv w:val="1"/>
      <w:marLeft w:val="0"/>
      <w:marRight w:val="0"/>
      <w:marTop w:val="0"/>
      <w:marBottom w:val="0"/>
      <w:divBdr>
        <w:top w:val="none" w:sz="0" w:space="0" w:color="auto"/>
        <w:left w:val="none" w:sz="0" w:space="0" w:color="auto"/>
        <w:bottom w:val="none" w:sz="0" w:space="0" w:color="auto"/>
        <w:right w:val="none" w:sz="0" w:space="0" w:color="auto"/>
      </w:divBdr>
    </w:div>
    <w:div w:id="436293720">
      <w:bodyDiv w:val="1"/>
      <w:marLeft w:val="0"/>
      <w:marRight w:val="0"/>
      <w:marTop w:val="0"/>
      <w:marBottom w:val="0"/>
      <w:divBdr>
        <w:top w:val="none" w:sz="0" w:space="0" w:color="auto"/>
        <w:left w:val="none" w:sz="0" w:space="0" w:color="auto"/>
        <w:bottom w:val="none" w:sz="0" w:space="0" w:color="auto"/>
        <w:right w:val="none" w:sz="0" w:space="0" w:color="auto"/>
      </w:divBdr>
    </w:div>
    <w:div w:id="492918306">
      <w:bodyDiv w:val="1"/>
      <w:marLeft w:val="0"/>
      <w:marRight w:val="0"/>
      <w:marTop w:val="0"/>
      <w:marBottom w:val="0"/>
      <w:divBdr>
        <w:top w:val="none" w:sz="0" w:space="0" w:color="auto"/>
        <w:left w:val="none" w:sz="0" w:space="0" w:color="auto"/>
        <w:bottom w:val="none" w:sz="0" w:space="0" w:color="auto"/>
        <w:right w:val="none" w:sz="0" w:space="0" w:color="auto"/>
      </w:divBdr>
    </w:div>
    <w:div w:id="498817100">
      <w:bodyDiv w:val="1"/>
      <w:marLeft w:val="0"/>
      <w:marRight w:val="0"/>
      <w:marTop w:val="0"/>
      <w:marBottom w:val="0"/>
      <w:divBdr>
        <w:top w:val="none" w:sz="0" w:space="0" w:color="auto"/>
        <w:left w:val="none" w:sz="0" w:space="0" w:color="auto"/>
        <w:bottom w:val="none" w:sz="0" w:space="0" w:color="auto"/>
        <w:right w:val="none" w:sz="0" w:space="0" w:color="auto"/>
      </w:divBdr>
    </w:div>
    <w:div w:id="551885407">
      <w:bodyDiv w:val="1"/>
      <w:marLeft w:val="0"/>
      <w:marRight w:val="0"/>
      <w:marTop w:val="0"/>
      <w:marBottom w:val="0"/>
      <w:divBdr>
        <w:top w:val="none" w:sz="0" w:space="0" w:color="auto"/>
        <w:left w:val="none" w:sz="0" w:space="0" w:color="auto"/>
        <w:bottom w:val="none" w:sz="0" w:space="0" w:color="auto"/>
        <w:right w:val="none" w:sz="0" w:space="0" w:color="auto"/>
      </w:divBdr>
    </w:div>
    <w:div w:id="589386890">
      <w:bodyDiv w:val="1"/>
      <w:marLeft w:val="0"/>
      <w:marRight w:val="0"/>
      <w:marTop w:val="0"/>
      <w:marBottom w:val="0"/>
      <w:divBdr>
        <w:top w:val="none" w:sz="0" w:space="0" w:color="auto"/>
        <w:left w:val="none" w:sz="0" w:space="0" w:color="auto"/>
        <w:bottom w:val="none" w:sz="0" w:space="0" w:color="auto"/>
        <w:right w:val="none" w:sz="0" w:space="0" w:color="auto"/>
      </w:divBdr>
    </w:div>
    <w:div w:id="607350953">
      <w:bodyDiv w:val="1"/>
      <w:marLeft w:val="0"/>
      <w:marRight w:val="0"/>
      <w:marTop w:val="0"/>
      <w:marBottom w:val="0"/>
      <w:divBdr>
        <w:top w:val="none" w:sz="0" w:space="0" w:color="auto"/>
        <w:left w:val="none" w:sz="0" w:space="0" w:color="auto"/>
        <w:bottom w:val="none" w:sz="0" w:space="0" w:color="auto"/>
        <w:right w:val="none" w:sz="0" w:space="0" w:color="auto"/>
      </w:divBdr>
      <w:divsChild>
        <w:div w:id="1477409511">
          <w:marLeft w:val="0"/>
          <w:marRight w:val="0"/>
          <w:marTop w:val="0"/>
          <w:marBottom w:val="0"/>
          <w:divBdr>
            <w:top w:val="none" w:sz="0" w:space="0" w:color="auto"/>
            <w:left w:val="none" w:sz="0" w:space="0" w:color="auto"/>
            <w:bottom w:val="none" w:sz="0" w:space="0" w:color="auto"/>
            <w:right w:val="none" w:sz="0" w:space="0" w:color="auto"/>
          </w:divBdr>
          <w:divsChild>
            <w:div w:id="1592464704">
              <w:marLeft w:val="0"/>
              <w:marRight w:val="0"/>
              <w:marTop w:val="0"/>
              <w:marBottom w:val="0"/>
              <w:divBdr>
                <w:top w:val="none" w:sz="0" w:space="0" w:color="auto"/>
                <w:left w:val="none" w:sz="0" w:space="0" w:color="auto"/>
                <w:bottom w:val="none" w:sz="0" w:space="0" w:color="auto"/>
                <w:right w:val="none" w:sz="0" w:space="0" w:color="auto"/>
              </w:divBdr>
              <w:divsChild>
                <w:div w:id="734359218">
                  <w:marLeft w:val="0"/>
                  <w:marRight w:val="0"/>
                  <w:marTop w:val="0"/>
                  <w:marBottom w:val="0"/>
                  <w:divBdr>
                    <w:top w:val="none" w:sz="0" w:space="0" w:color="auto"/>
                    <w:left w:val="none" w:sz="0" w:space="0" w:color="auto"/>
                    <w:bottom w:val="none" w:sz="0" w:space="0" w:color="auto"/>
                    <w:right w:val="none" w:sz="0" w:space="0" w:color="auto"/>
                  </w:divBdr>
                  <w:divsChild>
                    <w:div w:id="148524803">
                      <w:marLeft w:val="0"/>
                      <w:marRight w:val="0"/>
                      <w:marTop w:val="0"/>
                      <w:marBottom w:val="0"/>
                      <w:divBdr>
                        <w:top w:val="none" w:sz="0" w:space="0" w:color="auto"/>
                        <w:left w:val="none" w:sz="0" w:space="0" w:color="auto"/>
                        <w:bottom w:val="none" w:sz="0" w:space="0" w:color="auto"/>
                        <w:right w:val="none" w:sz="0" w:space="0" w:color="auto"/>
                      </w:divBdr>
                      <w:divsChild>
                        <w:div w:id="574323894">
                          <w:marLeft w:val="0"/>
                          <w:marRight w:val="0"/>
                          <w:marTop w:val="0"/>
                          <w:marBottom w:val="0"/>
                          <w:divBdr>
                            <w:top w:val="none" w:sz="0" w:space="0" w:color="auto"/>
                            <w:left w:val="none" w:sz="0" w:space="0" w:color="auto"/>
                            <w:bottom w:val="none" w:sz="0" w:space="0" w:color="auto"/>
                            <w:right w:val="none" w:sz="0" w:space="0" w:color="auto"/>
                          </w:divBdr>
                        </w:div>
                      </w:divsChild>
                    </w:div>
                    <w:div w:id="282813355">
                      <w:marLeft w:val="0"/>
                      <w:marRight w:val="0"/>
                      <w:marTop w:val="0"/>
                      <w:marBottom w:val="0"/>
                      <w:divBdr>
                        <w:top w:val="none" w:sz="0" w:space="0" w:color="auto"/>
                        <w:left w:val="none" w:sz="0" w:space="0" w:color="auto"/>
                        <w:bottom w:val="none" w:sz="0" w:space="0" w:color="auto"/>
                        <w:right w:val="none" w:sz="0" w:space="0" w:color="auto"/>
                      </w:divBdr>
                      <w:divsChild>
                        <w:div w:id="1136265507">
                          <w:marLeft w:val="0"/>
                          <w:marRight w:val="0"/>
                          <w:marTop w:val="0"/>
                          <w:marBottom w:val="0"/>
                          <w:divBdr>
                            <w:top w:val="none" w:sz="0" w:space="0" w:color="auto"/>
                            <w:left w:val="none" w:sz="0" w:space="0" w:color="auto"/>
                            <w:bottom w:val="none" w:sz="0" w:space="0" w:color="auto"/>
                            <w:right w:val="none" w:sz="0" w:space="0" w:color="auto"/>
                          </w:divBdr>
                        </w:div>
                      </w:divsChild>
                    </w:div>
                    <w:div w:id="1495608441">
                      <w:marLeft w:val="0"/>
                      <w:marRight w:val="0"/>
                      <w:marTop w:val="0"/>
                      <w:marBottom w:val="0"/>
                      <w:divBdr>
                        <w:top w:val="none" w:sz="0" w:space="0" w:color="auto"/>
                        <w:left w:val="none" w:sz="0" w:space="0" w:color="auto"/>
                        <w:bottom w:val="none" w:sz="0" w:space="0" w:color="auto"/>
                        <w:right w:val="none" w:sz="0" w:space="0" w:color="auto"/>
                      </w:divBdr>
                      <w:divsChild>
                        <w:div w:id="761222663">
                          <w:marLeft w:val="0"/>
                          <w:marRight w:val="0"/>
                          <w:marTop w:val="0"/>
                          <w:marBottom w:val="0"/>
                          <w:divBdr>
                            <w:top w:val="none" w:sz="0" w:space="0" w:color="auto"/>
                            <w:left w:val="none" w:sz="0" w:space="0" w:color="auto"/>
                            <w:bottom w:val="none" w:sz="0" w:space="0" w:color="auto"/>
                            <w:right w:val="none" w:sz="0" w:space="0" w:color="auto"/>
                          </w:divBdr>
                        </w:div>
                      </w:divsChild>
                    </w:div>
                    <w:div w:id="1695614408">
                      <w:marLeft w:val="0"/>
                      <w:marRight w:val="0"/>
                      <w:marTop w:val="0"/>
                      <w:marBottom w:val="0"/>
                      <w:divBdr>
                        <w:top w:val="none" w:sz="0" w:space="0" w:color="auto"/>
                        <w:left w:val="none" w:sz="0" w:space="0" w:color="auto"/>
                        <w:bottom w:val="none" w:sz="0" w:space="0" w:color="auto"/>
                        <w:right w:val="none" w:sz="0" w:space="0" w:color="auto"/>
                      </w:divBdr>
                      <w:divsChild>
                        <w:div w:id="938560433">
                          <w:marLeft w:val="0"/>
                          <w:marRight w:val="0"/>
                          <w:marTop w:val="0"/>
                          <w:marBottom w:val="0"/>
                          <w:divBdr>
                            <w:top w:val="none" w:sz="0" w:space="0" w:color="auto"/>
                            <w:left w:val="none" w:sz="0" w:space="0" w:color="auto"/>
                            <w:bottom w:val="none" w:sz="0" w:space="0" w:color="auto"/>
                            <w:right w:val="none" w:sz="0" w:space="0" w:color="auto"/>
                          </w:divBdr>
                        </w:div>
                      </w:divsChild>
                    </w:div>
                    <w:div w:id="1756435873">
                      <w:marLeft w:val="0"/>
                      <w:marRight w:val="0"/>
                      <w:marTop w:val="0"/>
                      <w:marBottom w:val="0"/>
                      <w:divBdr>
                        <w:top w:val="none" w:sz="0" w:space="0" w:color="auto"/>
                        <w:left w:val="none" w:sz="0" w:space="0" w:color="auto"/>
                        <w:bottom w:val="none" w:sz="0" w:space="0" w:color="auto"/>
                        <w:right w:val="none" w:sz="0" w:space="0" w:color="auto"/>
                      </w:divBdr>
                      <w:divsChild>
                        <w:div w:id="133556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0089711">
      <w:bodyDiv w:val="1"/>
      <w:marLeft w:val="0"/>
      <w:marRight w:val="0"/>
      <w:marTop w:val="0"/>
      <w:marBottom w:val="0"/>
      <w:divBdr>
        <w:top w:val="none" w:sz="0" w:space="0" w:color="auto"/>
        <w:left w:val="none" w:sz="0" w:space="0" w:color="auto"/>
        <w:bottom w:val="none" w:sz="0" w:space="0" w:color="auto"/>
        <w:right w:val="none" w:sz="0" w:space="0" w:color="auto"/>
      </w:divBdr>
    </w:div>
    <w:div w:id="688801072">
      <w:bodyDiv w:val="1"/>
      <w:marLeft w:val="0"/>
      <w:marRight w:val="0"/>
      <w:marTop w:val="0"/>
      <w:marBottom w:val="0"/>
      <w:divBdr>
        <w:top w:val="none" w:sz="0" w:space="0" w:color="auto"/>
        <w:left w:val="none" w:sz="0" w:space="0" w:color="auto"/>
        <w:bottom w:val="none" w:sz="0" w:space="0" w:color="auto"/>
        <w:right w:val="none" w:sz="0" w:space="0" w:color="auto"/>
      </w:divBdr>
    </w:div>
    <w:div w:id="742337540">
      <w:bodyDiv w:val="1"/>
      <w:marLeft w:val="0"/>
      <w:marRight w:val="0"/>
      <w:marTop w:val="0"/>
      <w:marBottom w:val="0"/>
      <w:divBdr>
        <w:top w:val="none" w:sz="0" w:space="0" w:color="auto"/>
        <w:left w:val="none" w:sz="0" w:space="0" w:color="auto"/>
        <w:bottom w:val="none" w:sz="0" w:space="0" w:color="auto"/>
        <w:right w:val="none" w:sz="0" w:space="0" w:color="auto"/>
      </w:divBdr>
    </w:div>
    <w:div w:id="844250539">
      <w:bodyDiv w:val="1"/>
      <w:marLeft w:val="0"/>
      <w:marRight w:val="0"/>
      <w:marTop w:val="0"/>
      <w:marBottom w:val="0"/>
      <w:divBdr>
        <w:top w:val="none" w:sz="0" w:space="0" w:color="auto"/>
        <w:left w:val="none" w:sz="0" w:space="0" w:color="auto"/>
        <w:bottom w:val="none" w:sz="0" w:space="0" w:color="auto"/>
        <w:right w:val="none" w:sz="0" w:space="0" w:color="auto"/>
      </w:divBdr>
    </w:div>
    <w:div w:id="851798394">
      <w:bodyDiv w:val="1"/>
      <w:marLeft w:val="0"/>
      <w:marRight w:val="0"/>
      <w:marTop w:val="0"/>
      <w:marBottom w:val="0"/>
      <w:divBdr>
        <w:top w:val="none" w:sz="0" w:space="0" w:color="auto"/>
        <w:left w:val="none" w:sz="0" w:space="0" w:color="auto"/>
        <w:bottom w:val="none" w:sz="0" w:space="0" w:color="auto"/>
        <w:right w:val="none" w:sz="0" w:space="0" w:color="auto"/>
      </w:divBdr>
    </w:div>
    <w:div w:id="882669064">
      <w:bodyDiv w:val="1"/>
      <w:marLeft w:val="0"/>
      <w:marRight w:val="0"/>
      <w:marTop w:val="0"/>
      <w:marBottom w:val="0"/>
      <w:divBdr>
        <w:top w:val="none" w:sz="0" w:space="0" w:color="auto"/>
        <w:left w:val="none" w:sz="0" w:space="0" w:color="auto"/>
        <w:bottom w:val="none" w:sz="0" w:space="0" w:color="auto"/>
        <w:right w:val="none" w:sz="0" w:space="0" w:color="auto"/>
      </w:divBdr>
    </w:div>
    <w:div w:id="884219376">
      <w:bodyDiv w:val="1"/>
      <w:marLeft w:val="0"/>
      <w:marRight w:val="0"/>
      <w:marTop w:val="0"/>
      <w:marBottom w:val="0"/>
      <w:divBdr>
        <w:top w:val="none" w:sz="0" w:space="0" w:color="auto"/>
        <w:left w:val="none" w:sz="0" w:space="0" w:color="auto"/>
        <w:bottom w:val="none" w:sz="0" w:space="0" w:color="auto"/>
        <w:right w:val="none" w:sz="0" w:space="0" w:color="auto"/>
      </w:divBdr>
    </w:div>
    <w:div w:id="1022441387">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046876556">
      <w:bodyDiv w:val="1"/>
      <w:marLeft w:val="0"/>
      <w:marRight w:val="0"/>
      <w:marTop w:val="0"/>
      <w:marBottom w:val="0"/>
      <w:divBdr>
        <w:top w:val="none" w:sz="0" w:space="0" w:color="auto"/>
        <w:left w:val="none" w:sz="0" w:space="0" w:color="auto"/>
        <w:bottom w:val="none" w:sz="0" w:space="0" w:color="auto"/>
        <w:right w:val="none" w:sz="0" w:space="0" w:color="auto"/>
      </w:divBdr>
    </w:div>
    <w:div w:id="1086655771">
      <w:bodyDiv w:val="1"/>
      <w:marLeft w:val="0"/>
      <w:marRight w:val="0"/>
      <w:marTop w:val="0"/>
      <w:marBottom w:val="0"/>
      <w:divBdr>
        <w:top w:val="none" w:sz="0" w:space="0" w:color="auto"/>
        <w:left w:val="none" w:sz="0" w:space="0" w:color="auto"/>
        <w:bottom w:val="none" w:sz="0" w:space="0" w:color="auto"/>
        <w:right w:val="none" w:sz="0" w:space="0" w:color="auto"/>
      </w:divBdr>
    </w:div>
    <w:div w:id="1089306153">
      <w:bodyDiv w:val="1"/>
      <w:marLeft w:val="0"/>
      <w:marRight w:val="0"/>
      <w:marTop w:val="0"/>
      <w:marBottom w:val="0"/>
      <w:divBdr>
        <w:top w:val="none" w:sz="0" w:space="0" w:color="auto"/>
        <w:left w:val="none" w:sz="0" w:space="0" w:color="auto"/>
        <w:bottom w:val="none" w:sz="0" w:space="0" w:color="auto"/>
        <w:right w:val="none" w:sz="0" w:space="0" w:color="auto"/>
      </w:divBdr>
    </w:div>
    <w:div w:id="1097095086">
      <w:bodyDiv w:val="1"/>
      <w:marLeft w:val="0"/>
      <w:marRight w:val="0"/>
      <w:marTop w:val="0"/>
      <w:marBottom w:val="0"/>
      <w:divBdr>
        <w:top w:val="none" w:sz="0" w:space="0" w:color="auto"/>
        <w:left w:val="none" w:sz="0" w:space="0" w:color="auto"/>
        <w:bottom w:val="none" w:sz="0" w:space="0" w:color="auto"/>
        <w:right w:val="none" w:sz="0" w:space="0" w:color="auto"/>
      </w:divBdr>
    </w:div>
    <w:div w:id="1098868369">
      <w:bodyDiv w:val="1"/>
      <w:marLeft w:val="0"/>
      <w:marRight w:val="0"/>
      <w:marTop w:val="0"/>
      <w:marBottom w:val="0"/>
      <w:divBdr>
        <w:top w:val="none" w:sz="0" w:space="0" w:color="auto"/>
        <w:left w:val="none" w:sz="0" w:space="0" w:color="auto"/>
        <w:bottom w:val="none" w:sz="0" w:space="0" w:color="auto"/>
        <w:right w:val="none" w:sz="0" w:space="0" w:color="auto"/>
      </w:divBdr>
    </w:div>
    <w:div w:id="1222518291">
      <w:bodyDiv w:val="1"/>
      <w:marLeft w:val="0"/>
      <w:marRight w:val="0"/>
      <w:marTop w:val="0"/>
      <w:marBottom w:val="0"/>
      <w:divBdr>
        <w:top w:val="none" w:sz="0" w:space="0" w:color="auto"/>
        <w:left w:val="none" w:sz="0" w:space="0" w:color="auto"/>
        <w:bottom w:val="none" w:sz="0" w:space="0" w:color="auto"/>
        <w:right w:val="none" w:sz="0" w:space="0" w:color="auto"/>
      </w:divBdr>
    </w:div>
    <w:div w:id="1333071894">
      <w:bodyDiv w:val="1"/>
      <w:marLeft w:val="0"/>
      <w:marRight w:val="0"/>
      <w:marTop w:val="0"/>
      <w:marBottom w:val="0"/>
      <w:divBdr>
        <w:top w:val="none" w:sz="0" w:space="0" w:color="auto"/>
        <w:left w:val="none" w:sz="0" w:space="0" w:color="auto"/>
        <w:bottom w:val="none" w:sz="0" w:space="0" w:color="auto"/>
        <w:right w:val="none" w:sz="0" w:space="0" w:color="auto"/>
      </w:divBdr>
    </w:div>
    <w:div w:id="1383939366">
      <w:bodyDiv w:val="1"/>
      <w:marLeft w:val="0"/>
      <w:marRight w:val="0"/>
      <w:marTop w:val="0"/>
      <w:marBottom w:val="0"/>
      <w:divBdr>
        <w:top w:val="none" w:sz="0" w:space="0" w:color="auto"/>
        <w:left w:val="none" w:sz="0" w:space="0" w:color="auto"/>
        <w:bottom w:val="none" w:sz="0" w:space="0" w:color="auto"/>
        <w:right w:val="none" w:sz="0" w:space="0" w:color="auto"/>
      </w:divBdr>
    </w:div>
    <w:div w:id="1406144921">
      <w:bodyDiv w:val="1"/>
      <w:marLeft w:val="0"/>
      <w:marRight w:val="0"/>
      <w:marTop w:val="0"/>
      <w:marBottom w:val="0"/>
      <w:divBdr>
        <w:top w:val="none" w:sz="0" w:space="0" w:color="auto"/>
        <w:left w:val="none" w:sz="0" w:space="0" w:color="auto"/>
        <w:bottom w:val="none" w:sz="0" w:space="0" w:color="auto"/>
        <w:right w:val="none" w:sz="0" w:space="0" w:color="auto"/>
      </w:divBdr>
    </w:div>
    <w:div w:id="1464157369">
      <w:bodyDiv w:val="1"/>
      <w:marLeft w:val="0"/>
      <w:marRight w:val="0"/>
      <w:marTop w:val="0"/>
      <w:marBottom w:val="0"/>
      <w:divBdr>
        <w:top w:val="none" w:sz="0" w:space="0" w:color="auto"/>
        <w:left w:val="none" w:sz="0" w:space="0" w:color="auto"/>
        <w:bottom w:val="none" w:sz="0" w:space="0" w:color="auto"/>
        <w:right w:val="none" w:sz="0" w:space="0" w:color="auto"/>
      </w:divBdr>
    </w:div>
    <w:div w:id="1481730809">
      <w:bodyDiv w:val="1"/>
      <w:marLeft w:val="0"/>
      <w:marRight w:val="0"/>
      <w:marTop w:val="0"/>
      <w:marBottom w:val="0"/>
      <w:divBdr>
        <w:top w:val="none" w:sz="0" w:space="0" w:color="auto"/>
        <w:left w:val="none" w:sz="0" w:space="0" w:color="auto"/>
        <w:bottom w:val="none" w:sz="0" w:space="0" w:color="auto"/>
        <w:right w:val="none" w:sz="0" w:space="0" w:color="auto"/>
      </w:divBdr>
    </w:div>
    <w:div w:id="1542669960">
      <w:bodyDiv w:val="1"/>
      <w:marLeft w:val="0"/>
      <w:marRight w:val="0"/>
      <w:marTop w:val="0"/>
      <w:marBottom w:val="0"/>
      <w:divBdr>
        <w:top w:val="none" w:sz="0" w:space="0" w:color="auto"/>
        <w:left w:val="none" w:sz="0" w:space="0" w:color="auto"/>
        <w:bottom w:val="none" w:sz="0" w:space="0" w:color="auto"/>
        <w:right w:val="none" w:sz="0" w:space="0" w:color="auto"/>
      </w:divBdr>
    </w:div>
    <w:div w:id="1580599939">
      <w:bodyDiv w:val="1"/>
      <w:marLeft w:val="0"/>
      <w:marRight w:val="0"/>
      <w:marTop w:val="0"/>
      <w:marBottom w:val="0"/>
      <w:divBdr>
        <w:top w:val="none" w:sz="0" w:space="0" w:color="auto"/>
        <w:left w:val="none" w:sz="0" w:space="0" w:color="auto"/>
        <w:bottom w:val="none" w:sz="0" w:space="0" w:color="auto"/>
        <w:right w:val="none" w:sz="0" w:space="0" w:color="auto"/>
      </w:divBdr>
    </w:div>
    <w:div w:id="1646621024">
      <w:bodyDiv w:val="1"/>
      <w:marLeft w:val="0"/>
      <w:marRight w:val="0"/>
      <w:marTop w:val="0"/>
      <w:marBottom w:val="0"/>
      <w:divBdr>
        <w:top w:val="none" w:sz="0" w:space="0" w:color="auto"/>
        <w:left w:val="none" w:sz="0" w:space="0" w:color="auto"/>
        <w:bottom w:val="none" w:sz="0" w:space="0" w:color="auto"/>
        <w:right w:val="none" w:sz="0" w:space="0" w:color="auto"/>
      </w:divBdr>
    </w:div>
    <w:div w:id="1822455881">
      <w:bodyDiv w:val="1"/>
      <w:marLeft w:val="0"/>
      <w:marRight w:val="0"/>
      <w:marTop w:val="0"/>
      <w:marBottom w:val="0"/>
      <w:divBdr>
        <w:top w:val="none" w:sz="0" w:space="0" w:color="auto"/>
        <w:left w:val="none" w:sz="0" w:space="0" w:color="auto"/>
        <w:bottom w:val="none" w:sz="0" w:space="0" w:color="auto"/>
        <w:right w:val="none" w:sz="0" w:space="0" w:color="auto"/>
      </w:divBdr>
      <w:divsChild>
        <w:div w:id="560797537">
          <w:marLeft w:val="0"/>
          <w:marRight w:val="0"/>
          <w:marTop w:val="0"/>
          <w:marBottom w:val="0"/>
          <w:divBdr>
            <w:top w:val="none" w:sz="0" w:space="0" w:color="auto"/>
            <w:left w:val="none" w:sz="0" w:space="0" w:color="auto"/>
            <w:bottom w:val="none" w:sz="0" w:space="0" w:color="auto"/>
            <w:right w:val="none" w:sz="0" w:space="0" w:color="auto"/>
          </w:divBdr>
          <w:divsChild>
            <w:div w:id="593125470">
              <w:marLeft w:val="0"/>
              <w:marRight w:val="0"/>
              <w:marTop w:val="0"/>
              <w:marBottom w:val="0"/>
              <w:divBdr>
                <w:top w:val="none" w:sz="0" w:space="0" w:color="auto"/>
                <w:left w:val="none" w:sz="0" w:space="0" w:color="auto"/>
                <w:bottom w:val="none" w:sz="0" w:space="0" w:color="auto"/>
                <w:right w:val="none" w:sz="0" w:space="0" w:color="auto"/>
              </w:divBdr>
              <w:divsChild>
                <w:div w:id="1316841165">
                  <w:marLeft w:val="0"/>
                  <w:marRight w:val="0"/>
                  <w:marTop w:val="0"/>
                  <w:marBottom w:val="0"/>
                  <w:divBdr>
                    <w:top w:val="none" w:sz="0" w:space="0" w:color="auto"/>
                    <w:left w:val="none" w:sz="0" w:space="0" w:color="auto"/>
                    <w:bottom w:val="none" w:sz="0" w:space="0" w:color="auto"/>
                    <w:right w:val="none" w:sz="0" w:space="0" w:color="auto"/>
                  </w:divBdr>
                  <w:divsChild>
                    <w:div w:id="228424745">
                      <w:marLeft w:val="0"/>
                      <w:marRight w:val="0"/>
                      <w:marTop w:val="0"/>
                      <w:marBottom w:val="0"/>
                      <w:divBdr>
                        <w:top w:val="none" w:sz="0" w:space="0" w:color="auto"/>
                        <w:left w:val="none" w:sz="0" w:space="0" w:color="auto"/>
                        <w:bottom w:val="none" w:sz="0" w:space="0" w:color="auto"/>
                        <w:right w:val="none" w:sz="0" w:space="0" w:color="auto"/>
                      </w:divBdr>
                      <w:divsChild>
                        <w:div w:id="763839833">
                          <w:marLeft w:val="0"/>
                          <w:marRight w:val="0"/>
                          <w:marTop w:val="0"/>
                          <w:marBottom w:val="0"/>
                          <w:divBdr>
                            <w:top w:val="none" w:sz="0" w:space="0" w:color="auto"/>
                            <w:left w:val="none" w:sz="0" w:space="0" w:color="auto"/>
                            <w:bottom w:val="none" w:sz="0" w:space="0" w:color="auto"/>
                            <w:right w:val="none" w:sz="0" w:space="0" w:color="auto"/>
                          </w:divBdr>
                        </w:div>
                      </w:divsChild>
                    </w:div>
                    <w:div w:id="376928848">
                      <w:marLeft w:val="0"/>
                      <w:marRight w:val="0"/>
                      <w:marTop w:val="0"/>
                      <w:marBottom w:val="0"/>
                      <w:divBdr>
                        <w:top w:val="none" w:sz="0" w:space="0" w:color="auto"/>
                        <w:left w:val="none" w:sz="0" w:space="0" w:color="auto"/>
                        <w:bottom w:val="none" w:sz="0" w:space="0" w:color="auto"/>
                        <w:right w:val="none" w:sz="0" w:space="0" w:color="auto"/>
                      </w:divBdr>
                      <w:divsChild>
                        <w:div w:id="1865053153">
                          <w:marLeft w:val="0"/>
                          <w:marRight w:val="0"/>
                          <w:marTop w:val="0"/>
                          <w:marBottom w:val="0"/>
                          <w:divBdr>
                            <w:top w:val="none" w:sz="0" w:space="0" w:color="auto"/>
                            <w:left w:val="none" w:sz="0" w:space="0" w:color="auto"/>
                            <w:bottom w:val="none" w:sz="0" w:space="0" w:color="auto"/>
                            <w:right w:val="none" w:sz="0" w:space="0" w:color="auto"/>
                          </w:divBdr>
                        </w:div>
                      </w:divsChild>
                    </w:div>
                    <w:div w:id="869800885">
                      <w:marLeft w:val="0"/>
                      <w:marRight w:val="0"/>
                      <w:marTop w:val="0"/>
                      <w:marBottom w:val="0"/>
                      <w:divBdr>
                        <w:top w:val="none" w:sz="0" w:space="0" w:color="auto"/>
                        <w:left w:val="none" w:sz="0" w:space="0" w:color="auto"/>
                        <w:bottom w:val="none" w:sz="0" w:space="0" w:color="auto"/>
                        <w:right w:val="none" w:sz="0" w:space="0" w:color="auto"/>
                      </w:divBdr>
                      <w:divsChild>
                        <w:div w:id="1443502136">
                          <w:marLeft w:val="0"/>
                          <w:marRight w:val="0"/>
                          <w:marTop w:val="0"/>
                          <w:marBottom w:val="0"/>
                          <w:divBdr>
                            <w:top w:val="none" w:sz="0" w:space="0" w:color="auto"/>
                            <w:left w:val="none" w:sz="0" w:space="0" w:color="auto"/>
                            <w:bottom w:val="none" w:sz="0" w:space="0" w:color="auto"/>
                            <w:right w:val="none" w:sz="0" w:space="0" w:color="auto"/>
                          </w:divBdr>
                        </w:div>
                      </w:divsChild>
                    </w:div>
                    <w:div w:id="880243303">
                      <w:marLeft w:val="0"/>
                      <w:marRight w:val="0"/>
                      <w:marTop w:val="0"/>
                      <w:marBottom w:val="0"/>
                      <w:divBdr>
                        <w:top w:val="none" w:sz="0" w:space="0" w:color="auto"/>
                        <w:left w:val="none" w:sz="0" w:space="0" w:color="auto"/>
                        <w:bottom w:val="none" w:sz="0" w:space="0" w:color="auto"/>
                        <w:right w:val="none" w:sz="0" w:space="0" w:color="auto"/>
                      </w:divBdr>
                      <w:divsChild>
                        <w:div w:id="1872836296">
                          <w:marLeft w:val="0"/>
                          <w:marRight w:val="0"/>
                          <w:marTop w:val="0"/>
                          <w:marBottom w:val="0"/>
                          <w:divBdr>
                            <w:top w:val="none" w:sz="0" w:space="0" w:color="auto"/>
                            <w:left w:val="none" w:sz="0" w:space="0" w:color="auto"/>
                            <w:bottom w:val="none" w:sz="0" w:space="0" w:color="auto"/>
                            <w:right w:val="none" w:sz="0" w:space="0" w:color="auto"/>
                          </w:divBdr>
                        </w:div>
                      </w:divsChild>
                    </w:div>
                    <w:div w:id="1784616926">
                      <w:marLeft w:val="0"/>
                      <w:marRight w:val="0"/>
                      <w:marTop w:val="0"/>
                      <w:marBottom w:val="0"/>
                      <w:divBdr>
                        <w:top w:val="none" w:sz="0" w:space="0" w:color="auto"/>
                        <w:left w:val="none" w:sz="0" w:space="0" w:color="auto"/>
                        <w:bottom w:val="none" w:sz="0" w:space="0" w:color="auto"/>
                        <w:right w:val="none" w:sz="0" w:space="0" w:color="auto"/>
                      </w:divBdr>
                      <w:divsChild>
                        <w:div w:id="260188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9492597">
      <w:bodyDiv w:val="1"/>
      <w:marLeft w:val="0"/>
      <w:marRight w:val="0"/>
      <w:marTop w:val="0"/>
      <w:marBottom w:val="0"/>
      <w:divBdr>
        <w:top w:val="none" w:sz="0" w:space="0" w:color="auto"/>
        <w:left w:val="none" w:sz="0" w:space="0" w:color="auto"/>
        <w:bottom w:val="none" w:sz="0" w:space="0" w:color="auto"/>
        <w:right w:val="none" w:sz="0" w:space="0" w:color="auto"/>
      </w:divBdr>
    </w:div>
    <w:div w:id="1848859156">
      <w:bodyDiv w:val="1"/>
      <w:marLeft w:val="0"/>
      <w:marRight w:val="0"/>
      <w:marTop w:val="0"/>
      <w:marBottom w:val="0"/>
      <w:divBdr>
        <w:top w:val="none" w:sz="0" w:space="0" w:color="auto"/>
        <w:left w:val="none" w:sz="0" w:space="0" w:color="auto"/>
        <w:bottom w:val="none" w:sz="0" w:space="0" w:color="auto"/>
        <w:right w:val="none" w:sz="0" w:space="0" w:color="auto"/>
      </w:divBdr>
    </w:div>
    <w:div w:id="1872109241">
      <w:bodyDiv w:val="1"/>
      <w:marLeft w:val="0"/>
      <w:marRight w:val="0"/>
      <w:marTop w:val="0"/>
      <w:marBottom w:val="0"/>
      <w:divBdr>
        <w:top w:val="none" w:sz="0" w:space="0" w:color="auto"/>
        <w:left w:val="none" w:sz="0" w:space="0" w:color="auto"/>
        <w:bottom w:val="none" w:sz="0" w:space="0" w:color="auto"/>
        <w:right w:val="none" w:sz="0" w:space="0" w:color="auto"/>
      </w:divBdr>
    </w:div>
    <w:div w:id="1879587762">
      <w:bodyDiv w:val="1"/>
      <w:marLeft w:val="0"/>
      <w:marRight w:val="0"/>
      <w:marTop w:val="0"/>
      <w:marBottom w:val="0"/>
      <w:divBdr>
        <w:top w:val="none" w:sz="0" w:space="0" w:color="auto"/>
        <w:left w:val="none" w:sz="0" w:space="0" w:color="auto"/>
        <w:bottom w:val="none" w:sz="0" w:space="0" w:color="auto"/>
        <w:right w:val="none" w:sz="0" w:space="0" w:color="auto"/>
      </w:divBdr>
    </w:div>
    <w:div w:id="2029481601">
      <w:bodyDiv w:val="1"/>
      <w:marLeft w:val="0"/>
      <w:marRight w:val="0"/>
      <w:marTop w:val="0"/>
      <w:marBottom w:val="0"/>
      <w:divBdr>
        <w:top w:val="none" w:sz="0" w:space="0" w:color="auto"/>
        <w:left w:val="none" w:sz="0" w:space="0" w:color="auto"/>
        <w:bottom w:val="none" w:sz="0" w:space="0" w:color="auto"/>
        <w:right w:val="none" w:sz="0" w:space="0" w:color="auto"/>
      </w:divBdr>
    </w:div>
    <w:div w:id="2083333955">
      <w:bodyDiv w:val="1"/>
      <w:marLeft w:val="0"/>
      <w:marRight w:val="0"/>
      <w:marTop w:val="0"/>
      <w:marBottom w:val="0"/>
      <w:divBdr>
        <w:top w:val="none" w:sz="0" w:space="0" w:color="auto"/>
        <w:left w:val="none" w:sz="0" w:space="0" w:color="auto"/>
        <w:bottom w:val="none" w:sz="0" w:space="0" w:color="auto"/>
        <w:right w:val="none" w:sz="0" w:space="0" w:color="auto"/>
      </w:divBdr>
    </w:div>
    <w:div w:id="2116511574">
      <w:bodyDiv w:val="1"/>
      <w:marLeft w:val="0"/>
      <w:marRight w:val="0"/>
      <w:marTop w:val="0"/>
      <w:marBottom w:val="0"/>
      <w:divBdr>
        <w:top w:val="none" w:sz="0" w:space="0" w:color="auto"/>
        <w:left w:val="none" w:sz="0" w:space="0" w:color="auto"/>
        <w:bottom w:val="none" w:sz="0" w:space="0" w:color="auto"/>
        <w:right w:val="none" w:sz="0" w:space="0" w:color="auto"/>
      </w:divBdr>
      <w:divsChild>
        <w:div w:id="41172161">
          <w:marLeft w:val="0"/>
          <w:marRight w:val="0"/>
          <w:marTop w:val="0"/>
          <w:marBottom w:val="0"/>
          <w:divBdr>
            <w:top w:val="none" w:sz="0" w:space="0" w:color="auto"/>
            <w:left w:val="none" w:sz="0" w:space="0" w:color="auto"/>
            <w:bottom w:val="none" w:sz="0" w:space="0" w:color="auto"/>
            <w:right w:val="none" w:sz="0" w:space="0" w:color="auto"/>
          </w:divBdr>
          <w:divsChild>
            <w:div w:id="898325867">
              <w:marLeft w:val="0"/>
              <w:marRight w:val="0"/>
              <w:marTop w:val="0"/>
              <w:marBottom w:val="0"/>
              <w:divBdr>
                <w:top w:val="none" w:sz="0" w:space="0" w:color="auto"/>
                <w:left w:val="none" w:sz="0" w:space="0" w:color="auto"/>
                <w:bottom w:val="none" w:sz="0" w:space="0" w:color="auto"/>
                <w:right w:val="none" w:sz="0" w:space="0" w:color="auto"/>
              </w:divBdr>
            </w:div>
            <w:div w:id="2037462382">
              <w:marLeft w:val="0"/>
              <w:marRight w:val="0"/>
              <w:marTop w:val="0"/>
              <w:marBottom w:val="0"/>
              <w:divBdr>
                <w:top w:val="none" w:sz="0" w:space="0" w:color="auto"/>
                <w:left w:val="none" w:sz="0" w:space="0" w:color="auto"/>
                <w:bottom w:val="none" w:sz="0" w:space="0" w:color="auto"/>
                <w:right w:val="none" w:sz="0" w:space="0" w:color="auto"/>
              </w:divBdr>
            </w:div>
            <w:div w:id="1704093197">
              <w:marLeft w:val="0"/>
              <w:marRight w:val="0"/>
              <w:marTop w:val="0"/>
              <w:marBottom w:val="0"/>
              <w:divBdr>
                <w:top w:val="none" w:sz="0" w:space="0" w:color="auto"/>
                <w:left w:val="none" w:sz="0" w:space="0" w:color="auto"/>
                <w:bottom w:val="none" w:sz="0" w:space="0" w:color="auto"/>
                <w:right w:val="none" w:sz="0" w:space="0" w:color="auto"/>
              </w:divBdr>
            </w:div>
            <w:div w:id="382561846">
              <w:marLeft w:val="0"/>
              <w:marRight w:val="0"/>
              <w:marTop w:val="0"/>
              <w:marBottom w:val="0"/>
              <w:divBdr>
                <w:top w:val="none" w:sz="0" w:space="0" w:color="auto"/>
                <w:left w:val="none" w:sz="0" w:space="0" w:color="auto"/>
                <w:bottom w:val="none" w:sz="0" w:space="0" w:color="auto"/>
                <w:right w:val="none" w:sz="0" w:space="0" w:color="auto"/>
              </w:divBdr>
            </w:div>
            <w:div w:id="691420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image" Target="media/image8.emf"/><Relationship Id="rId26" Type="http://schemas.openxmlformats.org/officeDocument/2006/relationships/image" Target="media/image15.emf"/><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0.emf"/><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2.emf"/><Relationship Id="rId17" Type="http://schemas.openxmlformats.org/officeDocument/2006/relationships/image" Target="media/image7.emf"/><Relationship Id="rId25" Type="http://schemas.openxmlformats.org/officeDocument/2006/relationships/image" Target="media/image14.emf"/><Relationship Id="rId33" Type="http://schemas.openxmlformats.org/officeDocument/2006/relationships/header" Target="header2.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emf"/><Relationship Id="rId20" Type="http://schemas.openxmlformats.org/officeDocument/2006/relationships/hyperlink" Target="http://www.aer.gov.au/node/451" TargetMode="External"/><Relationship Id="rId29" Type="http://schemas.openxmlformats.org/officeDocument/2006/relationships/image" Target="media/image18.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er.gov.au/industry-information/industry-statistics" TargetMode="External"/><Relationship Id="rId24" Type="http://schemas.openxmlformats.org/officeDocument/2006/relationships/image" Target="media/image13.emf"/><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image" Target="media/image5.emf"/><Relationship Id="rId23" Type="http://schemas.openxmlformats.org/officeDocument/2006/relationships/image" Target="media/image12.emf"/><Relationship Id="rId28" Type="http://schemas.openxmlformats.org/officeDocument/2006/relationships/image" Target="media/image17.emf"/><Relationship Id="rId36" Type="http://schemas.openxmlformats.org/officeDocument/2006/relationships/header" Target="header3.xml"/><Relationship Id="rId10" Type="http://schemas.openxmlformats.org/officeDocument/2006/relationships/hyperlink" Target="http://www.aer.gov.au/wholesale-markets/market-performance" TargetMode="External"/><Relationship Id="rId19" Type="http://schemas.openxmlformats.org/officeDocument/2006/relationships/image" Target="media/image9.emf"/><Relationship Id="rId31" Type="http://schemas.openxmlformats.org/officeDocument/2006/relationships/image" Target="media/image20.e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jpeg"/><Relationship Id="rId22" Type="http://schemas.openxmlformats.org/officeDocument/2006/relationships/image" Target="media/image11.emf"/><Relationship Id="rId27" Type="http://schemas.openxmlformats.org/officeDocument/2006/relationships/image" Target="media/image16.emf"/><Relationship Id="rId30" Type="http://schemas.openxmlformats.org/officeDocument/2006/relationships/image" Target="media/image19.emf"/><Relationship Id="rId35"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www.aer.gov.au/system/files/User%20guide%20to%20the%20AER%20gas%20weekly%20report%20-%20November%202016.pdf" TargetMode="External"/><Relationship Id="rId2" Type="http://schemas.openxmlformats.org/officeDocument/2006/relationships/hyperlink" Target="https://www.aer.gov.au/system/files/User%20guide%20to%20the%20AER%20gas%20weekly%20report%20-%20November%202016.pdf" TargetMode="External"/><Relationship Id="rId1" Type="http://schemas.openxmlformats.org/officeDocument/2006/relationships/hyperlink" Target="https://www.aer.gov.au/system/files/AER%20gas%20weekly%20report%20-%2013%20%E2%80%93%2019%20November%202016.pdf" TargetMode="Externa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03591"/>
      </a:dk2>
      <a:lt2>
        <a:srgbClr val="D5D6D2"/>
      </a:lt2>
      <a:accent1>
        <a:srgbClr val="51626F"/>
      </a:accent1>
      <a:accent2>
        <a:srgbClr val="4F2D7D"/>
      </a:accent2>
      <a:accent3>
        <a:srgbClr val="0098C3"/>
      </a:accent3>
      <a:accent4>
        <a:srgbClr val="A0CFEB"/>
      </a:accent4>
      <a:accent5>
        <a:srgbClr val="B71202"/>
      </a:accent5>
      <a:accent6>
        <a:srgbClr val="DC5034"/>
      </a:accent6>
      <a:hlink>
        <a:srgbClr val="0000FF"/>
      </a:hlink>
      <a:folHlink>
        <a:srgbClr val="800080"/>
      </a:folHlink>
    </a:clrScheme>
    <a:fontScheme name="ACCC">
      <a:majorFont>
        <a:latin typeface="Lucida Fax"/>
        <a:ea typeface=""/>
        <a:cs typeface=""/>
      </a:majorFont>
      <a:minorFont>
        <a:latin typeface="Arial"/>
        <a:ea typeface=""/>
        <a:cs typeface=""/>
      </a:minorFont>
    </a:fontScheme>
    <a:fmtScheme name="Apex">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29DCAA79.dotm</Template>
  <TotalTime>0</TotalTime>
  <Pages>13</Pages>
  <Words>1724</Words>
  <Characters>9827</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2017-01-20T05:46:00Z</dcterms:created>
  <dcterms:modified xsi:type="dcterms:W3CDTF">2017-01-20T06:03:00Z</dcterms:modified>
</cp:coreProperties>
</file>