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0C4" w:rsidRPr="004420C4" w:rsidRDefault="00DA4967" w:rsidP="004420C4">
      <w:pPr>
        <w:pStyle w:val="Heading1"/>
        <w:numPr>
          <w:ilvl w:val="0"/>
          <w:numId w:val="0"/>
        </w:numPr>
        <w:spacing w:before="120" w:after="0"/>
        <w:ind w:left="142"/>
        <w:rPr>
          <w:color w:val="FFFFFF"/>
          <w:sz w:val="36"/>
        </w:rPr>
      </w:pPr>
      <w:bookmarkStart w:id="0" w:name="OLE_LINK66"/>
      <w:bookmarkStart w:id="1" w:name="OLE_LINK67"/>
      <w:r>
        <w:rPr>
          <w:noProof/>
          <w:color w:val="FFFFF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94" type="#_x0000_t75" alt="Australian Energy Regulator logo" style="position:absolute;left:0;text-align:left;margin-left:-.55pt;margin-top:5.5pt;width:476.25pt;height:77.25pt;z-index:-251649024;mso-position-horizontal-relative:text;mso-position-vertical-relative:text">
            <v:imagedata r:id="rId9" o:title="AER-header for report templates"/>
          </v:shape>
        </w:pict>
      </w:r>
      <w:r>
        <w:rPr>
          <w:noProof/>
          <w:color w:val="FFFFFF"/>
          <w:sz w:val="36"/>
        </w:rPr>
        <w:pict>
          <v:shape id="_x0000_s1093" type="#_x0000_t75" style="position:absolute;left:0;text-align:left;margin-left:720.75pt;margin-top:282.05pt;width:386.3pt;height:299.3pt;z-index:251666432;mso-position-horizontal-relative:text;mso-position-vertical-relative:text" fillcolor="black" strokecolor="white" strokeweight="3e-5mm">
            <v:imagedata r:id="rId10" o:title=""/>
            <o:lock v:ext="edit" rotation="t"/>
          </v:shape>
        </w:pict>
      </w:r>
      <w:r w:rsidR="004420C4" w:rsidRPr="004420C4">
        <w:rPr>
          <w:color w:val="FFFFFF"/>
          <w:sz w:val="36"/>
        </w:rPr>
        <w:t>Gas Market Report</w:t>
      </w:r>
    </w:p>
    <w:p w:rsidR="004420C4" w:rsidRDefault="004420C4" w:rsidP="004420C4"/>
    <w:p w:rsidR="004420C4" w:rsidRDefault="004420C4" w:rsidP="004420C4"/>
    <w:p w:rsidR="004420C4" w:rsidRDefault="004420C4" w:rsidP="004420C4"/>
    <w:p w:rsidR="004420C4" w:rsidRPr="00AC3047" w:rsidRDefault="009273C1" w:rsidP="004420C4">
      <w:pPr>
        <w:pStyle w:val="Heading2"/>
        <w:numPr>
          <w:ilvl w:val="0"/>
          <w:numId w:val="0"/>
        </w:numPr>
        <w:rPr>
          <w:i w:val="0"/>
        </w:rPr>
      </w:pPr>
      <w:r>
        <w:rPr>
          <w:i w:val="0"/>
          <w:sz w:val="36"/>
          <w:szCs w:val="36"/>
        </w:rPr>
        <w:t>1 – 7 May 2016</w:t>
      </w:r>
    </w:p>
    <w:p w:rsidR="00A67716" w:rsidRDefault="00A67716" w:rsidP="00D1641C">
      <w:pPr>
        <w:pStyle w:val="Heading1"/>
        <w:numPr>
          <w:ilvl w:val="0"/>
          <w:numId w:val="0"/>
        </w:numPr>
        <w:spacing w:before="0" w:after="120"/>
        <w:rPr>
          <w:rFonts w:cs="Times New Roman"/>
          <w:noProof/>
          <w:color w:val="2272A3"/>
          <w:kern w:val="0"/>
          <w:szCs w:val="20"/>
          <w:lang w:eastAsia="en-US"/>
        </w:rPr>
      </w:pPr>
      <w:r w:rsidRPr="00AF2164">
        <w:rPr>
          <w:rFonts w:cs="Times New Roman"/>
          <w:noProof/>
          <w:color w:val="2272A3"/>
          <w:kern w:val="0"/>
          <w:szCs w:val="20"/>
          <w:lang w:eastAsia="en-US"/>
        </w:rPr>
        <w:t>Wee</w:t>
      </w:r>
      <w:r w:rsidR="00AF2164" w:rsidRPr="00AF2164">
        <w:rPr>
          <w:rFonts w:cs="Times New Roman"/>
          <w:noProof/>
          <w:color w:val="2272A3"/>
          <w:kern w:val="0"/>
          <w:szCs w:val="20"/>
          <w:lang w:eastAsia="en-US"/>
        </w:rPr>
        <w:t>kly summary</w:t>
      </w:r>
    </w:p>
    <w:p w:rsidR="00AF2164" w:rsidRPr="00DA26B1" w:rsidRDefault="00DA26B1" w:rsidP="00345444">
      <w:pPr>
        <w:pStyle w:val="AERbodytext"/>
        <w:spacing w:line="240" w:lineRule="auto"/>
        <w:jc w:val="both"/>
      </w:pPr>
      <w:r w:rsidRPr="00DA26B1">
        <w:t>With the exception of Sydney, average prices i</w:t>
      </w:r>
      <w:bookmarkStart w:id="2" w:name="_GoBack"/>
      <w:bookmarkEnd w:id="2"/>
      <w:r w:rsidRPr="00DA26B1">
        <w:t xml:space="preserve">ncreased this week. The largest increase occurred in Victoria, which rose by 24 per cent </w:t>
      </w:r>
      <w:r>
        <w:t>from</w:t>
      </w:r>
      <w:r w:rsidRPr="00DA26B1">
        <w:t xml:space="preserve"> the previous week.</w:t>
      </w:r>
      <w:r w:rsidR="00F30B5A">
        <w:t xml:space="preserve"> </w:t>
      </w:r>
    </w:p>
    <w:p w:rsidR="00AF2164" w:rsidRPr="00D1641C" w:rsidRDefault="00AF2164" w:rsidP="006E7E57">
      <w:pPr>
        <w:pStyle w:val="Heading1"/>
        <w:numPr>
          <w:ilvl w:val="0"/>
          <w:numId w:val="0"/>
        </w:numPr>
        <w:spacing w:before="180"/>
        <w:rPr>
          <w:rFonts w:cs="Times New Roman"/>
          <w:noProof/>
          <w:color w:val="2272A3"/>
          <w:kern w:val="0"/>
          <w:szCs w:val="20"/>
          <w:lang w:eastAsia="en-US"/>
        </w:rPr>
      </w:pPr>
      <w:r w:rsidRPr="00AF2164">
        <w:rPr>
          <w:rFonts w:cs="Times New Roman"/>
          <w:noProof/>
          <w:color w:val="2272A3"/>
          <w:kern w:val="0"/>
          <w:szCs w:val="20"/>
          <w:lang w:eastAsia="en-US"/>
        </w:rPr>
        <w:t>Long term statistics and explanatory mate</w:t>
      </w:r>
      <w:r w:rsidR="007D470C">
        <w:rPr>
          <w:rFonts w:cs="Times New Roman"/>
          <w:noProof/>
          <w:color w:val="2272A3"/>
          <w:kern w:val="0"/>
          <w:szCs w:val="20"/>
          <w:lang w:eastAsia="en-US"/>
        </w:rPr>
        <w:t>rial</w:t>
      </w:r>
    </w:p>
    <w:p w:rsidR="00AF2164" w:rsidRPr="00AF2164" w:rsidRDefault="00AF2164" w:rsidP="00FF0D8A">
      <w:pPr>
        <w:jc w:val="both"/>
      </w:pPr>
      <w:r>
        <w:t xml:space="preserve">The AER has published an </w:t>
      </w:r>
      <w:hyperlink r:id="rId11" w:history="1">
        <w:r>
          <w:rPr>
            <w:rStyle w:val="Hyperlink"/>
          </w:rPr>
          <w:t>explanatory note</w:t>
        </w:r>
      </w:hyperlink>
      <w:r>
        <w:t xml:space="preserve"> to assist with interpreting the data presented in its weekly gas market reports. The AER also publish a range of </w:t>
      </w:r>
      <w:hyperlink r:id="rId12" w:history="1">
        <w:r>
          <w:rPr>
            <w:rStyle w:val="Hyperlink"/>
          </w:rPr>
          <w:t>longer term statistics</w:t>
        </w:r>
      </w:hyperlink>
      <w:r>
        <w:t xml:space="preserve"> on the performance of the gas sector including gas prices, production, pipeline flows and consumer demand.</w:t>
      </w:r>
    </w:p>
    <w:p w:rsidR="00AF2164" w:rsidRPr="00D1641C" w:rsidRDefault="00AF2164" w:rsidP="006E7E57">
      <w:pPr>
        <w:pStyle w:val="Heading1"/>
        <w:numPr>
          <w:ilvl w:val="0"/>
          <w:numId w:val="0"/>
        </w:numPr>
        <w:spacing w:before="180"/>
        <w:rPr>
          <w:rFonts w:cs="Times New Roman"/>
          <w:noProof/>
          <w:color w:val="2272A3"/>
          <w:kern w:val="0"/>
          <w:szCs w:val="20"/>
          <w:lang w:eastAsia="en-US"/>
        </w:rPr>
      </w:pPr>
      <w:r w:rsidRPr="00D1641C">
        <w:rPr>
          <w:rFonts w:cs="Times New Roman"/>
          <w:noProof/>
          <w:color w:val="2272A3"/>
          <w:kern w:val="0"/>
          <w:szCs w:val="20"/>
          <w:lang w:eastAsia="en-US"/>
        </w:rPr>
        <w:t>Market overview</w:t>
      </w:r>
    </w:p>
    <w:p w:rsidR="00D1641C" w:rsidRDefault="00D1641C" w:rsidP="00FF0D8A">
      <w:pPr>
        <w:jc w:val="both"/>
        <w:rPr>
          <w:szCs w:val="22"/>
        </w:rPr>
      </w:pPr>
      <w:r w:rsidRPr="008D4DAB">
        <w:t xml:space="preserve">Figure 1 sets out the average daily prices ($/GJ) in the Victorian Declared Wholesale Market </w:t>
      </w:r>
      <w:r w:rsidRPr="000F2287">
        <w:rPr>
          <w:b/>
          <w:szCs w:val="22"/>
        </w:rPr>
        <w:t>(VGM or Victorian gas market)</w:t>
      </w:r>
      <w:r w:rsidRPr="000F2287">
        <w:rPr>
          <w:szCs w:val="22"/>
        </w:rPr>
        <w:t xml:space="preserve"> and for the Sydney </w:t>
      </w:r>
      <w:r w:rsidRPr="000F2287">
        <w:rPr>
          <w:b/>
          <w:szCs w:val="22"/>
        </w:rPr>
        <w:t>(SYD)</w:t>
      </w:r>
      <w:r w:rsidRPr="000F2287">
        <w:rPr>
          <w:szCs w:val="22"/>
        </w:rPr>
        <w:t xml:space="preserve">, Adelaide </w:t>
      </w:r>
      <w:r w:rsidRPr="000F2287">
        <w:rPr>
          <w:b/>
          <w:szCs w:val="22"/>
        </w:rPr>
        <w:t xml:space="preserve">(ADL) </w:t>
      </w:r>
      <w:r w:rsidRPr="000F2287">
        <w:rPr>
          <w:szCs w:val="22"/>
        </w:rPr>
        <w:t xml:space="preserve">and Brisbane </w:t>
      </w:r>
      <w:r w:rsidRPr="000F2287">
        <w:rPr>
          <w:b/>
          <w:szCs w:val="22"/>
        </w:rPr>
        <w:t xml:space="preserve">(BRI) </w:t>
      </w:r>
      <w:r w:rsidRPr="000F2287">
        <w:rPr>
          <w:szCs w:val="22"/>
        </w:rPr>
        <w:t xml:space="preserve">Short Term Trading Market hubs </w:t>
      </w:r>
      <w:r w:rsidRPr="000F2287">
        <w:rPr>
          <w:b/>
          <w:szCs w:val="22"/>
        </w:rPr>
        <w:t>(STTM)</w:t>
      </w:r>
      <w:r w:rsidRPr="000F2287">
        <w:rPr>
          <w:szCs w:val="22"/>
        </w:rPr>
        <w:t xml:space="preserve"> for the current week compared to historical averages.</w:t>
      </w:r>
    </w:p>
    <w:p w:rsidR="00D1641C" w:rsidRDefault="00D1641C" w:rsidP="006E7E57">
      <w:pPr>
        <w:pStyle w:val="Heading2"/>
        <w:ind w:firstLine="0"/>
        <w:rPr>
          <w:i w:val="0"/>
          <w:color w:val="2272A3"/>
          <w:sz w:val="24"/>
          <w:szCs w:val="24"/>
        </w:rPr>
      </w:pPr>
      <w:r w:rsidRPr="006E7E57">
        <w:rPr>
          <w:i w:val="0"/>
          <w:color w:val="2272A3"/>
          <w:sz w:val="24"/>
          <w:szCs w:val="24"/>
        </w:rPr>
        <w:t>Average daily prices – all markets ($/GJ)</w:t>
      </w:r>
      <w:r w:rsidRPr="006E7E57">
        <w:rPr>
          <w:i w:val="0"/>
          <w:color w:val="2272A3"/>
          <w:sz w:val="24"/>
          <w:szCs w:val="24"/>
          <w:vertAlign w:val="superscript"/>
        </w:rPr>
        <w:footnoteReference w:id="1"/>
      </w:r>
    </w:p>
    <w:tbl>
      <w:tblPr>
        <w:tblStyle w:val="AERTable-Text0"/>
        <w:tblW w:w="4858" w:type="pct"/>
        <w:tblLook w:val="04A0" w:firstRow="1" w:lastRow="0" w:firstColumn="1" w:lastColumn="0" w:noHBand="0" w:noVBand="1"/>
      </w:tblPr>
      <w:tblGrid>
        <w:gridCol w:w="3650"/>
        <w:gridCol w:w="1420"/>
        <w:gridCol w:w="1418"/>
        <w:gridCol w:w="1418"/>
        <w:gridCol w:w="1558"/>
      </w:tblGrid>
      <w:tr w:rsidR="003F44B7" w:rsidRPr="00DC24BF" w:rsidTr="003F44B7">
        <w:trPr>
          <w:cnfStyle w:val="100000000000" w:firstRow="1" w:lastRow="0" w:firstColumn="0" w:lastColumn="0" w:oddVBand="0" w:evenVBand="0" w:oddHBand="0" w:evenHBand="0" w:firstRowFirstColumn="0" w:firstRowLastColumn="0" w:lastRowFirstColumn="0" w:lastRowLastColumn="0"/>
          <w:tblHeader/>
        </w:trPr>
        <w:tc>
          <w:tcPr>
            <w:tcW w:w="1928" w:type="pct"/>
            <w:tcBorders>
              <w:bottom w:val="nil"/>
            </w:tcBorders>
            <w:hideMark/>
          </w:tcPr>
          <w:p w:rsidR="003F44B7" w:rsidRPr="00DC24BF" w:rsidRDefault="003F44B7" w:rsidP="006C5082">
            <w:pPr>
              <w:pStyle w:val="TableHeading"/>
              <w:jc w:val="center"/>
              <w:rPr>
                <w:rFonts w:cs="Arial"/>
                <w:sz w:val="20"/>
                <w:szCs w:val="20"/>
              </w:rPr>
            </w:pPr>
            <w:r>
              <w:rPr>
                <w:rFonts w:cs="Arial"/>
                <w:sz w:val="20"/>
                <w:szCs w:val="20"/>
              </w:rPr>
              <w:t>Region</w:t>
            </w:r>
          </w:p>
        </w:tc>
        <w:tc>
          <w:tcPr>
            <w:tcW w:w="750" w:type="pct"/>
            <w:tcBorders>
              <w:bottom w:val="nil"/>
            </w:tcBorders>
          </w:tcPr>
          <w:p w:rsidR="003F44B7" w:rsidRPr="00936A7B" w:rsidRDefault="003F44B7" w:rsidP="006C5082">
            <w:pPr>
              <w:jc w:val="center"/>
              <w:rPr>
                <w:sz w:val="20"/>
              </w:rPr>
            </w:pPr>
            <w:r w:rsidRPr="00936A7B">
              <w:rPr>
                <w:sz w:val="20"/>
              </w:rPr>
              <w:t>Victoria</w:t>
            </w:r>
          </w:p>
        </w:tc>
        <w:tc>
          <w:tcPr>
            <w:tcW w:w="749" w:type="pct"/>
            <w:tcBorders>
              <w:bottom w:val="nil"/>
            </w:tcBorders>
            <w:hideMark/>
          </w:tcPr>
          <w:p w:rsidR="003F44B7" w:rsidRPr="00936A7B" w:rsidRDefault="003F44B7" w:rsidP="006C5082">
            <w:pPr>
              <w:jc w:val="center"/>
              <w:rPr>
                <w:sz w:val="20"/>
              </w:rPr>
            </w:pPr>
            <w:r w:rsidRPr="00936A7B">
              <w:rPr>
                <w:sz w:val="20"/>
              </w:rPr>
              <w:t>Sydney</w:t>
            </w:r>
          </w:p>
        </w:tc>
        <w:tc>
          <w:tcPr>
            <w:tcW w:w="749" w:type="pct"/>
            <w:tcBorders>
              <w:bottom w:val="nil"/>
            </w:tcBorders>
            <w:hideMark/>
          </w:tcPr>
          <w:p w:rsidR="003F44B7" w:rsidRPr="00936A7B" w:rsidRDefault="003F44B7" w:rsidP="006C5082">
            <w:pPr>
              <w:jc w:val="center"/>
              <w:rPr>
                <w:sz w:val="20"/>
              </w:rPr>
            </w:pPr>
            <w:r w:rsidRPr="00936A7B">
              <w:rPr>
                <w:sz w:val="20"/>
              </w:rPr>
              <w:t>Adelaide</w:t>
            </w:r>
          </w:p>
        </w:tc>
        <w:tc>
          <w:tcPr>
            <w:tcW w:w="823" w:type="pct"/>
            <w:tcBorders>
              <w:bottom w:val="nil"/>
            </w:tcBorders>
            <w:hideMark/>
          </w:tcPr>
          <w:p w:rsidR="003F44B7" w:rsidRPr="00936A7B" w:rsidRDefault="003F44B7" w:rsidP="006C5082">
            <w:pPr>
              <w:jc w:val="center"/>
              <w:rPr>
                <w:sz w:val="20"/>
              </w:rPr>
            </w:pPr>
            <w:r w:rsidRPr="00936A7B">
              <w:rPr>
                <w:sz w:val="20"/>
              </w:rPr>
              <w:t>Brisbane</w:t>
            </w:r>
          </w:p>
        </w:tc>
      </w:tr>
      <w:tr w:rsidR="00B2315E" w:rsidRPr="0091453B" w:rsidTr="00524A1A">
        <w:trPr>
          <w:trHeight w:val="510"/>
        </w:trPr>
        <w:tc>
          <w:tcPr>
            <w:tcW w:w="1928" w:type="pct"/>
            <w:tcBorders>
              <w:top w:val="nil"/>
              <w:bottom w:val="nil"/>
            </w:tcBorders>
            <w:vAlign w:val="center"/>
          </w:tcPr>
          <w:p w:rsidR="00B2315E" w:rsidRDefault="00B2315E">
            <w:pPr>
              <w:rPr>
                <w:rFonts w:cs="Arial"/>
                <w:sz w:val="20"/>
                <w:szCs w:val="20"/>
              </w:rPr>
            </w:pPr>
            <w:r>
              <w:rPr>
                <w:rFonts w:cs="Arial"/>
                <w:sz w:val="20"/>
                <w:szCs w:val="20"/>
              </w:rPr>
              <w:t>01 May - 07 May 2016</w:t>
            </w:r>
          </w:p>
        </w:tc>
        <w:tc>
          <w:tcPr>
            <w:tcW w:w="750" w:type="pct"/>
            <w:tcBorders>
              <w:top w:val="nil"/>
              <w:bottom w:val="nil"/>
            </w:tcBorders>
            <w:vAlign w:val="center"/>
          </w:tcPr>
          <w:p w:rsidR="00B2315E" w:rsidRDefault="00B2315E">
            <w:pPr>
              <w:jc w:val="center"/>
              <w:rPr>
                <w:rFonts w:cs="Arial"/>
                <w:sz w:val="20"/>
                <w:szCs w:val="20"/>
              </w:rPr>
            </w:pPr>
            <w:r>
              <w:rPr>
                <w:rFonts w:cs="Arial"/>
                <w:sz w:val="20"/>
                <w:szCs w:val="20"/>
              </w:rPr>
              <w:t>5.73</w:t>
            </w:r>
          </w:p>
        </w:tc>
        <w:tc>
          <w:tcPr>
            <w:tcW w:w="749" w:type="pct"/>
            <w:tcBorders>
              <w:top w:val="nil"/>
              <w:bottom w:val="nil"/>
            </w:tcBorders>
            <w:vAlign w:val="center"/>
          </w:tcPr>
          <w:p w:rsidR="00B2315E" w:rsidRDefault="00B2315E">
            <w:pPr>
              <w:jc w:val="center"/>
              <w:rPr>
                <w:rFonts w:cs="Arial"/>
                <w:sz w:val="20"/>
                <w:szCs w:val="20"/>
              </w:rPr>
            </w:pPr>
            <w:r>
              <w:rPr>
                <w:rFonts w:cs="Arial"/>
                <w:sz w:val="20"/>
                <w:szCs w:val="20"/>
              </w:rPr>
              <w:t>4.63</w:t>
            </w:r>
          </w:p>
        </w:tc>
        <w:tc>
          <w:tcPr>
            <w:tcW w:w="749" w:type="pct"/>
            <w:tcBorders>
              <w:top w:val="nil"/>
              <w:bottom w:val="nil"/>
            </w:tcBorders>
            <w:vAlign w:val="center"/>
          </w:tcPr>
          <w:p w:rsidR="00B2315E" w:rsidRDefault="00B2315E">
            <w:pPr>
              <w:jc w:val="center"/>
              <w:rPr>
                <w:rFonts w:cs="Arial"/>
                <w:sz w:val="20"/>
                <w:szCs w:val="20"/>
              </w:rPr>
            </w:pPr>
            <w:r>
              <w:rPr>
                <w:rFonts w:cs="Arial"/>
                <w:sz w:val="20"/>
                <w:szCs w:val="20"/>
              </w:rPr>
              <w:t>6.42</w:t>
            </w:r>
          </w:p>
        </w:tc>
        <w:tc>
          <w:tcPr>
            <w:tcW w:w="823" w:type="pct"/>
            <w:tcBorders>
              <w:top w:val="nil"/>
              <w:bottom w:val="nil"/>
            </w:tcBorders>
            <w:vAlign w:val="center"/>
          </w:tcPr>
          <w:p w:rsidR="00B2315E" w:rsidRDefault="00B2315E">
            <w:pPr>
              <w:jc w:val="center"/>
              <w:rPr>
                <w:rFonts w:cs="Arial"/>
                <w:sz w:val="20"/>
                <w:szCs w:val="20"/>
              </w:rPr>
            </w:pPr>
            <w:r>
              <w:rPr>
                <w:rFonts w:cs="Arial"/>
                <w:sz w:val="20"/>
                <w:szCs w:val="20"/>
              </w:rPr>
              <w:t>5.71</w:t>
            </w:r>
          </w:p>
        </w:tc>
      </w:tr>
      <w:tr w:rsidR="00B2315E" w:rsidRPr="0091453B" w:rsidTr="00524A1A">
        <w:trPr>
          <w:cnfStyle w:val="000000010000" w:firstRow="0" w:lastRow="0" w:firstColumn="0" w:lastColumn="0" w:oddVBand="0" w:evenVBand="0" w:oddHBand="0" w:evenHBand="1" w:firstRowFirstColumn="0" w:firstRowLastColumn="0" w:lastRowFirstColumn="0" w:lastRowLastColumn="0"/>
          <w:trHeight w:val="510"/>
        </w:trPr>
        <w:tc>
          <w:tcPr>
            <w:tcW w:w="1928" w:type="pct"/>
            <w:tcBorders>
              <w:top w:val="nil"/>
              <w:bottom w:val="nil"/>
            </w:tcBorders>
            <w:vAlign w:val="center"/>
          </w:tcPr>
          <w:p w:rsidR="00B2315E" w:rsidRDefault="00B2315E">
            <w:pPr>
              <w:rPr>
                <w:rFonts w:cs="Arial"/>
                <w:sz w:val="20"/>
                <w:szCs w:val="20"/>
              </w:rPr>
            </w:pPr>
            <w:r>
              <w:rPr>
                <w:rFonts w:cs="Arial"/>
                <w:sz w:val="20"/>
                <w:szCs w:val="20"/>
              </w:rPr>
              <w:t>% change from previous week</w:t>
            </w:r>
          </w:p>
        </w:tc>
        <w:tc>
          <w:tcPr>
            <w:tcW w:w="750" w:type="pct"/>
            <w:tcBorders>
              <w:top w:val="nil"/>
              <w:bottom w:val="nil"/>
            </w:tcBorders>
            <w:vAlign w:val="center"/>
          </w:tcPr>
          <w:p w:rsidR="00B2315E" w:rsidRDefault="00B2315E">
            <w:pPr>
              <w:jc w:val="center"/>
              <w:rPr>
                <w:rFonts w:cs="Arial"/>
                <w:sz w:val="20"/>
                <w:szCs w:val="20"/>
              </w:rPr>
            </w:pPr>
            <w:r>
              <w:rPr>
                <w:rFonts w:cs="Arial"/>
                <w:sz w:val="20"/>
                <w:szCs w:val="20"/>
              </w:rPr>
              <w:t>24</w:t>
            </w:r>
          </w:p>
        </w:tc>
        <w:tc>
          <w:tcPr>
            <w:tcW w:w="749" w:type="pct"/>
            <w:tcBorders>
              <w:top w:val="nil"/>
              <w:bottom w:val="nil"/>
            </w:tcBorders>
            <w:vAlign w:val="center"/>
          </w:tcPr>
          <w:p w:rsidR="00B2315E" w:rsidRDefault="00B2315E">
            <w:pPr>
              <w:jc w:val="center"/>
              <w:rPr>
                <w:rFonts w:cs="Arial"/>
                <w:sz w:val="20"/>
                <w:szCs w:val="20"/>
              </w:rPr>
            </w:pPr>
            <w:r>
              <w:rPr>
                <w:rFonts w:cs="Arial"/>
                <w:sz w:val="20"/>
                <w:szCs w:val="20"/>
              </w:rPr>
              <w:t>-5</w:t>
            </w:r>
          </w:p>
        </w:tc>
        <w:tc>
          <w:tcPr>
            <w:tcW w:w="749" w:type="pct"/>
            <w:tcBorders>
              <w:top w:val="nil"/>
              <w:bottom w:val="nil"/>
            </w:tcBorders>
            <w:vAlign w:val="center"/>
          </w:tcPr>
          <w:p w:rsidR="00B2315E" w:rsidRDefault="00B2315E">
            <w:pPr>
              <w:jc w:val="center"/>
              <w:rPr>
                <w:rFonts w:cs="Arial"/>
                <w:sz w:val="20"/>
                <w:szCs w:val="20"/>
              </w:rPr>
            </w:pPr>
            <w:r>
              <w:rPr>
                <w:rFonts w:cs="Arial"/>
                <w:sz w:val="20"/>
                <w:szCs w:val="20"/>
              </w:rPr>
              <w:t>9</w:t>
            </w:r>
          </w:p>
        </w:tc>
        <w:tc>
          <w:tcPr>
            <w:tcW w:w="823" w:type="pct"/>
            <w:tcBorders>
              <w:top w:val="nil"/>
              <w:bottom w:val="nil"/>
            </w:tcBorders>
            <w:vAlign w:val="center"/>
          </w:tcPr>
          <w:p w:rsidR="00B2315E" w:rsidRDefault="00B2315E">
            <w:pPr>
              <w:jc w:val="center"/>
              <w:rPr>
                <w:rFonts w:cs="Arial"/>
                <w:sz w:val="20"/>
                <w:szCs w:val="20"/>
              </w:rPr>
            </w:pPr>
            <w:r>
              <w:rPr>
                <w:rFonts w:cs="Arial"/>
                <w:sz w:val="20"/>
                <w:szCs w:val="20"/>
              </w:rPr>
              <w:t>8</w:t>
            </w:r>
          </w:p>
        </w:tc>
      </w:tr>
      <w:tr w:rsidR="00B2315E" w:rsidRPr="0091453B" w:rsidTr="00524A1A">
        <w:trPr>
          <w:trHeight w:val="510"/>
        </w:trPr>
        <w:tc>
          <w:tcPr>
            <w:tcW w:w="1928" w:type="pct"/>
            <w:tcBorders>
              <w:top w:val="nil"/>
              <w:bottom w:val="nil"/>
            </w:tcBorders>
            <w:vAlign w:val="center"/>
          </w:tcPr>
          <w:p w:rsidR="00B2315E" w:rsidRDefault="00B2315E">
            <w:pPr>
              <w:rPr>
                <w:rFonts w:cs="Arial"/>
                <w:sz w:val="20"/>
                <w:szCs w:val="20"/>
              </w:rPr>
            </w:pPr>
            <w:r>
              <w:rPr>
                <w:rFonts w:cs="Arial"/>
                <w:sz w:val="20"/>
                <w:szCs w:val="20"/>
              </w:rPr>
              <w:t>15-16 financial YTD</w:t>
            </w:r>
          </w:p>
        </w:tc>
        <w:tc>
          <w:tcPr>
            <w:tcW w:w="750" w:type="pct"/>
            <w:tcBorders>
              <w:top w:val="nil"/>
              <w:bottom w:val="nil"/>
            </w:tcBorders>
            <w:vAlign w:val="center"/>
          </w:tcPr>
          <w:p w:rsidR="00B2315E" w:rsidRDefault="00B2315E">
            <w:pPr>
              <w:jc w:val="center"/>
              <w:rPr>
                <w:rFonts w:cs="Arial"/>
                <w:sz w:val="20"/>
                <w:szCs w:val="20"/>
              </w:rPr>
            </w:pPr>
            <w:r>
              <w:rPr>
                <w:rFonts w:cs="Arial"/>
                <w:sz w:val="20"/>
                <w:szCs w:val="20"/>
              </w:rPr>
              <w:t>4.49</w:t>
            </w:r>
          </w:p>
        </w:tc>
        <w:tc>
          <w:tcPr>
            <w:tcW w:w="749" w:type="pct"/>
            <w:tcBorders>
              <w:top w:val="nil"/>
              <w:bottom w:val="nil"/>
            </w:tcBorders>
            <w:vAlign w:val="center"/>
          </w:tcPr>
          <w:p w:rsidR="00B2315E" w:rsidRDefault="00B2315E">
            <w:pPr>
              <w:jc w:val="center"/>
              <w:rPr>
                <w:rFonts w:cs="Arial"/>
                <w:sz w:val="20"/>
                <w:szCs w:val="20"/>
              </w:rPr>
            </w:pPr>
            <w:r>
              <w:rPr>
                <w:rFonts w:cs="Arial"/>
                <w:sz w:val="20"/>
                <w:szCs w:val="20"/>
              </w:rPr>
              <w:t>4.61</w:t>
            </w:r>
          </w:p>
        </w:tc>
        <w:tc>
          <w:tcPr>
            <w:tcW w:w="749" w:type="pct"/>
            <w:tcBorders>
              <w:top w:val="nil"/>
              <w:bottom w:val="nil"/>
            </w:tcBorders>
            <w:vAlign w:val="center"/>
          </w:tcPr>
          <w:p w:rsidR="00B2315E" w:rsidRDefault="00B2315E">
            <w:pPr>
              <w:jc w:val="center"/>
              <w:rPr>
                <w:rFonts w:cs="Arial"/>
                <w:sz w:val="20"/>
                <w:szCs w:val="20"/>
              </w:rPr>
            </w:pPr>
            <w:r>
              <w:rPr>
                <w:rFonts w:cs="Arial"/>
                <w:sz w:val="20"/>
                <w:szCs w:val="20"/>
              </w:rPr>
              <w:t>5.31</w:t>
            </w:r>
          </w:p>
        </w:tc>
        <w:tc>
          <w:tcPr>
            <w:tcW w:w="823" w:type="pct"/>
            <w:tcBorders>
              <w:top w:val="nil"/>
              <w:bottom w:val="nil"/>
            </w:tcBorders>
            <w:vAlign w:val="center"/>
          </w:tcPr>
          <w:p w:rsidR="00B2315E" w:rsidRDefault="00B2315E">
            <w:pPr>
              <w:jc w:val="center"/>
              <w:rPr>
                <w:rFonts w:cs="Arial"/>
                <w:sz w:val="20"/>
                <w:szCs w:val="20"/>
              </w:rPr>
            </w:pPr>
            <w:r>
              <w:rPr>
                <w:rFonts w:cs="Arial"/>
                <w:sz w:val="20"/>
                <w:szCs w:val="20"/>
              </w:rPr>
              <w:t>4.26</w:t>
            </w:r>
          </w:p>
        </w:tc>
      </w:tr>
      <w:tr w:rsidR="00B2315E" w:rsidRPr="0091453B" w:rsidTr="00524A1A">
        <w:trPr>
          <w:cnfStyle w:val="000000010000" w:firstRow="0" w:lastRow="0" w:firstColumn="0" w:lastColumn="0" w:oddVBand="0" w:evenVBand="0" w:oddHBand="0" w:evenHBand="1" w:firstRowFirstColumn="0" w:firstRowLastColumn="0" w:lastRowFirstColumn="0" w:lastRowLastColumn="0"/>
          <w:trHeight w:val="510"/>
        </w:trPr>
        <w:tc>
          <w:tcPr>
            <w:tcW w:w="1928" w:type="pct"/>
            <w:tcBorders>
              <w:top w:val="nil"/>
              <w:bottom w:val="single" w:sz="4" w:space="0" w:color="auto"/>
            </w:tcBorders>
            <w:vAlign w:val="center"/>
          </w:tcPr>
          <w:p w:rsidR="00B2315E" w:rsidRDefault="00B2315E">
            <w:pPr>
              <w:rPr>
                <w:rFonts w:cs="Arial"/>
                <w:sz w:val="20"/>
                <w:szCs w:val="20"/>
              </w:rPr>
            </w:pPr>
            <w:r>
              <w:rPr>
                <w:rFonts w:cs="Arial"/>
                <w:sz w:val="20"/>
                <w:szCs w:val="20"/>
              </w:rPr>
              <w:t>% change from previous financial YTD</w:t>
            </w:r>
          </w:p>
        </w:tc>
        <w:tc>
          <w:tcPr>
            <w:tcW w:w="750"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28</w:t>
            </w:r>
          </w:p>
        </w:tc>
        <w:tc>
          <w:tcPr>
            <w:tcW w:w="749"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38</w:t>
            </w:r>
          </w:p>
        </w:tc>
        <w:tc>
          <w:tcPr>
            <w:tcW w:w="749"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45</w:t>
            </w:r>
          </w:p>
        </w:tc>
        <w:tc>
          <w:tcPr>
            <w:tcW w:w="823"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81</w:t>
            </w:r>
          </w:p>
        </w:tc>
      </w:tr>
    </w:tbl>
    <w:p w:rsidR="00FF0D8A" w:rsidRPr="008D4DAB" w:rsidRDefault="00FF0D8A" w:rsidP="00FF0D8A">
      <w:pPr>
        <w:pStyle w:val="AERbodytext"/>
        <w:spacing w:before="120" w:after="120"/>
        <w:jc w:val="both"/>
      </w:pPr>
      <w:r>
        <w:t>Figure</w:t>
      </w:r>
      <w:r w:rsidRPr="008D4DAB">
        <w:t xml:space="preserve"> 2 compare</w:t>
      </w:r>
      <w:r>
        <w:t>s</w:t>
      </w:r>
      <w:r w:rsidRPr="008D4DAB">
        <w:t xml:space="preserve"> average weekly gas prices, ancillary market payments and </w:t>
      </w:r>
      <w:r>
        <w:t>scheduled</w:t>
      </w:r>
      <w:r w:rsidRPr="008D4DAB">
        <w:t xml:space="preserve"> </w:t>
      </w:r>
      <w:r>
        <w:t>injections</w:t>
      </w:r>
      <w:r w:rsidRPr="008D4DAB">
        <w:t xml:space="preserve"> against historical averages for the </w:t>
      </w:r>
      <w:r>
        <w:t xml:space="preserve">Victorian </w:t>
      </w:r>
      <w:r w:rsidRPr="008D4DAB">
        <w:t>gas market.</w:t>
      </w:r>
    </w:p>
    <w:p w:rsidR="00D1641C" w:rsidRDefault="00FF0D8A" w:rsidP="00D1641C">
      <w:pPr>
        <w:pStyle w:val="Heading2"/>
        <w:ind w:firstLine="0"/>
        <w:rPr>
          <w:i w:val="0"/>
          <w:color w:val="2272A3"/>
          <w:sz w:val="24"/>
          <w:szCs w:val="24"/>
        </w:rPr>
      </w:pPr>
      <w:r w:rsidRPr="006E7E57">
        <w:rPr>
          <w:i w:val="0"/>
          <w:color w:val="2272A3"/>
          <w:sz w:val="24"/>
          <w:szCs w:val="24"/>
        </w:rPr>
        <w:t>Victorian Gas Market</w:t>
      </w:r>
    </w:p>
    <w:tbl>
      <w:tblPr>
        <w:tblStyle w:val="AERTable-Text0"/>
        <w:tblW w:w="4858" w:type="pct"/>
        <w:tblLook w:val="04A0" w:firstRow="1" w:lastRow="0" w:firstColumn="1" w:lastColumn="0" w:noHBand="0" w:noVBand="1"/>
      </w:tblPr>
      <w:tblGrid>
        <w:gridCol w:w="3649"/>
        <w:gridCol w:w="1418"/>
        <w:gridCol w:w="2128"/>
        <w:gridCol w:w="2269"/>
      </w:tblGrid>
      <w:tr w:rsidR="00F114D5" w:rsidRPr="00DC24BF" w:rsidTr="00F114D5">
        <w:trPr>
          <w:cnfStyle w:val="100000000000" w:firstRow="1" w:lastRow="0" w:firstColumn="0" w:lastColumn="0" w:oddVBand="0" w:evenVBand="0" w:oddHBand="0" w:evenHBand="0" w:firstRowFirstColumn="0" w:firstRowLastColumn="0" w:lastRowFirstColumn="0" w:lastRowLastColumn="0"/>
          <w:tblHeader/>
        </w:trPr>
        <w:tc>
          <w:tcPr>
            <w:tcW w:w="1928" w:type="pct"/>
            <w:tcBorders>
              <w:bottom w:val="nil"/>
            </w:tcBorders>
            <w:hideMark/>
          </w:tcPr>
          <w:p w:rsidR="00F114D5" w:rsidRPr="00DC24BF" w:rsidRDefault="00F114D5" w:rsidP="006C5082">
            <w:pPr>
              <w:pStyle w:val="TableHeading"/>
              <w:jc w:val="center"/>
              <w:rPr>
                <w:rFonts w:cs="Arial"/>
                <w:sz w:val="20"/>
                <w:szCs w:val="20"/>
              </w:rPr>
            </w:pPr>
          </w:p>
        </w:tc>
        <w:tc>
          <w:tcPr>
            <w:tcW w:w="749"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Price ($/GJ)</w:t>
            </w:r>
          </w:p>
        </w:tc>
        <w:tc>
          <w:tcPr>
            <w:tcW w:w="1124"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Ancillary payments ($000)</w:t>
            </w:r>
            <w:r>
              <w:rPr>
                <w:rFonts w:cs="Arial"/>
                <w:bCs/>
                <w:sz w:val="20"/>
                <w:szCs w:val="20"/>
              </w:rPr>
              <w:t>*</w:t>
            </w:r>
          </w:p>
        </w:tc>
        <w:tc>
          <w:tcPr>
            <w:tcW w:w="1199"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BOD forecast demand quantity (TJ)</w:t>
            </w:r>
          </w:p>
        </w:tc>
      </w:tr>
      <w:tr w:rsidR="00A5490E" w:rsidRPr="0091453B" w:rsidTr="00E3796B">
        <w:trPr>
          <w:trHeight w:val="510"/>
        </w:trPr>
        <w:tc>
          <w:tcPr>
            <w:tcW w:w="1928" w:type="pct"/>
            <w:tcBorders>
              <w:top w:val="nil"/>
              <w:bottom w:val="nil"/>
            </w:tcBorders>
            <w:vAlign w:val="center"/>
          </w:tcPr>
          <w:p w:rsidR="00A5490E" w:rsidRDefault="00A5490E">
            <w:pPr>
              <w:rPr>
                <w:rFonts w:cs="Arial"/>
                <w:sz w:val="20"/>
                <w:szCs w:val="20"/>
              </w:rPr>
            </w:pPr>
            <w:r>
              <w:rPr>
                <w:rFonts w:cs="Arial"/>
                <w:sz w:val="20"/>
                <w:szCs w:val="20"/>
              </w:rPr>
              <w:t>01 May - 07 May 2016</w:t>
            </w:r>
          </w:p>
        </w:tc>
        <w:tc>
          <w:tcPr>
            <w:tcW w:w="749" w:type="pct"/>
            <w:tcBorders>
              <w:top w:val="nil"/>
              <w:bottom w:val="nil"/>
            </w:tcBorders>
            <w:vAlign w:val="center"/>
          </w:tcPr>
          <w:p w:rsidR="00A5490E" w:rsidRDefault="00A5490E">
            <w:pPr>
              <w:jc w:val="center"/>
              <w:rPr>
                <w:rFonts w:cs="Arial"/>
                <w:sz w:val="20"/>
                <w:szCs w:val="20"/>
              </w:rPr>
            </w:pPr>
            <w:r>
              <w:rPr>
                <w:rFonts w:cs="Arial"/>
                <w:sz w:val="20"/>
                <w:szCs w:val="20"/>
              </w:rPr>
              <w:t>5.73</w:t>
            </w:r>
          </w:p>
        </w:tc>
        <w:tc>
          <w:tcPr>
            <w:tcW w:w="1124" w:type="pct"/>
            <w:tcBorders>
              <w:top w:val="nil"/>
              <w:bottom w:val="nil"/>
            </w:tcBorders>
            <w:vAlign w:val="center"/>
          </w:tcPr>
          <w:p w:rsidR="00A5490E" w:rsidRDefault="00A5490E">
            <w:pPr>
              <w:jc w:val="center"/>
              <w:rPr>
                <w:rFonts w:cs="Arial"/>
                <w:sz w:val="20"/>
                <w:szCs w:val="20"/>
              </w:rPr>
            </w:pPr>
            <w:r>
              <w:rPr>
                <w:rFonts w:cs="Arial"/>
                <w:sz w:val="20"/>
                <w:szCs w:val="20"/>
              </w:rPr>
              <w:t>0.84</w:t>
            </w:r>
          </w:p>
        </w:tc>
        <w:tc>
          <w:tcPr>
            <w:tcW w:w="1199" w:type="pct"/>
            <w:tcBorders>
              <w:top w:val="nil"/>
              <w:bottom w:val="nil"/>
            </w:tcBorders>
            <w:vAlign w:val="center"/>
          </w:tcPr>
          <w:p w:rsidR="00A5490E" w:rsidRDefault="00A5490E">
            <w:pPr>
              <w:jc w:val="center"/>
              <w:rPr>
                <w:rFonts w:cs="Arial"/>
                <w:sz w:val="20"/>
                <w:szCs w:val="20"/>
              </w:rPr>
            </w:pPr>
            <w:r>
              <w:rPr>
                <w:rFonts w:cs="Arial"/>
                <w:sz w:val="20"/>
                <w:szCs w:val="20"/>
              </w:rPr>
              <w:t>473</w:t>
            </w:r>
          </w:p>
        </w:tc>
      </w:tr>
      <w:tr w:rsidR="00A5490E" w:rsidRPr="0091453B" w:rsidTr="00E3796B">
        <w:trPr>
          <w:cnfStyle w:val="000000010000" w:firstRow="0" w:lastRow="0" w:firstColumn="0" w:lastColumn="0" w:oddVBand="0" w:evenVBand="0" w:oddHBand="0" w:evenHBand="1" w:firstRowFirstColumn="0" w:firstRowLastColumn="0" w:lastRowFirstColumn="0" w:lastRowLastColumn="0"/>
          <w:trHeight w:val="510"/>
        </w:trPr>
        <w:tc>
          <w:tcPr>
            <w:tcW w:w="1928" w:type="pct"/>
            <w:tcBorders>
              <w:top w:val="nil"/>
              <w:bottom w:val="nil"/>
            </w:tcBorders>
            <w:vAlign w:val="center"/>
          </w:tcPr>
          <w:p w:rsidR="00A5490E" w:rsidRDefault="00A5490E">
            <w:pPr>
              <w:rPr>
                <w:rFonts w:cs="Arial"/>
                <w:sz w:val="20"/>
                <w:szCs w:val="20"/>
              </w:rPr>
            </w:pPr>
            <w:r>
              <w:rPr>
                <w:rFonts w:cs="Arial"/>
                <w:sz w:val="20"/>
                <w:szCs w:val="20"/>
              </w:rPr>
              <w:t>% change from previous week</w:t>
            </w:r>
          </w:p>
        </w:tc>
        <w:tc>
          <w:tcPr>
            <w:tcW w:w="749" w:type="pct"/>
            <w:tcBorders>
              <w:top w:val="nil"/>
              <w:bottom w:val="nil"/>
            </w:tcBorders>
            <w:vAlign w:val="center"/>
          </w:tcPr>
          <w:p w:rsidR="00A5490E" w:rsidRDefault="00A5490E">
            <w:pPr>
              <w:jc w:val="center"/>
              <w:rPr>
                <w:rFonts w:cs="Arial"/>
                <w:sz w:val="20"/>
                <w:szCs w:val="20"/>
              </w:rPr>
            </w:pPr>
            <w:r>
              <w:rPr>
                <w:rFonts w:cs="Arial"/>
                <w:sz w:val="20"/>
                <w:szCs w:val="20"/>
              </w:rPr>
              <w:t>24</w:t>
            </w:r>
          </w:p>
        </w:tc>
        <w:tc>
          <w:tcPr>
            <w:tcW w:w="1124" w:type="pct"/>
            <w:tcBorders>
              <w:top w:val="nil"/>
              <w:bottom w:val="nil"/>
            </w:tcBorders>
            <w:vAlign w:val="center"/>
          </w:tcPr>
          <w:p w:rsidR="00A5490E" w:rsidRDefault="00A5490E">
            <w:pPr>
              <w:jc w:val="center"/>
              <w:rPr>
                <w:rFonts w:cs="Arial"/>
                <w:sz w:val="20"/>
                <w:szCs w:val="20"/>
              </w:rPr>
            </w:pPr>
            <w:r>
              <w:rPr>
                <w:rFonts w:cs="Arial"/>
                <w:sz w:val="20"/>
                <w:szCs w:val="20"/>
              </w:rPr>
              <w:t>-99</w:t>
            </w:r>
          </w:p>
        </w:tc>
        <w:tc>
          <w:tcPr>
            <w:tcW w:w="1199" w:type="pct"/>
            <w:tcBorders>
              <w:top w:val="nil"/>
              <w:bottom w:val="nil"/>
            </w:tcBorders>
            <w:vAlign w:val="center"/>
          </w:tcPr>
          <w:p w:rsidR="00A5490E" w:rsidRDefault="00A5490E">
            <w:pPr>
              <w:jc w:val="center"/>
              <w:rPr>
                <w:rFonts w:cs="Arial"/>
                <w:sz w:val="20"/>
                <w:szCs w:val="20"/>
              </w:rPr>
            </w:pPr>
            <w:r>
              <w:rPr>
                <w:rFonts w:cs="Arial"/>
                <w:sz w:val="20"/>
                <w:szCs w:val="20"/>
              </w:rPr>
              <w:t>29</w:t>
            </w:r>
          </w:p>
        </w:tc>
      </w:tr>
      <w:tr w:rsidR="00A5490E" w:rsidRPr="0091453B" w:rsidTr="00E3796B">
        <w:trPr>
          <w:trHeight w:val="510"/>
        </w:trPr>
        <w:tc>
          <w:tcPr>
            <w:tcW w:w="1928" w:type="pct"/>
            <w:tcBorders>
              <w:top w:val="nil"/>
              <w:bottom w:val="nil"/>
            </w:tcBorders>
            <w:vAlign w:val="center"/>
          </w:tcPr>
          <w:p w:rsidR="00A5490E" w:rsidRDefault="00A5490E">
            <w:pPr>
              <w:rPr>
                <w:rFonts w:cs="Arial"/>
                <w:sz w:val="20"/>
                <w:szCs w:val="20"/>
              </w:rPr>
            </w:pPr>
            <w:r>
              <w:rPr>
                <w:rFonts w:cs="Arial"/>
                <w:sz w:val="20"/>
                <w:szCs w:val="20"/>
              </w:rPr>
              <w:t>15-16 financial YTD</w:t>
            </w:r>
          </w:p>
        </w:tc>
        <w:tc>
          <w:tcPr>
            <w:tcW w:w="749" w:type="pct"/>
            <w:tcBorders>
              <w:top w:val="nil"/>
              <w:bottom w:val="nil"/>
            </w:tcBorders>
            <w:vAlign w:val="center"/>
          </w:tcPr>
          <w:p w:rsidR="00A5490E" w:rsidRDefault="00A5490E">
            <w:pPr>
              <w:jc w:val="center"/>
              <w:rPr>
                <w:rFonts w:cs="Arial"/>
                <w:sz w:val="20"/>
                <w:szCs w:val="20"/>
              </w:rPr>
            </w:pPr>
            <w:r>
              <w:rPr>
                <w:rFonts w:cs="Arial"/>
                <w:sz w:val="20"/>
                <w:szCs w:val="20"/>
              </w:rPr>
              <w:t>4.49</w:t>
            </w:r>
          </w:p>
        </w:tc>
        <w:tc>
          <w:tcPr>
            <w:tcW w:w="1124" w:type="pct"/>
            <w:tcBorders>
              <w:top w:val="nil"/>
              <w:bottom w:val="nil"/>
            </w:tcBorders>
            <w:vAlign w:val="center"/>
          </w:tcPr>
          <w:p w:rsidR="00A5490E" w:rsidRDefault="00A5490E">
            <w:pPr>
              <w:jc w:val="center"/>
              <w:rPr>
                <w:rFonts w:cs="Arial"/>
                <w:sz w:val="20"/>
                <w:szCs w:val="20"/>
              </w:rPr>
            </w:pPr>
            <w:r>
              <w:rPr>
                <w:rFonts w:cs="Arial"/>
                <w:sz w:val="20"/>
                <w:szCs w:val="20"/>
              </w:rPr>
              <w:t>-</w:t>
            </w:r>
          </w:p>
        </w:tc>
        <w:tc>
          <w:tcPr>
            <w:tcW w:w="1199" w:type="pct"/>
            <w:tcBorders>
              <w:top w:val="nil"/>
              <w:bottom w:val="nil"/>
            </w:tcBorders>
            <w:vAlign w:val="center"/>
          </w:tcPr>
          <w:p w:rsidR="00A5490E" w:rsidRDefault="00A5490E">
            <w:pPr>
              <w:jc w:val="center"/>
              <w:rPr>
                <w:rFonts w:cs="Arial"/>
                <w:sz w:val="20"/>
                <w:szCs w:val="20"/>
              </w:rPr>
            </w:pPr>
            <w:r>
              <w:rPr>
                <w:rFonts w:cs="Arial"/>
                <w:sz w:val="20"/>
                <w:szCs w:val="20"/>
              </w:rPr>
              <w:t>519</w:t>
            </w:r>
          </w:p>
        </w:tc>
      </w:tr>
      <w:tr w:rsidR="00A5490E" w:rsidRPr="0091453B" w:rsidTr="00E3796B">
        <w:trPr>
          <w:cnfStyle w:val="000000010000" w:firstRow="0" w:lastRow="0" w:firstColumn="0" w:lastColumn="0" w:oddVBand="0" w:evenVBand="0" w:oddHBand="0" w:evenHBand="1" w:firstRowFirstColumn="0" w:firstRowLastColumn="0" w:lastRowFirstColumn="0" w:lastRowLastColumn="0"/>
          <w:trHeight w:val="510"/>
        </w:trPr>
        <w:tc>
          <w:tcPr>
            <w:tcW w:w="1928" w:type="pct"/>
            <w:tcBorders>
              <w:top w:val="nil"/>
              <w:bottom w:val="single" w:sz="4" w:space="0" w:color="auto"/>
            </w:tcBorders>
            <w:vAlign w:val="center"/>
          </w:tcPr>
          <w:p w:rsidR="00A5490E" w:rsidRDefault="00A5490E">
            <w:pPr>
              <w:rPr>
                <w:rFonts w:cs="Arial"/>
                <w:sz w:val="20"/>
                <w:szCs w:val="20"/>
              </w:rPr>
            </w:pPr>
            <w:r>
              <w:rPr>
                <w:rFonts w:cs="Arial"/>
                <w:sz w:val="20"/>
                <w:szCs w:val="20"/>
              </w:rPr>
              <w:t xml:space="preserve">% change from previous financial YTD </w:t>
            </w:r>
          </w:p>
        </w:tc>
        <w:tc>
          <w:tcPr>
            <w:tcW w:w="749" w:type="pct"/>
            <w:tcBorders>
              <w:top w:val="nil"/>
              <w:bottom w:val="single" w:sz="4" w:space="0" w:color="auto"/>
            </w:tcBorders>
            <w:vAlign w:val="center"/>
          </w:tcPr>
          <w:p w:rsidR="00A5490E" w:rsidRDefault="00A5490E">
            <w:pPr>
              <w:jc w:val="center"/>
              <w:rPr>
                <w:rFonts w:cs="Arial"/>
                <w:sz w:val="20"/>
                <w:szCs w:val="20"/>
              </w:rPr>
            </w:pPr>
            <w:r>
              <w:rPr>
                <w:rFonts w:cs="Arial"/>
                <w:sz w:val="20"/>
                <w:szCs w:val="20"/>
              </w:rPr>
              <w:t>28</w:t>
            </w:r>
          </w:p>
        </w:tc>
        <w:tc>
          <w:tcPr>
            <w:tcW w:w="1124" w:type="pct"/>
            <w:tcBorders>
              <w:top w:val="nil"/>
              <w:bottom w:val="single" w:sz="4" w:space="0" w:color="auto"/>
            </w:tcBorders>
            <w:vAlign w:val="center"/>
          </w:tcPr>
          <w:p w:rsidR="00A5490E" w:rsidRDefault="00A5490E">
            <w:pPr>
              <w:jc w:val="center"/>
              <w:rPr>
                <w:rFonts w:cs="Arial"/>
                <w:sz w:val="20"/>
                <w:szCs w:val="20"/>
              </w:rPr>
            </w:pPr>
            <w:r>
              <w:rPr>
                <w:rFonts w:cs="Arial"/>
                <w:sz w:val="20"/>
                <w:szCs w:val="20"/>
              </w:rPr>
              <w:t>-</w:t>
            </w:r>
          </w:p>
        </w:tc>
        <w:tc>
          <w:tcPr>
            <w:tcW w:w="1199" w:type="pct"/>
            <w:tcBorders>
              <w:top w:val="nil"/>
              <w:bottom w:val="single" w:sz="4" w:space="0" w:color="auto"/>
            </w:tcBorders>
            <w:vAlign w:val="center"/>
          </w:tcPr>
          <w:p w:rsidR="00A5490E" w:rsidRDefault="00A5490E">
            <w:pPr>
              <w:jc w:val="center"/>
              <w:rPr>
                <w:rFonts w:cs="Arial"/>
                <w:sz w:val="20"/>
                <w:szCs w:val="20"/>
              </w:rPr>
            </w:pPr>
            <w:r>
              <w:rPr>
                <w:rFonts w:cs="Arial"/>
                <w:sz w:val="20"/>
                <w:szCs w:val="20"/>
              </w:rPr>
              <w:t>1</w:t>
            </w:r>
          </w:p>
        </w:tc>
      </w:tr>
    </w:tbl>
    <w:p w:rsidR="00FF0D8A" w:rsidRDefault="00FF0D8A" w:rsidP="00FF0D8A">
      <w:pPr>
        <w:pStyle w:val="AERbodytext"/>
        <w:spacing w:before="120" w:after="120"/>
        <w:jc w:val="both"/>
      </w:pPr>
      <w:r w:rsidRPr="006619E5">
        <w:rPr>
          <w:sz w:val="20"/>
        </w:rPr>
        <w:lastRenderedPageBreak/>
        <w:t>*</w:t>
      </w:r>
      <w:r w:rsidRPr="001420EB">
        <w:rPr>
          <w:sz w:val="20"/>
        </w:rPr>
        <w:t xml:space="preserve"> </w:t>
      </w:r>
      <w:r w:rsidRPr="006619E5">
        <w:rPr>
          <w:sz w:val="20"/>
        </w:rPr>
        <w:t>Note: only positive ancillary payments, reflecting system con</w:t>
      </w:r>
      <w:r>
        <w:rPr>
          <w:sz w:val="20"/>
        </w:rPr>
        <w:t>straints will be shown here.</w:t>
      </w:r>
      <w:r>
        <w:t xml:space="preserve"> </w:t>
      </w:r>
    </w:p>
    <w:p w:rsidR="00FF0D8A" w:rsidRDefault="00FF0D8A" w:rsidP="00FF0D8A">
      <w:pPr>
        <w:pStyle w:val="AERbodytext"/>
        <w:spacing w:before="120" w:after="120"/>
        <w:jc w:val="both"/>
      </w:pPr>
      <w:r>
        <w:t>More</w:t>
      </w:r>
      <w:r w:rsidRPr="00D329E0">
        <w:t xml:space="preserve"> </w:t>
      </w:r>
      <w:r>
        <w:t xml:space="preserve">detailed </w:t>
      </w:r>
      <w:r w:rsidRPr="00D329E0">
        <w:t xml:space="preserve">analysis on the </w:t>
      </w:r>
      <w:r>
        <w:t>VGM is provided in section 1</w:t>
      </w:r>
      <w:r w:rsidRPr="00D329E0">
        <w:t xml:space="preserve">. </w:t>
      </w:r>
    </w:p>
    <w:p w:rsidR="00FF0D8A" w:rsidRPr="008D4DAB" w:rsidRDefault="00FF0D8A" w:rsidP="00FF0D8A">
      <w:pPr>
        <w:pStyle w:val="AERbodytext"/>
        <w:spacing w:before="120" w:after="120"/>
        <w:jc w:val="both"/>
      </w:pPr>
      <w:r w:rsidRPr="008D4DAB">
        <w:t xml:space="preserve">Figures </w:t>
      </w:r>
      <w:r>
        <w:t xml:space="preserve">3 to 5 show </w:t>
      </w:r>
      <w:r w:rsidRPr="008D4DAB">
        <w:t xml:space="preserve">average </w:t>
      </w:r>
      <w:r>
        <w:t xml:space="preserve">ex ante and ex post </w:t>
      </w:r>
      <w:r w:rsidRPr="008D4DAB">
        <w:t>gas prices</w:t>
      </w:r>
      <w:r>
        <w:t xml:space="preserve">, Market Operator Service </w:t>
      </w:r>
      <w:r w:rsidRPr="00950C55">
        <w:rPr>
          <w:b/>
        </w:rPr>
        <w:t>(MOS)</w:t>
      </w:r>
      <w:r>
        <w:t xml:space="preserve"> balancing gas service payments together with the related daily</w:t>
      </w:r>
      <w:r w:rsidRPr="008D4DAB">
        <w:t xml:space="preserve"> demand </w:t>
      </w:r>
      <w:r>
        <w:t xml:space="preserve">quantities against </w:t>
      </w:r>
      <w:r w:rsidRPr="008D4DAB">
        <w:t xml:space="preserve">historical averages </w:t>
      </w:r>
      <w:r>
        <w:t>for the Sydney, Adelaide and Brisbane STTM hubs, respectively.</w:t>
      </w:r>
    </w:p>
    <w:p w:rsidR="00D1641C" w:rsidRDefault="006E7E57" w:rsidP="00D1641C">
      <w:pPr>
        <w:pStyle w:val="Heading2"/>
        <w:ind w:firstLine="0"/>
        <w:rPr>
          <w:i w:val="0"/>
          <w:color w:val="2272A3"/>
          <w:sz w:val="24"/>
          <w:szCs w:val="24"/>
        </w:rPr>
      </w:pPr>
      <w:r>
        <w:rPr>
          <w:i w:val="0"/>
          <w:color w:val="2272A3"/>
          <w:sz w:val="24"/>
          <w:szCs w:val="24"/>
        </w:rPr>
        <w:t>Sydney STTM</w:t>
      </w:r>
    </w:p>
    <w:tbl>
      <w:tblPr>
        <w:tblStyle w:val="AERTable-Text0"/>
        <w:tblW w:w="4785" w:type="pct"/>
        <w:tblLook w:val="04A0" w:firstRow="1" w:lastRow="0" w:firstColumn="1" w:lastColumn="0" w:noHBand="0" w:noVBand="1"/>
      </w:tblPr>
      <w:tblGrid>
        <w:gridCol w:w="2667"/>
        <w:gridCol w:w="1416"/>
        <w:gridCol w:w="1413"/>
        <w:gridCol w:w="1415"/>
        <w:gridCol w:w="1277"/>
        <w:gridCol w:w="1134"/>
      </w:tblGrid>
      <w:tr w:rsidR="00F114D5" w:rsidRPr="00405CDE" w:rsidTr="006C5082">
        <w:trPr>
          <w:cnfStyle w:val="100000000000" w:firstRow="1" w:lastRow="0" w:firstColumn="0" w:lastColumn="0" w:oddVBand="0" w:evenVBand="0" w:oddHBand="0" w:evenHBand="0" w:firstRowFirstColumn="0" w:firstRowLastColumn="0" w:lastRowFirstColumn="0" w:lastRowLastColumn="0"/>
          <w:tblHeader/>
        </w:trPr>
        <w:tc>
          <w:tcPr>
            <w:tcW w:w="1430" w:type="pct"/>
            <w:tcBorders>
              <w:bottom w:val="nil"/>
            </w:tcBorders>
            <w:hideMark/>
          </w:tcPr>
          <w:p w:rsidR="00F114D5" w:rsidRPr="00DC24BF" w:rsidRDefault="00F114D5" w:rsidP="006C5082">
            <w:pPr>
              <w:pStyle w:val="TableHeading"/>
              <w:jc w:val="center"/>
              <w:rPr>
                <w:rFonts w:cs="Arial"/>
                <w:sz w:val="20"/>
                <w:szCs w:val="20"/>
              </w:rPr>
            </w:pPr>
          </w:p>
        </w:tc>
        <w:tc>
          <w:tcPr>
            <w:tcW w:w="759"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ante price ($/GJ)</w:t>
            </w:r>
          </w:p>
        </w:tc>
        <w:tc>
          <w:tcPr>
            <w:tcW w:w="758" w:type="pct"/>
            <w:tcBorders>
              <w:bottom w:val="nil"/>
            </w:tcBorders>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post price ($/GJ)</w:t>
            </w:r>
          </w:p>
        </w:tc>
        <w:tc>
          <w:tcPr>
            <w:tcW w:w="759" w:type="pct"/>
            <w:tcBorders>
              <w:bottom w:val="nil"/>
            </w:tcBorders>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MOS payments ($000)</w:t>
            </w:r>
          </w:p>
        </w:tc>
        <w:tc>
          <w:tcPr>
            <w:tcW w:w="685"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ante quantity (TJ)</w:t>
            </w:r>
          </w:p>
        </w:tc>
        <w:tc>
          <w:tcPr>
            <w:tcW w:w="608"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post quantity (TJ)</w:t>
            </w:r>
          </w:p>
        </w:tc>
      </w:tr>
      <w:tr w:rsidR="00B2315E" w:rsidRPr="00405CDE" w:rsidTr="004A5193">
        <w:trPr>
          <w:trHeight w:val="510"/>
        </w:trPr>
        <w:tc>
          <w:tcPr>
            <w:tcW w:w="1430" w:type="pct"/>
            <w:tcBorders>
              <w:top w:val="nil"/>
              <w:bottom w:val="nil"/>
            </w:tcBorders>
            <w:vAlign w:val="center"/>
          </w:tcPr>
          <w:p w:rsidR="00B2315E" w:rsidRDefault="00B2315E">
            <w:pPr>
              <w:rPr>
                <w:rFonts w:cs="Arial"/>
                <w:sz w:val="20"/>
                <w:szCs w:val="20"/>
              </w:rPr>
            </w:pPr>
            <w:r>
              <w:rPr>
                <w:rFonts w:cs="Arial"/>
                <w:sz w:val="20"/>
                <w:szCs w:val="20"/>
              </w:rPr>
              <w:t>01 May - 07 May 2016</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4.63</w:t>
            </w:r>
          </w:p>
        </w:tc>
        <w:tc>
          <w:tcPr>
            <w:tcW w:w="758" w:type="pct"/>
            <w:tcBorders>
              <w:top w:val="nil"/>
              <w:bottom w:val="nil"/>
            </w:tcBorders>
            <w:vAlign w:val="center"/>
          </w:tcPr>
          <w:p w:rsidR="00B2315E" w:rsidRDefault="00B2315E">
            <w:pPr>
              <w:jc w:val="center"/>
              <w:rPr>
                <w:rFonts w:cs="Arial"/>
                <w:sz w:val="20"/>
                <w:szCs w:val="20"/>
              </w:rPr>
            </w:pPr>
            <w:r>
              <w:rPr>
                <w:rFonts w:cs="Arial"/>
                <w:sz w:val="20"/>
                <w:szCs w:val="20"/>
              </w:rPr>
              <w:t>4.69</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15.32</w:t>
            </w:r>
          </w:p>
        </w:tc>
        <w:tc>
          <w:tcPr>
            <w:tcW w:w="685" w:type="pct"/>
            <w:tcBorders>
              <w:top w:val="nil"/>
              <w:bottom w:val="nil"/>
            </w:tcBorders>
            <w:vAlign w:val="center"/>
          </w:tcPr>
          <w:p w:rsidR="00B2315E" w:rsidRDefault="00B2315E">
            <w:pPr>
              <w:jc w:val="center"/>
              <w:rPr>
                <w:rFonts w:cs="Arial"/>
                <w:sz w:val="20"/>
                <w:szCs w:val="20"/>
              </w:rPr>
            </w:pPr>
            <w:r>
              <w:rPr>
                <w:rFonts w:cs="Arial"/>
                <w:sz w:val="20"/>
                <w:szCs w:val="20"/>
              </w:rPr>
              <w:t>247</w:t>
            </w:r>
          </w:p>
        </w:tc>
        <w:tc>
          <w:tcPr>
            <w:tcW w:w="608" w:type="pct"/>
            <w:tcBorders>
              <w:top w:val="nil"/>
              <w:bottom w:val="nil"/>
            </w:tcBorders>
            <w:vAlign w:val="center"/>
          </w:tcPr>
          <w:p w:rsidR="00B2315E" w:rsidRDefault="00B2315E">
            <w:pPr>
              <w:jc w:val="center"/>
              <w:rPr>
                <w:rFonts w:cs="Arial"/>
                <w:sz w:val="20"/>
                <w:szCs w:val="20"/>
              </w:rPr>
            </w:pPr>
            <w:r>
              <w:rPr>
                <w:rFonts w:cs="Arial"/>
                <w:sz w:val="20"/>
                <w:szCs w:val="20"/>
              </w:rPr>
              <w:t>244</w:t>
            </w:r>
          </w:p>
        </w:tc>
      </w:tr>
      <w:tr w:rsidR="00B2315E" w:rsidRPr="00405CDE" w:rsidTr="004A5193">
        <w:trPr>
          <w:cnfStyle w:val="000000010000" w:firstRow="0" w:lastRow="0" w:firstColumn="0" w:lastColumn="0" w:oddVBand="0" w:evenVBand="0" w:oddHBand="0" w:evenHBand="1" w:firstRowFirstColumn="0" w:firstRowLastColumn="0" w:lastRowFirstColumn="0" w:lastRowLastColumn="0"/>
          <w:trHeight w:val="510"/>
        </w:trPr>
        <w:tc>
          <w:tcPr>
            <w:tcW w:w="1430" w:type="pct"/>
            <w:tcBorders>
              <w:top w:val="nil"/>
              <w:bottom w:val="nil"/>
            </w:tcBorders>
            <w:vAlign w:val="center"/>
          </w:tcPr>
          <w:p w:rsidR="00B2315E" w:rsidRDefault="00B2315E">
            <w:pPr>
              <w:rPr>
                <w:rFonts w:cs="Arial"/>
                <w:sz w:val="20"/>
                <w:szCs w:val="20"/>
              </w:rPr>
            </w:pPr>
            <w:r>
              <w:rPr>
                <w:rFonts w:cs="Arial"/>
                <w:sz w:val="20"/>
                <w:szCs w:val="20"/>
              </w:rPr>
              <w:t>% change from previous week</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-5</w:t>
            </w:r>
          </w:p>
        </w:tc>
        <w:tc>
          <w:tcPr>
            <w:tcW w:w="758" w:type="pct"/>
            <w:tcBorders>
              <w:top w:val="nil"/>
              <w:bottom w:val="nil"/>
            </w:tcBorders>
            <w:vAlign w:val="center"/>
          </w:tcPr>
          <w:p w:rsidR="00B2315E" w:rsidRDefault="00B2315E">
            <w:pPr>
              <w:jc w:val="center"/>
              <w:rPr>
                <w:rFonts w:cs="Arial"/>
                <w:sz w:val="20"/>
                <w:szCs w:val="20"/>
              </w:rPr>
            </w:pPr>
            <w:r>
              <w:rPr>
                <w:rFonts w:cs="Arial"/>
                <w:sz w:val="20"/>
                <w:szCs w:val="20"/>
              </w:rPr>
              <w:t>3</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54</w:t>
            </w:r>
          </w:p>
        </w:tc>
        <w:tc>
          <w:tcPr>
            <w:tcW w:w="685" w:type="pct"/>
            <w:tcBorders>
              <w:top w:val="nil"/>
              <w:bottom w:val="nil"/>
            </w:tcBorders>
            <w:vAlign w:val="center"/>
          </w:tcPr>
          <w:p w:rsidR="00B2315E" w:rsidRDefault="00B2315E">
            <w:pPr>
              <w:jc w:val="center"/>
              <w:rPr>
                <w:rFonts w:cs="Arial"/>
                <w:sz w:val="20"/>
                <w:szCs w:val="20"/>
              </w:rPr>
            </w:pPr>
            <w:r>
              <w:rPr>
                <w:rFonts w:cs="Arial"/>
                <w:sz w:val="20"/>
                <w:szCs w:val="20"/>
              </w:rPr>
              <w:t>6</w:t>
            </w:r>
          </w:p>
        </w:tc>
        <w:tc>
          <w:tcPr>
            <w:tcW w:w="608" w:type="pct"/>
            <w:tcBorders>
              <w:top w:val="nil"/>
              <w:bottom w:val="nil"/>
            </w:tcBorders>
            <w:vAlign w:val="center"/>
          </w:tcPr>
          <w:p w:rsidR="00B2315E" w:rsidRDefault="00B2315E">
            <w:pPr>
              <w:jc w:val="center"/>
              <w:rPr>
                <w:rFonts w:cs="Arial"/>
                <w:sz w:val="20"/>
                <w:szCs w:val="20"/>
              </w:rPr>
            </w:pPr>
            <w:r>
              <w:rPr>
                <w:rFonts w:cs="Arial"/>
                <w:sz w:val="20"/>
                <w:szCs w:val="20"/>
              </w:rPr>
              <w:t>7</w:t>
            </w:r>
          </w:p>
        </w:tc>
      </w:tr>
      <w:tr w:rsidR="00B2315E" w:rsidRPr="00405CDE" w:rsidTr="004A5193">
        <w:trPr>
          <w:trHeight w:val="510"/>
        </w:trPr>
        <w:tc>
          <w:tcPr>
            <w:tcW w:w="1430" w:type="pct"/>
            <w:tcBorders>
              <w:top w:val="nil"/>
              <w:bottom w:val="nil"/>
            </w:tcBorders>
            <w:vAlign w:val="center"/>
          </w:tcPr>
          <w:p w:rsidR="00B2315E" w:rsidRDefault="00B2315E">
            <w:pPr>
              <w:rPr>
                <w:rFonts w:cs="Arial"/>
                <w:sz w:val="20"/>
                <w:szCs w:val="20"/>
              </w:rPr>
            </w:pPr>
            <w:r>
              <w:rPr>
                <w:rFonts w:cs="Arial"/>
                <w:sz w:val="20"/>
                <w:szCs w:val="20"/>
              </w:rPr>
              <w:t>15-16 financial YTD</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4.61</w:t>
            </w:r>
          </w:p>
        </w:tc>
        <w:tc>
          <w:tcPr>
            <w:tcW w:w="758" w:type="pct"/>
            <w:tcBorders>
              <w:top w:val="nil"/>
              <w:bottom w:val="nil"/>
            </w:tcBorders>
            <w:vAlign w:val="center"/>
          </w:tcPr>
          <w:p w:rsidR="00B2315E" w:rsidRDefault="00B2315E">
            <w:pPr>
              <w:jc w:val="center"/>
              <w:rPr>
                <w:rFonts w:cs="Arial"/>
                <w:sz w:val="20"/>
                <w:szCs w:val="20"/>
              </w:rPr>
            </w:pPr>
            <w:r>
              <w:rPr>
                <w:rFonts w:cs="Arial"/>
                <w:sz w:val="20"/>
                <w:szCs w:val="20"/>
              </w:rPr>
              <w:t>4.27</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27.99</w:t>
            </w:r>
          </w:p>
        </w:tc>
        <w:tc>
          <w:tcPr>
            <w:tcW w:w="685" w:type="pct"/>
            <w:tcBorders>
              <w:top w:val="nil"/>
              <w:bottom w:val="nil"/>
            </w:tcBorders>
            <w:vAlign w:val="center"/>
          </w:tcPr>
          <w:p w:rsidR="00B2315E" w:rsidRDefault="00B2315E">
            <w:pPr>
              <w:jc w:val="center"/>
              <w:rPr>
                <w:rFonts w:cs="Arial"/>
                <w:sz w:val="20"/>
                <w:szCs w:val="20"/>
              </w:rPr>
            </w:pPr>
            <w:r>
              <w:rPr>
                <w:rFonts w:cs="Arial"/>
                <w:sz w:val="20"/>
                <w:szCs w:val="20"/>
              </w:rPr>
              <w:t>233</w:t>
            </w:r>
          </w:p>
        </w:tc>
        <w:tc>
          <w:tcPr>
            <w:tcW w:w="608" w:type="pct"/>
            <w:tcBorders>
              <w:top w:val="nil"/>
              <w:bottom w:val="nil"/>
            </w:tcBorders>
            <w:vAlign w:val="center"/>
          </w:tcPr>
          <w:p w:rsidR="00B2315E" w:rsidRDefault="00B2315E">
            <w:pPr>
              <w:jc w:val="center"/>
              <w:rPr>
                <w:rFonts w:cs="Arial"/>
                <w:sz w:val="20"/>
                <w:szCs w:val="20"/>
              </w:rPr>
            </w:pPr>
            <w:r>
              <w:rPr>
                <w:rFonts w:cs="Arial"/>
                <w:sz w:val="20"/>
                <w:szCs w:val="20"/>
              </w:rPr>
              <w:t>228</w:t>
            </w:r>
          </w:p>
        </w:tc>
      </w:tr>
      <w:tr w:rsidR="00B2315E" w:rsidRPr="00405CDE" w:rsidTr="004A5193">
        <w:trPr>
          <w:cnfStyle w:val="000000010000" w:firstRow="0" w:lastRow="0" w:firstColumn="0" w:lastColumn="0" w:oddVBand="0" w:evenVBand="0" w:oddHBand="0" w:evenHBand="1" w:firstRowFirstColumn="0" w:firstRowLastColumn="0" w:lastRowFirstColumn="0" w:lastRowLastColumn="0"/>
          <w:trHeight w:val="510"/>
        </w:trPr>
        <w:tc>
          <w:tcPr>
            <w:tcW w:w="1430" w:type="pct"/>
            <w:tcBorders>
              <w:top w:val="nil"/>
              <w:bottom w:val="single" w:sz="4" w:space="0" w:color="auto"/>
            </w:tcBorders>
            <w:vAlign w:val="center"/>
          </w:tcPr>
          <w:p w:rsidR="00B2315E" w:rsidRDefault="00B2315E">
            <w:pPr>
              <w:rPr>
                <w:rFonts w:cs="Arial"/>
                <w:sz w:val="20"/>
                <w:szCs w:val="20"/>
              </w:rPr>
            </w:pPr>
            <w:r>
              <w:rPr>
                <w:rFonts w:cs="Arial"/>
                <w:sz w:val="20"/>
                <w:szCs w:val="20"/>
              </w:rPr>
              <w:t>% change from previous financial YTD</w:t>
            </w:r>
          </w:p>
        </w:tc>
        <w:tc>
          <w:tcPr>
            <w:tcW w:w="759"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38</w:t>
            </w:r>
          </w:p>
        </w:tc>
        <w:tc>
          <w:tcPr>
            <w:tcW w:w="758"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27</w:t>
            </w:r>
          </w:p>
        </w:tc>
        <w:tc>
          <w:tcPr>
            <w:tcW w:w="759"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100</w:t>
            </w:r>
          </w:p>
        </w:tc>
        <w:tc>
          <w:tcPr>
            <w:tcW w:w="685"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-2</w:t>
            </w:r>
          </w:p>
        </w:tc>
        <w:tc>
          <w:tcPr>
            <w:tcW w:w="608"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-4</w:t>
            </w:r>
          </w:p>
        </w:tc>
      </w:tr>
    </w:tbl>
    <w:p w:rsidR="00D1641C" w:rsidRDefault="006E7E57" w:rsidP="00D1641C">
      <w:pPr>
        <w:pStyle w:val="Heading2"/>
        <w:ind w:firstLine="0"/>
        <w:rPr>
          <w:i w:val="0"/>
          <w:color w:val="2272A3"/>
          <w:sz w:val="24"/>
          <w:szCs w:val="24"/>
        </w:rPr>
      </w:pPr>
      <w:r>
        <w:rPr>
          <w:i w:val="0"/>
          <w:color w:val="2272A3"/>
          <w:sz w:val="24"/>
          <w:szCs w:val="24"/>
        </w:rPr>
        <w:t>Adelaide STTM</w:t>
      </w:r>
    </w:p>
    <w:tbl>
      <w:tblPr>
        <w:tblStyle w:val="AERTable-Text0"/>
        <w:tblW w:w="4785" w:type="pct"/>
        <w:tblLook w:val="04A0" w:firstRow="1" w:lastRow="0" w:firstColumn="1" w:lastColumn="0" w:noHBand="0" w:noVBand="1"/>
      </w:tblPr>
      <w:tblGrid>
        <w:gridCol w:w="2667"/>
        <w:gridCol w:w="1416"/>
        <w:gridCol w:w="1413"/>
        <w:gridCol w:w="1415"/>
        <w:gridCol w:w="1277"/>
        <w:gridCol w:w="1134"/>
      </w:tblGrid>
      <w:tr w:rsidR="00F114D5" w:rsidRPr="00405CDE" w:rsidTr="006C5082">
        <w:trPr>
          <w:cnfStyle w:val="100000000000" w:firstRow="1" w:lastRow="0" w:firstColumn="0" w:lastColumn="0" w:oddVBand="0" w:evenVBand="0" w:oddHBand="0" w:evenHBand="0" w:firstRowFirstColumn="0" w:firstRowLastColumn="0" w:lastRowFirstColumn="0" w:lastRowLastColumn="0"/>
          <w:tblHeader/>
        </w:trPr>
        <w:tc>
          <w:tcPr>
            <w:tcW w:w="1430" w:type="pct"/>
            <w:tcBorders>
              <w:bottom w:val="nil"/>
            </w:tcBorders>
            <w:hideMark/>
          </w:tcPr>
          <w:p w:rsidR="00F114D5" w:rsidRPr="00DC24BF" w:rsidRDefault="00F114D5" w:rsidP="006C5082">
            <w:pPr>
              <w:pStyle w:val="TableHeading"/>
              <w:jc w:val="center"/>
              <w:rPr>
                <w:rFonts w:cs="Arial"/>
                <w:sz w:val="20"/>
                <w:szCs w:val="20"/>
              </w:rPr>
            </w:pPr>
          </w:p>
        </w:tc>
        <w:tc>
          <w:tcPr>
            <w:tcW w:w="759"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ante price ($/GJ)</w:t>
            </w:r>
          </w:p>
        </w:tc>
        <w:tc>
          <w:tcPr>
            <w:tcW w:w="758" w:type="pct"/>
            <w:tcBorders>
              <w:bottom w:val="nil"/>
            </w:tcBorders>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post price ($/GJ)</w:t>
            </w:r>
          </w:p>
        </w:tc>
        <w:tc>
          <w:tcPr>
            <w:tcW w:w="759" w:type="pct"/>
            <w:tcBorders>
              <w:bottom w:val="nil"/>
            </w:tcBorders>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MOS payments ($000)</w:t>
            </w:r>
          </w:p>
        </w:tc>
        <w:tc>
          <w:tcPr>
            <w:tcW w:w="685"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ante quantity (TJ)</w:t>
            </w:r>
          </w:p>
        </w:tc>
        <w:tc>
          <w:tcPr>
            <w:tcW w:w="608"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post quantity (TJ)</w:t>
            </w:r>
          </w:p>
        </w:tc>
      </w:tr>
      <w:tr w:rsidR="00B2315E" w:rsidRPr="00405CDE" w:rsidTr="00D07D9C">
        <w:trPr>
          <w:trHeight w:val="510"/>
        </w:trPr>
        <w:tc>
          <w:tcPr>
            <w:tcW w:w="1430" w:type="pct"/>
            <w:tcBorders>
              <w:top w:val="nil"/>
              <w:bottom w:val="nil"/>
            </w:tcBorders>
            <w:vAlign w:val="center"/>
          </w:tcPr>
          <w:p w:rsidR="00B2315E" w:rsidRDefault="00B2315E">
            <w:pPr>
              <w:rPr>
                <w:rFonts w:cs="Arial"/>
                <w:sz w:val="20"/>
                <w:szCs w:val="20"/>
              </w:rPr>
            </w:pPr>
            <w:r>
              <w:rPr>
                <w:rFonts w:cs="Arial"/>
                <w:sz w:val="20"/>
                <w:szCs w:val="20"/>
              </w:rPr>
              <w:t>01 May - 07 May 2016</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6.42</w:t>
            </w:r>
          </w:p>
        </w:tc>
        <w:tc>
          <w:tcPr>
            <w:tcW w:w="758" w:type="pct"/>
            <w:tcBorders>
              <w:top w:val="nil"/>
              <w:bottom w:val="nil"/>
            </w:tcBorders>
            <w:vAlign w:val="center"/>
          </w:tcPr>
          <w:p w:rsidR="00B2315E" w:rsidRDefault="00B2315E">
            <w:pPr>
              <w:jc w:val="center"/>
              <w:rPr>
                <w:rFonts w:cs="Arial"/>
                <w:sz w:val="20"/>
                <w:szCs w:val="20"/>
              </w:rPr>
            </w:pPr>
            <w:r>
              <w:rPr>
                <w:rFonts w:cs="Arial"/>
                <w:sz w:val="20"/>
                <w:szCs w:val="20"/>
              </w:rPr>
              <w:t>6.25</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9.41</w:t>
            </w:r>
          </w:p>
        </w:tc>
        <w:tc>
          <w:tcPr>
            <w:tcW w:w="685" w:type="pct"/>
            <w:tcBorders>
              <w:top w:val="nil"/>
              <w:bottom w:val="nil"/>
            </w:tcBorders>
            <w:vAlign w:val="center"/>
          </w:tcPr>
          <w:p w:rsidR="00B2315E" w:rsidRDefault="00B2315E">
            <w:pPr>
              <w:jc w:val="center"/>
              <w:rPr>
                <w:rFonts w:cs="Arial"/>
                <w:sz w:val="20"/>
                <w:szCs w:val="20"/>
              </w:rPr>
            </w:pPr>
            <w:r>
              <w:rPr>
                <w:rFonts w:cs="Arial"/>
                <w:sz w:val="20"/>
                <w:szCs w:val="20"/>
              </w:rPr>
              <w:t>58</w:t>
            </w:r>
          </w:p>
        </w:tc>
        <w:tc>
          <w:tcPr>
            <w:tcW w:w="608" w:type="pct"/>
            <w:tcBorders>
              <w:top w:val="nil"/>
              <w:bottom w:val="nil"/>
            </w:tcBorders>
            <w:vAlign w:val="center"/>
          </w:tcPr>
          <w:p w:rsidR="00B2315E" w:rsidRDefault="00B2315E">
            <w:pPr>
              <w:jc w:val="center"/>
              <w:rPr>
                <w:rFonts w:cs="Arial"/>
                <w:sz w:val="20"/>
                <w:szCs w:val="20"/>
              </w:rPr>
            </w:pPr>
            <w:r>
              <w:rPr>
                <w:rFonts w:cs="Arial"/>
                <w:sz w:val="20"/>
                <w:szCs w:val="20"/>
              </w:rPr>
              <w:t>56</w:t>
            </w:r>
          </w:p>
        </w:tc>
      </w:tr>
      <w:tr w:rsidR="00B2315E" w:rsidRPr="00405CDE" w:rsidTr="00D07D9C">
        <w:trPr>
          <w:cnfStyle w:val="000000010000" w:firstRow="0" w:lastRow="0" w:firstColumn="0" w:lastColumn="0" w:oddVBand="0" w:evenVBand="0" w:oddHBand="0" w:evenHBand="1" w:firstRowFirstColumn="0" w:firstRowLastColumn="0" w:lastRowFirstColumn="0" w:lastRowLastColumn="0"/>
          <w:trHeight w:val="510"/>
        </w:trPr>
        <w:tc>
          <w:tcPr>
            <w:tcW w:w="1430" w:type="pct"/>
            <w:tcBorders>
              <w:top w:val="nil"/>
              <w:bottom w:val="nil"/>
            </w:tcBorders>
            <w:vAlign w:val="center"/>
          </w:tcPr>
          <w:p w:rsidR="00B2315E" w:rsidRDefault="00B2315E">
            <w:pPr>
              <w:rPr>
                <w:rFonts w:cs="Arial"/>
                <w:sz w:val="20"/>
                <w:szCs w:val="20"/>
              </w:rPr>
            </w:pPr>
            <w:r>
              <w:rPr>
                <w:rFonts w:cs="Arial"/>
                <w:sz w:val="20"/>
                <w:szCs w:val="20"/>
              </w:rPr>
              <w:t>% change from previous week</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9</w:t>
            </w:r>
          </w:p>
        </w:tc>
        <w:tc>
          <w:tcPr>
            <w:tcW w:w="758" w:type="pct"/>
            <w:tcBorders>
              <w:top w:val="nil"/>
              <w:bottom w:val="nil"/>
            </w:tcBorders>
            <w:vAlign w:val="center"/>
          </w:tcPr>
          <w:p w:rsidR="00B2315E" w:rsidRDefault="00B2315E">
            <w:pPr>
              <w:jc w:val="center"/>
              <w:rPr>
                <w:rFonts w:cs="Arial"/>
                <w:sz w:val="20"/>
                <w:szCs w:val="20"/>
              </w:rPr>
            </w:pPr>
            <w:r>
              <w:rPr>
                <w:rFonts w:cs="Arial"/>
                <w:sz w:val="20"/>
                <w:szCs w:val="20"/>
              </w:rPr>
              <w:t>13</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-60</w:t>
            </w:r>
          </w:p>
        </w:tc>
        <w:tc>
          <w:tcPr>
            <w:tcW w:w="685" w:type="pct"/>
            <w:tcBorders>
              <w:top w:val="nil"/>
              <w:bottom w:val="nil"/>
            </w:tcBorders>
            <w:vAlign w:val="center"/>
          </w:tcPr>
          <w:p w:rsidR="00B2315E" w:rsidRDefault="00B2315E">
            <w:pPr>
              <w:jc w:val="center"/>
              <w:rPr>
                <w:rFonts w:cs="Arial"/>
                <w:sz w:val="20"/>
                <w:szCs w:val="20"/>
              </w:rPr>
            </w:pPr>
            <w:r>
              <w:rPr>
                <w:rFonts w:cs="Arial"/>
                <w:sz w:val="20"/>
                <w:szCs w:val="20"/>
              </w:rPr>
              <w:t>7</w:t>
            </w:r>
          </w:p>
        </w:tc>
        <w:tc>
          <w:tcPr>
            <w:tcW w:w="608" w:type="pct"/>
            <w:tcBorders>
              <w:top w:val="nil"/>
              <w:bottom w:val="nil"/>
            </w:tcBorders>
            <w:vAlign w:val="center"/>
          </w:tcPr>
          <w:p w:rsidR="00B2315E" w:rsidRDefault="00B2315E">
            <w:pPr>
              <w:jc w:val="center"/>
              <w:rPr>
                <w:rFonts w:cs="Arial"/>
                <w:sz w:val="20"/>
                <w:szCs w:val="20"/>
              </w:rPr>
            </w:pPr>
            <w:r>
              <w:rPr>
                <w:rFonts w:cs="Arial"/>
                <w:sz w:val="20"/>
                <w:szCs w:val="20"/>
              </w:rPr>
              <w:t>10</w:t>
            </w:r>
          </w:p>
        </w:tc>
      </w:tr>
      <w:tr w:rsidR="00B2315E" w:rsidRPr="00405CDE" w:rsidTr="00D07D9C">
        <w:trPr>
          <w:trHeight w:val="510"/>
        </w:trPr>
        <w:tc>
          <w:tcPr>
            <w:tcW w:w="1430" w:type="pct"/>
            <w:tcBorders>
              <w:top w:val="nil"/>
              <w:bottom w:val="nil"/>
            </w:tcBorders>
            <w:vAlign w:val="center"/>
          </w:tcPr>
          <w:p w:rsidR="00B2315E" w:rsidRDefault="00B2315E">
            <w:pPr>
              <w:rPr>
                <w:rFonts w:cs="Arial"/>
                <w:sz w:val="20"/>
                <w:szCs w:val="20"/>
              </w:rPr>
            </w:pPr>
            <w:r>
              <w:rPr>
                <w:rFonts w:cs="Arial"/>
                <w:sz w:val="20"/>
                <w:szCs w:val="20"/>
              </w:rPr>
              <w:t>15-16 financial YTD</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5.31</w:t>
            </w:r>
          </w:p>
        </w:tc>
        <w:tc>
          <w:tcPr>
            <w:tcW w:w="758" w:type="pct"/>
            <w:tcBorders>
              <w:top w:val="nil"/>
              <w:bottom w:val="nil"/>
            </w:tcBorders>
            <w:vAlign w:val="center"/>
          </w:tcPr>
          <w:p w:rsidR="00B2315E" w:rsidRDefault="00B2315E">
            <w:pPr>
              <w:jc w:val="center"/>
              <w:rPr>
                <w:rFonts w:cs="Arial"/>
                <w:sz w:val="20"/>
                <w:szCs w:val="20"/>
              </w:rPr>
            </w:pPr>
            <w:r>
              <w:rPr>
                <w:rFonts w:cs="Arial"/>
                <w:sz w:val="20"/>
                <w:szCs w:val="20"/>
              </w:rPr>
              <w:t>5.38</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8.64</w:t>
            </w:r>
          </w:p>
        </w:tc>
        <w:tc>
          <w:tcPr>
            <w:tcW w:w="685" w:type="pct"/>
            <w:tcBorders>
              <w:top w:val="nil"/>
              <w:bottom w:val="nil"/>
            </w:tcBorders>
            <w:vAlign w:val="center"/>
          </w:tcPr>
          <w:p w:rsidR="00B2315E" w:rsidRDefault="00B2315E">
            <w:pPr>
              <w:jc w:val="center"/>
              <w:rPr>
                <w:rFonts w:cs="Arial"/>
                <w:sz w:val="20"/>
                <w:szCs w:val="20"/>
              </w:rPr>
            </w:pPr>
            <w:r>
              <w:rPr>
                <w:rFonts w:cs="Arial"/>
                <w:sz w:val="20"/>
                <w:szCs w:val="20"/>
              </w:rPr>
              <w:t>58</w:t>
            </w:r>
          </w:p>
        </w:tc>
        <w:tc>
          <w:tcPr>
            <w:tcW w:w="608" w:type="pct"/>
            <w:tcBorders>
              <w:top w:val="nil"/>
              <w:bottom w:val="nil"/>
            </w:tcBorders>
            <w:vAlign w:val="center"/>
          </w:tcPr>
          <w:p w:rsidR="00B2315E" w:rsidRDefault="00B2315E">
            <w:pPr>
              <w:jc w:val="center"/>
              <w:rPr>
                <w:rFonts w:cs="Arial"/>
                <w:sz w:val="20"/>
                <w:szCs w:val="20"/>
              </w:rPr>
            </w:pPr>
            <w:r>
              <w:rPr>
                <w:rFonts w:cs="Arial"/>
                <w:sz w:val="20"/>
                <w:szCs w:val="20"/>
              </w:rPr>
              <w:t>59</w:t>
            </w:r>
          </w:p>
        </w:tc>
      </w:tr>
      <w:tr w:rsidR="00B2315E" w:rsidRPr="00405CDE" w:rsidTr="00D07D9C">
        <w:trPr>
          <w:cnfStyle w:val="000000010000" w:firstRow="0" w:lastRow="0" w:firstColumn="0" w:lastColumn="0" w:oddVBand="0" w:evenVBand="0" w:oddHBand="0" w:evenHBand="1" w:firstRowFirstColumn="0" w:firstRowLastColumn="0" w:lastRowFirstColumn="0" w:lastRowLastColumn="0"/>
          <w:trHeight w:val="510"/>
        </w:trPr>
        <w:tc>
          <w:tcPr>
            <w:tcW w:w="1430" w:type="pct"/>
            <w:tcBorders>
              <w:top w:val="nil"/>
              <w:bottom w:val="single" w:sz="4" w:space="0" w:color="auto"/>
            </w:tcBorders>
            <w:vAlign w:val="center"/>
          </w:tcPr>
          <w:p w:rsidR="00B2315E" w:rsidRDefault="00B2315E">
            <w:pPr>
              <w:rPr>
                <w:rFonts w:cs="Arial"/>
                <w:sz w:val="20"/>
                <w:szCs w:val="20"/>
              </w:rPr>
            </w:pPr>
            <w:r>
              <w:rPr>
                <w:rFonts w:cs="Arial"/>
                <w:sz w:val="20"/>
                <w:szCs w:val="20"/>
              </w:rPr>
              <w:t>% change from previous financial YTD</w:t>
            </w:r>
          </w:p>
        </w:tc>
        <w:tc>
          <w:tcPr>
            <w:tcW w:w="759"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45</w:t>
            </w:r>
          </w:p>
        </w:tc>
        <w:tc>
          <w:tcPr>
            <w:tcW w:w="758"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50</w:t>
            </w:r>
          </w:p>
        </w:tc>
        <w:tc>
          <w:tcPr>
            <w:tcW w:w="759"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-33</w:t>
            </w:r>
          </w:p>
        </w:tc>
        <w:tc>
          <w:tcPr>
            <w:tcW w:w="685"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-4</w:t>
            </w:r>
          </w:p>
        </w:tc>
        <w:tc>
          <w:tcPr>
            <w:tcW w:w="608"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-2</w:t>
            </w:r>
          </w:p>
        </w:tc>
      </w:tr>
    </w:tbl>
    <w:p w:rsidR="00D1641C" w:rsidRDefault="006E7E57" w:rsidP="00D1641C">
      <w:pPr>
        <w:pStyle w:val="Heading2"/>
        <w:ind w:firstLine="0"/>
        <w:rPr>
          <w:i w:val="0"/>
          <w:color w:val="2272A3"/>
          <w:sz w:val="24"/>
          <w:szCs w:val="24"/>
        </w:rPr>
      </w:pPr>
      <w:r>
        <w:rPr>
          <w:i w:val="0"/>
          <w:color w:val="2272A3"/>
          <w:sz w:val="24"/>
          <w:szCs w:val="24"/>
        </w:rPr>
        <w:t>Brisbane STTM</w:t>
      </w:r>
    </w:p>
    <w:tbl>
      <w:tblPr>
        <w:tblStyle w:val="AERTable-Text0"/>
        <w:tblW w:w="4785" w:type="pct"/>
        <w:tblLook w:val="04A0" w:firstRow="1" w:lastRow="0" w:firstColumn="1" w:lastColumn="0" w:noHBand="0" w:noVBand="1"/>
      </w:tblPr>
      <w:tblGrid>
        <w:gridCol w:w="2667"/>
        <w:gridCol w:w="1416"/>
        <w:gridCol w:w="1413"/>
        <w:gridCol w:w="1415"/>
        <w:gridCol w:w="1277"/>
        <w:gridCol w:w="1134"/>
      </w:tblGrid>
      <w:tr w:rsidR="00F114D5" w:rsidRPr="00405CDE" w:rsidTr="00F114D5">
        <w:trPr>
          <w:cnfStyle w:val="100000000000" w:firstRow="1" w:lastRow="0" w:firstColumn="0" w:lastColumn="0" w:oddVBand="0" w:evenVBand="0" w:oddHBand="0" w:evenHBand="0" w:firstRowFirstColumn="0" w:firstRowLastColumn="0" w:lastRowFirstColumn="0" w:lastRowLastColumn="0"/>
          <w:tblHeader/>
        </w:trPr>
        <w:tc>
          <w:tcPr>
            <w:tcW w:w="1430" w:type="pct"/>
            <w:tcBorders>
              <w:bottom w:val="nil"/>
            </w:tcBorders>
            <w:hideMark/>
          </w:tcPr>
          <w:p w:rsidR="00F114D5" w:rsidRPr="00DC24BF" w:rsidRDefault="00F114D5" w:rsidP="0091453B">
            <w:pPr>
              <w:pStyle w:val="TableHeading"/>
              <w:jc w:val="center"/>
              <w:rPr>
                <w:rFonts w:cs="Arial"/>
                <w:sz w:val="20"/>
                <w:szCs w:val="20"/>
              </w:rPr>
            </w:pPr>
          </w:p>
        </w:tc>
        <w:tc>
          <w:tcPr>
            <w:tcW w:w="759"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ante price ($/GJ)</w:t>
            </w:r>
          </w:p>
        </w:tc>
        <w:tc>
          <w:tcPr>
            <w:tcW w:w="758" w:type="pct"/>
            <w:tcBorders>
              <w:bottom w:val="nil"/>
            </w:tcBorders>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post price ($/GJ)</w:t>
            </w:r>
          </w:p>
        </w:tc>
        <w:tc>
          <w:tcPr>
            <w:tcW w:w="759" w:type="pct"/>
            <w:tcBorders>
              <w:bottom w:val="nil"/>
            </w:tcBorders>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MOS payments ($000)</w:t>
            </w:r>
          </w:p>
        </w:tc>
        <w:tc>
          <w:tcPr>
            <w:tcW w:w="685"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ante quantity (TJ)</w:t>
            </w:r>
          </w:p>
        </w:tc>
        <w:tc>
          <w:tcPr>
            <w:tcW w:w="608" w:type="pct"/>
            <w:tcBorders>
              <w:bottom w:val="nil"/>
            </w:tcBorders>
            <w:hideMark/>
          </w:tcPr>
          <w:p w:rsidR="00F114D5" w:rsidRPr="002861A9" w:rsidRDefault="00F114D5" w:rsidP="006C5082">
            <w:pPr>
              <w:keepNext/>
              <w:spacing w:before="40" w:after="40"/>
              <w:jc w:val="center"/>
              <w:rPr>
                <w:rFonts w:cs="Arial"/>
                <w:b w:val="0"/>
                <w:bCs/>
                <w:sz w:val="20"/>
                <w:szCs w:val="20"/>
              </w:rPr>
            </w:pPr>
            <w:r w:rsidRPr="002861A9">
              <w:rPr>
                <w:rFonts w:cs="Arial"/>
                <w:bCs/>
                <w:sz w:val="20"/>
                <w:szCs w:val="20"/>
              </w:rPr>
              <w:t>Ex post quantity (TJ)</w:t>
            </w:r>
          </w:p>
        </w:tc>
      </w:tr>
      <w:tr w:rsidR="00B2315E" w:rsidRPr="00405CDE" w:rsidTr="00513D8E">
        <w:trPr>
          <w:trHeight w:val="510"/>
        </w:trPr>
        <w:tc>
          <w:tcPr>
            <w:tcW w:w="1430" w:type="pct"/>
            <w:tcBorders>
              <w:top w:val="nil"/>
              <w:bottom w:val="nil"/>
            </w:tcBorders>
            <w:vAlign w:val="center"/>
          </w:tcPr>
          <w:p w:rsidR="00B2315E" w:rsidRDefault="00B2315E">
            <w:pPr>
              <w:rPr>
                <w:rFonts w:cs="Arial"/>
                <w:sz w:val="20"/>
                <w:szCs w:val="20"/>
              </w:rPr>
            </w:pPr>
            <w:r>
              <w:rPr>
                <w:rFonts w:cs="Arial"/>
                <w:sz w:val="20"/>
                <w:szCs w:val="20"/>
              </w:rPr>
              <w:t>01 May - 07 May 2016</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5.71</w:t>
            </w:r>
          </w:p>
        </w:tc>
        <w:tc>
          <w:tcPr>
            <w:tcW w:w="758" w:type="pct"/>
            <w:tcBorders>
              <w:top w:val="nil"/>
              <w:bottom w:val="nil"/>
            </w:tcBorders>
            <w:vAlign w:val="center"/>
          </w:tcPr>
          <w:p w:rsidR="00B2315E" w:rsidRDefault="00B2315E">
            <w:pPr>
              <w:jc w:val="center"/>
              <w:rPr>
                <w:rFonts w:cs="Arial"/>
                <w:sz w:val="20"/>
                <w:szCs w:val="20"/>
              </w:rPr>
            </w:pPr>
            <w:r>
              <w:rPr>
                <w:rFonts w:cs="Arial"/>
                <w:sz w:val="20"/>
                <w:szCs w:val="20"/>
              </w:rPr>
              <w:t>5.51</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2.47</w:t>
            </w:r>
          </w:p>
        </w:tc>
        <w:tc>
          <w:tcPr>
            <w:tcW w:w="685" w:type="pct"/>
            <w:tcBorders>
              <w:top w:val="nil"/>
              <w:bottom w:val="nil"/>
            </w:tcBorders>
            <w:vAlign w:val="center"/>
          </w:tcPr>
          <w:p w:rsidR="00B2315E" w:rsidRDefault="00B2315E">
            <w:pPr>
              <w:jc w:val="center"/>
              <w:rPr>
                <w:rFonts w:cs="Arial"/>
                <w:sz w:val="20"/>
                <w:szCs w:val="20"/>
              </w:rPr>
            </w:pPr>
            <w:r>
              <w:rPr>
                <w:rFonts w:cs="Arial"/>
                <w:sz w:val="20"/>
                <w:szCs w:val="20"/>
              </w:rPr>
              <w:t>86</w:t>
            </w:r>
          </w:p>
        </w:tc>
        <w:tc>
          <w:tcPr>
            <w:tcW w:w="608" w:type="pct"/>
            <w:tcBorders>
              <w:top w:val="nil"/>
              <w:bottom w:val="nil"/>
            </w:tcBorders>
            <w:vAlign w:val="center"/>
          </w:tcPr>
          <w:p w:rsidR="00B2315E" w:rsidRDefault="00B2315E">
            <w:pPr>
              <w:jc w:val="center"/>
              <w:rPr>
                <w:rFonts w:cs="Arial"/>
                <w:sz w:val="20"/>
                <w:szCs w:val="20"/>
              </w:rPr>
            </w:pPr>
            <w:r>
              <w:rPr>
                <w:rFonts w:cs="Arial"/>
                <w:sz w:val="20"/>
                <w:szCs w:val="20"/>
              </w:rPr>
              <w:t>84</w:t>
            </w:r>
          </w:p>
        </w:tc>
      </w:tr>
      <w:tr w:rsidR="00B2315E" w:rsidRPr="00405CDE" w:rsidTr="00513D8E">
        <w:trPr>
          <w:cnfStyle w:val="000000010000" w:firstRow="0" w:lastRow="0" w:firstColumn="0" w:lastColumn="0" w:oddVBand="0" w:evenVBand="0" w:oddHBand="0" w:evenHBand="1" w:firstRowFirstColumn="0" w:firstRowLastColumn="0" w:lastRowFirstColumn="0" w:lastRowLastColumn="0"/>
          <w:trHeight w:val="510"/>
        </w:trPr>
        <w:tc>
          <w:tcPr>
            <w:tcW w:w="1430" w:type="pct"/>
            <w:tcBorders>
              <w:top w:val="nil"/>
              <w:bottom w:val="nil"/>
            </w:tcBorders>
            <w:vAlign w:val="center"/>
          </w:tcPr>
          <w:p w:rsidR="00B2315E" w:rsidRDefault="00B2315E">
            <w:pPr>
              <w:rPr>
                <w:rFonts w:cs="Arial"/>
                <w:sz w:val="20"/>
                <w:szCs w:val="20"/>
              </w:rPr>
            </w:pPr>
            <w:r>
              <w:rPr>
                <w:rFonts w:cs="Arial"/>
                <w:sz w:val="20"/>
                <w:szCs w:val="20"/>
              </w:rPr>
              <w:t>% change from previous week</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8</w:t>
            </w:r>
          </w:p>
        </w:tc>
        <w:tc>
          <w:tcPr>
            <w:tcW w:w="758" w:type="pct"/>
            <w:tcBorders>
              <w:top w:val="nil"/>
              <w:bottom w:val="nil"/>
            </w:tcBorders>
            <w:vAlign w:val="center"/>
          </w:tcPr>
          <w:p w:rsidR="00B2315E" w:rsidRDefault="00B2315E">
            <w:pPr>
              <w:jc w:val="center"/>
              <w:rPr>
                <w:rFonts w:cs="Arial"/>
                <w:sz w:val="20"/>
                <w:szCs w:val="20"/>
              </w:rPr>
            </w:pPr>
            <w:r>
              <w:rPr>
                <w:rFonts w:cs="Arial"/>
                <w:sz w:val="20"/>
                <w:szCs w:val="20"/>
              </w:rPr>
              <w:t>4</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41</w:t>
            </w:r>
          </w:p>
        </w:tc>
        <w:tc>
          <w:tcPr>
            <w:tcW w:w="685" w:type="pct"/>
            <w:tcBorders>
              <w:top w:val="nil"/>
              <w:bottom w:val="nil"/>
            </w:tcBorders>
            <w:vAlign w:val="center"/>
          </w:tcPr>
          <w:p w:rsidR="00B2315E" w:rsidRDefault="00B2315E">
            <w:pPr>
              <w:jc w:val="center"/>
              <w:rPr>
                <w:rFonts w:cs="Arial"/>
                <w:sz w:val="20"/>
                <w:szCs w:val="20"/>
              </w:rPr>
            </w:pPr>
            <w:r>
              <w:rPr>
                <w:rFonts w:cs="Arial"/>
                <w:sz w:val="20"/>
                <w:szCs w:val="20"/>
              </w:rPr>
              <w:t>-1</w:t>
            </w:r>
          </w:p>
        </w:tc>
        <w:tc>
          <w:tcPr>
            <w:tcW w:w="608" w:type="pct"/>
            <w:tcBorders>
              <w:top w:val="nil"/>
              <w:bottom w:val="nil"/>
            </w:tcBorders>
            <w:vAlign w:val="center"/>
          </w:tcPr>
          <w:p w:rsidR="00B2315E" w:rsidRDefault="00B2315E">
            <w:pPr>
              <w:jc w:val="center"/>
              <w:rPr>
                <w:rFonts w:cs="Arial"/>
                <w:sz w:val="20"/>
                <w:szCs w:val="20"/>
              </w:rPr>
            </w:pPr>
            <w:r>
              <w:rPr>
                <w:rFonts w:cs="Arial"/>
                <w:sz w:val="20"/>
                <w:szCs w:val="20"/>
              </w:rPr>
              <w:t>-4</w:t>
            </w:r>
          </w:p>
        </w:tc>
      </w:tr>
      <w:tr w:rsidR="00B2315E" w:rsidRPr="00405CDE" w:rsidTr="00513D8E">
        <w:trPr>
          <w:trHeight w:val="510"/>
        </w:trPr>
        <w:tc>
          <w:tcPr>
            <w:tcW w:w="1430" w:type="pct"/>
            <w:tcBorders>
              <w:top w:val="nil"/>
              <w:bottom w:val="nil"/>
            </w:tcBorders>
            <w:vAlign w:val="center"/>
          </w:tcPr>
          <w:p w:rsidR="00B2315E" w:rsidRDefault="00B2315E">
            <w:pPr>
              <w:rPr>
                <w:rFonts w:cs="Arial"/>
                <w:sz w:val="20"/>
                <w:szCs w:val="20"/>
              </w:rPr>
            </w:pPr>
            <w:r>
              <w:rPr>
                <w:rFonts w:cs="Arial"/>
                <w:sz w:val="20"/>
                <w:szCs w:val="20"/>
              </w:rPr>
              <w:t>15-16 financial YTD</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4.26</w:t>
            </w:r>
          </w:p>
        </w:tc>
        <w:tc>
          <w:tcPr>
            <w:tcW w:w="758" w:type="pct"/>
            <w:tcBorders>
              <w:top w:val="nil"/>
              <w:bottom w:val="nil"/>
            </w:tcBorders>
            <w:vAlign w:val="center"/>
          </w:tcPr>
          <w:p w:rsidR="00B2315E" w:rsidRDefault="00B2315E">
            <w:pPr>
              <w:jc w:val="center"/>
              <w:rPr>
                <w:rFonts w:cs="Arial"/>
                <w:sz w:val="20"/>
                <w:szCs w:val="20"/>
              </w:rPr>
            </w:pPr>
            <w:r>
              <w:rPr>
                <w:rFonts w:cs="Arial"/>
                <w:sz w:val="20"/>
                <w:szCs w:val="20"/>
              </w:rPr>
              <w:t>4.26</w:t>
            </w:r>
          </w:p>
        </w:tc>
        <w:tc>
          <w:tcPr>
            <w:tcW w:w="759" w:type="pct"/>
            <w:tcBorders>
              <w:top w:val="nil"/>
              <w:bottom w:val="nil"/>
            </w:tcBorders>
            <w:vAlign w:val="center"/>
          </w:tcPr>
          <w:p w:rsidR="00B2315E" w:rsidRDefault="00B2315E">
            <w:pPr>
              <w:jc w:val="center"/>
              <w:rPr>
                <w:rFonts w:cs="Arial"/>
                <w:sz w:val="20"/>
                <w:szCs w:val="20"/>
              </w:rPr>
            </w:pPr>
            <w:r>
              <w:rPr>
                <w:rFonts w:cs="Arial"/>
                <w:sz w:val="20"/>
                <w:szCs w:val="20"/>
              </w:rPr>
              <w:t>1.56</w:t>
            </w:r>
          </w:p>
        </w:tc>
        <w:tc>
          <w:tcPr>
            <w:tcW w:w="685" w:type="pct"/>
            <w:tcBorders>
              <w:top w:val="nil"/>
              <w:bottom w:val="nil"/>
            </w:tcBorders>
            <w:vAlign w:val="center"/>
          </w:tcPr>
          <w:p w:rsidR="00B2315E" w:rsidRDefault="00B2315E">
            <w:pPr>
              <w:jc w:val="center"/>
              <w:rPr>
                <w:rFonts w:cs="Arial"/>
                <w:sz w:val="20"/>
                <w:szCs w:val="20"/>
              </w:rPr>
            </w:pPr>
            <w:r>
              <w:rPr>
                <w:rFonts w:cs="Arial"/>
                <w:sz w:val="20"/>
                <w:szCs w:val="20"/>
              </w:rPr>
              <w:t>83</w:t>
            </w:r>
          </w:p>
        </w:tc>
        <w:tc>
          <w:tcPr>
            <w:tcW w:w="608" w:type="pct"/>
            <w:tcBorders>
              <w:top w:val="nil"/>
              <w:bottom w:val="nil"/>
            </w:tcBorders>
            <w:vAlign w:val="center"/>
          </w:tcPr>
          <w:p w:rsidR="00B2315E" w:rsidRDefault="00B2315E">
            <w:pPr>
              <w:jc w:val="center"/>
              <w:rPr>
                <w:rFonts w:cs="Arial"/>
                <w:sz w:val="20"/>
                <w:szCs w:val="20"/>
              </w:rPr>
            </w:pPr>
            <w:r>
              <w:rPr>
                <w:rFonts w:cs="Arial"/>
                <w:sz w:val="20"/>
                <w:szCs w:val="20"/>
              </w:rPr>
              <w:t>83</w:t>
            </w:r>
          </w:p>
        </w:tc>
      </w:tr>
      <w:tr w:rsidR="00B2315E" w:rsidRPr="00405CDE" w:rsidTr="00513D8E">
        <w:trPr>
          <w:cnfStyle w:val="000000010000" w:firstRow="0" w:lastRow="0" w:firstColumn="0" w:lastColumn="0" w:oddVBand="0" w:evenVBand="0" w:oddHBand="0" w:evenHBand="1" w:firstRowFirstColumn="0" w:firstRowLastColumn="0" w:lastRowFirstColumn="0" w:lastRowLastColumn="0"/>
          <w:trHeight w:val="510"/>
        </w:trPr>
        <w:tc>
          <w:tcPr>
            <w:tcW w:w="1430" w:type="pct"/>
            <w:tcBorders>
              <w:top w:val="nil"/>
              <w:bottom w:val="single" w:sz="4" w:space="0" w:color="auto"/>
            </w:tcBorders>
            <w:vAlign w:val="center"/>
          </w:tcPr>
          <w:p w:rsidR="00B2315E" w:rsidRDefault="00B2315E">
            <w:pPr>
              <w:rPr>
                <w:rFonts w:cs="Arial"/>
                <w:sz w:val="20"/>
                <w:szCs w:val="20"/>
              </w:rPr>
            </w:pPr>
            <w:r>
              <w:rPr>
                <w:rFonts w:cs="Arial"/>
                <w:sz w:val="20"/>
                <w:szCs w:val="20"/>
              </w:rPr>
              <w:t>% change from previous financial YTD</w:t>
            </w:r>
          </w:p>
        </w:tc>
        <w:tc>
          <w:tcPr>
            <w:tcW w:w="759"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81</w:t>
            </w:r>
          </w:p>
        </w:tc>
        <w:tc>
          <w:tcPr>
            <w:tcW w:w="758"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90</w:t>
            </w:r>
          </w:p>
        </w:tc>
        <w:tc>
          <w:tcPr>
            <w:tcW w:w="759"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-8</w:t>
            </w:r>
          </w:p>
        </w:tc>
        <w:tc>
          <w:tcPr>
            <w:tcW w:w="685"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-39</w:t>
            </w:r>
          </w:p>
        </w:tc>
        <w:tc>
          <w:tcPr>
            <w:tcW w:w="608" w:type="pct"/>
            <w:tcBorders>
              <w:top w:val="nil"/>
              <w:bottom w:val="single" w:sz="4" w:space="0" w:color="auto"/>
            </w:tcBorders>
            <w:vAlign w:val="center"/>
          </w:tcPr>
          <w:p w:rsidR="00B2315E" w:rsidRDefault="00B2315E">
            <w:pPr>
              <w:jc w:val="center"/>
              <w:rPr>
                <w:rFonts w:cs="Arial"/>
                <w:sz w:val="20"/>
                <w:szCs w:val="20"/>
              </w:rPr>
            </w:pPr>
            <w:r>
              <w:rPr>
                <w:rFonts w:cs="Arial"/>
                <w:sz w:val="20"/>
                <w:szCs w:val="20"/>
              </w:rPr>
              <w:t>-39</w:t>
            </w:r>
          </w:p>
        </w:tc>
      </w:tr>
    </w:tbl>
    <w:p w:rsidR="006E7E57" w:rsidRPr="008D4DAB" w:rsidRDefault="006E7E57" w:rsidP="00345444">
      <w:pPr>
        <w:pStyle w:val="AERbodytext"/>
        <w:spacing w:before="120" w:after="120" w:line="240" w:lineRule="auto"/>
        <w:jc w:val="both"/>
      </w:pPr>
      <w:r>
        <w:t>M</w:t>
      </w:r>
      <w:r w:rsidRPr="008D4DAB">
        <w:t xml:space="preserve">ore </w:t>
      </w:r>
      <w:r>
        <w:t xml:space="preserve">detailed </w:t>
      </w:r>
      <w:r w:rsidRPr="008D4DAB">
        <w:t>analysis o</w:t>
      </w:r>
      <w:r>
        <w:t>f</w:t>
      </w:r>
      <w:r w:rsidRPr="008D4DAB">
        <w:t xml:space="preserve"> the STTM hubs </w:t>
      </w:r>
      <w:r>
        <w:t>is found in</w:t>
      </w:r>
      <w:r w:rsidRPr="008D4DAB">
        <w:t xml:space="preserve"> sections 2 to 4</w:t>
      </w:r>
      <w:r>
        <w:t>.</w:t>
      </w:r>
      <w:r w:rsidRPr="008D4DAB">
        <w:t xml:space="preserve"> </w:t>
      </w:r>
    </w:p>
    <w:p w:rsidR="00D1641C" w:rsidRPr="00D1641C" w:rsidRDefault="006E7E57" w:rsidP="009962A0">
      <w:pPr>
        <w:jc w:val="both"/>
      </w:pPr>
      <w:r w:rsidRPr="008D4DAB">
        <w:t>Section 5 provides analysis on production and pipeline flows on the National Gas Bulletin Board</w:t>
      </w:r>
      <w:r>
        <w:t xml:space="preserve"> </w:t>
      </w:r>
      <w:r w:rsidRPr="00950C55">
        <w:rPr>
          <w:b/>
        </w:rPr>
        <w:t>(</w:t>
      </w:r>
      <w:r>
        <w:rPr>
          <w:b/>
        </w:rPr>
        <w:t>Bulletin Board)</w:t>
      </w:r>
      <w:r w:rsidRPr="008D4DAB">
        <w:t>, as well as gas</w:t>
      </w:r>
      <w:r>
        <w:t xml:space="preserve"> </w:t>
      </w:r>
      <w:r w:rsidRPr="008D4DAB">
        <w:t xml:space="preserve">powered generation </w:t>
      </w:r>
      <w:r w:rsidRPr="00FC4B88">
        <w:rPr>
          <w:b/>
        </w:rPr>
        <w:t>(GPG)</w:t>
      </w:r>
      <w:r>
        <w:t xml:space="preserve"> </w:t>
      </w:r>
      <w:r w:rsidRPr="008D4DAB">
        <w:t>volumes in each state</w:t>
      </w:r>
      <w:r>
        <w:t xml:space="preserve">, and section 6 provides information on the </w:t>
      </w:r>
      <w:r w:rsidR="009962A0">
        <w:t>G</w:t>
      </w:r>
      <w:r>
        <w:t xml:space="preserve">as </w:t>
      </w:r>
      <w:r w:rsidR="009962A0">
        <w:t>S</w:t>
      </w:r>
      <w:r>
        <w:t xml:space="preserve">upply </w:t>
      </w:r>
      <w:r w:rsidR="009962A0">
        <w:t>H</w:t>
      </w:r>
      <w:r>
        <w:t xml:space="preserve">ub </w:t>
      </w:r>
      <w:r w:rsidR="009962A0" w:rsidRPr="009962A0">
        <w:rPr>
          <w:b/>
        </w:rPr>
        <w:t>(GSH)</w:t>
      </w:r>
      <w:r w:rsidR="009962A0">
        <w:t xml:space="preserve"> </w:t>
      </w:r>
      <w:r>
        <w:t>at Wallumbilla</w:t>
      </w:r>
      <w:r w:rsidRPr="008D4DAB">
        <w:t>.</w:t>
      </w:r>
    </w:p>
    <w:p w:rsidR="00BC18FB" w:rsidRPr="006E7E57" w:rsidRDefault="00FE30E3" w:rsidP="00BC18FB">
      <w:pPr>
        <w:pStyle w:val="Heading1"/>
        <w:numPr>
          <w:ilvl w:val="0"/>
          <w:numId w:val="0"/>
        </w:numPr>
        <w:rPr>
          <w:color w:val="2272A3"/>
        </w:rPr>
      </w:pPr>
      <w:r>
        <w:rPr>
          <w:color w:val="2272A3"/>
        </w:rPr>
        <w:lastRenderedPageBreak/>
        <w:t>Detailed market analysis</w:t>
      </w:r>
    </w:p>
    <w:p w:rsidR="00514A02" w:rsidRPr="00514A02" w:rsidRDefault="00514A02" w:rsidP="001B3823">
      <w:pPr>
        <w:jc w:val="both"/>
        <w:rPr>
          <w:rFonts w:eastAsia="MS Mincho"/>
          <w:i/>
        </w:rPr>
      </w:pPr>
      <w:r w:rsidRPr="00514A02">
        <w:rPr>
          <w:rFonts w:eastAsia="MS Mincho"/>
          <w:i/>
        </w:rPr>
        <w:t>Adelaide</w:t>
      </w:r>
    </w:p>
    <w:p w:rsidR="00435EDA" w:rsidRPr="000755D2" w:rsidRDefault="00614693" w:rsidP="001B3823">
      <w:pPr>
        <w:jc w:val="both"/>
        <w:rPr>
          <w:rFonts w:eastAsia="MS Mincho"/>
        </w:rPr>
      </w:pPr>
      <w:r w:rsidRPr="000755D2">
        <w:rPr>
          <w:rFonts w:eastAsia="MS Mincho"/>
        </w:rPr>
        <w:t xml:space="preserve">On 1 May, over forecasting in Adelaide led to decrease MOS requirements of 4.6 TJ. Service payments for the decrease services allocated on the </w:t>
      </w:r>
      <w:r w:rsidR="005E4050" w:rsidRPr="000755D2">
        <w:rPr>
          <w:rFonts w:eastAsia="MS Mincho"/>
        </w:rPr>
        <w:t>Moomba to Adelaide Pipeline (</w:t>
      </w:r>
      <w:r w:rsidRPr="000755D2">
        <w:rPr>
          <w:rFonts w:eastAsia="MS Mincho"/>
        </w:rPr>
        <w:t>MAP</w:t>
      </w:r>
      <w:r w:rsidR="005E4050" w:rsidRPr="000755D2">
        <w:rPr>
          <w:rFonts w:eastAsia="MS Mincho"/>
        </w:rPr>
        <w:t>)</w:t>
      </w:r>
      <w:r w:rsidRPr="000755D2">
        <w:rPr>
          <w:rFonts w:eastAsia="MS Mincho"/>
        </w:rPr>
        <w:t xml:space="preserve"> accrued to just under $53 000</w:t>
      </w:r>
      <w:r w:rsidR="00652545">
        <w:rPr>
          <w:rFonts w:eastAsia="MS Mincho"/>
        </w:rPr>
        <w:t xml:space="preserve"> (or $11.50/GJ unit of MOS) – see figure 3.4</w:t>
      </w:r>
      <w:r w:rsidRPr="000755D2">
        <w:rPr>
          <w:rFonts w:eastAsia="MS Mincho"/>
        </w:rPr>
        <w:t>. Similar to the events of the previous week, the high payment was the result of only two participants (who had MOS offers available) having sufficient forward haul for the service to be allocated against their flows on the MAP</w:t>
      </w:r>
      <w:r w:rsidR="00652545">
        <w:rPr>
          <w:rFonts w:eastAsia="MS Mincho"/>
        </w:rPr>
        <w:t xml:space="preserve"> (meaning cheaper MOS offers were skipped)</w:t>
      </w:r>
      <w:r w:rsidRPr="000755D2">
        <w:rPr>
          <w:rFonts w:eastAsia="MS Mincho"/>
        </w:rPr>
        <w:t>.</w:t>
      </w:r>
      <w:r w:rsidR="005E4050" w:rsidRPr="000755D2">
        <w:rPr>
          <w:rFonts w:eastAsia="MS Mincho"/>
        </w:rPr>
        <w:t xml:space="preserve"> </w:t>
      </w:r>
    </w:p>
    <w:p w:rsidR="00514A02" w:rsidRPr="00514A02" w:rsidRDefault="00514A02" w:rsidP="00514A02">
      <w:pPr>
        <w:jc w:val="both"/>
        <w:rPr>
          <w:rFonts w:eastAsia="MS Mincho"/>
          <w:i/>
        </w:rPr>
      </w:pPr>
      <w:r w:rsidRPr="00514A02">
        <w:rPr>
          <w:rFonts w:eastAsia="MS Mincho"/>
          <w:i/>
        </w:rPr>
        <w:t>Brisbane</w:t>
      </w:r>
    </w:p>
    <w:p w:rsidR="00447A0B" w:rsidRPr="000755D2" w:rsidRDefault="00447A0B" w:rsidP="00AA386E">
      <w:pPr>
        <w:jc w:val="both"/>
        <w:rPr>
          <w:rFonts w:eastAsia="MS Mincho"/>
        </w:rPr>
      </w:pPr>
      <w:r w:rsidRPr="000755D2">
        <w:rPr>
          <w:rFonts w:eastAsia="MS Mincho"/>
        </w:rPr>
        <w:t xml:space="preserve">On </w:t>
      </w:r>
      <w:r w:rsidR="00B2315E" w:rsidRPr="000755D2">
        <w:rPr>
          <w:rFonts w:eastAsia="MS Mincho"/>
        </w:rPr>
        <w:t>2 May</w:t>
      </w:r>
      <w:r w:rsidRPr="000755D2">
        <w:rPr>
          <w:rFonts w:eastAsia="MS Mincho"/>
        </w:rPr>
        <w:t>, over forecasting in Brisbane led to</w:t>
      </w:r>
      <w:r w:rsidR="00444B76">
        <w:rPr>
          <w:rFonts w:eastAsia="MS Mincho"/>
        </w:rPr>
        <w:t xml:space="preserve"> </w:t>
      </w:r>
      <w:proofErr w:type="gramStart"/>
      <w:r w:rsidR="00444B76">
        <w:rPr>
          <w:rFonts w:eastAsia="MS Mincho"/>
        </w:rPr>
        <w:t>unusually  high</w:t>
      </w:r>
      <w:proofErr w:type="gramEnd"/>
      <w:r w:rsidR="00444B76">
        <w:rPr>
          <w:rFonts w:eastAsia="MS Mincho"/>
        </w:rPr>
        <w:t xml:space="preserve"> </w:t>
      </w:r>
      <w:r w:rsidRPr="000755D2">
        <w:rPr>
          <w:rFonts w:eastAsia="MS Mincho"/>
        </w:rPr>
        <w:t xml:space="preserve"> decrease MOS requirement</w:t>
      </w:r>
      <w:r w:rsidR="00444B76">
        <w:rPr>
          <w:rFonts w:eastAsia="MS Mincho"/>
        </w:rPr>
        <w:t xml:space="preserve">s of </w:t>
      </w:r>
      <w:r w:rsidRPr="000755D2">
        <w:rPr>
          <w:rFonts w:eastAsia="MS Mincho"/>
        </w:rPr>
        <w:t xml:space="preserve"> 10.7 TJ. </w:t>
      </w:r>
      <w:r w:rsidR="00444B76">
        <w:rPr>
          <w:rFonts w:eastAsia="MS Mincho"/>
        </w:rPr>
        <w:t xml:space="preserve">On this day </w:t>
      </w:r>
      <w:r w:rsidR="00B64ED1">
        <w:rPr>
          <w:rFonts w:eastAsia="MS Mincho"/>
        </w:rPr>
        <w:t xml:space="preserve">Queenslanders </w:t>
      </w:r>
      <w:r w:rsidR="00444B76">
        <w:rPr>
          <w:rFonts w:eastAsia="MS Mincho"/>
        </w:rPr>
        <w:t xml:space="preserve">(unlike other eastern states) </w:t>
      </w:r>
      <w:r w:rsidR="00B64ED1">
        <w:rPr>
          <w:rFonts w:eastAsia="MS Mincho"/>
        </w:rPr>
        <w:t xml:space="preserve">celebrated </w:t>
      </w:r>
      <w:proofErr w:type="gramStart"/>
      <w:r w:rsidR="00B64ED1">
        <w:rPr>
          <w:rFonts w:eastAsia="MS Mincho"/>
        </w:rPr>
        <w:t>labour day</w:t>
      </w:r>
      <w:proofErr w:type="gramEnd"/>
      <w:r w:rsidR="00444B76">
        <w:rPr>
          <w:rFonts w:eastAsia="MS Mincho"/>
        </w:rPr>
        <w:t xml:space="preserve"> and we will investigate further demand forecasting on this day</w:t>
      </w:r>
      <w:r w:rsidR="00B64ED1">
        <w:rPr>
          <w:rFonts w:eastAsia="MS Mincho"/>
        </w:rPr>
        <w:t xml:space="preserve">. </w:t>
      </w:r>
      <w:r w:rsidR="00AA386E" w:rsidRPr="000755D2">
        <w:rPr>
          <w:rFonts w:eastAsia="MS Mincho"/>
        </w:rPr>
        <w:t xml:space="preserve"> </w:t>
      </w:r>
      <w:r w:rsidR="00614693" w:rsidRPr="000755D2">
        <w:rPr>
          <w:rFonts w:eastAsia="MS Mincho"/>
        </w:rPr>
        <w:t>Figure 4.4 on page 9 shows the high level of MOS on the day.</w:t>
      </w:r>
    </w:p>
    <w:p w:rsidR="00514A02" w:rsidRPr="00514A02" w:rsidRDefault="00514A02" w:rsidP="00514A02">
      <w:pPr>
        <w:jc w:val="both"/>
        <w:rPr>
          <w:rFonts w:eastAsia="MS Mincho"/>
          <w:i/>
        </w:rPr>
      </w:pPr>
      <w:r w:rsidRPr="00514A02">
        <w:rPr>
          <w:rFonts w:eastAsia="MS Mincho"/>
          <w:i/>
        </w:rPr>
        <w:t>Sydney</w:t>
      </w:r>
    </w:p>
    <w:p w:rsidR="00E63DB5" w:rsidRDefault="005E4050" w:rsidP="005E4050">
      <w:pPr>
        <w:jc w:val="both"/>
        <w:rPr>
          <w:rFonts w:eastAsia="MS Mincho"/>
        </w:rPr>
      </w:pPr>
      <w:r w:rsidRPr="000755D2">
        <w:rPr>
          <w:rFonts w:eastAsia="MS Mincho"/>
        </w:rPr>
        <w:t>On 7 May, counteracting MOS in Sydney led to MOS allocations totalling 16.7 TJ, despite a net requirement of only 7.2 TJ to offset over forecast demand.</w:t>
      </w:r>
      <w:r w:rsidR="00447A0B" w:rsidRPr="000755D2">
        <w:rPr>
          <w:rFonts w:eastAsia="MS Mincho"/>
        </w:rPr>
        <w:t xml:space="preserve"> </w:t>
      </w:r>
      <w:r w:rsidRPr="000755D2">
        <w:rPr>
          <w:rFonts w:eastAsia="MS Mincho"/>
        </w:rPr>
        <w:t xml:space="preserve">Figure 2.4 on page 7 shows this drove the higher cost for the service to </w:t>
      </w:r>
      <w:r w:rsidR="00447A0B" w:rsidRPr="000755D2">
        <w:rPr>
          <w:rFonts w:eastAsia="MS Mincho"/>
        </w:rPr>
        <w:t>just over $52 000</w:t>
      </w:r>
      <w:r w:rsidRPr="000755D2">
        <w:rPr>
          <w:rFonts w:eastAsia="MS Mincho"/>
        </w:rPr>
        <w:t>.</w:t>
      </w:r>
    </w:p>
    <w:p w:rsidR="00652545" w:rsidRDefault="00652545" w:rsidP="005E4050">
      <w:pPr>
        <w:jc w:val="both"/>
        <w:rPr>
          <w:rFonts w:eastAsia="MS Mincho"/>
          <w:i/>
        </w:rPr>
      </w:pPr>
      <w:r>
        <w:rPr>
          <w:rFonts w:eastAsia="MS Mincho"/>
          <w:i/>
        </w:rPr>
        <w:t>Victoria</w:t>
      </w:r>
    </w:p>
    <w:p w:rsidR="00447A0B" w:rsidRPr="003D59BF" w:rsidRDefault="00A5490E" w:rsidP="001B3823">
      <w:pPr>
        <w:jc w:val="both"/>
        <w:rPr>
          <w:color w:val="FF0000"/>
        </w:rPr>
      </w:pPr>
      <w:r>
        <w:t>The Brooklyn Compressor Station returned to service from 3 May following the completion of planned maintenance.</w:t>
      </w:r>
      <w:r>
        <w:rPr>
          <w:rStyle w:val="FootnoteReference"/>
        </w:rPr>
        <w:footnoteReference w:id="2"/>
      </w:r>
    </w:p>
    <w:p w:rsidR="004420C4" w:rsidRPr="004420C4" w:rsidRDefault="0008491C" w:rsidP="004420C4">
      <w:pPr>
        <w:pStyle w:val="Heading1"/>
        <w:numPr>
          <w:ilvl w:val="0"/>
          <w:numId w:val="0"/>
        </w:numPr>
        <w:spacing w:before="120" w:after="0"/>
        <w:ind w:left="142"/>
        <w:rPr>
          <w:color w:val="FFFFFF"/>
          <w:sz w:val="36"/>
        </w:rPr>
      </w:pPr>
      <w:r>
        <w:rPr>
          <w:color w:val="FFFFFF" w:themeColor="background1"/>
          <w:sz w:val="36"/>
          <w:szCs w:val="36"/>
        </w:rPr>
        <w:br w:type="page"/>
      </w:r>
      <w:r w:rsidR="00DA4967">
        <w:rPr>
          <w:color w:val="FFFFFF"/>
          <w:sz w:val="36"/>
        </w:rPr>
        <w:lastRenderedPageBreak/>
        <w:pict>
          <v:shape id="_x0000_s1075" type="#_x0000_t75" alt="Australian Energy Regulator logo" style="position:absolute;left:0;text-align:left;margin-left:.95pt;margin-top:-.3pt;width:476.25pt;height:77.25pt;z-index:-251652096;mso-position-horizontal-relative:text;mso-position-vertical-relative:text">
            <v:imagedata r:id="rId9" o:title="AER-header for report templates"/>
          </v:shape>
        </w:pict>
      </w:r>
      <w:r w:rsidR="00DA4967">
        <w:rPr>
          <w:color w:val="FFFFFF"/>
          <w:sz w:val="36"/>
        </w:rPr>
        <w:pict>
          <v:shape id="_x0000_s1097" type="#_x0000_t75" style="position:absolute;left:0;text-align:left;margin-left:720.75pt;margin-top:282.05pt;width:386.3pt;height:299.3pt;z-index:251669504;mso-position-horizontal-relative:text;mso-position-vertical-relative:text" fillcolor="black" strokecolor="white" strokeweight="3e-5mm">
            <v:imagedata r:id="rId10" o:title=""/>
            <o:lock v:ext="edit" rotation="t"/>
          </v:shape>
        </w:pict>
      </w:r>
      <w:r w:rsidR="004420C4" w:rsidRPr="004420C4">
        <w:rPr>
          <w:color w:val="FFFFFF"/>
          <w:sz w:val="36"/>
        </w:rPr>
        <w:t>Detailed Market Figures</w:t>
      </w:r>
    </w:p>
    <w:p w:rsidR="004420C4" w:rsidRDefault="004420C4" w:rsidP="004420C4"/>
    <w:p w:rsidR="004420C4" w:rsidRDefault="004420C4" w:rsidP="004420C4"/>
    <w:p w:rsidR="004420C4" w:rsidRDefault="004420C4" w:rsidP="004420C4"/>
    <w:p w:rsidR="004420C4" w:rsidRPr="00AC3047" w:rsidRDefault="009273C1" w:rsidP="004420C4">
      <w:pPr>
        <w:pStyle w:val="Heading2"/>
        <w:numPr>
          <w:ilvl w:val="0"/>
          <w:numId w:val="0"/>
        </w:numPr>
        <w:rPr>
          <w:i w:val="0"/>
        </w:rPr>
      </w:pPr>
      <w:r>
        <w:rPr>
          <w:i w:val="0"/>
          <w:sz w:val="36"/>
          <w:szCs w:val="36"/>
        </w:rPr>
        <w:t>1 – 7 May 2016</w:t>
      </w:r>
    </w:p>
    <w:p w:rsidR="004420C4" w:rsidRDefault="004420C4" w:rsidP="004420C4">
      <w:pPr>
        <w:pStyle w:val="Heading3"/>
        <w:ind w:firstLine="0"/>
      </w:pPr>
      <w:r w:rsidRPr="00004A63">
        <w:rPr>
          <w:color w:val="2272A3"/>
          <w:sz w:val="32"/>
          <w:szCs w:val="32"/>
        </w:rPr>
        <w:t>Victorian Declared Wholesale Market</w:t>
      </w:r>
    </w:p>
    <w:p w:rsidR="00004A63" w:rsidRPr="00EF58A8" w:rsidRDefault="00EF58A8" w:rsidP="00345444">
      <w:pPr>
        <w:jc w:val="both"/>
      </w:pPr>
      <w:r w:rsidRPr="00EF58A8">
        <w:t>In the Victorian gas market, gas is priced five times daily at 6 am, 10 am, 2 pm, 6 pm and 10 pm. The imbalance weighted price on a gas day tends towards the 6 am price</w:t>
      </w:r>
      <w:r w:rsidRPr="00EF58A8">
        <w:rPr>
          <w:rStyle w:val="FootnoteReference"/>
        </w:rPr>
        <w:footnoteReference w:id="3"/>
      </w:r>
      <w:r w:rsidRPr="00EF58A8">
        <w:t xml:space="preserve"> which is the schedule at which most gas is traded.</w:t>
      </w:r>
      <w:r w:rsidR="00004A63" w:rsidRPr="00EF58A8">
        <w:t xml:space="preserve"> </w:t>
      </w:r>
    </w:p>
    <w:p w:rsidR="00004A63" w:rsidRPr="00EF58A8" w:rsidRDefault="00EF58A8" w:rsidP="00345444">
      <w:pPr>
        <w:jc w:val="both"/>
      </w:pPr>
      <w:r w:rsidRPr="00EF58A8">
        <w:t>The main drivers</w:t>
      </w:r>
      <w:r w:rsidRPr="00EF58A8">
        <w:rPr>
          <w:rStyle w:val="FootnoteReference"/>
        </w:rPr>
        <w:footnoteReference w:id="4"/>
      </w:r>
      <w:r w:rsidRPr="00EF58A8">
        <w:t xml:space="preserve"> of price are demand forecasts and bids to inject or withdraw gas from the market.</w:t>
      </w:r>
      <w:r w:rsidRPr="00EF58A8">
        <w:rPr>
          <w:rStyle w:val="FootnoteReference"/>
        </w:rPr>
        <w:t xml:space="preserve"> </w:t>
      </w:r>
      <w:r w:rsidRPr="00EF58A8">
        <w:t>Figures 1.1 to 1.4 below show the daily prices, demand forecasts</w:t>
      </w:r>
      <w:r w:rsidRPr="00EF58A8">
        <w:rPr>
          <w:rStyle w:val="FootnoteReference"/>
        </w:rPr>
        <w:footnoteReference w:id="5"/>
      </w:r>
      <w:r w:rsidRPr="00EF58A8">
        <w:t>, and injection/withdrawal bids for each of the five pricing schedules. Figure 1.5 provides information on which system injection points were used to deliver gas, in turn indicating the location and relative quantity of gas injection bids cleared through the market.</w:t>
      </w:r>
    </w:p>
    <w:p w:rsidR="00BC18FB" w:rsidRPr="00DD0358" w:rsidRDefault="00004A63" w:rsidP="00FF0D8A">
      <w:pPr>
        <w:pStyle w:val="Heading4"/>
        <w:ind w:hanging="338"/>
        <w:rPr>
          <w:color w:val="2272A3"/>
          <w:sz w:val="24"/>
        </w:rPr>
      </w:pPr>
      <w:r w:rsidRPr="00DD0358">
        <w:rPr>
          <w:color w:val="2272A3"/>
          <w:sz w:val="24"/>
        </w:rPr>
        <w:t>Prices by schedule</w:t>
      </w:r>
    </w:p>
    <w:p w:rsidR="00362B9A" w:rsidRPr="00362B9A" w:rsidRDefault="002E5A67" w:rsidP="00362B9A">
      <w:r>
        <w:pict>
          <v:shape id="_x0000_i1025" type="#_x0000_t75" alt="Figure 1.1 shows the five Victorian schedule prices for each day this week. The marker indicates the daily imbalance weighted average price for each day. For a more detailed description of this figure, please refer to the user guide." style="width:475.95pt;height:137.45pt">
            <v:imagedata r:id="rId13" o:title=""/>
          </v:shape>
        </w:pict>
      </w:r>
    </w:p>
    <w:p w:rsidR="00BC18FB" w:rsidRPr="00DD0358" w:rsidRDefault="00004A63" w:rsidP="00FF0D8A">
      <w:pPr>
        <w:pStyle w:val="Heading4"/>
        <w:ind w:hanging="338"/>
        <w:rPr>
          <w:color w:val="2272A3"/>
          <w:sz w:val="24"/>
        </w:rPr>
      </w:pPr>
      <w:r w:rsidRPr="00DD0358">
        <w:rPr>
          <w:color w:val="2272A3"/>
          <w:sz w:val="24"/>
        </w:rPr>
        <w:t>Demand forecasts</w:t>
      </w:r>
    </w:p>
    <w:p w:rsidR="00362B9A" w:rsidRPr="00362B9A" w:rsidRDefault="002E5A67" w:rsidP="00362B9A">
      <w:r>
        <w:pict>
          <v:shape id="_x0000_i1026" type="#_x0000_t75" alt="Figure 1.2 shows the demand forecast used to calculate the five daily schedule prices for this week. For a more detailed description of this figure, please refer to the user guide." style="width:475.95pt;height:176.75pt">
            <v:imagedata r:id="rId14" o:title=""/>
          </v:shape>
        </w:pict>
      </w:r>
    </w:p>
    <w:p w:rsidR="00BC18FB" w:rsidRPr="00DD0358" w:rsidRDefault="00004A63" w:rsidP="00FF0D8A">
      <w:pPr>
        <w:pStyle w:val="Heading4"/>
        <w:ind w:hanging="338"/>
        <w:rPr>
          <w:color w:val="2272A3"/>
          <w:sz w:val="24"/>
        </w:rPr>
      </w:pPr>
      <w:r w:rsidRPr="00DD0358">
        <w:rPr>
          <w:color w:val="2272A3"/>
          <w:sz w:val="24"/>
        </w:rPr>
        <w:lastRenderedPageBreak/>
        <w:t>Injection bids by price bands</w:t>
      </w:r>
    </w:p>
    <w:p w:rsidR="00362B9A" w:rsidRPr="00362B9A" w:rsidRDefault="002E5A67" w:rsidP="00362B9A">
      <w:r>
        <w:pict>
          <v:shape id="_x0000_i1027" type="#_x0000_t75" alt="Figure 1.3 shows the injection bids within certain price bands for each trading interval in Victoria this week. For a more detailed description of this figure, please refer to the user guide." style="width:476.9pt;height:206.65pt">
            <v:imagedata r:id="rId15" o:title=""/>
          </v:shape>
        </w:pict>
      </w:r>
    </w:p>
    <w:p w:rsidR="00BC18FB" w:rsidRPr="00DD0358" w:rsidRDefault="00362B9A" w:rsidP="00FF0D8A">
      <w:pPr>
        <w:pStyle w:val="Heading4"/>
        <w:ind w:hanging="338"/>
        <w:rPr>
          <w:color w:val="2272A3"/>
          <w:sz w:val="24"/>
        </w:rPr>
      </w:pPr>
      <w:r w:rsidRPr="00DD0358">
        <w:rPr>
          <w:color w:val="2272A3"/>
          <w:sz w:val="24"/>
        </w:rPr>
        <w:t>Withdrawal bids by price bands</w:t>
      </w:r>
    </w:p>
    <w:p w:rsidR="00362B9A" w:rsidRPr="00362B9A" w:rsidRDefault="002E5A67" w:rsidP="00362B9A">
      <w:r>
        <w:pict>
          <v:shape id="_x0000_i1028" type="#_x0000_t75" alt="Figure 1.4 shows the withdrawal bids within certain price bands for each trading interval in Victoria this week. For a more detailed description of this figure, please refer to the user guide." style="width:476.9pt;height:162.7pt">
            <v:imagedata r:id="rId16" o:title=""/>
          </v:shape>
        </w:pict>
      </w:r>
    </w:p>
    <w:p w:rsidR="00BC18FB" w:rsidRPr="00DD0358" w:rsidRDefault="00362B9A" w:rsidP="00FF0D8A">
      <w:pPr>
        <w:pStyle w:val="Heading4"/>
        <w:ind w:hanging="338"/>
        <w:rPr>
          <w:color w:val="2272A3"/>
          <w:sz w:val="24"/>
        </w:rPr>
      </w:pPr>
      <w:r w:rsidRPr="00DD0358">
        <w:rPr>
          <w:color w:val="2272A3"/>
          <w:sz w:val="24"/>
        </w:rPr>
        <w:t>Metered Injections by System Injection Point</w:t>
      </w:r>
    </w:p>
    <w:p w:rsidR="00BC18FB" w:rsidRDefault="002E5A67" w:rsidP="00BC18FB">
      <w:r>
        <w:pict>
          <v:shape id="_x0000_i1029" type="#_x0000_t75" alt="Figure 1.5 shows the metered injections sorted by facility for each 4 hour interval in Victoria this week. For a more detailed description of this figure, please refer to the user guide." style="width:475.95pt;height:177.65pt">
            <v:imagedata r:id="rId17" o:title=""/>
          </v:shape>
        </w:pict>
      </w:r>
    </w:p>
    <w:p w:rsidR="00345444" w:rsidRPr="00EF58A8" w:rsidRDefault="00EF58A8" w:rsidP="00EF58A8">
      <w:pPr>
        <w:ind w:left="720"/>
        <w:rPr>
          <w:sz w:val="18"/>
          <w:szCs w:val="18"/>
        </w:rPr>
      </w:pPr>
      <w:r w:rsidRPr="00EF58A8">
        <w:rPr>
          <w:sz w:val="18"/>
          <w:szCs w:val="18"/>
        </w:rPr>
        <w:t>Note that in figure 1.5, the last 8</w:t>
      </w:r>
      <w:r w:rsidRPr="00EF58A8">
        <w:rPr>
          <w:sz w:val="18"/>
          <w:szCs w:val="18"/>
        </w:rPr>
        <w:noBreakHyphen/>
        <w:t>hour schedule from 10 pm has been separated into two 4</w:t>
      </w:r>
      <w:r w:rsidRPr="00EF58A8">
        <w:rPr>
          <w:sz w:val="18"/>
          <w:szCs w:val="18"/>
        </w:rPr>
        <w:noBreakHyphen/>
        <w:t>hour blocks to provide a consistent comparison with earlier scheduled injection volumes.</w:t>
      </w:r>
    </w:p>
    <w:p w:rsidR="00345444" w:rsidRDefault="00345444" w:rsidP="00BC18FB"/>
    <w:p w:rsidR="00EF58A8" w:rsidRPr="00BC18FB" w:rsidRDefault="00EF58A8" w:rsidP="00BC18FB"/>
    <w:p w:rsidR="00BC18FB" w:rsidRDefault="00BC18FB" w:rsidP="00BC18FB">
      <w:pPr>
        <w:pStyle w:val="Heading3"/>
        <w:ind w:firstLine="0"/>
        <w:rPr>
          <w:color w:val="2272A3"/>
          <w:sz w:val="32"/>
          <w:szCs w:val="32"/>
        </w:rPr>
      </w:pPr>
      <w:r w:rsidRPr="00004A63">
        <w:rPr>
          <w:color w:val="2272A3"/>
          <w:sz w:val="32"/>
          <w:szCs w:val="32"/>
        </w:rPr>
        <w:lastRenderedPageBreak/>
        <w:t>S</w:t>
      </w:r>
      <w:r w:rsidR="00362B9A">
        <w:rPr>
          <w:color w:val="2272A3"/>
          <w:sz w:val="32"/>
          <w:szCs w:val="32"/>
        </w:rPr>
        <w:t>ydney STTM</w:t>
      </w:r>
    </w:p>
    <w:p w:rsidR="00EF58A8" w:rsidRPr="00EF58A8" w:rsidRDefault="00EF58A8" w:rsidP="00EF58A8">
      <w:pPr>
        <w:jc w:val="both"/>
      </w:pPr>
      <w:r>
        <w:t xml:space="preserve">In each </w:t>
      </w:r>
      <w:r w:rsidRPr="00EF58A8">
        <w:t>STTM hub, a daily gas price is calculated before the gas day (the ex ante price) and after the gas day (the ex post price). The main drivers of these prices are participant demand forecasts, and offers to inject or bids to withdraw gas traded at the hub.</w:t>
      </w:r>
      <w:r w:rsidRPr="00EF58A8">
        <w:rPr>
          <w:rStyle w:val="FootnoteReference"/>
        </w:rPr>
        <w:footnoteReference w:id="6"/>
      </w:r>
      <w:r w:rsidRPr="00EF58A8">
        <w:t xml:space="preserve"> Divergences in ex ante and ex post prices for a gas day may occur due to differences in scheduled (forecast) and allocated (actual) quantities.</w:t>
      </w:r>
      <w:r>
        <w:t xml:space="preserve"> Pipeline acronyms are defined in the </w:t>
      </w:r>
      <w:hyperlink r:id="rId18" w:history="1">
        <w:r w:rsidR="00586C57">
          <w:rPr>
            <w:rStyle w:val="Hyperlink"/>
          </w:rPr>
          <w:t>user guide</w:t>
        </w:r>
      </w:hyperlink>
      <w:r w:rsidR="00586C57">
        <w:t>.</w:t>
      </w:r>
    </w:p>
    <w:p w:rsidR="00EF58A8" w:rsidRPr="00EF58A8" w:rsidRDefault="00EF58A8" w:rsidP="00EF58A8">
      <w:pPr>
        <w:pStyle w:val="AERbodytext"/>
        <w:spacing w:before="120" w:after="120" w:line="240" w:lineRule="auto"/>
        <w:jc w:val="both"/>
      </w:pPr>
      <w:r w:rsidRPr="00EF58A8">
        <w:t>Market Operator Service balancing gas (MOS) payments arise because the amount of gas nominated on pipelines for delivery on a gas day will either exceed or fall short, by some amount, of the amount of gas consumed in the hub. In such circumstances, MOS payments are made to participants for providing a service to park gas on a pipeline or to loan gas from a pipeline to the hub.</w:t>
      </w:r>
      <w:r w:rsidRPr="00EF58A8">
        <w:rPr>
          <w:rStyle w:val="FootnoteReference"/>
        </w:rPr>
        <w:footnoteReference w:id="7"/>
      </w:r>
      <w:r w:rsidRPr="00EF58A8">
        <w:t xml:space="preserve"> </w:t>
      </w:r>
    </w:p>
    <w:p w:rsidR="00362B9A" w:rsidRPr="00362B9A" w:rsidRDefault="00EF58A8" w:rsidP="00EF58A8">
      <w:pPr>
        <w:jc w:val="both"/>
      </w:pPr>
      <w:r w:rsidRPr="00EF58A8">
        <w:t>Figures 2.1 and 2.2 show daily prices, demand, offers and bids. Figures 2.3 and 2.4 show gas scheduled and allocated on pipelines to supply the hub, indicating</w:t>
      </w:r>
      <w:r w:rsidRPr="00442756">
        <w:t xml:space="preserve"> the location and relative quantity of gas offers across pipelines and also the amount of MOS allocated for each pipeline.</w:t>
      </w:r>
    </w:p>
    <w:p w:rsidR="00BC18FB" w:rsidRDefault="00362B9A" w:rsidP="00362B9A">
      <w:pPr>
        <w:pStyle w:val="Heading4"/>
        <w:ind w:left="340" w:hanging="340"/>
        <w:rPr>
          <w:color w:val="2272A3"/>
          <w:sz w:val="24"/>
          <w:szCs w:val="24"/>
        </w:rPr>
      </w:pPr>
      <w:r w:rsidRPr="00362B9A">
        <w:rPr>
          <w:color w:val="2272A3"/>
          <w:sz w:val="24"/>
          <w:szCs w:val="24"/>
        </w:rPr>
        <w:t>SYD STTM daily ex ante and ex post prices and quantities</w:t>
      </w:r>
    </w:p>
    <w:tbl>
      <w:tblPr>
        <w:tblStyle w:val="AERTable-Text0"/>
        <w:tblW w:w="4851" w:type="pct"/>
        <w:tblLook w:val="04A0" w:firstRow="1" w:lastRow="0" w:firstColumn="1" w:lastColumn="0" w:noHBand="0" w:noVBand="1"/>
      </w:tblPr>
      <w:tblGrid>
        <w:gridCol w:w="2079"/>
        <w:gridCol w:w="1128"/>
        <w:gridCol w:w="989"/>
        <w:gridCol w:w="1145"/>
        <w:gridCol w:w="1006"/>
        <w:gridCol w:w="992"/>
        <w:gridCol w:w="987"/>
        <w:gridCol w:w="1125"/>
      </w:tblGrid>
      <w:tr w:rsidR="00F114D5" w:rsidRPr="00405CDE" w:rsidTr="00F114D5">
        <w:trPr>
          <w:cnfStyle w:val="100000000000" w:firstRow="1" w:lastRow="0" w:firstColumn="0" w:lastColumn="0" w:oddVBand="0" w:evenVBand="0" w:oddHBand="0" w:evenHBand="0" w:firstRowFirstColumn="0" w:firstRowLastColumn="0" w:lastRowFirstColumn="0" w:lastRowLastColumn="0"/>
          <w:tblHeader/>
        </w:trPr>
        <w:tc>
          <w:tcPr>
            <w:tcW w:w="1100" w:type="pct"/>
            <w:tcBorders>
              <w:bottom w:val="nil"/>
            </w:tcBorders>
            <w:hideMark/>
          </w:tcPr>
          <w:p w:rsidR="00F114D5" w:rsidRPr="00DC24BF" w:rsidRDefault="00F114D5" w:rsidP="007A51E1">
            <w:pPr>
              <w:pStyle w:val="TableHeading"/>
              <w:spacing w:before="0" w:after="0"/>
              <w:jc w:val="center"/>
              <w:rPr>
                <w:rFonts w:cs="Arial"/>
                <w:sz w:val="20"/>
                <w:szCs w:val="20"/>
              </w:rPr>
            </w:pPr>
          </w:p>
        </w:tc>
        <w:tc>
          <w:tcPr>
            <w:tcW w:w="597" w:type="pct"/>
            <w:tcBorders>
              <w:bottom w:val="nil"/>
            </w:tcBorders>
            <w:hideMark/>
          </w:tcPr>
          <w:p w:rsidR="00F114D5" w:rsidRPr="00442756" w:rsidRDefault="00F114D5" w:rsidP="007A51E1">
            <w:pPr>
              <w:spacing w:before="0" w:after="0"/>
              <w:jc w:val="center"/>
              <w:rPr>
                <w:rFonts w:cs="Arial"/>
                <w:b w:val="0"/>
                <w:bCs/>
                <w:sz w:val="20"/>
                <w:szCs w:val="20"/>
              </w:rPr>
            </w:pPr>
            <w:r w:rsidRPr="00442756">
              <w:rPr>
                <w:rFonts w:cs="Arial"/>
                <w:bCs/>
                <w:sz w:val="20"/>
                <w:szCs w:val="20"/>
              </w:rPr>
              <w:t>Sun</w:t>
            </w:r>
          </w:p>
        </w:tc>
        <w:tc>
          <w:tcPr>
            <w:tcW w:w="523"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Mon</w:t>
            </w:r>
          </w:p>
        </w:tc>
        <w:tc>
          <w:tcPr>
            <w:tcW w:w="606"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Tue</w:t>
            </w:r>
          </w:p>
        </w:tc>
        <w:tc>
          <w:tcPr>
            <w:tcW w:w="532"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Wed</w:t>
            </w:r>
          </w:p>
        </w:tc>
        <w:tc>
          <w:tcPr>
            <w:tcW w:w="525"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Thu</w:t>
            </w:r>
          </w:p>
        </w:tc>
        <w:tc>
          <w:tcPr>
            <w:tcW w:w="522" w:type="pct"/>
            <w:tcBorders>
              <w:bottom w:val="nil"/>
            </w:tcBorders>
            <w:hideMark/>
          </w:tcPr>
          <w:p w:rsidR="00F114D5" w:rsidRPr="00442756" w:rsidRDefault="00F114D5" w:rsidP="007A51E1">
            <w:pPr>
              <w:spacing w:before="0" w:after="0"/>
              <w:jc w:val="center"/>
              <w:rPr>
                <w:rFonts w:cs="Arial"/>
                <w:b w:val="0"/>
                <w:bCs/>
                <w:sz w:val="20"/>
                <w:szCs w:val="20"/>
              </w:rPr>
            </w:pPr>
            <w:r w:rsidRPr="00442756">
              <w:rPr>
                <w:rFonts w:cs="Arial"/>
                <w:bCs/>
                <w:sz w:val="20"/>
                <w:szCs w:val="20"/>
              </w:rPr>
              <w:t>Fri</w:t>
            </w:r>
          </w:p>
        </w:tc>
        <w:tc>
          <w:tcPr>
            <w:tcW w:w="595" w:type="pct"/>
            <w:tcBorders>
              <w:bottom w:val="nil"/>
            </w:tcBorders>
            <w:hideMark/>
          </w:tcPr>
          <w:p w:rsidR="00F114D5" w:rsidRPr="00442756" w:rsidRDefault="00F114D5" w:rsidP="007A51E1">
            <w:pPr>
              <w:spacing w:before="0" w:after="0"/>
              <w:jc w:val="center"/>
              <w:rPr>
                <w:rFonts w:cs="Arial"/>
                <w:b w:val="0"/>
                <w:bCs/>
                <w:sz w:val="20"/>
                <w:szCs w:val="20"/>
              </w:rPr>
            </w:pPr>
            <w:r w:rsidRPr="00442756">
              <w:rPr>
                <w:rFonts w:cs="Arial"/>
                <w:bCs/>
                <w:sz w:val="20"/>
                <w:szCs w:val="20"/>
              </w:rPr>
              <w:t>Sat</w:t>
            </w:r>
          </w:p>
        </w:tc>
      </w:tr>
      <w:tr w:rsidR="009B34B0" w:rsidRPr="00405CDE" w:rsidTr="00F114D5">
        <w:trPr>
          <w:trHeight w:val="510"/>
        </w:trPr>
        <w:tc>
          <w:tcPr>
            <w:tcW w:w="1100" w:type="pct"/>
            <w:tcBorders>
              <w:top w:val="nil"/>
              <w:bottom w:val="nil"/>
            </w:tcBorders>
            <w:vAlign w:val="center"/>
          </w:tcPr>
          <w:p w:rsidR="009B34B0" w:rsidRDefault="009B34B0">
            <w:pPr>
              <w:rPr>
                <w:rFonts w:cs="Arial"/>
                <w:sz w:val="20"/>
                <w:szCs w:val="20"/>
              </w:rPr>
            </w:pPr>
            <w:r>
              <w:rPr>
                <w:rFonts w:cs="Arial"/>
                <w:sz w:val="20"/>
                <w:szCs w:val="20"/>
              </w:rPr>
              <w:t>Ex ante price ($/GJ)</w:t>
            </w:r>
          </w:p>
        </w:tc>
        <w:tc>
          <w:tcPr>
            <w:tcW w:w="597" w:type="pct"/>
            <w:tcBorders>
              <w:top w:val="nil"/>
              <w:bottom w:val="nil"/>
            </w:tcBorders>
            <w:vAlign w:val="center"/>
          </w:tcPr>
          <w:p w:rsidR="009B34B0" w:rsidRDefault="009B34B0">
            <w:pPr>
              <w:jc w:val="center"/>
              <w:rPr>
                <w:rFonts w:cs="Arial"/>
                <w:sz w:val="20"/>
                <w:szCs w:val="20"/>
              </w:rPr>
            </w:pPr>
            <w:r>
              <w:rPr>
                <w:rFonts w:cs="Arial"/>
                <w:sz w:val="20"/>
                <w:szCs w:val="20"/>
              </w:rPr>
              <w:t>4.98</w:t>
            </w:r>
          </w:p>
        </w:tc>
        <w:tc>
          <w:tcPr>
            <w:tcW w:w="523" w:type="pct"/>
            <w:tcBorders>
              <w:top w:val="nil"/>
              <w:bottom w:val="nil"/>
            </w:tcBorders>
            <w:vAlign w:val="center"/>
          </w:tcPr>
          <w:p w:rsidR="009B34B0" w:rsidRDefault="009B34B0">
            <w:pPr>
              <w:jc w:val="center"/>
              <w:rPr>
                <w:rFonts w:cs="Arial"/>
                <w:sz w:val="20"/>
                <w:szCs w:val="20"/>
              </w:rPr>
            </w:pPr>
            <w:r>
              <w:rPr>
                <w:rFonts w:cs="Arial"/>
                <w:sz w:val="20"/>
                <w:szCs w:val="20"/>
              </w:rPr>
              <w:t>4.51</w:t>
            </w:r>
          </w:p>
        </w:tc>
        <w:tc>
          <w:tcPr>
            <w:tcW w:w="606" w:type="pct"/>
            <w:tcBorders>
              <w:top w:val="nil"/>
              <w:bottom w:val="nil"/>
            </w:tcBorders>
            <w:vAlign w:val="center"/>
          </w:tcPr>
          <w:p w:rsidR="009B34B0" w:rsidRDefault="009B34B0">
            <w:pPr>
              <w:jc w:val="center"/>
              <w:rPr>
                <w:rFonts w:cs="Arial"/>
                <w:sz w:val="20"/>
                <w:szCs w:val="20"/>
              </w:rPr>
            </w:pPr>
            <w:r>
              <w:rPr>
                <w:rFonts w:cs="Arial"/>
                <w:sz w:val="20"/>
                <w:szCs w:val="20"/>
              </w:rPr>
              <w:t>4.52</w:t>
            </w:r>
          </w:p>
        </w:tc>
        <w:tc>
          <w:tcPr>
            <w:tcW w:w="532" w:type="pct"/>
            <w:tcBorders>
              <w:top w:val="nil"/>
              <w:bottom w:val="nil"/>
            </w:tcBorders>
            <w:vAlign w:val="center"/>
          </w:tcPr>
          <w:p w:rsidR="009B34B0" w:rsidRDefault="009B34B0">
            <w:pPr>
              <w:jc w:val="center"/>
              <w:rPr>
                <w:rFonts w:cs="Arial"/>
                <w:sz w:val="20"/>
                <w:szCs w:val="20"/>
              </w:rPr>
            </w:pPr>
            <w:r>
              <w:rPr>
                <w:rFonts w:cs="Arial"/>
                <w:sz w:val="20"/>
                <w:szCs w:val="20"/>
              </w:rPr>
              <w:t>4.55</w:t>
            </w:r>
          </w:p>
        </w:tc>
        <w:tc>
          <w:tcPr>
            <w:tcW w:w="525" w:type="pct"/>
            <w:tcBorders>
              <w:top w:val="nil"/>
              <w:bottom w:val="nil"/>
            </w:tcBorders>
            <w:vAlign w:val="center"/>
          </w:tcPr>
          <w:p w:rsidR="009B34B0" w:rsidRDefault="009B34B0">
            <w:pPr>
              <w:jc w:val="center"/>
              <w:rPr>
                <w:rFonts w:cs="Arial"/>
                <w:sz w:val="20"/>
                <w:szCs w:val="20"/>
              </w:rPr>
            </w:pPr>
            <w:r>
              <w:rPr>
                <w:rFonts w:cs="Arial"/>
                <w:sz w:val="20"/>
                <w:szCs w:val="20"/>
              </w:rPr>
              <w:t>4.75</w:t>
            </w:r>
          </w:p>
        </w:tc>
        <w:tc>
          <w:tcPr>
            <w:tcW w:w="522" w:type="pct"/>
            <w:tcBorders>
              <w:top w:val="nil"/>
              <w:bottom w:val="nil"/>
            </w:tcBorders>
            <w:vAlign w:val="center"/>
          </w:tcPr>
          <w:p w:rsidR="009B34B0" w:rsidRDefault="009B34B0">
            <w:pPr>
              <w:jc w:val="center"/>
              <w:rPr>
                <w:rFonts w:cs="Arial"/>
                <w:sz w:val="20"/>
                <w:szCs w:val="20"/>
              </w:rPr>
            </w:pPr>
            <w:r>
              <w:rPr>
                <w:rFonts w:cs="Arial"/>
                <w:sz w:val="20"/>
                <w:szCs w:val="20"/>
              </w:rPr>
              <w:t>4.51</w:t>
            </w:r>
          </w:p>
        </w:tc>
        <w:tc>
          <w:tcPr>
            <w:tcW w:w="595" w:type="pct"/>
            <w:tcBorders>
              <w:top w:val="nil"/>
              <w:bottom w:val="nil"/>
            </w:tcBorders>
            <w:vAlign w:val="center"/>
          </w:tcPr>
          <w:p w:rsidR="009B34B0" w:rsidRDefault="009B34B0">
            <w:pPr>
              <w:jc w:val="center"/>
              <w:rPr>
                <w:rFonts w:cs="Arial"/>
                <w:sz w:val="20"/>
                <w:szCs w:val="20"/>
              </w:rPr>
            </w:pPr>
            <w:r>
              <w:rPr>
                <w:rFonts w:cs="Arial"/>
                <w:sz w:val="20"/>
                <w:szCs w:val="20"/>
              </w:rPr>
              <w:t>4.58</w:t>
            </w:r>
          </w:p>
        </w:tc>
      </w:tr>
      <w:tr w:rsidR="009B34B0" w:rsidRPr="00405CDE" w:rsidTr="00F114D5">
        <w:trPr>
          <w:cnfStyle w:val="000000010000" w:firstRow="0" w:lastRow="0" w:firstColumn="0" w:lastColumn="0" w:oddVBand="0" w:evenVBand="0" w:oddHBand="0" w:evenHBand="1" w:firstRowFirstColumn="0" w:firstRowLastColumn="0" w:lastRowFirstColumn="0" w:lastRowLastColumn="0"/>
          <w:trHeight w:val="510"/>
        </w:trPr>
        <w:tc>
          <w:tcPr>
            <w:tcW w:w="1100" w:type="pct"/>
            <w:tcBorders>
              <w:top w:val="nil"/>
              <w:bottom w:val="nil"/>
            </w:tcBorders>
            <w:vAlign w:val="center"/>
          </w:tcPr>
          <w:p w:rsidR="009B34B0" w:rsidRDefault="009B34B0">
            <w:pPr>
              <w:rPr>
                <w:rFonts w:cs="Arial"/>
                <w:sz w:val="20"/>
                <w:szCs w:val="20"/>
              </w:rPr>
            </w:pPr>
            <w:r>
              <w:rPr>
                <w:rFonts w:cs="Arial"/>
                <w:sz w:val="20"/>
                <w:szCs w:val="20"/>
              </w:rPr>
              <w:t>Ex ante quantity (TJ)</w:t>
            </w:r>
          </w:p>
        </w:tc>
        <w:tc>
          <w:tcPr>
            <w:tcW w:w="597" w:type="pct"/>
            <w:tcBorders>
              <w:top w:val="nil"/>
              <w:bottom w:val="nil"/>
            </w:tcBorders>
            <w:vAlign w:val="center"/>
          </w:tcPr>
          <w:p w:rsidR="009B34B0" w:rsidRDefault="009B34B0">
            <w:pPr>
              <w:jc w:val="center"/>
              <w:rPr>
                <w:rFonts w:cs="Arial"/>
                <w:sz w:val="20"/>
                <w:szCs w:val="20"/>
              </w:rPr>
            </w:pPr>
            <w:r>
              <w:rPr>
                <w:rFonts w:cs="Arial"/>
                <w:sz w:val="20"/>
                <w:szCs w:val="20"/>
              </w:rPr>
              <w:t>217</w:t>
            </w:r>
          </w:p>
        </w:tc>
        <w:tc>
          <w:tcPr>
            <w:tcW w:w="523" w:type="pct"/>
            <w:tcBorders>
              <w:top w:val="nil"/>
              <w:bottom w:val="nil"/>
            </w:tcBorders>
            <w:vAlign w:val="center"/>
          </w:tcPr>
          <w:p w:rsidR="009B34B0" w:rsidRDefault="009B34B0">
            <w:pPr>
              <w:jc w:val="center"/>
              <w:rPr>
                <w:rFonts w:cs="Arial"/>
                <w:sz w:val="20"/>
                <w:szCs w:val="20"/>
              </w:rPr>
            </w:pPr>
            <w:r>
              <w:rPr>
                <w:rFonts w:cs="Arial"/>
                <w:sz w:val="20"/>
                <w:szCs w:val="20"/>
              </w:rPr>
              <w:t>254</w:t>
            </w:r>
          </w:p>
        </w:tc>
        <w:tc>
          <w:tcPr>
            <w:tcW w:w="606" w:type="pct"/>
            <w:tcBorders>
              <w:top w:val="nil"/>
              <w:bottom w:val="nil"/>
            </w:tcBorders>
            <w:vAlign w:val="center"/>
          </w:tcPr>
          <w:p w:rsidR="009B34B0" w:rsidRDefault="009B34B0">
            <w:pPr>
              <w:jc w:val="center"/>
              <w:rPr>
                <w:rFonts w:cs="Arial"/>
                <w:sz w:val="20"/>
                <w:szCs w:val="20"/>
              </w:rPr>
            </w:pPr>
            <w:r>
              <w:rPr>
                <w:rFonts w:cs="Arial"/>
                <w:sz w:val="20"/>
                <w:szCs w:val="20"/>
              </w:rPr>
              <w:t>259</w:t>
            </w:r>
          </w:p>
        </w:tc>
        <w:tc>
          <w:tcPr>
            <w:tcW w:w="532" w:type="pct"/>
            <w:tcBorders>
              <w:top w:val="nil"/>
              <w:bottom w:val="nil"/>
            </w:tcBorders>
            <w:vAlign w:val="center"/>
          </w:tcPr>
          <w:p w:rsidR="009B34B0" w:rsidRDefault="009B34B0">
            <w:pPr>
              <w:jc w:val="center"/>
              <w:rPr>
                <w:rFonts w:cs="Arial"/>
                <w:sz w:val="20"/>
                <w:szCs w:val="20"/>
              </w:rPr>
            </w:pPr>
            <w:r>
              <w:rPr>
                <w:rFonts w:cs="Arial"/>
                <w:sz w:val="20"/>
                <w:szCs w:val="20"/>
              </w:rPr>
              <w:t>259</w:t>
            </w:r>
          </w:p>
        </w:tc>
        <w:tc>
          <w:tcPr>
            <w:tcW w:w="525" w:type="pct"/>
            <w:tcBorders>
              <w:top w:val="nil"/>
              <w:bottom w:val="nil"/>
            </w:tcBorders>
            <w:vAlign w:val="center"/>
          </w:tcPr>
          <w:p w:rsidR="009B34B0" w:rsidRDefault="009B34B0">
            <w:pPr>
              <w:jc w:val="center"/>
              <w:rPr>
                <w:rFonts w:cs="Arial"/>
                <w:sz w:val="20"/>
                <w:szCs w:val="20"/>
              </w:rPr>
            </w:pPr>
            <w:r>
              <w:rPr>
                <w:rFonts w:cs="Arial"/>
                <w:sz w:val="20"/>
                <w:szCs w:val="20"/>
              </w:rPr>
              <w:t>261</w:t>
            </w:r>
          </w:p>
        </w:tc>
        <w:tc>
          <w:tcPr>
            <w:tcW w:w="522" w:type="pct"/>
            <w:tcBorders>
              <w:top w:val="nil"/>
              <w:bottom w:val="nil"/>
            </w:tcBorders>
            <w:vAlign w:val="center"/>
          </w:tcPr>
          <w:p w:rsidR="009B34B0" w:rsidRDefault="009B34B0">
            <w:pPr>
              <w:jc w:val="center"/>
              <w:rPr>
                <w:rFonts w:cs="Arial"/>
                <w:sz w:val="20"/>
                <w:szCs w:val="20"/>
              </w:rPr>
            </w:pPr>
            <w:r>
              <w:rPr>
                <w:rFonts w:cs="Arial"/>
                <w:sz w:val="20"/>
                <w:szCs w:val="20"/>
              </w:rPr>
              <w:t>253</w:t>
            </w:r>
          </w:p>
        </w:tc>
        <w:tc>
          <w:tcPr>
            <w:tcW w:w="595" w:type="pct"/>
            <w:tcBorders>
              <w:top w:val="nil"/>
              <w:bottom w:val="nil"/>
            </w:tcBorders>
            <w:vAlign w:val="center"/>
          </w:tcPr>
          <w:p w:rsidR="009B34B0" w:rsidRDefault="009B34B0">
            <w:pPr>
              <w:jc w:val="center"/>
              <w:rPr>
                <w:rFonts w:cs="Arial"/>
                <w:sz w:val="20"/>
                <w:szCs w:val="20"/>
              </w:rPr>
            </w:pPr>
            <w:r>
              <w:rPr>
                <w:rFonts w:cs="Arial"/>
                <w:sz w:val="20"/>
                <w:szCs w:val="20"/>
              </w:rPr>
              <w:t>224</w:t>
            </w:r>
          </w:p>
        </w:tc>
      </w:tr>
      <w:tr w:rsidR="009B34B0" w:rsidRPr="00405CDE" w:rsidTr="00F114D5">
        <w:trPr>
          <w:trHeight w:val="510"/>
        </w:trPr>
        <w:tc>
          <w:tcPr>
            <w:tcW w:w="1100" w:type="pct"/>
            <w:tcBorders>
              <w:top w:val="nil"/>
              <w:bottom w:val="nil"/>
            </w:tcBorders>
            <w:vAlign w:val="center"/>
          </w:tcPr>
          <w:p w:rsidR="009B34B0" w:rsidRDefault="009B34B0">
            <w:pPr>
              <w:rPr>
                <w:rFonts w:cs="Arial"/>
                <w:sz w:val="20"/>
                <w:szCs w:val="20"/>
              </w:rPr>
            </w:pPr>
            <w:r>
              <w:rPr>
                <w:rFonts w:cs="Arial"/>
                <w:sz w:val="20"/>
                <w:szCs w:val="20"/>
              </w:rPr>
              <w:t>Ex post price ($/GJ)</w:t>
            </w:r>
          </w:p>
        </w:tc>
        <w:tc>
          <w:tcPr>
            <w:tcW w:w="597" w:type="pct"/>
            <w:tcBorders>
              <w:top w:val="nil"/>
              <w:bottom w:val="nil"/>
            </w:tcBorders>
            <w:vAlign w:val="center"/>
          </w:tcPr>
          <w:p w:rsidR="009B34B0" w:rsidRDefault="009B34B0">
            <w:pPr>
              <w:jc w:val="center"/>
              <w:rPr>
                <w:rFonts w:cs="Arial"/>
                <w:sz w:val="20"/>
                <w:szCs w:val="20"/>
              </w:rPr>
            </w:pPr>
            <w:r>
              <w:rPr>
                <w:rFonts w:cs="Arial"/>
                <w:sz w:val="20"/>
                <w:szCs w:val="20"/>
              </w:rPr>
              <w:t>4.39</w:t>
            </w:r>
          </w:p>
        </w:tc>
        <w:tc>
          <w:tcPr>
            <w:tcW w:w="523" w:type="pct"/>
            <w:tcBorders>
              <w:top w:val="nil"/>
              <w:bottom w:val="nil"/>
            </w:tcBorders>
            <w:vAlign w:val="center"/>
          </w:tcPr>
          <w:p w:rsidR="009B34B0" w:rsidRDefault="009B34B0">
            <w:pPr>
              <w:jc w:val="center"/>
              <w:rPr>
                <w:rFonts w:cs="Arial"/>
                <w:sz w:val="20"/>
                <w:szCs w:val="20"/>
              </w:rPr>
            </w:pPr>
            <w:r>
              <w:rPr>
                <w:rFonts w:cs="Arial"/>
                <w:sz w:val="20"/>
                <w:szCs w:val="20"/>
              </w:rPr>
              <w:t>5.18</w:t>
            </w:r>
          </w:p>
        </w:tc>
        <w:tc>
          <w:tcPr>
            <w:tcW w:w="606" w:type="pct"/>
            <w:tcBorders>
              <w:top w:val="nil"/>
              <w:bottom w:val="nil"/>
            </w:tcBorders>
            <w:vAlign w:val="center"/>
          </w:tcPr>
          <w:p w:rsidR="009B34B0" w:rsidRDefault="009B34B0">
            <w:pPr>
              <w:jc w:val="center"/>
              <w:rPr>
                <w:rFonts w:cs="Arial"/>
                <w:sz w:val="20"/>
                <w:szCs w:val="20"/>
              </w:rPr>
            </w:pPr>
            <w:r>
              <w:rPr>
                <w:rFonts w:cs="Arial"/>
                <w:sz w:val="20"/>
                <w:szCs w:val="20"/>
              </w:rPr>
              <w:t>4.02</w:t>
            </w:r>
          </w:p>
        </w:tc>
        <w:tc>
          <w:tcPr>
            <w:tcW w:w="532" w:type="pct"/>
            <w:tcBorders>
              <w:top w:val="nil"/>
              <w:bottom w:val="nil"/>
            </w:tcBorders>
            <w:vAlign w:val="center"/>
          </w:tcPr>
          <w:p w:rsidR="009B34B0" w:rsidRDefault="009B34B0">
            <w:pPr>
              <w:jc w:val="center"/>
              <w:rPr>
                <w:rFonts w:cs="Arial"/>
                <w:sz w:val="20"/>
                <w:szCs w:val="20"/>
              </w:rPr>
            </w:pPr>
            <w:r>
              <w:rPr>
                <w:rFonts w:cs="Arial"/>
                <w:sz w:val="20"/>
                <w:szCs w:val="20"/>
              </w:rPr>
              <w:t>4.55</w:t>
            </w:r>
          </w:p>
        </w:tc>
        <w:tc>
          <w:tcPr>
            <w:tcW w:w="525" w:type="pct"/>
            <w:tcBorders>
              <w:top w:val="nil"/>
              <w:bottom w:val="nil"/>
            </w:tcBorders>
            <w:vAlign w:val="center"/>
          </w:tcPr>
          <w:p w:rsidR="009B34B0" w:rsidRDefault="009B34B0">
            <w:pPr>
              <w:jc w:val="center"/>
              <w:rPr>
                <w:rFonts w:cs="Arial"/>
                <w:sz w:val="20"/>
                <w:szCs w:val="20"/>
              </w:rPr>
            </w:pPr>
            <w:r>
              <w:rPr>
                <w:rFonts w:cs="Arial"/>
                <w:sz w:val="20"/>
                <w:szCs w:val="20"/>
              </w:rPr>
              <w:t>4.72</w:t>
            </w:r>
          </w:p>
        </w:tc>
        <w:tc>
          <w:tcPr>
            <w:tcW w:w="522" w:type="pct"/>
            <w:tcBorders>
              <w:top w:val="nil"/>
              <w:bottom w:val="nil"/>
            </w:tcBorders>
            <w:vAlign w:val="center"/>
          </w:tcPr>
          <w:p w:rsidR="009B34B0" w:rsidRDefault="009B34B0">
            <w:pPr>
              <w:jc w:val="center"/>
              <w:rPr>
                <w:rFonts w:cs="Arial"/>
                <w:sz w:val="20"/>
                <w:szCs w:val="20"/>
              </w:rPr>
            </w:pPr>
            <w:r>
              <w:rPr>
                <w:rFonts w:cs="Arial"/>
                <w:sz w:val="20"/>
                <w:szCs w:val="20"/>
              </w:rPr>
              <w:t>4.79</w:t>
            </w:r>
          </w:p>
        </w:tc>
        <w:tc>
          <w:tcPr>
            <w:tcW w:w="595" w:type="pct"/>
            <w:tcBorders>
              <w:top w:val="nil"/>
              <w:bottom w:val="nil"/>
            </w:tcBorders>
            <w:vAlign w:val="center"/>
          </w:tcPr>
          <w:p w:rsidR="009B34B0" w:rsidRDefault="009B34B0">
            <w:pPr>
              <w:jc w:val="center"/>
              <w:rPr>
                <w:rFonts w:cs="Arial"/>
                <w:sz w:val="20"/>
                <w:szCs w:val="20"/>
              </w:rPr>
            </w:pPr>
            <w:r>
              <w:rPr>
                <w:rFonts w:cs="Arial"/>
                <w:sz w:val="20"/>
                <w:szCs w:val="20"/>
              </w:rPr>
              <w:t>5.16</w:t>
            </w:r>
          </w:p>
        </w:tc>
      </w:tr>
      <w:tr w:rsidR="009B34B0" w:rsidRPr="00405CDE" w:rsidTr="00F114D5">
        <w:trPr>
          <w:cnfStyle w:val="000000010000" w:firstRow="0" w:lastRow="0" w:firstColumn="0" w:lastColumn="0" w:oddVBand="0" w:evenVBand="0" w:oddHBand="0" w:evenHBand="1" w:firstRowFirstColumn="0" w:firstRowLastColumn="0" w:lastRowFirstColumn="0" w:lastRowLastColumn="0"/>
          <w:trHeight w:val="510"/>
        </w:trPr>
        <w:tc>
          <w:tcPr>
            <w:tcW w:w="1100" w:type="pct"/>
            <w:tcBorders>
              <w:top w:val="nil"/>
              <w:bottom w:val="single" w:sz="4" w:space="0" w:color="auto"/>
            </w:tcBorders>
            <w:vAlign w:val="center"/>
          </w:tcPr>
          <w:p w:rsidR="009B34B0" w:rsidRDefault="009B34B0">
            <w:pPr>
              <w:rPr>
                <w:rFonts w:cs="Arial"/>
                <w:sz w:val="20"/>
                <w:szCs w:val="20"/>
              </w:rPr>
            </w:pPr>
            <w:r>
              <w:rPr>
                <w:rFonts w:cs="Arial"/>
                <w:sz w:val="20"/>
                <w:szCs w:val="20"/>
              </w:rPr>
              <w:t>Ex post quantity (TJ)</w:t>
            </w:r>
          </w:p>
        </w:tc>
        <w:tc>
          <w:tcPr>
            <w:tcW w:w="597"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209</w:t>
            </w:r>
          </w:p>
        </w:tc>
        <w:tc>
          <w:tcPr>
            <w:tcW w:w="523"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257</w:t>
            </w:r>
          </w:p>
        </w:tc>
        <w:tc>
          <w:tcPr>
            <w:tcW w:w="606"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248</w:t>
            </w:r>
          </w:p>
        </w:tc>
        <w:tc>
          <w:tcPr>
            <w:tcW w:w="532"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253</w:t>
            </w:r>
          </w:p>
        </w:tc>
        <w:tc>
          <w:tcPr>
            <w:tcW w:w="525"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258</w:t>
            </w:r>
          </w:p>
        </w:tc>
        <w:tc>
          <w:tcPr>
            <w:tcW w:w="522"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256</w:t>
            </w:r>
          </w:p>
        </w:tc>
        <w:tc>
          <w:tcPr>
            <w:tcW w:w="595"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231</w:t>
            </w:r>
          </w:p>
        </w:tc>
      </w:tr>
    </w:tbl>
    <w:p w:rsidR="00BC18FB" w:rsidRPr="00DD0358" w:rsidRDefault="00362B9A" w:rsidP="00362B9A">
      <w:pPr>
        <w:pStyle w:val="Heading4"/>
        <w:ind w:left="340" w:hanging="340"/>
        <w:rPr>
          <w:color w:val="2272A3"/>
          <w:sz w:val="24"/>
          <w:szCs w:val="24"/>
        </w:rPr>
      </w:pPr>
      <w:r w:rsidRPr="00DD0358">
        <w:rPr>
          <w:color w:val="2272A3"/>
          <w:sz w:val="24"/>
          <w:szCs w:val="24"/>
        </w:rPr>
        <w:t>SYD daily hub offers and daily hub bids in price bands ($/GJ)</w:t>
      </w:r>
    </w:p>
    <w:p w:rsidR="00362B9A" w:rsidRPr="00362B9A" w:rsidRDefault="002E5A67" w:rsidP="00362B9A">
      <w:r>
        <w:pict>
          <v:shape id="_x0000_i1030" type="#_x0000_t75" alt="Figure 2.2 shows the daily hub offers and bid in within certain price bands in Sydney this week. The line indicates the scheduled quantity for each day. For a more detailed description of this figure, please refer to the user guide." style="width:475.95pt;height:170.2pt">
            <v:imagedata r:id="rId19" o:title=""/>
          </v:shape>
        </w:pict>
      </w:r>
    </w:p>
    <w:p w:rsidR="00BC18FB" w:rsidRPr="00DD0358" w:rsidRDefault="00362B9A" w:rsidP="00FF0D8A">
      <w:pPr>
        <w:pStyle w:val="Heading4"/>
        <w:ind w:hanging="338"/>
        <w:rPr>
          <w:color w:val="2272A3"/>
          <w:sz w:val="24"/>
          <w:szCs w:val="24"/>
        </w:rPr>
      </w:pPr>
      <w:r w:rsidRPr="00DD0358">
        <w:rPr>
          <w:color w:val="2272A3"/>
          <w:sz w:val="24"/>
          <w:szCs w:val="24"/>
        </w:rPr>
        <w:lastRenderedPageBreak/>
        <w:t xml:space="preserve">SYD net scheduled and allocated </w:t>
      </w:r>
      <w:r w:rsidR="003625A6" w:rsidRPr="00DD0358">
        <w:rPr>
          <w:color w:val="2272A3"/>
          <w:sz w:val="24"/>
          <w:szCs w:val="24"/>
        </w:rPr>
        <w:t xml:space="preserve">gas hub supply </w:t>
      </w:r>
      <w:r w:rsidRPr="00DD0358">
        <w:rPr>
          <w:color w:val="2272A3"/>
          <w:sz w:val="24"/>
          <w:szCs w:val="24"/>
        </w:rPr>
        <w:t xml:space="preserve">(excluding MOS) </w:t>
      </w:r>
    </w:p>
    <w:p w:rsidR="00362B9A" w:rsidRPr="00362B9A" w:rsidRDefault="002E5A67" w:rsidP="00362B9A">
      <w:r>
        <w:pict>
          <v:shape id="_x0000_i1031" type="#_x0000_t75" alt="Figure 2.3 shows the daily scheduled and allocated quantities sorted by facility for Sydney this week. For a more detailed description of this figure, please refer to the user guide." style="width:477.8pt;height:213.2pt">
            <v:imagedata r:id="rId20" o:title=""/>
          </v:shape>
        </w:pict>
      </w:r>
    </w:p>
    <w:p w:rsidR="00BC18FB" w:rsidRPr="00DD0358" w:rsidRDefault="00362B9A" w:rsidP="00560F2D">
      <w:pPr>
        <w:pStyle w:val="Heading4"/>
        <w:ind w:left="1440" w:hanging="1440"/>
        <w:rPr>
          <w:color w:val="2272A3"/>
          <w:sz w:val="24"/>
          <w:szCs w:val="24"/>
        </w:rPr>
      </w:pPr>
      <w:r w:rsidRPr="00DD0358">
        <w:rPr>
          <w:color w:val="2272A3"/>
          <w:sz w:val="24"/>
          <w:szCs w:val="24"/>
        </w:rPr>
        <w:t>SYD MOS allocations (TJ), service payments and commodity payments/charges ($000)</w:t>
      </w:r>
    </w:p>
    <w:p w:rsidR="00362B9A" w:rsidRDefault="002E5A67" w:rsidP="00362B9A">
      <w:r>
        <w:pict>
          <v:shape id="_x0000_i1032" type="#_x0000_t75" alt="Figure 2.4 shows the daily MOS allocations sorted by facility for each facility in Sydney this week. The figure also shows the daily breakdown of costs associated with the MOS provided. For a more detailed description of this figure, please refer to the user guide." style="width:475.95pt;height:180.45pt">
            <v:imagedata r:id="rId21" o:title=""/>
          </v:shape>
        </w:pict>
      </w:r>
    </w:p>
    <w:p w:rsidR="00BC18FB" w:rsidRDefault="00AE309F" w:rsidP="00BC18FB">
      <w:pPr>
        <w:pStyle w:val="Heading3"/>
        <w:ind w:firstLine="0"/>
        <w:rPr>
          <w:color w:val="2272A3"/>
          <w:sz w:val="32"/>
          <w:szCs w:val="32"/>
        </w:rPr>
      </w:pPr>
      <w:r>
        <w:rPr>
          <w:color w:val="2272A3"/>
          <w:sz w:val="32"/>
          <w:szCs w:val="32"/>
        </w:rPr>
        <w:br w:type="page"/>
      </w:r>
      <w:r w:rsidR="00BC18FB" w:rsidRPr="00004A63">
        <w:rPr>
          <w:color w:val="2272A3"/>
          <w:sz w:val="32"/>
          <w:szCs w:val="32"/>
        </w:rPr>
        <w:lastRenderedPageBreak/>
        <w:t>A</w:t>
      </w:r>
      <w:r w:rsidR="00362B9A">
        <w:rPr>
          <w:color w:val="2272A3"/>
          <w:sz w:val="32"/>
          <w:szCs w:val="32"/>
        </w:rPr>
        <w:t>delaide STTM</w:t>
      </w:r>
    </w:p>
    <w:p w:rsidR="003625A6" w:rsidRPr="003625A6" w:rsidRDefault="003625A6" w:rsidP="00345444">
      <w:pPr>
        <w:jc w:val="both"/>
      </w:pPr>
      <w:r>
        <w:t>The Adelaide STTM hub functions in the same way as the Sydney STTM hub.  The same data that was presented for the Sydney hub is presented for the Adelaide hub in the figures below.</w:t>
      </w:r>
    </w:p>
    <w:p w:rsidR="00BC18FB" w:rsidRDefault="003625A6" w:rsidP="00FF0D8A">
      <w:pPr>
        <w:pStyle w:val="Heading4"/>
        <w:ind w:hanging="338"/>
        <w:rPr>
          <w:color w:val="2272A3"/>
          <w:sz w:val="24"/>
          <w:szCs w:val="24"/>
        </w:rPr>
      </w:pPr>
      <w:r>
        <w:rPr>
          <w:color w:val="2272A3"/>
          <w:sz w:val="24"/>
          <w:szCs w:val="24"/>
        </w:rPr>
        <w:t>ADL</w:t>
      </w:r>
      <w:r w:rsidRPr="00362B9A">
        <w:rPr>
          <w:color w:val="2272A3"/>
          <w:sz w:val="24"/>
          <w:szCs w:val="24"/>
        </w:rPr>
        <w:t xml:space="preserve"> STTM daily ex ante and ex post prices and quantities</w:t>
      </w:r>
    </w:p>
    <w:tbl>
      <w:tblPr>
        <w:tblStyle w:val="AERTable-Text0"/>
        <w:tblW w:w="4851" w:type="pct"/>
        <w:tblLook w:val="04A0" w:firstRow="1" w:lastRow="0" w:firstColumn="1" w:lastColumn="0" w:noHBand="0" w:noVBand="1"/>
      </w:tblPr>
      <w:tblGrid>
        <w:gridCol w:w="2079"/>
        <w:gridCol w:w="1128"/>
        <w:gridCol w:w="989"/>
        <w:gridCol w:w="1145"/>
        <w:gridCol w:w="1006"/>
        <w:gridCol w:w="992"/>
        <w:gridCol w:w="987"/>
        <w:gridCol w:w="1125"/>
      </w:tblGrid>
      <w:tr w:rsidR="007A51E1" w:rsidRPr="00405CDE" w:rsidTr="006C5082">
        <w:trPr>
          <w:cnfStyle w:val="100000000000" w:firstRow="1" w:lastRow="0" w:firstColumn="0" w:lastColumn="0" w:oddVBand="0" w:evenVBand="0" w:oddHBand="0" w:evenHBand="0" w:firstRowFirstColumn="0" w:firstRowLastColumn="0" w:lastRowFirstColumn="0" w:lastRowLastColumn="0"/>
          <w:tblHeader/>
        </w:trPr>
        <w:tc>
          <w:tcPr>
            <w:tcW w:w="1100" w:type="pct"/>
            <w:tcBorders>
              <w:bottom w:val="nil"/>
            </w:tcBorders>
            <w:hideMark/>
          </w:tcPr>
          <w:p w:rsidR="00F114D5" w:rsidRPr="00DC24BF" w:rsidRDefault="00F114D5" w:rsidP="007A51E1">
            <w:pPr>
              <w:pStyle w:val="TableHeading"/>
              <w:spacing w:before="0" w:after="0"/>
              <w:jc w:val="center"/>
              <w:rPr>
                <w:rFonts w:cs="Arial"/>
                <w:sz w:val="20"/>
                <w:szCs w:val="20"/>
              </w:rPr>
            </w:pPr>
          </w:p>
        </w:tc>
        <w:tc>
          <w:tcPr>
            <w:tcW w:w="597" w:type="pct"/>
            <w:tcBorders>
              <w:bottom w:val="nil"/>
            </w:tcBorders>
            <w:hideMark/>
          </w:tcPr>
          <w:p w:rsidR="00F114D5" w:rsidRPr="00442756" w:rsidRDefault="00F114D5" w:rsidP="007A51E1">
            <w:pPr>
              <w:spacing w:before="0" w:after="0"/>
              <w:jc w:val="center"/>
              <w:rPr>
                <w:rFonts w:cs="Arial"/>
                <w:b w:val="0"/>
                <w:bCs/>
                <w:sz w:val="20"/>
                <w:szCs w:val="20"/>
              </w:rPr>
            </w:pPr>
            <w:r w:rsidRPr="00442756">
              <w:rPr>
                <w:rFonts w:cs="Arial"/>
                <w:bCs/>
                <w:sz w:val="20"/>
                <w:szCs w:val="20"/>
              </w:rPr>
              <w:t>Sun</w:t>
            </w:r>
          </w:p>
        </w:tc>
        <w:tc>
          <w:tcPr>
            <w:tcW w:w="523"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Mon</w:t>
            </w:r>
          </w:p>
        </w:tc>
        <w:tc>
          <w:tcPr>
            <w:tcW w:w="606"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Tue</w:t>
            </w:r>
          </w:p>
        </w:tc>
        <w:tc>
          <w:tcPr>
            <w:tcW w:w="532"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Wed</w:t>
            </w:r>
          </w:p>
        </w:tc>
        <w:tc>
          <w:tcPr>
            <w:tcW w:w="525"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Thu</w:t>
            </w:r>
          </w:p>
        </w:tc>
        <w:tc>
          <w:tcPr>
            <w:tcW w:w="522" w:type="pct"/>
            <w:tcBorders>
              <w:bottom w:val="nil"/>
            </w:tcBorders>
            <w:hideMark/>
          </w:tcPr>
          <w:p w:rsidR="00F114D5" w:rsidRPr="00442756" w:rsidRDefault="00F114D5" w:rsidP="007A51E1">
            <w:pPr>
              <w:spacing w:before="0" w:after="0"/>
              <w:jc w:val="center"/>
              <w:rPr>
                <w:rFonts w:cs="Arial"/>
                <w:b w:val="0"/>
                <w:bCs/>
                <w:sz w:val="20"/>
                <w:szCs w:val="20"/>
              </w:rPr>
            </w:pPr>
            <w:r w:rsidRPr="00442756">
              <w:rPr>
                <w:rFonts w:cs="Arial"/>
                <w:bCs/>
                <w:sz w:val="20"/>
                <w:szCs w:val="20"/>
              </w:rPr>
              <w:t>Fri</w:t>
            </w:r>
          </w:p>
        </w:tc>
        <w:tc>
          <w:tcPr>
            <w:tcW w:w="595" w:type="pct"/>
            <w:tcBorders>
              <w:bottom w:val="nil"/>
            </w:tcBorders>
            <w:hideMark/>
          </w:tcPr>
          <w:p w:rsidR="00F114D5" w:rsidRPr="00442756" w:rsidRDefault="00F114D5" w:rsidP="007A51E1">
            <w:pPr>
              <w:spacing w:before="0" w:after="0"/>
              <w:jc w:val="center"/>
              <w:rPr>
                <w:rFonts w:cs="Arial"/>
                <w:b w:val="0"/>
                <w:bCs/>
                <w:sz w:val="20"/>
                <w:szCs w:val="20"/>
              </w:rPr>
            </w:pPr>
            <w:r w:rsidRPr="00442756">
              <w:rPr>
                <w:rFonts w:cs="Arial"/>
                <w:bCs/>
                <w:sz w:val="20"/>
                <w:szCs w:val="20"/>
              </w:rPr>
              <w:t>Sat</w:t>
            </w:r>
          </w:p>
        </w:tc>
      </w:tr>
      <w:tr w:rsidR="009B34B0" w:rsidRPr="00405CDE" w:rsidTr="006C5082">
        <w:trPr>
          <w:trHeight w:val="510"/>
        </w:trPr>
        <w:tc>
          <w:tcPr>
            <w:tcW w:w="1100" w:type="pct"/>
            <w:tcBorders>
              <w:top w:val="nil"/>
              <w:bottom w:val="nil"/>
            </w:tcBorders>
            <w:vAlign w:val="center"/>
          </w:tcPr>
          <w:p w:rsidR="009B34B0" w:rsidRDefault="009B34B0">
            <w:pPr>
              <w:rPr>
                <w:rFonts w:cs="Arial"/>
                <w:sz w:val="20"/>
                <w:szCs w:val="20"/>
              </w:rPr>
            </w:pPr>
            <w:r>
              <w:rPr>
                <w:rFonts w:cs="Arial"/>
                <w:sz w:val="20"/>
                <w:szCs w:val="20"/>
              </w:rPr>
              <w:t>Ex ante price ($/GJ)</w:t>
            </w:r>
          </w:p>
        </w:tc>
        <w:tc>
          <w:tcPr>
            <w:tcW w:w="597" w:type="pct"/>
            <w:tcBorders>
              <w:top w:val="nil"/>
              <w:bottom w:val="nil"/>
            </w:tcBorders>
            <w:vAlign w:val="center"/>
          </w:tcPr>
          <w:p w:rsidR="009B34B0" w:rsidRDefault="009B34B0">
            <w:pPr>
              <w:jc w:val="center"/>
              <w:rPr>
                <w:rFonts w:cs="Arial"/>
                <w:sz w:val="20"/>
                <w:szCs w:val="20"/>
              </w:rPr>
            </w:pPr>
            <w:r>
              <w:rPr>
                <w:rFonts w:cs="Arial"/>
                <w:sz w:val="20"/>
                <w:szCs w:val="20"/>
              </w:rPr>
              <w:t>6.45</w:t>
            </w:r>
          </w:p>
        </w:tc>
        <w:tc>
          <w:tcPr>
            <w:tcW w:w="523" w:type="pct"/>
            <w:tcBorders>
              <w:top w:val="nil"/>
              <w:bottom w:val="nil"/>
            </w:tcBorders>
            <w:vAlign w:val="center"/>
          </w:tcPr>
          <w:p w:rsidR="009B34B0" w:rsidRDefault="009B34B0">
            <w:pPr>
              <w:jc w:val="center"/>
              <w:rPr>
                <w:rFonts w:cs="Arial"/>
                <w:sz w:val="20"/>
                <w:szCs w:val="20"/>
              </w:rPr>
            </w:pPr>
            <w:r>
              <w:rPr>
                <w:rFonts w:cs="Arial"/>
                <w:sz w:val="20"/>
                <w:szCs w:val="20"/>
              </w:rPr>
              <w:t>5.95</w:t>
            </w:r>
          </w:p>
        </w:tc>
        <w:tc>
          <w:tcPr>
            <w:tcW w:w="606" w:type="pct"/>
            <w:tcBorders>
              <w:top w:val="nil"/>
              <w:bottom w:val="nil"/>
            </w:tcBorders>
            <w:vAlign w:val="center"/>
          </w:tcPr>
          <w:p w:rsidR="009B34B0" w:rsidRDefault="009B34B0">
            <w:pPr>
              <w:jc w:val="center"/>
              <w:rPr>
                <w:rFonts w:cs="Arial"/>
                <w:sz w:val="20"/>
                <w:szCs w:val="20"/>
              </w:rPr>
            </w:pPr>
            <w:r>
              <w:rPr>
                <w:rFonts w:cs="Arial"/>
                <w:sz w:val="20"/>
                <w:szCs w:val="20"/>
              </w:rPr>
              <w:t>6.50</w:t>
            </w:r>
          </w:p>
        </w:tc>
        <w:tc>
          <w:tcPr>
            <w:tcW w:w="532" w:type="pct"/>
            <w:tcBorders>
              <w:top w:val="nil"/>
              <w:bottom w:val="nil"/>
            </w:tcBorders>
            <w:vAlign w:val="center"/>
          </w:tcPr>
          <w:p w:rsidR="009B34B0" w:rsidRDefault="009B34B0">
            <w:pPr>
              <w:jc w:val="center"/>
              <w:rPr>
                <w:rFonts w:cs="Arial"/>
                <w:sz w:val="20"/>
                <w:szCs w:val="20"/>
              </w:rPr>
            </w:pPr>
            <w:r>
              <w:rPr>
                <w:rFonts w:cs="Arial"/>
                <w:sz w:val="20"/>
                <w:szCs w:val="20"/>
              </w:rPr>
              <w:t>6.50</w:t>
            </w:r>
          </w:p>
        </w:tc>
        <w:tc>
          <w:tcPr>
            <w:tcW w:w="525" w:type="pct"/>
            <w:tcBorders>
              <w:top w:val="nil"/>
              <w:bottom w:val="nil"/>
            </w:tcBorders>
            <w:vAlign w:val="center"/>
          </w:tcPr>
          <w:p w:rsidR="009B34B0" w:rsidRDefault="009B34B0">
            <w:pPr>
              <w:jc w:val="center"/>
              <w:rPr>
                <w:rFonts w:cs="Arial"/>
                <w:sz w:val="20"/>
                <w:szCs w:val="20"/>
              </w:rPr>
            </w:pPr>
            <w:r>
              <w:rPr>
                <w:rFonts w:cs="Arial"/>
                <w:sz w:val="20"/>
                <w:szCs w:val="20"/>
              </w:rPr>
              <w:t>6.49</w:t>
            </w:r>
          </w:p>
        </w:tc>
        <w:tc>
          <w:tcPr>
            <w:tcW w:w="522" w:type="pct"/>
            <w:tcBorders>
              <w:top w:val="nil"/>
              <w:bottom w:val="nil"/>
            </w:tcBorders>
            <w:vAlign w:val="center"/>
          </w:tcPr>
          <w:p w:rsidR="009B34B0" w:rsidRDefault="009B34B0">
            <w:pPr>
              <w:jc w:val="center"/>
              <w:rPr>
                <w:rFonts w:cs="Arial"/>
                <w:sz w:val="20"/>
                <w:szCs w:val="20"/>
              </w:rPr>
            </w:pPr>
            <w:r>
              <w:rPr>
                <w:rFonts w:cs="Arial"/>
                <w:sz w:val="20"/>
                <w:szCs w:val="20"/>
              </w:rPr>
              <w:t>6.61</w:t>
            </w:r>
          </w:p>
        </w:tc>
        <w:tc>
          <w:tcPr>
            <w:tcW w:w="595" w:type="pct"/>
            <w:tcBorders>
              <w:top w:val="nil"/>
              <w:bottom w:val="nil"/>
            </w:tcBorders>
            <w:vAlign w:val="center"/>
          </w:tcPr>
          <w:p w:rsidR="009B34B0" w:rsidRDefault="009B34B0">
            <w:pPr>
              <w:jc w:val="center"/>
              <w:rPr>
                <w:rFonts w:cs="Arial"/>
                <w:sz w:val="20"/>
                <w:szCs w:val="20"/>
              </w:rPr>
            </w:pPr>
            <w:r>
              <w:rPr>
                <w:rFonts w:cs="Arial"/>
                <w:sz w:val="20"/>
                <w:szCs w:val="20"/>
              </w:rPr>
              <w:t>6.46</w:t>
            </w:r>
          </w:p>
        </w:tc>
      </w:tr>
      <w:tr w:rsidR="009B34B0" w:rsidRPr="00405CDE" w:rsidTr="006C5082">
        <w:trPr>
          <w:cnfStyle w:val="000000010000" w:firstRow="0" w:lastRow="0" w:firstColumn="0" w:lastColumn="0" w:oddVBand="0" w:evenVBand="0" w:oddHBand="0" w:evenHBand="1" w:firstRowFirstColumn="0" w:firstRowLastColumn="0" w:lastRowFirstColumn="0" w:lastRowLastColumn="0"/>
          <w:trHeight w:val="510"/>
        </w:trPr>
        <w:tc>
          <w:tcPr>
            <w:tcW w:w="1100" w:type="pct"/>
            <w:tcBorders>
              <w:top w:val="nil"/>
              <w:bottom w:val="nil"/>
            </w:tcBorders>
            <w:vAlign w:val="center"/>
          </w:tcPr>
          <w:p w:rsidR="009B34B0" w:rsidRDefault="009B34B0">
            <w:pPr>
              <w:rPr>
                <w:rFonts w:cs="Arial"/>
                <w:sz w:val="20"/>
                <w:szCs w:val="20"/>
              </w:rPr>
            </w:pPr>
            <w:r>
              <w:rPr>
                <w:rFonts w:cs="Arial"/>
                <w:sz w:val="20"/>
                <w:szCs w:val="20"/>
              </w:rPr>
              <w:t>Ex ante quantity (TJ)</w:t>
            </w:r>
          </w:p>
        </w:tc>
        <w:tc>
          <w:tcPr>
            <w:tcW w:w="597" w:type="pct"/>
            <w:tcBorders>
              <w:top w:val="nil"/>
              <w:bottom w:val="nil"/>
            </w:tcBorders>
            <w:vAlign w:val="center"/>
          </w:tcPr>
          <w:p w:rsidR="009B34B0" w:rsidRDefault="009B34B0">
            <w:pPr>
              <w:jc w:val="center"/>
              <w:rPr>
                <w:rFonts w:cs="Arial"/>
                <w:sz w:val="20"/>
                <w:szCs w:val="20"/>
              </w:rPr>
            </w:pPr>
            <w:r>
              <w:rPr>
                <w:rFonts w:cs="Arial"/>
                <w:sz w:val="20"/>
                <w:szCs w:val="20"/>
              </w:rPr>
              <w:t>51</w:t>
            </w:r>
          </w:p>
        </w:tc>
        <w:tc>
          <w:tcPr>
            <w:tcW w:w="523" w:type="pct"/>
            <w:tcBorders>
              <w:top w:val="nil"/>
              <w:bottom w:val="nil"/>
            </w:tcBorders>
            <w:vAlign w:val="center"/>
          </w:tcPr>
          <w:p w:rsidR="009B34B0" w:rsidRDefault="009B34B0">
            <w:pPr>
              <w:jc w:val="center"/>
              <w:rPr>
                <w:rFonts w:cs="Arial"/>
                <w:sz w:val="20"/>
                <w:szCs w:val="20"/>
              </w:rPr>
            </w:pPr>
            <w:r>
              <w:rPr>
                <w:rFonts w:cs="Arial"/>
                <w:sz w:val="20"/>
                <w:szCs w:val="20"/>
              </w:rPr>
              <w:t>63</w:t>
            </w:r>
          </w:p>
        </w:tc>
        <w:tc>
          <w:tcPr>
            <w:tcW w:w="606" w:type="pct"/>
            <w:tcBorders>
              <w:top w:val="nil"/>
              <w:bottom w:val="nil"/>
            </w:tcBorders>
            <w:vAlign w:val="center"/>
          </w:tcPr>
          <w:p w:rsidR="009B34B0" w:rsidRDefault="009B34B0">
            <w:pPr>
              <w:jc w:val="center"/>
              <w:rPr>
                <w:rFonts w:cs="Arial"/>
                <w:sz w:val="20"/>
                <w:szCs w:val="20"/>
              </w:rPr>
            </w:pPr>
            <w:r>
              <w:rPr>
                <w:rFonts w:cs="Arial"/>
                <w:sz w:val="20"/>
                <w:szCs w:val="20"/>
              </w:rPr>
              <w:t>63</w:t>
            </w:r>
          </w:p>
        </w:tc>
        <w:tc>
          <w:tcPr>
            <w:tcW w:w="532" w:type="pct"/>
            <w:tcBorders>
              <w:top w:val="nil"/>
              <w:bottom w:val="nil"/>
            </w:tcBorders>
            <w:vAlign w:val="center"/>
          </w:tcPr>
          <w:p w:rsidR="009B34B0" w:rsidRDefault="009B34B0">
            <w:pPr>
              <w:jc w:val="center"/>
              <w:rPr>
                <w:rFonts w:cs="Arial"/>
                <w:sz w:val="20"/>
                <w:szCs w:val="20"/>
              </w:rPr>
            </w:pPr>
            <w:r>
              <w:rPr>
                <w:rFonts w:cs="Arial"/>
                <w:sz w:val="20"/>
                <w:szCs w:val="20"/>
              </w:rPr>
              <w:t>64</w:t>
            </w:r>
          </w:p>
        </w:tc>
        <w:tc>
          <w:tcPr>
            <w:tcW w:w="525" w:type="pct"/>
            <w:tcBorders>
              <w:top w:val="nil"/>
              <w:bottom w:val="nil"/>
            </w:tcBorders>
            <w:vAlign w:val="center"/>
          </w:tcPr>
          <w:p w:rsidR="009B34B0" w:rsidRDefault="009B34B0">
            <w:pPr>
              <w:jc w:val="center"/>
              <w:rPr>
                <w:rFonts w:cs="Arial"/>
                <w:sz w:val="20"/>
                <w:szCs w:val="20"/>
              </w:rPr>
            </w:pPr>
            <w:r>
              <w:rPr>
                <w:rFonts w:cs="Arial"/>
                <w:sz w:val="20"/>
                <w:szCs w:val="20"/>
              </w:rPr>
              <w:t>60</w:t>
            </w:r>
          </w:p>
        </w:tc>
        <w:tc>
          <w:tcPr>
            <w:tcW w:w="522" w:type="pct"/>
            <w:tcBorders>
              <w:top w:val="nil"/>
              <w:bottom w:val="nil"/>
            </w:tcBorders>
            <w:vAlign w:val="center"/>
          </w:tcPr>
          <w:p w:rsidR="009B34B0" w:rsidRDefault="009B34B0">
            <w:pPr>
              <w:jc w:val="center"/>
              <w:rPr>
                <w:rFonts w:cs="Arial"/>
                <w:sz w:val="20"/>
                <w:szCs w:val="20"/>
              </w:rPr>
            </w:pPr>
            <w:r>
              <w:rPr>
                <w:rFonts w:cs="Arial"/>
                <w:sz w:val="20"/>
                <w:szCs w:val="20"/>
              </w:rPr>
              <w:t>59</w:t>
            </w:r>
          </w:p>
        </w:tc>
        <w:tc>
          <w:tcPr>
            <w:tcW w:w="595" w:type="pct"/>
            <w:tcBorders>
              <w:top w:val="nil"/>
              <w:bottom w:val="nil"/>
            </w:tcBorders>
            <w:vAlign w:val="center"/>
          </w:tcPr>
          <w:p w:rsidR="009B34B0" w:rsidRDefault="009B34B0">
            <w:pPr>
              <w:jc w:val="center"/>
              <w:rPr>
                <w:rFonts w:cs="Arial"/>
                <w:sz w:val="20"/>
                <w:szCs w:val="20"/>
              </w:rPr>
            </w:pPr>
            <w:r>
              <w:rPr>
                <w:rFonts w:cs="Arial"/>
                <w:sz w:val="20"/>
                <w:szCs w:val="20"/>
              </w:rPr>
              <w:t>47</w:t>
            </w:r>
          </w:p>
        </w:tc>
      </w:tr>
      <w:tr w:rsidR="009B34B0" w:rsidRPr="00405CDE" w:rsidTr="006C5082">
        <w:trPr>
          <w:trHeight w:val="510"/>
        </w:trPr>
        <w:tc>
          <w:tcPr>
            <w:tcW w:w="1100" w:type="pct"/>
            <w:tcBorders>
              <w:top w:val="nil"/>
              <w:bottom w:val="nil"/>
            </w:tcBorders>
            <w:vAlign w:val="center"/>
          </w:tcPr>
          <w:p w:rsidR="009B34B0" w:rsidRDefault="009B34B0">
            <w:pPr>
              <w:rPr>
                <w:rFonts w:cs="Arial"/>
                <w:sz w:val="20"/>
                <w:szCs w:val="20"/>
              </w:rPr>
            </w:pPr>
            <w:r>
              <w:rPr>
                <w:rFonts w:cs="Arial"/>
                <w:sz w:val="20"/>
                <w:szCs w:val="20"/>
              </w:rPr>
              <w:t>Ex post price ($/GJ)</w:t>
            </w:r>
          </w:p>
        </w:tc>
        <w:tc>
          <w:tcPr>
            <w:tcW w:w="597" w:type="pct"/>
            <w:tcBorders>
              <w:top w:val="nil"/>
              <w:bottom w:val="nil"/>
            </w:tcBorders>
            <w:vAlign w:val="center"/>
          </w:tcPr>
          <w:p w:rsidR="009B34B0" w:rsidRDefault="009B34B0">
            <w:pPr>
              <w:jc w:val="center"/>
              <w:rPr>
                <w:rFonts w:cs="Arial"/>
                <w:sz w:val="20"/>
                <w:szCs w:val="20"/>
              </w:rPr>
            </w:pPr>
            <w:r>
              <w:rPr>
                <w:rFonts w:cs="Arial"/>
                <w:sz w:val="20"/>
                <w:szCs w:val="20"/>
              </w:rPr>
              <w:t>5.75</w:t>
            </w:r>
          </w:p>
        </w:tc>
        <w:tc>
          <w:tcPr>
            <w:tcW w:w="523" w:type="pct"/>
            <w:tcBorders>
              <w:top w:val="nil"/>
              <w:bottom w:val="nil"/>
            </w:tcBorders>
            <w:vAlign w:val="center"/>
          </w:tcPr>
          <w:p w:rsidR="009B34B0" w:rsidRDefault="009B34B0">
            <w:pPr>
              <w:jc w:val="center"/>
              <w:rPr>
                <w:rFonts w:cs="Arial"/>
                <w:sz w:val="20"/>
                <w:szCs w:val="20"/>
              </w:rPr>
            </w:pPr>
            <w:r>
              <w:rPr>
                <w:rFonts w:cs="Arial"/>
                <w:sz w:val="20"/>
                <w:szCs w:val="20"/>
              </w:rPr>
              <w:t>5.50</w:t>
            </w:r>
          </w:p>
        </w:tc>
        <w:tc>
          <w:tcPr>
            <w:tcW w:w="606" w:type="pct"/>
            <w:tcBorders>
              <w:top w:val="nil"/>
              <w:bottom w:val="nil"/>
            </w:tcBorders>
            <w:vAlign w:val="center"/>
          </w:tcPr>
          <w:p w:rsidR="009B34B0" w:rsidRDefault="009B34B0">
            <w:pPr>
              <w:jc w:val="center"/>
              <w:rPr>
                <w:rFonts w:cs="Arial"/>
                <w:sz w:val="20"/>
                <w:szCs w:val="20"/>
              </w:rPr>
            </w:pPr>
            <w:r>
              <w:rPr>
                <w:rFonts w:cs="Arial"/>
                <w:sz w:val="20"/>
                <w:szCs w:val="20"/>
              </w:rPr>
              <w:t>6.62</w:t>
            </w:r>
          </w:p>
        </w:tc>
        <w:tc>
          <w:tcPr>
            <w:tcW w:w="532" w:type="pct"/>
            <w:tcBorders>
              <w:top w:val="nil"/>
              <w:bottom w:val="nil"/>
            </w:tcBorders>
            <w:vAlign w:val="center"/>
          </w:tcPr>
          <w:p w:rsidR="009B34B0" w:rsidRDefault="009B34B0">
            <w:pPr>
              <w:jc w:val="center"/>
              <w:rPr>
                <w:rFonts w:cs="Arial"/>
                <w:sz w:val="20"/>
                <w:szCs w:val="20"/>
              </w:rPr>
            </w:pPr>
            <w:r>
              <w:rPr>
                <w:rFonts w:cs="Arial"/>
                <w:sz w:val="20"/>
                <w:szCs w:val="20"/>
              </w:rPr>
              <w:t>6.70</w:t>
            </w:r>
          </w:p>
        </w:tc>
        <w:tc>
          <w:tcPr>
            <w:tcW w:w="525" w:type="pct"/>
            <w:tcBorders>
              <w:top w:val="nil"/>
              <w:bottom w:val="nil"/>
            </w:tcBorders>
            <w:vAlign w:val="center"/>
          </w:tcPr>
          <w:p w:rsidR="009B34B0" w:rsidRDefault="009B34B0">
            <w:pPr>
              <w:jc w:val="center"/>
              <w:rPr>
                <w:rFonts w:cs="Arial"/>
                <w:sz w:val="20"/>
                <w:szCs w:val="20"/>
              </w:rPr>
            </w:pPr>
            <w:r>
              <w:rPr>
                <w:rFonts w:cs="Arial"/>
                <w:sz w:val="20"/>
                <w:szCs w:val="20"/>
              </w:rPr>
              <w:t>6.47</w:t>
            </w:r>
          </w:p>
        </w:tc>
        <w:tc>
          <w:tcPr>
            <w:tcW w:w="522" w:type="pct"/>
            <w:tcBorders>
              <w:top w:val="nil"/>
              <w:bottom w:val="nil"/>
            </w:tcBorders>
            <w:vAlign w:val="center"/>
          </w:tcPr>
          <w:p w:rsidR="009B34B0" w:rsidRDefault="009B34B0">
            <w:pPr>
              <w:jc w:val="center"/>
              <w:rPr>
                <w:rFonts w:cs="Arial"/>
                <w:sz w:val="20"/>
                <w:szCs w:val="20"/>
              </w:rPr>
            </w:pPr>
            <w:r>
              <w:rPr>
                <w:rFonts w:cs="Arial"/>
                <w:sz w:val="20"/>
                <w:szCs w:val="20"/>
              </w:rPr>
              <w:t>6.51</w:t>
            </w:r>
          </w:p>
        </w:tc>
        <w:tc>
          <w:tcPr>
            <w:tcW w:w="595" w:type="pct"/>
            <w:tcBorders>
              <w:top w:val="nil"/>
              <w:bottom w:val="nil"/>
            </w:tcBorders>
            <w:vAlign w:val="center"/>
          </w:tcPr>
          <w:p w:rsidR="009B34B0" w:rsidRDefault="009B34B0">
            <w:pPr>
              <w:jc w:val="center"/>
              <w:rPr>
                <w:rFonts w:cs="Arial"/>
                <w:sz w:val="20"/>
                <w:szCs w:val="20"/>
              </w:rPr>
            </w:pPr>
            <w:r>
              <w:rPr>
                <w:rFonts w:cs="Arial"/>
                <w:sz w:val="20"/>
                <w:szCs w:val="20"/>
              </w:rPr>
              <w:t>6.18</w:t>
            </w:r>
          </w:p>
        </w:tc>
      </w:tr>
      <w:tr w:rsidR="009B34B0" w:rsidRPr="00405CDE" w:rsidTr="006C5082">
        <w:trPr>
          <w:cnfStyle w:val="000000010000" w:firstRow="0" w:lastRow="0" w:firstColumn="0" w:lastColumn="0" w:oddVBand="0" w:evenVBand="0" w:oddHBand="0" w:evenHBand="1" w:firstRowFirstColumn="0" w:firstRowLastColumn="0" w:lastRowFirstColumn="0" w:lastRowLastColumn="0"/>
          <w:trHeight w:val="510"/>
        </w:trPr>
        <w:tc>
          <w:tcPr>
            <w:tcW w:w="1100" w:type="pct"/>
            <w:tcBorders>
              <w:top w:val="nil"/>
              <w:bottom w:val="single" w:sz="4" w:space="0" w:color="auto"/>
            </w:tcBorders>
            <w:vAlign w:val="center"/>
          </w:tcPr>
          <w:p w:rsidR="009B34B0" w:rsidRDefault="009B34B0">
            <w:pPr>
              <w:rPr>
                <w:rFonts w:cs="Arial"/>
                <w:sz w:val="20"/>
                <w:szCs w:val="20"/>
              </w:rPr>
            </w:pPr>
            <w:r>
              <w:rPr>
                <w:rFonts w:cs="Arial"/>
                <w:sz w:val="20"/>
                <w:szCs w:val="20"/>
              </w:rPr>
              <w:t>Ex post quantity (TJ)</w:t>
            </w:r>
          </w:p>
        </w:tc>
        <w:tc>
          <w:tcPr>
            <w:tcW w:w="597"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43</w:t>
            </w:r>
          </w:p>
        </w:tc>
        <w:tc>
          <w:tcPr>
            <w:tcW w:w="523"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60</w:t>
            </w:r>
          </w:p>
        </w:tc>
        <w:tc>
          <w:tcPr>
            <w:tcW w:w="606"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64</w:t>
            </w:r>
          </w:p>
        </w:tc>
        <w:tc>
          <w:tcPr>
            <w:tcW w:w="532"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67</w:t>
            </w:r>
          </w:p>
        </w:tc>
        <w:tc>
          <w:tcPr>
            <w:tcW w:w="525"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58</w:t>
            </w:r>
          </w:p>
        </w:tc>
        <w:tc>
          <w:tcPr>
            <w:tcW w:w="522"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54</w:t>
            </w:r>
          </w:p>
        </w:tc>
        <w:tc>
          <w:tcPr>
            <w:tcW w:w="595"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46</w:t>
            </w:r>
          </w:p>
        </w:tc>
      </w:tr>
    </w:tbl>
    <w:p w:rsidR="00BC18FB" w:rsidRPr="00DD0358" w:rsidRDefault="003625A6" w:rsidP="00FF0D8A">
      <w:pPr>
        <w:pStyle w:val="Heading4"/>
        <w:ind w:hanging="338"/>
        <w:rPr>
          <w:color w:val="2272A3"/>
          <w:sz w:val="24"/>
        </w:rPr>
      </w:pPr>
      <w:r w:rsidRPr="00DD0358">
        <w:rPr>
          <w:color w:val="2272A3"/>
          <w:sz w:val="24"/>
          <w:szCs w:val="24"/>
        </w:rPr>
        <w:t>ADL daily hub offers and daily hub bids in price bands ($/GJ)</w:t>
      </w:r>
    </w:p>
    <w:p w:rsidR="00362B9A" w:rsidRPr="00362B9A" w:rsidRDefault="002E5A67" w:rsidP="00362B9A">
      <w:r>
        <w:pict>
          <v:shape id="_x0000_i1033" type="#_x0000_t75" alt="Figure 3.2 shows the daily hub offers and bid in within certain price bands in Adelaide this week. The line indicates the scheduled quantity for each day. For a more detailed description of this figure, please refer to the user guide." style="width:475.95pt;height:170.2pt;mso-position-vertical:absolute">
            <v:imagedata r:id="rId22" o:title=""/>
          </v:shape>
        </w:pict>
      </w:r>
    </w:p>
    <w:p w:rsidR="00BC18FB" w:rsidRPr="00DD0358" w:rsidRDefault="003625A6" w:rsidP="00FF0D8A">
      <w:pPr>
        <w:pStyle w:val="Heading4"/>
        <w:ind w:hanging="338"/>
        <w:rPr>
          <w:color w:val="2272A3"/>
          <w:sz w:val="24"/>
        </w:rPr>
      </w:pPr>
      <w:r w:rsidRPr="00DD0358">
        <w:rPr>
          <w:color w:val="2272A3"/>
          <w:sz w:val="24"/>
          <w:szCs w:val="24"/>
        </w:rPr>
        <w:t>ADL net scheduled and allocated gas hub supply (excluding MOS)</w:t>
      </w:r>
    </w:p>
    <w:p w:rsidR="00362B9A" w:rsidRPr="00362B9A" w:rsidRDefault="002E5A67" w:rsidP="00362B9A">
      <w:r>
        <w:pict>
          <v:shape id="_x0000_i1034" type="#_x0000_t75" alt="Figure 3.3 shows the daily scheduled and allocated quantities sorted by facility for Adelaide this week. For a more detailed description of this figure, please refer to the user guide." style="width:477.8pt;height:105.65pt">
            <v:imagedata r:id="rId23" o:title=""/>
          </v:shape>
        </w:pict>
      </w:r>
    </w:p>
    <w:p w:rsidR="00BC18FB" w:rsidRPr="00DD0358" w:rsidRDefault="004560B0" w:rsidP="00560F2D">
      <w:pPr>
        <w:pStyle w:val="Heading4"/>
        <w:ind w:left="1440" w:hanging="1440"/>
        <w:rPr>
          <w:color w:val="2272A3"/>
          <w:sz w:val="24"/>
          <w:szCs w:val="24"/>
        </w:rPr>
      </w:pPr>
      <w:r w:rsidRPr="00DD0358">
        <w:rPr>
          <w:color w:val="2272A3"/>
          <w:sz w:val="24"/>
          <w:szCs w:val="24"/>
        </w:rPr>
        <w:t>ADL</w:t>
      </w:r>
      <w:r w:rsidR="003625A6" w:rsidRPr="00DD0358">
        <w:rPr>
          <w:color w:val="2272A3"/>
          <w:sz w:val="24"/>
          <w:szCs w:val="24"/>
        </w:rPr>
        <w:t xml:space="preserve"> MOS allocations (TJ), service payments and commodity payments/charges ($000)</w:t>
      </w:r>
    </w:p>
    <w:p w:rsidR="00362B9A" w:rsidRDefault="002E5A67" w:rsidP="00362B9A">
      <w:r>
        <w:pict>
          <v:shape id="_x0000_i1035" type="#_x0000_t75" alt="Figure 3.4 shows the daily MOS allocations sorted by facility for each facility in Adelaide this week. The figure also shows the daily breakdown of costs associated with the MOS provided. For a more detailed description of this figure, please refer to the user guide." style="width:475.95pt;height:149.6pt">
            <v:imagedata r:id="rId24" o:title=""/>
          </v:shape>
        </w:pict>
      </w:r>
    </w:p>
    <w:p w:rsidR="00BC18FB" w:rsidRDefault="00AE309F" w:rsidP="003625A6">
      <w:pPr>
        <w:pStyle w:val="Heading3"/>
        <w:ind w:firstLine="0"/>
        <w:rPr>
          <w:color w:val="2272A3"/>
          <w:sz w:val="32"/>
          <w:szCs w:val="32"/>
        </w:rPr>
      </w:pPr>
      <w:r>
        <w:rPr>
          <w:color w:val="2272A3"/>
          <w:sz w:val="32"/>
          <w:szCs w:val="32"/>
        </w:rPr>
        <w:br w:type="page"/>
      </w:r>
      <w:r w:rsidR="00BC18FB" w:rsidRPr="003625A6">
        <w:rPr>
          <w:color w:val="2272A3"/>
          <w:sz w:val="32"/>
          <w:szCs w:val="32"/>
        </w:rPr>
        <w:lastRenderedPageBreak/>
        <w:t>B</w:t>
      </w:r>
      <w:r w:rsidR="00362B9A" w:rsidRPr="003625A6">
        <w:rPr>
          <w:color w:val="2272A3"/>
          <w:sz w:val="32"/>
          <w:szCs w:val="32"/>
        </w:rPr>
        <w:t>risbane STTM</w:t>
      </w:r>
    </w:p>
    <w:p w:rsidR="003625A6" w:rsidRPr="003625A6" w:rsidRDefault="003625A6" w:rsidP="00345444">
      <w:pPr>
        <w:jc w:val="both"/>
      </w:pPr>
      <w:r>
        <w:t>The Brisbane STTM hub functions in the same way as the Sydney STTM hub.  The same data that was presented for the Sydney hub is presented for the Brisbane hub in the figures below.</w:t>
      </w:r>
    </w:p>
    <w:p w:rsidR="00BC18FB" w:rsidRDefault="003625A6" w:rsidP="00FF0D8A">
      <w:pPr>
        <w:pStyle w:val="Heading4"/>
        <w:ind w:hanging="338"/>
        <w:rPr>
          <w:color w:val="2272A3"/>
          <w:sz w:val="24"/>
          <w:szCs w:val="24"/>
        </w:rPr>
      </w:pPr>
      <w:r>
        <w:rPr>
          <w:color w:val="2272A3"/>
          <w:sz w:val="24"/>
          <w:szCs w:val="24"/>
        </w:rPr>
        <w:t>BRI</w:t>
      </w:r>
      <w:r w:rsidRPr="00362B9A">
        <w:rPr>
          <w:color w:val="2272A3"/>
          <w:sz w:val="24"/>
          <w:szCs w:val="24"/>
        </w:rPr>
        <w:t xml:space="preserve"> STTM daily ex ante and ex post prices and quantities</w:t>
      </w:r>
    </w:p>
    <w:tbl>
      <w:tblPr>
        <w:tblStyle w:val="AERTable-Text0"/>
        <w:tblW w:w="4851" w:type="pct"/>
        <w:tblLook w:val="04A0" w:firstRow="1" w:lastRow="0" w:firstColumn="1" w:lastColumn="0" w:noHBand="0" w:noVBand="1"/>
      </w:tblPr>
      <w:tblGrid>
        <w:gridCol w:w="2079"/>
        <w:gridCol w:w="1128"/>
        <w:gridCol w:w="989"/>
        <w:gridCol w:w="1145"/>
        <w:gridCol w:w="1006"/>
        <w:gridCol w:w="992"/>
        <w:gridCol w:w="987"/>
        <w:gridCol w:w="1125"/>
      </w:tblGrid>
      <w:tr w:rsidR="00F114D5" w:rsidRPr="00405CDE" w:rsidTr="006C5082">
        <w:trPr>
          <w:cnfStyle w:val="100000000000" w:firstRow="1" w:lastRow="0" w:firstColumn="0" w:lastColumn="0" w:oddVBand="0" w:evenVBand="0" w:oddHBand="0" w:evenHBand="0" w:firstRowFirstColumn="0" w:firstRowLastColumn="0" w:lastRowFirstColumn="0" w:lastRowLastColumn="0"/>
          <w:tblHeader/>
        </w:trPr>
        <w:tc>
          <w:tcPr>
            <w:tcW w:w="1100" w:type="pct"/>
            <w:tcBorders>
              <w:bottom w:val="nil"/>
            </w:tcBorders>
            <w:hideMark/>
          </w:tcPr>
          <w:p w:rsidR="00F114D5" w:rsidRPr="00DC24BF" w:rsidRDefault="00F114D5" w:rsidP="007A51E1">
            <w:pPr>
              <w:pStyle w:val="TableHeading"/>
              <w:spacing w:before="0" w:after="0"/>
              <w:jc w:val="center"/>
              <w:rPr>
                <w:rFonts w:cs="Arial"/>
                <w:sz w:val="20"/>
                <w:szCs w:val="20"/>
              </w:rPr>
            </w:pPr>
          </w:p>
        </w:tc>
        <w:tc>
          <w:tcPr>
            <w:tcW w:w="597" w:type="pct"/>
            <w:tcBorders>
              <w:bottom w:val="nil"/>
            </w:tcBorders>
            <w:hideMark/>
          </w:tcPr>
          <w:p w:rsidR="00F114D5" w:rsidRPr="00442756" w:rsidRDefault="00F114D5" w:rsidP="007A51E1">
            <w:pPr>
              <w:spacing w:before="0" w:after="0"/>
              <w:jc w:val="center"/>
              <w:rPr>
                <w:rFonts w:cs="Arial"/>
                <w:b w:val="0"/>
                <w:bCs/>
                <w:sz w:val="20"/>
                <w:szCs w:val="20"/>
              </w:rPr>
            </w:pPr>
            <w:r w:rsidRPr="00442756">
              <w:rPr>
                <w:rFonts w:cs="Arial"/>
                <w:bCs/>
                <w:sz w:val="20"/>
                <w:szCs w:val="20"/>
              </w:rPr>
              <w:t>Sun</w:t>
            </w:r>
          </w:p>
        </w:tc>
        <w:tc>
          <w:tcPr>
            <w:tcW w:w="523"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Mon</w:t>
            </w:r>
          </w:p>
        </w:tc>
        <w:tc>
          <w:tcPr>
            <w:tcW w:w="606"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Tue</w:t>
            </w:r>
          </w:p>
        </w:tc>
        <w:tc>
          <w:tcPr>
            <w:tcW w:w="532"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Wed</w:t>
            </w:r>
          </w:p>
        </w:tc>
        <w:tc>
          <w:tcPr>
            <w:tcW w:w="525" w:type="pct"/>
            <w:tcBorders>
              <w:bottom w:val="nil"/>
            </w:tcBorders>
          </w:tcPr>
          <w:p w:rsidR="00F114D5" w:rsidRPr="00442756" w:rsidRDefault="00F114D5" w:rsidP="007A51E1">
            <w:pPr>
              <w:spacing w:before="0" w:after="0"/>
              <w:jc w:val="center"/>
              <w:rPr>
                <w:rFonts w:cs="Arial"/>
                <w:b w:val="0"/>
                <w:bCs/>
                <w:sz w:val="20"/>
                <w:szCs w:val="20"/>
              </w:rPr>
            </w:pPr>
            <w:r w:rsidRPr="00442756">
              <w:rPr>
                <w:rFonts w:cs="Arial"/>
                <w:bCs/>
                <w:sz w:val="20"/>
                <w:szCs w:val="20"/>
              </w:rPr>
              <w:t>Thu</w:t>
            </w:r>
          </w:p>
        </w:tc>
        <w:tc>
          <w:tcPr>
            <w:tcW w:w="522" w:type="pct"/>
            <w:tcBorders>
              <w:bottom w:val="nil"/>
            </w:tcBorders>
            <w:hideMark/>
          </w:tcPr>
          <w:p w:rsidR="00F114D5" w:rsidRPr="00442756" w:rsidRDefault="00F114D5" w:rsidP="007A51E1">
            <w:pPr>
              <w:spacing w:before="0" w:after="0"/>
              <w:jc w:val="center"/>
              <w:rPr>
                <w:rFonts w:cs="Arial"/>
                <w:b w:val="0"/>
                <w:bCs/>
                <w:sz w:val="20"/>
                <w:szCs w:val="20"/>
              </w:rPr>
            </w:pPr>
            <w:r w:rsidRPr="00442756">
              <w:rPr>
                <w:rFonts w:cs="Arial"/>
                <w:bCs/>
                <w:sz w:val="20"/>
                <w:szCs w:val="20"/>
              </w:rPr>
              <w:t>Fri</w:t>
            </w:r>
          </w:p>
        </w:tc>
        <w:tc>
          <w:tcPr>
            <w:tcW w:w="595" w:type="pct"/>
            <w:tcBorders>
              <w:bottom w:val="nil"/>
            </w:tcBorders>
            <w:hideMark/>
          </w:tcPr>
          <w:p w:rsidR="00F114D5" w:rsidRPr="00442756" w:rsidRDefault="00F114D5" w:rsidP="007A51E1">
            <w:pPr>
              <w:spacing w:before="0" w:after="0"/>
              <w:jc w:val="center"/>
              <w:rPr>
                <w:rFonts w:cs="Arial"/>
                <w:b w:val="0"/>
                <w:bCs/>
                <w:sz w:val="20"/>
                <w:szCs w:val="20"/>
              </w:rPr>
            </w:pPr>
            <w:r w:rsidRPr="00442756">
              <w:rPr>
                <w:rFonts w:cs="Arial"/>
                <w:bCs/>
                <w:sz w:val="20"/>
                <w:szCs w:val="20"/>
              </w:rPr>
              <w:t>Sat</w:t>
            </w:r>
          </w:p>
        </w:tc>
      </w:tr>
      <w:tr w:rsidR="009B34B0" w:rsidRPr="00405CDE" w:rsidTr="006C5082">
        <w:trPr>
          <w:trHeight w:val="510"/>
        </w:trPr>
        <w:tc>
          <w:tcPr>
            <w:tcW w:w="1100" w:type="pct"/>
            <w:tcBorders>
              <w:top w:val="nil"/>
              <w:bottom w:val="nil"/>
            </w:tcBorders>
            <w:vAlign w:val="center"/>
          </w:tcPr>
          <w:p w:rsidR="009B34B0" w:rsidRDefault="009B34B0">
            <w:pPr>
              <w:rPr>
                <w:rFonts w:cs="Arial"/>
                <w:sz w:val="20"/>
                <w:szCs w:val="20"/>
              </w:rPr>
            </w:pPr>
            <w:r>
              <w:rPr>
                <w:rFonts w:cs="Arial"/>
                <w:sz w:val="20"/>
                <w:szCs w:val="20"/>
              </w:rPr>
              <w:t>Ex ante price ($/GJ)</w:t>
            </w:r>
          </w:p>
        </w:tc>
        <w:tc>
          <w:tcPr>
            <w:tcW w:w="597" w:type="pct"/>
            <w:tcBorders>
              <w:top w:val="nil"/>
              <w:bottom w:val="nil"/>
            </w:tcBorders>
            <w:vAlign w:val="center"/>
          </w:tcPr>
          <w:p w:rsidR="009B34B0" w:rsidRDefault="009B34B0">
            <w:pPr>
              <w:jc w:val="center"/>
              <w:rPr>
                <w:rFonts w:cs="Arial"/>
                <w:sz w:val="20"/>
                <w:szCs w:val="20"/>
              </w:rPr>
            </w:pPr>
            <w:r>
              <w:rPr>
                <w:rFonts w:cs="Arial"/>
                <w:sz w:val="20"/>
                <w:szCs w:val="20"/>
              </w:rPr>
              <w:t>5.75</w:t>
            </w:r>
          </w:p>
        </w:tc>
        <w:tc>
          <w:tcPr>
            <w:tcW w:w="523" w:type="pct"/>
            <w:tcBorders>
              <w:top w:val="nil"/>
              <w:bottom w:val="nil"/>
            </w:tcBorders>
            <w:vAlign w:val="center"/>
          </w:tcPr>
          <w:p w:rsidR="009B34B0" w:rsidRDefault="009B34B0">
            <w:pPr>
              <w:jc w:val="center"/>
              <w:rPr>
                <w:rFonts w:cs="Arial"/>
                <w:sz w:val="20"/>
                <w:szCs w:val="20"/>
              </w:rPr>
            </w:pPr>
            <w:r>
              <w:rPr>
                <w:rFonts w:cs="Arial"/>
                <w:sz w:val="20"/>
                <w:szCs w:val="20"/>
              </w:rPr>
              <w:t>5.75</w:t>
            </w:r>
          </w:p>
        </w:tc>
        <w:tc>
          <w:tcPr>
            <w:tcW w:w="606" w:type="pct"/>
            <w:tcBorders>
              <w:top w:val="nil"/>
              <w:bottom w:val="nil"/>
            </w:tcBorders>
            <w:vAlign w:val="center"/>
          </w:tcPr>
          <w:p w:rsidR="009B34B0" w:rsidRDefault="009B34B0">
            <w:pPr>
              <w:jc w:val="center"/>
              <w:rPr>
                <w:rFonts w:cs="Arial"/>
                <w:sz w:val="20"/>
                <w:szCs w:val="20"/>
              </w:rPr>
            </w:pPr>
            <w:r>
              <w:rPr>
                <w:rFonts w:cs="Arial"/>
                <w:sz w:val="20"/>
                <w:szCs w:val="20"/>
              </w:rPr>
              <w:t>5.45</w:t>
            </w:r>
          </w:p>
        </w:tc>
        <w:tc>
          <w:tcPr>
            <w:tcW w:w="532" w:type="pct"/>
            <w:tcBorders>
              <w:top w:val="nil"/>
              <w:bottom w:val="nil"/>
            </w:tcBorders>
            <w:vAlign w:val="center"/>
          </w:tcPr>
          <w:p w:rsidR="009B34B0" w:rsidRDefault="009B34B0">
            <w:pPr>
              <w:jc w:val="center"/>
              <w:rPr>
                <w:rFonts w:cs="Arial"/>
                <w:sz w:val="20"/>
                <w:szCs w:val="20"/>
              </w:rPr>
            </w:pPr>
            <w:r>
              <w:rPr>
                <w:rFonts w:cs="Arial"/>
                <w:sz w:val="20"/>
                <w:szCs w:val="20"/>
              </w:rPr>
              <w:t>5.75</w:t>
            </w:r>
          </w:p>
        </w:tc>
        <w:tc>
          <w:tcPr>
            <w:tcW w:w="525" w:type="pct"/>
            <w:tcBorders>
              <w:top w:val="nil"/>
              <w:bottom w:val="nil"/>
            </w:tcBorders>
            <w:vAlign w:val="center"/>
          </w:tcPr>
          <w:p w:rsidR="009B34B0" w:rsidRDefault="009B34B0">
            <w:pPr>
              <w:jc w:val="center"/>
              <w:rPr>
                <w:rFonts w:cs="Arial"/>
                <w:sz w:val="20"/>
                <w:szCs w:val="20"/>
              </w:rPr>
            </w:pPr>
            <w:r>
              <w:rPr>
                <w:rFonts w:cs="Arial"/>
                <w:sz w:val="20"/>
                <w:szCs w:val="20"/>
              </w:rPr>
              <w:t>5.75</w:t>
            </w:r>
          </w:p>
        </w:tc>
        <w:tc>
          <w:tcPr>
            <w:tcW w:w="522" w:type="pct"/>
            <w:tcBorders>
              <w:top w:val="nil"/>
              <w:bottom w:val="nil"/>
            </w:tcBorders>
            <w:vAlign w:val="center"/>
          </w:tcPr>
          <w:p w:rsidR="009B34B0" w:rsidRDefault="009B34B0">
            <w:pPr>
              <w:jc w:val="center"/>
              <w:rPr>
                <w:rFonts w:cs="Arial"/>
                <w:sz w:val="20"/>
                <w:szCs w:val="20"/>
              </w:rPr>
            </w:pPr>
            <w:r>
              <w:rPr>
                <w:rFonts w:cs="Arial"/>
                <w:sz w:val="20"/>
                <w:szCs w:val="20"/>
              </w:rPr>
              <w:t>5.78</w:t>
            </w:r>
          </w:p>
        </w:tc>
        <w:tc>
          <w:tcPr>
            <w:tcW w:w="595" w:type="pct"/>
            <w:tcBorders>
              <w:top w:val="nil"/>
              <w:bottom w:val="nil"/>
            </w:tcBorders>
            <w:vAlign w:val="center"/>
          </w:tcPr>
          <w:p w:rsidR="009B34B0" w:rsidRDefault="009B34B0">
            <w:pPr>
              <w:jc w:val="center"/>
              <w:rPr>
                <w:rFonts w:cs="Arial"/>
                <w:sz w:val="20"/>
                <w:szCs w:val="20"/>
              </w:rPr>
            </w:pPr>
            <w:r>
              <w:rPr>
                <w:rFonts w:cs="Arial"/>
                <w:sz w:val="20"/>
                <w:szCs w:val="20"/>
              </w:rPr>
              <w:t>5.75</w:t>
            </w:r>
          </w:p>
        </w:tc>
      </w:tr>
      <w:tr w:rsidR="009B34B0" w:rsidRPr="00405CDE" w:rsidTr="006C5082">
        <w:trPr>
          <w:cnfStyle w:val="000000010000" w:firstRow="0" w:lastRow="0" w:firstColumn="0" w:lastColumn="0" w:oddVBand="0" w:evenVBand="0" w:oddHBand="0" w:evenHBand="1" w:firstRowFirstColumn="0" w:firstRowLastColumn="0" w:lastRowFirstColumn="0" w:lastRowLastColumn="0"/>
          <w:trHeight w:val="510"/>
        </w:trPr>
        <w:tc>
          <w:tcPr>
            <w:tcW w:w="1100" w:type="pct"/>
            <w:tcBorders>
              <w:top w:val="nil"/>
              <w:bottom w:val="nil"/>
            </w:tcBorders>
            <w:vAlign w:val="center"/>
          </w:tcPr>
          <w:p w:rsidR="009B34B0" w:rsidRDefault="009B34B0">
            <w:pPr>
              <w:rPr>
                <w:rFonts w:cs="Arial"/>
                <w:sz w:val="20"/>
                <w:szCs w:val="20"/>
              </w:rPr>
            </w:pPr>
            <w:r>
              <w:rPr>
                <w:rFonts w:cs="Arial"/>
                <w:sz w:val="20"/>
                <w:szCs w:val="20"/>
              </w:rPr>
              <w:t>Ex ante quantity (TJ)</w:t>
            </w:r>
          </w:p>
        </w:tc>
        <w:tc>
          <w:tcPr>
            <w:tcW w:w="597" w:type="pct"/>
            <w:tcBorders>
              <w:top w:val="nil"/>
              <w:bottom w:val="nil"/>
            </w:tcBorders>
            <w:vAlign w:val="center"/>
          </w:tcPr>
          <w:p w:rsidR="009B34B0" w:rsidRDefault="009B34B0">
            <w:pPr>
              <w:jc w:val="center"/>
              <w:rPr>
                <w:rFonts w:cs="Arial"/>
                <w:sz w:val="20"/>
                <w:szCs w:val="20"/>
              </w:rPr>
            </w:pPr>
            <w:r>
              <w:rPr>
                <w:rFonts w:cs="Arial"/>
                <w:sz w:val="20"/>
                <w:szCs w:val="20"/>
              </w:rPr>
              <w:t>78</w:t>
            </w:r>
          </w:p>
        </w:tc>
        <w:tc>
          <w:tcPr>
            <w:tcW w:w="523" w:type="pct"/>
            <w:tcBorders>
              <w:top w:val="nil"/>
              <w:bottom w:val="nil"/>
            </w:tcBorders>
            <w:vAlign w:val="center"/>
          </w:tcPr>
          <w:p w:rsidR="009B34B0" w:rsidRDefault="009B34B0">
            <w:pPr>
              <w:jc w:val="center"/>
              <w:rPr>
                <w:rFonts w:cs="Arial"/>
                <w:sz w:val="20"/>
                <w:szCs w:val="20"/>
              </w:rPr>
            </w:pPr>
            <w:r>
              <w:rPr>
                <w:rFonts w:cs="Arial"/>
                <w:sz w:val="20"/>
                <w:szCs w:val="20"/>
              </w:rPr>
              <w:t>88</w:t>
            </w:r>
          </w:p>
        </w:tc>
        <w:tc>
          <w:tcPr>
            <w:tcW w:w="606" w:type="pct"/>
            <w:tcBorders>
              <w:top w:val="nil"/>
              <w:bottom w:val="nil"/>
            </w:tcBorders>
            <w:vAlign w:val="center"/>
          </w:tcPr>
          <w:p w:rsidR="009B34B0" w:rsidRDefault="009B34B0">
            <w:pPr>
              <w:jc w:val="center"/>
              <w:rPr>
                <w:rFonts w:cs="Arial"/>
                <w:sz w:val="20"/>
                <w:szCs w:val="20"/>
              </w:rPr>
            </w:pPr>
            <w:r>
              <w:rPr>
                <w:rFonts w:cs="Arial"/>
                <w:sz w:val="20"/>
                <w:szCs w:val="20"/>
              </w:rPr>
              <w:t>93</w:t>
            </w:r>
          </w:p>
        </w:tc>
        <w:tc>
          <w:tcPr>
            <w:tcW w:w="532" w:type="pct"/>
            <w:tcBorders>
              <w:top w:val="nil"/>
              <w:bottom w:val="nil"/>
            </w:tcBorders>
            <w:vAlign w:val="center"/>
          </w:tcPr>
          <w:p w:rsidR="009B34B0" w:rsidRDefault="009B34B0">
            <w:pPr>
              <w:jc w:val="center"/>
              <w:rPr>
                <w:rFonts w:cs="Arial"/>
                <w:sz w:val="20"/>
                <w:szCs w:val="20"/>
              </w:rPr>
            </w:pPr>
            <w:r>
              <w:rPr>
                <w:rFonts w:cs="Arial"/>
                <w:sz w:val="20"/>
                <w:szCs w:val="20"/>
              </w:rPr>
              <w:t>93</w:t>
            </w:r>
          </w:p>
        </w:tc>
        <w:tc>
          <w:tcPr>
            <w:tcW w:w="525" w:type="pct"/>
            <w:tcBorders>
              <w:top w:val="nil"/>
              <w:bottom w:val="nil"/>
            </w:tcBorders>
            <w:vAlign w:val="center"/>
          </w:tcPr>
          <w:p w:rsidR="009B34B0" w:rsidRDefault="009B34B0">
            <w:pPr>
              <w:jc w:val="center"/>
              <w:rPr>
                <w:rFonts w:cs="Arial"/>
                <w:sz w:val="20"/>
                <w:szCs w:val="20"/>
              </w:rPr>
            </w:pPr>
            <w:r>
              <w:rPr>
                <w:rFonts w:cs="Arial"/>
                <w:sz w:val="20"/>
                <w:szCs w:val="20"/>
              </w:rPr>
              <w:t>92</w:t>
            </w:r>
          </w:p>
        </w:tc>
        <w:tc>
          <w:tcPr>
            <w:tcW w:w="522" w:type="pct"/>
            <w:tcBorders>
              <w:top w:val="nil"/>
              <w:bottom w:val="nil"/>
            </w:tcBorders>
            <w:vAlign w:val="center"/>
          </w:tcPr>
          <w:p w:rsidR="009B34B0" w:rsidRDefault="009B34B0">
            <w:pPr>
              <w:jc w:val="center"/>
              <w:rPr>
                <w:rFonts w:cs="Arial"/>
                <w:sz w:val="20"/>
                <w:szCs w:val="20"/>
              </w:rPr>
            </w:pPr>
            <w:r>
              <w:rPr>
                <w:rFonts w:cs="Arial"/>
                <w:sz w:val="20"/>
                <w:szCs w:val="20"/>
              </w:rPr>
              <w:t>86</w:t>
            </w:r>
          </w:p>
        </w:tc>
        <w:tc>
          <w:tcPr>
            <w:tcW w:w="595" w:type="pct"/>
            <w:tcBorders>
              <w:top w:val="nil"/>
              <w:bottom w:val="nil"/>
            </w:tcBorders>
            <w:vAlign w:val="center"/>
          </w:tcPr>
          <w:p w:rsidR="009B34B0" w:rsidRDefault="009B34B0">
            <w:pPr>
              <w:jc w:val="center"/>
              <w:rPr>
                <w:rFonts w:cs="Arial"/>
                <w:sz w:val="20"/>
                <w:szCs w:val="20"/>
              </w:rPr>
            </w:pPr>
            <w:r>
              <w:rPr>
                <w:rFonts w:cs="Arial"/>
                <w:sz w:val="20"/>
                <w:szCs w:val="20"/>
              </w:rPr>
              <w:t>75</w:t>
            </w:r>
          </w:p>
        </w:tc>
      </w:tr>
      <w:tr w:rsidR="009B34B0" w:rsidRPr="00405CDE" w:rsidTr="006C5082">
        <w:trPr>
          <w:trHeight w:val="510"/>
        </w:trPr>
        <w:tc>
          <w:tcPr>
            <w:tcW w:w="1100" w:type="pct"/>
            <w:tcBorders>
              <w:top w:val="nil"/>
              <w:bottom w:val="nil"/>
            </w:tcBorders>
            <w:vAlign w:val="center"/>
          </w:tcPr>
          <w:p w:rsidR="009B34B0" w:rsidRDefault="009B34B0">
            <w:pPr>
              <w:rPr>
                <w:rFonts w:cs="Arial"/>
                <w:sz w:val="20"/>
                <w:szCs w:val="20"/>
              </w:rPr>
            </w:pPr>
            <w:r>
              <w:rPr>
                <w:rFonts w:cs="Arial"/>
                <w:sz w:val="20"/>
                <w:szCs w:val="20"/>
              </w:rPr>
              <w:t>Ex post price ($/GJ)</w:t>
            </w:r>
          </w:p>
        </w:tc>
        <w:tc>
          <w:tcPr>
            <w:tcW w:w="597" w:type="pct"/>
            <w:tcBorders>
              <w:top w:val="nil"/>
              <w:bottom w:val="nil"/>
            </w:tcBorders>
            <w:vAlign w:val="center"/>
          </w:tcPr>
          <w:p w:rsidR="009B34B0" w:rsidRDefault="009B34B0">
            <w:pPr>
              <w:jc w:val="center"/>
              <w:rPr>
                <w:rFonts w:cs="Arial"/>
                <w:sz w:val="20"/>
                <w:szCs w:val="20"/>
              </w:rPr>
            </w:pPr>
            <w:r>
              <w:rPr>
                <w:rFonts w:cs="Arial"/>
                <w:sz w:val="20"/>
                <w:szCs w:val="20"/>
              </w:rPr>
              <w:t>5.05</w:t>
            </w:r>
          </w:p>
        </w:tc>
        <w:tc>
          <w:tcPr>
            <w:tcW w:w="523" w:type="pct"/>
            <w:tcBorders>
              <w:top w:val="nil"/>
              <w:bottom w:val="nil"/>
            </w:tcBorders>
            <w:vAlign w:val="center"/>
          </w:tcPr>
          <w:p w:rsidR="009B34B0" w:rsidRDefault="009B34B0">
            <w:pPr>
              <w:jc w:val="center"/>
              <w:rPr>
                <w:rFonts w:cs="Arial"/>
                <w:sz w:val="20"/>
                <w:szCs w:val="20"/>
              </w:rPr>
            </w:pPr>
            <w:r>
              <w:rPr>
                <w:rFonts w:cs="Arial"/>
                <w:sz w:val="20"/>
                <w:szCs w:val="20"/>
              </w:rPr>
              <w:t>5.05</w:t>
            </w:r>
          </w:p>
        </w:tc>
        <w:tc>
          <w:tcPr>
            <w:tcW w:w="606" w:type="pct"/>
            <w:tcBorders>
              <w:top w:val="nil"/>
              <w:bottom w:val="nil"/>
            </w:tcBorders>
            <w:vAlign w:val="center"/>
          </w:tcPr>
          <w:p w:rsidR="009B34B0" w:rsidRDefault="009B34B0">
            <w:pPr>
              <w:jc w:val="center"/>
              <w:rPr>
                <w:rFonts w:cs="Arial"/>
                <w:sz w:val="20"/>
                <w:szCs w:val="20"/>
              </w:rPr>
            </w:pPr>
            <w:r>
              <w:rPr>
                <w:rFonts w:cs="Arial"/>
                <w:sz w:val="20"/>
                <w:szCs w:val="20"/>
              </w:rPr>
              <w:t>5.45</w:t>
            </w:r>
          </w:p>
        </w:tc>
        <w:tc>
          <w:tcPr>
            <w:tcW w:w="532" w:type="pct"/>
            <w:tcBorders>
              <w:top w:val="nil"/>
              <w:bottom w:val="nil"/>
            </w:tcBorders>
            <w:vAlign w:val="center"/>
          </w:tcPr>
          <w:p w:rsidR="009B34B0" w:rsidRDefault="009B34B0">
            <w:pPr>
              <w:jc w:val="center"/>
              <w:rPr>
                <w:rFonts w:cs="Arial"/>
                <w:sz w:val="20"/>
                <w:szCs w:val="20"/>
              </w:rPr>
            </w:pPr>
            <w:r>
              <w:rPr>
                <w:rFonts w:cs="Arial"/>
                <w:sz w:val="20"/>
                <w:szCs w:val="20"/>
              </w:rPr>
              <w:t>5.75</w:t>
            </w:r>
          </w:p>
        </w:tc>
        <w:tc>
          <w:tcPr>
            <w:tcW w:w="525" w:type="pct"/>
            <w:tcBorders>
              <w:top w:val="nil"/>
              <w:bottom w:val="nil"/>
            </w:tcBorders>
            <w:vAlign w:val="center"/>
          </w:tcPr>
          <w:p w:rsidR="009B34B0" w:rsidRDefault="009B34B0">
            <w:pPr>
              <w:jc w:val="center"/>
              <w:rPr>
                <w:rFonts w:cs="Arial"/>
                <w:sz w:val="20"/>
                <w:szCs w:val="20"/>
              </w:rPr>
            </w:pPr>
            <w:r>
              <w:rPr>
                <w:rFonts w:cs="Arial"/>
                <w:sz w:val="20"/>
                <w:szCs w:val="20"/>
              </w:rPr>
              <w:t>5.75</w:t>
            </w:r>
          </w:p>
        </w:tc>
        <w:tc>
          <w:tcPr>
            <w:tcW w:w="522" w:type="pct"/>
            <w:tcBorders>
              <w:top w:val="nil"/>
              <w:bottom w:val="nil"/>
            </w:tcBorders>
            <w:vAlign w:val="center"/>
          </w:tcPr>
          <w:p w:rsidR="009B34B0" w:rsidRDefault="009B34B0">
            <w:pPr>
              <w:jc w:val="center"/>
              <w:rPr>
                <w:rFonts w:cs="Arial"/>
                <w:sz w:val="20"/>
                <w:szCs w:val="20"/>
              </w:rPr>
            </w:pPr>
            <w:r>
              <w:rPr>
                <w:rFonts w:cs="Arial"/>
                <w:sz w:val="20"/>
                <w:szCs w:val="20"/>
              </w:rPr>
              <w:t>5.78</w:t>
            </w:r>
          </w:p>
        </w:tc>
        <w:tc>
          <w:tcPr>
            <w:tcW w:w="595" w:type="pct"/>
            <w:tcBorders>
              <w:top w:val="nil"/>
              <w:bottom w:val="nil"/>
            </w:tcBorders>
            <w:vAlign w:val="center"/>
          </w:tcPr>
          <w:p w:rsidR="009B34B0" w:rsidRDefault="009B34B0">
            <w:pPr>
              <w:jc w:val="center"/>
              <w:rPr>
                <w:rFonts w:cs="Arial"/>
                <w:sz w:val="20"/>
                <w:szCs w:val="20"/>
              </w:rPr>
            </w:pPr>
            <w:r>
              <w:rPr>
                <w:rFonts w:cs="Arial"/>
                <w:sz w:val="20"/>
                <w:szCs w:val="20"/>
              </w:rPr>
              <w:t>5.75</w:t>
            </w:r>
          </w:p>
        </w:tc>
      </w:tr>
      <w:tr w:rsidR="009B34B0" w:rsidRPr="00405CDE" w:rsidTr="006C5082">
        <w:trPr>
          <w:cnfStyle w:val="000000010000" w:firstRow="0" w:lastRow="0" w:firstColumn="0" w:lastColumn="0" w:oddVBand="0" w:evenVBand="0" w:oddHBand="0" w:evenHBand="1" w:firstRowFirstColumn="0" w:firstRowLastColumn="0" w:lastRowFirstColumn="0" w:lastRowLastColumn="0"/>
          <w:trHeight w:val="510"/>
        </w:trPr>
        <w:tc>
          <w:tcPr>
            <w:tcW w:w="1100" w:type="pct"/>
            <w:tcBorders>
              <w:top w:val="nil"/>
              <w:bottom w:val="single" w:sz="4" w:space="0" w:color="auto"/>
            </w:tcBorders>
            <w:vAlign w:val="center"/>
          </w:tcPr>
          <w:p w:rsidR="009B34B0" w:rsidRDefault="009B34B0">
            <w:pPr>
              <w:rPr>
                <w:rFonts w:cs="Arial"/>
                <w:sz w:val="20"/>
                <w:szCs w:val="20"/>
              </w:rPr>
            </w:pPr>
            <w:r>
              <w:rPr>
                <w:rFonts w:cs="Arial"/>
                <w:sz w:val="20"/>
                <w:szCs w:val="20"/>
              </w:rPr>
              <w:t>Ex post quantity (TJ)</w:t>
            </w:r>
          </w:p>
        </w:tc>
        <w:tc>
          <w:tcPr>
            <w:tcW w:w="597"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74</w:t>
            </w:r>
          </w:p>
        </w:tc>
        <w:tc>
          <w:tcPr>
            <w:tcW w:w="523"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75</w:t>
            </w:r>
          </w:p>
        </w:tc>
        <w:tc>
          <w:tcPr>
            <w:tcW w:w="606"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92</w:t>
            </w:r>
          </w:p>
        </w:tc>
        <w:tc>
          <w:tcPr>
            <w:tcW w:w="532"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94</w:t>
            </w:r>
          </w:p>
        </w:tc>
        <w:tc>
          <w:tcPr>
            <w:tcW w:w="525"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91</w:t>
            </w:r>
          </w:p>
        </w:tc>
        <w:tc>
          <w:tcPr>
            <w:tcW w:w="522"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87</w:t>
            </w:r>
          </w:p>
        </w:tc>
        <w:tc>
          <w:tcPr>
            <w:tcW w:w="595" w:type="pct"/>
            <w:tcBorders>
              <w:top w:val="nil"/>
              <w:bottom w:val="single" w:sz="4" w:space="0" w:color="auto"/>
            </w:tcBorders>
            <w:vAlign w:val="center"/>
          </w:tcPr>
          <w:p w:rsidR="009B34B0" w:rsidRDefault="009B34B0">
            <w:pPr>
              <w:jc w:val="center"/>
              <w:rPr>
                <w:rFonts w:cs="Arial"/>
                <w:sz w:val="20"/>
                <w:szCs w:val="20"/>
              </w:rPr>
            </w:pPr>
            <w:r>
              <w:rPr>
                <w:rFonts w:cs="Arial"/>
                <w:sz w:val="20"/>
                <w:szCs w:val="20"/>
              </w:rPr>
              <w:t>75</w:t>
            </w:r>
          </w:p>
        </w:tc>
      </w:tr>
    </w:tbl>
    <w:p w:rsidR="00BC18FB" w:rsidRPr="00DD0358" w:rsidRDefault="003625A6" w:rsidP="00FF0D8A">
      <w:pPr>
        <w:pStyle w:val="Heading4"/>
        <w:ind w:hanging="338"/>
        <w:rPr>
          <w:color w:val="2272A3"/>
          <w:sz w:val="24"/>
        </w:rPr>
      </w:pPr>
      <w:r w:rsidRPr="00DD0358">
        <w:rPr>
          <w:color w:val="2272A3"/>
          <w:sz w:val="24"/>
          <w:szCs w:val="24"/>
        </w:rPr>
        <w:t>BRI daily hub offers and daily hub bids in price bands ($/GJ)</w:t>
      </w:r>
    </w:p>
    <w:p w:rsidR="00362B9A" w:rsidRPr="00362B9A" w:rsidRDefault="002E5A67" w:rsidP="00362B9A">
      <w:r>
        <w:pict>
          <v:shape id="_x0000_i1036" type="#_x0000_t75" alt="Figure 4.2 shows the daily hub offers and bid in within certain price bands in Brisbane this week. The line indicates the scheduled quantity for each day. For a more detailed description of this figure, please refer to the user guide." style="width:475.95pt;height:171.1pt;mso-position-vertical:absolute">
            <v:imagedata r:id="rId25" o:title=""/>
          </v:shape>
        </w:pict>
      </w:r>
    </w:p>
    <w:p w:rsidR="00BC18FB" w:rsidRPr="00DD0358" w:rsidRDefault="003625A6" w:rsidP="00FF0D8A">
      <w:pPr>
        <w:pStyle w:val="Heading4"/>
        <w:ind w:hanging="338"/>
        <w:rPr>
          <w:color w:val="2272A3"/>
          <w:sz w:val="24"/>
        </w:rPr>
      </w:pPr>
      <w:r w:rsidRPr="00DD0358">
        <w:rPr>
          <w:color w:val="2272A3"/>
          <w:sz w:val="24"/>
          <w:szCs w:val="24"/>
        </w:rPr>
        <w:t>BRI net scheduled and allocated gas hub supply (excluding MOS)</w:t>
      </w:r>
    </w:p>
    <w:p w:rsidR="00362B9A" w:rsidRPr="00362B9A" w:rsidRDefault="002E5A67" w:rsidP="00362B9A">
      <w:r>
        <w:pict>
          <v:shape id="_x0000_i1037" type="#_x0000_t75" alt="Figure 4.3 shows the daily scheduled and allocated quantities sorted by facility for Brisbane this week. For a more detailed description of this figure, please refer to the user guide." style="width:477.8pt;height:99.1pt">
            <v:imagedata r:id="rId26" o:title=""/>
          </v:shape>
        </w:pict>
      </w:r>
    </w:p>
    <w:p w:rsidR="00BC18FB" w:rsidRPr="00DD0358" w:rsidRDefault="004560B0" w:rsidP="00560F2D">
      <w:pPr>
        <w:pStyle w:val="Heading4"/>
        <w:ind w:left="1440" w:hanging="1440"/>
        <w:rPr>
          <w:color w:val="2272A3"/>
          <w:sz w:val="24"/>
          <w:szCs w:val="24"/>
        </w:rPr>
      </w:pPr>
      <w:r w:rsidRPr="00DD0358">
        <w:rPr>
          <w:color w:val="2272A3"/>
          <w:sz w:val="24"/>
          <w:szCs w:val="24"/>
        </w:rPr>
        <w:t>BRI MOS allocations (TJ), service payments and commodity payments/charges ($000)</w:t>
      </w:r>
    </w:p>
    <w:p w:rsidR="004560B0" w:rsidRPr="00362B9A" w:rsidRDefault="002E5A67" w:rsidP="00362B9A">
      <w:r>
        <w:pict>
          <v:shape id="_x0000_i1038" type="#_x0000_t75" alt="Figure 4.4 shows the daily MOS allocations sorted by facility for each facility in Brisbane this week. The figure also shows the daily breakdown of costs associated with the MOS provided. For a more detailed description of this figure, please refer to the user guide." style="width:475.95pt;height:156.15pt">
            <v:imagedata r:id="rId27" o:title=""/>
          </v:shape>
        </w:pict>
      </w:r>
    </w:p>
    <w:p w:rsidR="00BC18FB" w:rsidRDefault="007059A9" w:rsidP="00BC18FB">
      <w:pPr>
        <w:pStyle w:val="Heading3"/>
        <w:ind w:firstLine="0"/>
        <w:rPr>
          <w:color w:val="2272A3"/>
          <w:sz w:val="32"/>
          <w:szCs w:val="32"/>
        </w:rPr>
      </w:pPr>
      <w:r>
        <w:rPr>
          <w:color w:val="2272A3"/>
          <w:sz w:val="32"/>
          <w:szCs w:val="32"/>
        </w:rPr>
        <w:br w:type="page"/>
      </w:r>
      <w:r w:rsidR="00362B9A">
        <w:rPr>
          <w:color w:val="2272A3"/>
          <w:sz w:val="32"/>
          <w:szCs w:val="32"/>
        </w:rPr>
        <w:lastRenderedPageBreak/>
        <w:t>National Gas Bulletin Board</w:t>
      </w:r>
    </w:p>
    <w:p w:rsidR="00362B9A" w:rsidRPr="00362B9A" w:rsidRDefault="004560B0" w:rsidP="00345444">
      <w:pPr>
        <w:jc w:val="both"/>
      </w:pPr>
      <w:r w:rsidRPr="00A475A2">
        <w:t xml:space="preserve">Figure </w:t>
      </w:r>
      <w:r>
        <w:t>5</w:t>
      </w:r>
      <w:r w:rsidRPr="00A475A2">
        <w:t xml:space="preserve">.1 shows average daily </w:t>
      </w:r>
      <w:r>
        <w:t xml:space="preserve">actual </w:t>
      </w:r>
      <w:r w:rsidRPr="00A475A2">
        <w:t>flows for the current week</w:t>
      </w:r>
      <w:r>
        <w:rPr>
          <w:rStyle w:val="FootnoteReference"/>
        </w:rPr>
        <w:footnoteReference w:id="8"/>
      </w:r>
      <w:r>
        <w:t xml:space="preserve"> from </w:t>
      </w:r>
      <w:r w:rsidRPr="00A475A2">
        <w:t xml:space="preserve">the Bulletin Board (changes from the </w:t>
      </w:r>
      <w:r>
        <w:t>previous week’s</w:t>
      </w:r>
      <w:r w:rsidRPr="00A475A2">
        <w:t xml:space="preserve"> average are shown in brackets).</w:t>
      </w:r>
      <w:r w:rsidRPr="00DF25FF">
        <w:t xml:space="preserve"> </w:t>
      </w:r>
      <w:r w:rsidR="004E20BF">
        <w:t>A</w:t>
      </w:r>
      <w:r>
        <w:t>verage daily scheduled volumes and prices</w:t>
      </w:r>
      <w:r>
        <w:rPr>
          <w:rStyle w:val="FootnoteReference"/>
        </w:rPr>
        <w:footnoteReference w:id="9"/>
      </w:r>
      <w:r>
        <w:t xml:space="preserve"> </w:t>
      </w:r>
      <w:r w:rsidR="004E20BF">
        <w:t xml:space="preserve">are provided </w:t>
      </w:r>
      <w:r w:rsidR="00A270DD">
        <w:t xml:space="preserve">for </w:t>
      </w:r>
      <w:r w:rsidR="004E20BF">
        <w:t>gas markets and gas powered generation for each region.</w:t>
      </w:r>
    </w:p>
    <w:p w:rsidR="00BC18FB" w:rsidRPr="00DD0358" w:rsidRDefault="004560B0" w:rsidP="00560F2D">
      <w:pPr>
        <w:pStyle w:val="Heading4"/>
        <w:ind w:left="1440" w:hanging="1440"/>
        <w:rPr>
          <w:color w:val="2272A3"/>
          <w:sz w:val="24"/>
          <w:szCs w:val="24"/>
        </w:rPr>
      </w:pPr>
      <w:r w:rsidRPr="00DD0358">
        <w:rPr>
          <w:color w:val="2272A3"/>
          <w:sz w:val="24"/>
          <w:szCs w:val="24"/>
        </w:rPr>
        <w:t>Gas market data ($/GJ, TJ</w:t>
      </w:r>
      <w:r w:rsidR="00C3163F" w:rsidRPr="00DD0358">
        <w:rPr>
          <w:color w:val="2272A3"/>
          <w:sz w:val="24"/>
          <w:szCs w:val="24"/>
        </w:rPr>
        <w:t>/day</w:t>
      </w:r>
      <w:r w:rsidRPr="00DD0358">
        <w:rPr>
          <w:color w:val="2272A3"/>
          <w:sz w:val="24"/>
          <w:szCs w:val="24"/>
        </w:rPr>
        <w:t>); Production, Consumption and Pipeline flows (TJ)</w:t>
      </w:r>
    </w:p>
    <w:p w:rsidR="00362B9A" w:rsidRPr="00362B9A" w:rsidRDefault="002E5A67" w:rsidP="00FB3934">
      <w:r>
        <w:rPr>
          <w:noProof/>
        </w:rPr>
        <w:pict>
          <v:shape id="_x0000_i1039" type="#_x0000_t75" alt="Figure 5.1 shows the average daily Bulletin Board flows for this week compared to the previous week. It includes price and demand data for gas markets across the east coast of Australia and gas powered generation usage estimates for each state. For a more detailed description of this figure, please refer to the user guide." style="width:378.7pt;height:547.95pt">
            <v:imagedata r:id="rId28" o:title=""/>
          </v:shape>
        </w:pict>
      </w:r>
    </w:p>
    <w:p w:rsidR="00BC18FB" w:rsidRDefault="007059A9" w:rsidP="00BC18FB">
      <w:pPr>
        <w:pStyle w:val="Heading3"/>
        <w:ind w:firstLine="0"/>
        <w:rPr>
          <w:color w:val="2272A3"/>
          <w:sz w:val="32"/>
          <w:szCs w:val="32"/>
        </w:rPr>
      </w:pPr>
      <w:r>
        <w:rPr>
          <w:color w:val="2272A3"/>
          <w:sz w:val="32"/>
          <w:szCs w:val="32"/>
        </w:rPr>
        <w:br w:type="page"/>
      </w:r>
      <w:r w:rsidR="00BC18FB" w:rsidRPr="00004A63">
        <w:rPr>
          <w:color w:val="2272A3"/>
          <w:sz w:val="32"/>
          <w:szCs w:val="32"/>
        </w:rPr>
        <w:lastRenderedPageBreak/>
        <w:t>G</w:t>
      </w:r>
      <w:r w:rsidR="004560B0">
        <w:rPr>
          <w:color w:val="2272A3"/>
          <w:sz w:val="32"/>
          <w:szCs w:val="32"/>
        </w:rPr>
        <w:t xml:space="preserve">as </w:t>
      </w:r>
      <w:r w:rsidR="00BC18FB" w:rsidRPr="00004A63">
        <w:rPr>
          <w:color w:val="2272A3"/>
          <w:sz w:val="32"/>
          <w:szCs w:val="32"/>
        </w:rPr>
        <w:t>S</w:t>
      </w:r>
      <w:r w:rsidR="004560B0">
        <w:rPr>
          <w:color w:val="2272A3"/>
          <w:sz w:val="32"/>
          <w:szCs w:val="32"/>
        </w:rPr>
        <w:t xml:space="preserve">upply </w:t>
      </w:r>
      <w:r w:rsidR="00BC18FB" w:rsidRPr="00004A63">
        <w:rPr>
          <w:color w:val="2272A3"/>
          <w:sz w:val="32"/>
          <w:szCs w:val="32"/>
        </w:rPr>
        <w:t>H</w:t>
      </w:r>
      <w:r w:rsidR="004560B0">
        <w:rPr>
          <w:color w:val="2272A3"/>
          <w:sz w:val="32"/>
          <w:szCs w:val="32"/>
        </w:rPr>
        <w:t>ub</w:t>
      </w:r>
    </w:p>
    <w:p w:rsidR="00E37A86" w:rsidRDefault="00E37A86" w:rsidP="00345444">
      <w:pPr>
        <w:jc w:val="both"/>
      </w:pPr>
      <w:r>
        <w:t xml:space="preserve">The Gas Supply Hub </w:t>
      </w:r>
      <w:r>
        <w:rPr>
          <w:b/>
          <w:bCs/>
        </w:rPr>
        <w:t>(GSH)</w:t>
      </w:r>
      <w:r>
        <w:t xml:space="preserve"> was established for the trading of gas at Wallumbilla because it is located in close proximity to significant gas supply sources and demand locations and is a major transit point between Queensland and the gas markets on Australia’s east coast. The GSH is a voluntary market</w:t>
      </w:r>
      <w:r>
        <w:rPr>
          <w:rStyle w:val="FootnoteReference"/>
        </w:rPr>
        <w:footnoteReference w:id="10"/>
      </w:r>
      <w:r>
        <w:t xml:space="preserve"> for the supply of gas traded between separate participants, with products listed for sale and purchase at delivery points on three major connecting </w:t>
      </w:r>
      <w:r w:rsidRPr="005A6687">
        <w:t xml:space="preserve">pipelines at Wallumbilla – the Queensland Gas Pipeline </w:t>
      </w:r>
      <w:r w:rsidRPr="00586C57">
        <w:rPr>
          <w:b/>
        </w:rPr>
        <w:t>(QGP)</w:t>
      </w:r>
      <w:r w:rsidRPr="005A6687">
        <w:t xml:space="preserve">, the South West Queensland Pipeline </w:t>
      </w:r>
      <w:r w:rsidRPr="00586C57">
        <w:rPr>
          <w:b/>
        </w:rPr>
        <w:t>(SWQP)</w:t>
      </w:r>
      <w:r w:rsidRPr="005A6687">
        <w:t xml:space="preserve"> and the Roma to Brisbane Pipeline </w:t>
      </w:r>
      <w:r w:rsidRPr="00586C57">
        <w:rPr>
          <w:b/>
        </w:rPr>
        <w:t>(RBP)</w:t>
      </w:r>
      <w:r w:rsidRPr="005A6687">
        <w:t>. There are separate products for each p</w:t>
      </w:r>
      <w:r>
        <w:t>ipeline (each pipeline is considered a trading location, and each has a number of delivery points) and delivery period (daily, day-ahead, balance-of-day and weekly).</w:t>
      </w:r>
    </w:p>
    <w:p w:rsidR="008C268E" w:rsidRPr="009B34B0" w:rsidRDefault="009B34B0" w:rsidP="00345444">
      <w:pPr>
        <w:jc w:val="both"/>
        <w:rPr>
          <w:rFonts w:eastAsia="MS Mincho"/>
        </w:rPr>
      </w:pPr>
      <w:r w:rsidRPr="009B34B0">
        <w:rPr>
          <w:rFonts w:eastAsia="MS Mincho"/>
        </w:rPr>
        <w:t>There were 2 trades this week. A weekly product traded 28 TJ on the RBP for $5.50/GJ while a day-ahead product traded 10 TJ on the SWQP for $5/GJ.</w:t>
      </w:r>
    </w:p>
    <w:p w:rsidR="00E37A86" w:rsidRPr="00E37A86" w:rsidRDefault="00E37A86" w:rsidP="00345444">
      <w:pPr>
        <w:rPr>
          <w:rFonts w:cs="Arial"/>
          <w:szCs w:val="22"/>
        </w:rPr>
      </w:pPr>
      <w:r w:rsidRPr="00E37A86">
        <w:rPr>
          <w:rFonts w:cs="Arial"/>
          <w:szCs w:val="22"/>
        </w:rPr>
        <w:t>Figure 6.1 shows volumes traded</w:t>
      </w:r>
      <w:r w:rsidRPr="00E37A86">
        <w:rPr>
          <w:rStyle w:val="FootnoteReference"/>
          <w:rFonts w:cs="Arial"/>
          <w:szCs w:val="22"/>
        </w:rPr>
        <w:footnoteReference w:id="11"/>
      </w:r>
      <w:r w:rsidRPr="00E37A86">
        <w:rPr>
          <w:rFonts w:cs="Arial"/>
          <w:szCs w:val="22"/>
        </w:rPr>
        <w:t xml:space="preserve"> on each gas day and trading day </w:t>
      </w:r>
      <w:r>
        <w:rPr>
          <w:rFonts w:cs="Arial"/>
          <w:szCs w:val="22"/>
        </w:rPr>
        <w:t>for the current week</w:t>
      </w:r>
      <w:r w:rsidRPr="00E37A86">
        <w:rPr>
          <w:rFonts w:cs="Arial"/>
          <w:szCs w:val="22"/>
        </w:rPr>
        <w:t>.</w:t>
      </w:r>
    </w:p>
    <w:p w:rsidR="00BC18FB" w:rsidRPr="00DD0358" w:rsidRDefault="00E37A86" w:rsidP="00FF0D8A">
      <w:pPr>
        <w:pStyle w:val="Heading4"/>
        <w:ind w:hanging="338"/>
        <w:rPr>
          <w:color w:val="2272A3"/>
          <w:sz w:val="24"/>
        </w:rPr>
      </w:pPr>
      <w:r w:rsidRPr="00DD0358">
        <w:rPr>
          <w:color w:val="2272A3"/>
          <w:sz w:val="24"/>
        </w:rPr>
        <w:t>Volume Traded (by Gas Day and by Trading Day)</w:t>
      </w:r>
    </w:p>
    <w:bookmarkEnd w:id="0"/>
    <w:bookmarkEnd w:id="1"/>
    <w:p w:rsidR="009E74E3" w:rsidRPr="006520EE" w:rsidRDefault="002E5A67" w:rsidP="00E37A86">
      <w:r>
        <w:rPr>
          <w:rFonts w:eastAsia="MS Mincho"/>
        </w:rPr>
        <w:pict>
          <v:shape id="_x0000_i1040" type="#_x0000_t75" alt="Figure 6.1 shows the daily volume of gas traded on each pipeline in the Wallumbilla Gas Supply Hub. The quantities displayed are shown for both the day the gas is traded over the current week and the gas day on which gas has been shipped." style="width:475.95pt;height:201.95pt">
            <v:imagedata r:id="rId29" o:title=""/>
          </v:shape>
        </w:pict>
      </w:r>
      <w:r w:rsidR="00E37A86" w:rsidRPr="006520EE">
        <w:t xml:space="preserve"> </w:t>
      </w:r>
    </w:p>
    <w:sectPr w:rsidR="009E74E3" w:rsidRPr="006520EE" w:rsidSect="00D635F1">
      <w:footerReference w:type="default" r:id="rId30"/>
      <w:footerReference w:type="first" r:id="rId31"/>
      <w:pgSz w:w="11907" w:h="16840" w:code="9"/>
      <w:pgMar w:top="539" w:right="1021" w:bottom="737" w:left="1361" w:header="851" w:footer="255" w:gutter="0"/>
      <w:pgBorders w:offsetFrom="page">
        <w:top w:val="none" w:sz="0" w:space="0" w:color="000000"/>
        <w:left w:val="none" w:sz="0" w:space="0" w:color="000000"/>
        <w:bottom w:val="none" w:sz="0" w:space="0" w:color="000000"/>
        <w:right w:val="none" w:sz="0" w:space="0" w:color="000000"/>
      </w:pgBorders>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453B" w:rsidRDefault="0091453B">
      <w:r>
        <w:separator/>
      </w:r>
    </w:p>
  </w:endnote>
  <w:endnote w:type="continuationSeparator" w:id="0">
    <w:p w:rsidR="0091453B" w:rsidRDefault="009145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Bold">
    <w:panose1 w:val="020B07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53B" w:rsidRDefault="0091453B" w:rsidP="00D22793">
    <w:pPr>
      <w:pBdr>
        <w:top w:val="single" w:sz="4" w:space="0" w:color="auto"/>
      </w:pBdr>
      <w:ind w:left="-284" w:right="-329" w:firstLine="284"/>
      <w:jc w:val="center"/>
      <w:rPr>
        <w:i/>
        <w:sz w:val="16"/>
        <w:szCs w:val="16"/>
      </w:rPr>
    </w:pPr>
    <w:r>
      <w:rPr>
        <w:i/>
        <w:sz w:val="20"/>
      </w:rPr>
      <w:t>© Commonwealth of Australia.</w:t>
    </w:r>
  </w:p>
  <w:p w:rsidR="0091453B" w:rsidRDefault="0091453B" w:rsidP="005A77AC">
    <w:pPr>
      <w:jc w:val="center"/>
    </w:pPr>
    <w:r>
      <w:fldChar w:fldCharType="begin"/>
    </w:r>
    <w:r>
      <w:instrText xml:space="preserve"> PAGE  \* MERGEFORMAT </w:instrText>
    </w:r>
    <w:r>
      <w:fldChar w:fldCharType="separate"/>
    </w:r>
    <w:r w:rsidR="00DA4967">
      <w:rPr>
        <w:noProof/>
      </w:rPr>
      <w:t>2</w:t>
    </w:r>
    <w:r>
      <w:fldChar w:fldCharType="end"/>
    </w:r>
  </w:p>
  <w:p w:rsidR="0091453B" w:rsidRDefault="0091453B" w:rsidP="0035758F">
    <w:pPr>
      <w:pStyle w:val="Footer"/>
      <w:pBdr>
        <w:top w:val="none" w:sz="0" w:space="0" w:color="auto"/>
      </w:pBd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453B" w:rsidRDefault="0091453B" w:rsidP="00491029">
    <w:pPr>
      <w:pBdr>
        <w:top w:val="single" w:sz="4" w:space="0" w:color="auto"/>
      </w:pBdr>
      <w:ind w:left="-284" w:right="-329" w:firstLine="284"/>
      <w:jc w:val="center"/>
      <w:rPr>
        <w:i/>
        <w:sz w:val="20"/>
      </w:rPr>
    </w:pPr>
    <w:r>
      <w:rPr>
        <w:i/>
        <w:sz w:val="20"/>
      </w:rPr>
      <w:t>© Commonwealth of Australia.</w:t>
    </w:r>
  </w:p>
  <w:p w:rsidR="0091453B" w:rsidRPr="002D773A" w:rsidRDefault="0091453B" w:rsidP="00491029">
    <w:pPr>
      <w:jc w:val="center"/>
    </w:pPr>
    <w:r>
      <w:fldChar w:fldCharType="begin"/>
    </w:r>
    <w:r>
      <w:instrText xml:space="preserve"> PAGE  \* MERGEFORMAT </w:instrText>
    </w:r>
    <w:r>
      <w:fldChar w:fldCharType="separate"/>
    </w:r>
    <w:r w:rsidR="00DA4967">
      <w:rPr>
        <w:noProof/>
      </w:rPr>
      <w:t>1</w:t>
    </w:r>
    <w:r>
      <w:fldChar w:fldCharType="end"/>
    </w:r>
  </w:p>
  <w:p w:rsidR="0091453B" w:rsidRDefault="0091453B" w:rsidP="00491029">
    <w:pPr>
      <w:pStyle w:val="Footer"/>
      <w:jc w:val="right"/>
    </w:pPr>
    <w:r w:rsidRPr="00F52F00">
      <w:rPr>
        <w:rFonts w:cs="Arial"/>
        <w:i/>
      </w:rPr>
      <w:t>AER reference: 392</w:t>
    </w:r>
    <w:r>
      <w:rPr>
        <w:rFonts w:cs="Arial"/>
        <w:i/>
      </w:rPr>
      <w:t>7</w:t>
    </w:r>
    <w:r w:rsidRPr="00F52F00">
      <w:rPr>
        <w:rFonts w:cs="Arial"/>
        <w:i/>
      </w:rPr>
      <w:t xml:space="preserve">0 – </w:t>
    </w:r>
    <w:r w:rsidRPr="004718E5">
      <w:rPr>
        <w:rFonts w:cs="Arial"/>
        <w:i/>
      </w:rPr>
      <w:t>D1</w:t>
    </w:r>
    <w:r w:rsidR="004718E5" w:rsidRPr="004718E5">
      <w:rPr>
        <w:rFonts w:cs="Arial"/>
        <w:i/>
      </w:rPr>
      <w:t>6</w:t>
    </w:r>
    <w:r w:rsidRPr="004718E5">
      <w:rPr>
        <w:rFonts w:cs="Arial"/>
        <w:i/>
      </w:rPr>
      <w:t>/</w:t>
    </w:r>
    <w:r w:rsidR="00B2315E">
      <w:rPr>
        <w:rFonts w:cs="Arial"/>
        <w:i/>
      </w:rPr>
      <w:t>61704</w:t>
    </w:r>
  </w:p>
  <w:p w:rsidR="0091453B" w:rsidRDefault="009145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453B" w:rsidRDefault="0091453B">
      <w:r>
        <w:separator/>
      </w:r>
    </w:p>
  </w:footnote>
  <w:footnote w:type="continuationSeparator" w:id="0">
    <w:p w:rsidR="0091453B" w:rsidRDefault="0091453B">
      <w:r>
        <w:continuationSeparator/>
      </w:r>
    </w:p>
  </w:footnote>
  <w:footnote w:id="1">
    <w:p w:rsidR="0091453B" w:rsidRPr="00942640" w:rsidRDefault="0091453B" w:rsidP="004560B0">
      <w:pPr>
        <w:pStyle w:val="FootnoteText"/>
        <w:spacing w:before="0" w:after="0"/>
        <w:jc w:val="both"/>
        <w:rPr>
          <w:sz w:val="18"/>
          <w:szCs w:val="16"/>
        </w:rPr>
      </w:pPr>
      <w:r>
        <w:rPr>
          <w:rStyle w:val="FootnoteReference"/>
        </w:rPr>
        <w:footnoteRef/>
      </w:r>
      <w:r>
        <w:t xml:space="preserve"> </w:t>
      </w:r>
      <w:r>
        <w:tab/>
      </w:r>
      <w:r w:rsidRPr="00942640">
        <w:rPr>
          <w:sz w:val="18"/>
          <w:szCs w:val="16"/>
        </w:rPr>
        <w:t>The weighted average daily imbalance price applies for Victoria.</w:t>
      </w:r>
    </w:p>
  </w:footnote>
  <w:footnote w:id="2">
    <w:p w:rsidR="00A5490E" w:rsidRDefault="00A5490E" w:rsidP="00A5490E">
      <w:pPr>
        <w:pStyle w:val="FootnoteText"/>
        <w:jc w:val="both"/>
      </w:pPr>
      <w:r>
        <w:rPr>
          <w:rStyle w:val="FootnoteReference"/>
        </w:rPr>
        <w:footnoteRef/>
      </w:r>
      <w:r>
        <w:t xml:space="preserve"> </w:t>
      </w:r>
      <w:r>
        <w:tab/>
      </w:r>
      <w:r w:rsidRPr="00A5490E">
        <w:rPr>
          <w:sz w:val="18"/>
        </w:rPr>
        <w:t>Ancillary payments for 1 and 2 May were $4544 and $1346</w:t>
      </w:r>
      <w:r>
        <w:rPr>
          <w:sz w:val="18"/>
        </w:rPr>
        <w:t>,</w:t>
      </w:r>
      <w:r w:rsidRPr="00A5490E">
        <w:rPr>
          <w:sz w:val="18"/>
        </w:rPr>
        <w:t xml:space="preserve"> for gas injected out of merit order on those respective days. This is reflected in figure 2</w:t>
      </w:r>
      <w:r>
        <w:rPr>
          <w:sz w:val="18"/>
        </w:rPr>
        <w:t xml:space="preserve"> on page 1</w:t>
      </w:r>
      <w:r w:rsidRPr="00A5490E">
        <w:rPr>
          <w:sz w:val="18"/>
        </w:rPr>
        <w:t>.</w:t>
      </w:r>
    </w:p>
  </w:footnote>
  <w:footnote w:id="3">
    <w:p w:rsidR="0091453B" w:rsidRPr="00EF58A8" w:rsidRDefault="0091453B" w:rsidP="00EF58A8">
      <w:pPr>
        <w:pStyle w:val="FootnoteText"/>
        <w:spacing w:before="0" w:after="0"/>
        <w:jc w:val="both"/>
      </w:pPr>
      <w:r w:rsidRPr="00EF58A8">
        <w:rPr>
          <w:rStyle w:val="FootnoteReference"/>
        </w:rPr>
        <w:footnoteRef/>
      </w:r>
      <w:r w:rsidRPr="00EF58A8">
        <w:t xml:space="preserve"> </w:t>
      </w:r>
      <w:r w:rsidRPr="00EF58A8">
        <w:tab/>
      </w:r>
      <w:r w:rsidRPr="00EF58A8">
        <w:rPr>
          <w:sz w:val="18"/>
        </w:rPr>
        <w:t>Prices for subsequent schedules are applied only to the differences in scheduled quantities (imbalances) to calculate the weighted price. The 6 am price applies to the entire scheduled quantity in the initial schedule.</w:t>
      </w:r>
    </w:p>
  </w:footnote>
  <w:footnote w:id="4">
    <w:p w:rsidR="0091453B" w:rsidRPr="00EF58A8" w:rsidRDefault="0091453B" w:rsidP="00EF58A8">
      <w:pPr>
        <w:pStyle w:val="FootnoteText"/>
        <w:spacing w:before="0" w:after="0"/>
        <w:jc w:val="both"/>
        <w:rPr>
          <w:sz w:val="18"/>
          <w:szCs w:val="18"/>
        </w:rPr>
      </w:pPr>
      <w:r w:rsidRPr="00EF58A8">
        <w:rPr>
          <w:rStyle w:val="FootnoteReference"/>
        </w:rPr>
        <w:footnoteRef/>
      </w:r>
      <w:r w:rsidRPr="00EF58A8">
        <w:t xml:space="preserve"> </w:t>
      </w:r>
      <w:r w:rsidRPr="00EF58A8">
        <w:tab/>
      </w:r>
      <w:r w:rsidRPr="00EF58A8">
        <w:rPr>
          <w:sz w:val="18"/>
          <w:szCs w:val="18"/>
        </w:rPr>
        <w:t>The price might also be affected by transmission or production (contractual) constraints limiting how much gas can be delivered from a locale or System Injection Point (SIP) from time to time.</w:t>
      </w:r>
    </w:p>
  </w:footnote>
  <w:footnote w:id="5">
    <w:p w:rsidR="0091453B" w:rsidRPr="00EF58A8" w:rsidRDefault="0091453B" w:rsidP="00EF58A8">
      <w:pPr>
        <w:pStyle w:val="FootnoteText"/>
        <w:spacing w:before="0" w:after="0"/>
        <w:jc w:val="both"/>
      </w:pPr>
      <w:r w:rsidRPr="00EF58A8">
        <w:rPr>
          <w:rStyle w:val="FootnoteReference"/>
        </w:rPr>
        <w:footnoteRef/>
      </w:r>
      <w:r w:rsidRPr="00EF58A8">
        <w:t xml:space="preserve">  </w:t>
      </w:r>
      <w:r w:rsidRPr="00EF58A8">
        <w:tab/>
      </w:r>
      <w:r w:rsidRPr="00EF58A8">
        <w:rPr>
          <w:sz w:val="18"/>
          <w:szCs w:val="18"/>
        </w:rPr>
        <w:t>These are Market Participants’ aggregate demand forecasts adjusted for any override as applied by AEMO from time to time. These forecasts must be scheduled and cannot respond to price like withdrawal bids.</w:t>
      </w:r>
    </w:p>
  </w:footnote>
  <w:footnote w:id="6">
    <w:p w:rsidR="0091453B" w:rsidRPr="00362B9A" w:rsidRDefault="0091453B" w:rsidP="00586C57">
      <w:pPr>
        <w:pStyle w:val="FootnoteText"/>
        <w:spacing w:before="0" w:after="0"/>
        <w:jc w:val="both"/>
        <w:rPr>
          <w:sz w:val="18"/>
          <w:szCs w:val="18"/>
        </w:rPr>
      </w:pPr>
      <w:r w:rsidRPr="003F7E55">
        <w:rPr>
          <w:rStyle w:val="FootnoteReference"/>
        </w:rPr>
        <w:footnoteRef/>
      </w:r>
      <w:r w:rsidRPr="003F7E55">
        <w:t xml:space="preserve"> </w:t>
      </w:r>
      <w:r w:rsidRPr="003F7E55">
        <w:tab/>
      </w:r>
      <w:r w:rsidRPr="00362B9A">
        <w:rPr>
          <w:sz w:val="18"/>
          <w:szCs w:val="18"/>
        </w:rPr>
        <w:t>The main driver of the amount of gas scheduled on a gas day is the ‘price-taker’ bid, which is forecast hub demand that cannot respond to price and which must be delivered, regardless of the price.</w:t>
      </w:r>
    </w:p>
  </w:footnote>
  <w:footnote w:id="7">
    <w:p w:rsidR="0091453B" w:rsidRDefault="0091453B" w:rsidP="00586C57">
      <w:pPr>
        <w:pStyle w:val="AERbodytext"/>
        <w:spacing w:before="0" w:line="240" w:lineRule="auto"/>
        <w:ind w:left="340" w:hanging="340"/>
        <w:jc w:val="both"/>
      </w:pPr>
      <w:r w:rsidRPr="002E7E9E">
        <w:rPr>
          <w:rStyle w:val="FootnoteReference"/>
          <w:sz w:val="20"/>
        </w:rPr>
        <w:footnoteRef/>
      </w:r>
      <w:r w:rsidRPr="002E7E9E">
        <w:rPr>
          <w:sz w:val="20"/>
          <w:szCs w:val="20"/>
        </w:rPr>
        <w:t xml:space="preserve"> </w:t>
      </w:r>
      <w:r>
        <w:rPr>
          <w:sz w:val="20"/>
          <w:szCs w:val="20"/>
        </w:rPr>
        <w:tab/>
      </w:r>
      <w:r w:rsidRPr="002E7E9E">
        <w:rPr>
          <w:sz w:val="18"/>
          <w:szCs w:val="18"/>
        </w:rPr>
        <w:t>MOS service payments involve a payment for a MOS increase service when the actual quantity delivered exceeds final gas nominations for delivery to a hub, and a payment for a MOS decrease service when the actual quantity delivered is less than final nominations. As well as a MOS ‘service’ payment, as shown in figure 2.4, MOS providers are paid for or pay for the quantity of MOS sold into the market or bought from the market (MOS ‘commodity’ payments/charges).</w:t>
      </w:r>
    </w:p>
  </w:footnote>
  <w:footnote w:id="8">
    <w:p w:rsidR="0091453B" w:rsidRPr="002E7E9E" w:rsidRDefault="0091453B" w:rsidP="004560B0">
      <w:pPr>
        <w:pStyle w:val="FootnoteText"/>
        <w:spacing w:before="0" w:after="0"/>
        <w:rPr>
          <w:sz w:val="18"/>
          <w:szCs w:val="18"/>
        </w:rPr>
      </w:pPr>
      <w:r>
        <w:rPr>
          <w:rStyle w:val="FootnoteReference"/>
        </w:rPr>
        <w:footnoteRef/>
      </w:r>
      <w:r>
        <w:t xml:space="preserve"> </w:t>
      </w:r>
      <w:r>
        <w:tab/>
      </w:r>
      <w:r w:rsidRPr="002E7E9E">
        <w:rPr>
          <w:sz w:val="18"/>
          <w:szCs w:val="18"/>
        </w:rPr>
        <w:t xml:space="preserve">Gas </w:t>
      </w:r>
      <w:r w:rsidR="004E20BF">
        <w:rPr>
          <w:sz w:val="18"/>
          <w:szCs w:val="18"/>
        </w:rPr>
        <w:t>f</w:t>
      </w:r>
      <w:r w:rsidRPr="002E7E9E">
        <w:rPr>
          <w:sz w:val="18"/>
          <w:szCs w:val="18"/>
        </w:rPr>
        <w:t>lows</w:t>
      </w:r>
      <w:r w:rsidR="004E20BF">
        <w:rPr>
          <w:sz w:val="18"/>
          <w:szCs w:val="18"/>
        </w:rPr>
        <w:t xml:space="preserve"> shown under regional headings</w:t>
      </w:r>
      <w:r w:rsidRPr="002E7E9E">
        <w:rPr>
          <w:sz w:val="18"/>
          <w:szCs w:val="18"/>
        </w:rPr>
        <w:t xml:space="preserve">:  </w:t>
      </w:r>
      <w:r w:rsidRPr="002E7E9E">
        <w:rPr>
          <w:b/>
          <w:sz w:val="18"/>
          <w:szCs w:val="18"/>
        </w:rPr>
        <w:t>SA</w:t>
      </w:r>
      <w:r w:rsidRPr="002E7E9E">
        <w:rPr>
          <w:sz w:val="18"/>
          <w:szCs w:val="18"/>
        </w:rPr>
        <w:t xml:space="preserve"> = MAP + SEAGAS, </w:t>
      </w:r>
      <w:r w:rsidRPr="002E7E9E">
        <w:rPr>
          <w:b/>
          <w:sz w:val="18"/>
          <w:szCs w:val="18"/>
        </w:rPr>
        <w:t>VIC</w:t>
      </w:r>
      <w:r w:rsidRPr="002E7E9E">
        <w:rPr>
          <w:sz w:val="18"/>
          <w:szCs w:val="18"/>
        </w:rPr>
        <w:t xml:space="preserve"> = SWP + LMP – negative(NSW-VIC), </w:t>
      </w:r>
    </w:p>
    <w:p w:rsidR="0091453B" w:rsidRDefault="0091453B" w:rsidP="004560B0">
      <w:pPr>
        <w:pStyle w:val="FootnoteText"/>
        <w:spacing w:before="0" w:after="0"/>
        <w:ind w:firstLine="0"/>
        <w:rPr>
          <w:sz w:val="18"/>
          <w:szCs w:val="18"/>
        </w:rPr>
      </w:pPr>
      <w:r w:rsidRPr="002E7E9E">
        <w:rPr>
          <w:b/>
          <w:sz w:val="18"/>
          <w:szCs w:val="18"/>
        </w:rPr>
        <w:t>NSW/ACT</w:t>
      </w:r>
      <w:r w:rsidRPr="002E7E9E">
        <w:rPr>
          <w:sz w:val="18"/>
          <w:szCs w:val="18"/>
        </w:rPr>
        <w:t xml:space="preserve"> = EGP + MSP, </w:t>
      </w:r>
      <w:r w:rsidRPr="002E7E9E">
        <w:rPr>
          <w:b/>
          <w:sz w:val="18"/>
          <w:szCs w:val="18"/>
        </w:rPr>
        <w:t>TAS</w:t>
      </w:r>
      <w:r w:rsidRPr="002E7E9E">
        <w:rPr>
          <w:sz w:val="18"/>
          <w:szCs w:val="18"/>
        </w:rPr>
        <w:t xml:space="preserve"> = TGP, </w:t>
      </w:r>
      <w:r w:rsidRPr="002E7E9E">
        <w:rPr>
          <w:b/>
          <w:sz w:val="18"/>
          <w:szCs w:val="18"/>
        </w:rPr>
        <w:t>QLD (Brisbane)</w:t>
      </w:r>
      <w:r w:rsidRPr="002E7E9E">
        <w:rPr>
          <w:sz w:val="18"/>
          <w:szCs w:val="18"/>
        </w:rPr>
        <w:t xml:space="preserve"> = RBP, </w:t>
      </w:r>
      <w:r w:rsidRPr="002E7E9E">
        <w:rPr>
          <w:b/>
          <w:sz w:val="18"/>
          <w:szCs w:val="18"/>
        </w:rPr>
        <w:t>QLD (Mt Isa)</w:t>
      </w:r>
      <w:r w:rsidRPr="002E7E9E">
        <w:rPr>
          <w:sz w:val="18"/>
          <w:szCs w:val="18"/>
        </w:rPr>
        <w:t xml:space="preserve"> = CGP, </w:t>
      </w:r>
      <w:r w:rsidRPr="002E7E9E">
        <w:rPr>
          <w:b/>
          <w:sz w:val="18"/>
          <w:szCs w:val="18"/>
        </w:rPr>
        <w:t>QLD (Gladstone)</w:t>
      </w:r>
      <w:r w:rsidRPr="002E7E9E">
        <w:rPr>
          <w:sz w:val="18"/>
          <w:szCs w:val="18"/>
        </w:rPr>
        <w:t xml:space="preserve"> = QGP</w:t>
      </w:r>
    </w:p>
    <w:p w:rsidR="0091453B" w:rsidRDefault="0091453B" w:rsidP="004560B0">
      <w:pPr>
        <w:pStyle w:val="FootnoteText"/>
        <w:spacing w:before="0" w:after="0"/>
        <w:ind w:firstLine="0"/>
        <w:rPr>
          <w:sz w:val="18"/>
          <w:szCs w:val="18"/>
        </w:rPr>
      </w:pPr>
      <w:r w:rsidRPr="002E7E9E">
        <w:rPr>
          <w:sz w:val="18"/>
          <w:szCs w:val="18"/>
        </w:rPr>
        <w:t xml:space="preserve">GPG volumes </w:t>
      </w:r>
      <w:r>
        <w:rPr>
          <w:sz w:val="18"/>
          <w:szCs w:val="18"/>
        </w:rPr>
        <w:t xml:space="preserve">may </w:t>
      </w:r>
      <w:r w:rsidRPr="002E7E9E">
        <w:rPr>
          <w:sz w:val="18"/>
          <w:szCs w:val="18"/>
        </w:rPr>
        <w:t xml:space="preserve">include gas usage that </w:t>
      </w:r>
      <w:r>
        <w:rPr>
          <w:sz w:val="18"/>
          <w:szCs w:val="18"/>
        </w:rPr>
        <w:t>does</w:t>
      </w:r>
      <w:r w:rsidRPr="002E7E9E">
        <w:rPr>
          <w:sz w:val="18"/>
          <w:szCs w:val="18"/>
        </w:rPr>
        <w:t xml:space="preserve"> not show up on Bulletin Board pipeline flows.</w:t>
      </w:r>
    </w:p>
    <w:p w:rsidR="002B1803" w:rsidRPr="002E7E9E" w:rsidRDefault="002B1803" w:rsidP="004560B0">
      <w:pPr>
        <w:pStyle w:val="FootnoteText"/>
        <w:spacing w:before="0" w:after="0"/>
        <w:ind w:firstLine="0"/>
        <w:rPr>
          <w:sz w:val="18"/>
          <w:szCs w:val="18"/>
        </w:rPr>
      </w:pPr>
      <w:r>
        <w:rPr>
          <w:sz w:val="18"/>
          <w:szCs w:val="18"/>
        </w:rPr>
        <w:t>Roma included export LNG production from October 2014 and LNG pipeline flows are shown from October 2015.</w:t>
      </w:r>
    </w:p>
  </w:footnote>
  <w:footnote w:id="9">
    <w:p w:rsidR="0091453B" w:rsidRDefault="0091453B" w:rsidP="004560B0">
      <w:pPr>
        <w:pStyle w:val="FootnoteText"/>
        <w:spacing w:before="0" w:after="0"/>
      </w:pPr>
      <w:r>
        <w:rPr>
          <w:rStyle w:val="FootnoteReference"/>
        </w:rPr>
        <w:footnoteRef/>
      </w:r>
      <w:r>
        <w:t xml:space="preserve"> </w:t>
      </w:r>
      <w:r>
        <w:tab/>
      </w:r>
      <w:r w:rsidRPr="00651341">
        <w:rPr>
          <w:sz w:val="18"/>
        </w:rPr>
        <w:t>Wallumbilla supply is the average daily volume of gas ‘traded’, while price is a volume weighted average.</w:t>
      </w:r>
    </w:p>
  </w:footnote>
  <w:footnote w:id="10">
    <w:p w:rsidR="0091453B" w:rsidRPr="009E74E3" w:rsidRDefault="0091453B" w:rsidP="00E37A86">
      <w:pPr>
        <w:pStyle w:val="FootnoteText"/>
        <w:spacing w:before="0" w:after="0"/>
        <w:ind w:left="284" w:hanging="284"/>
        <w:jc w:val="both"/>
        <w:rPr>
          <w:sz w:val="18"/>
          <w:szCs w:val="18"/>
        </w:rPr>
      </w:pPr>
      <w:r>
        <w:rPr>
          <w:rStyle w:val="FootnoteReference"/>
        </w:rPr>
        <w:footnoteRef/>
      </w:r>
      <w:r>
        <w:t xml:space="preserve"> </w:t>
      </w:r>
      <w:r>
        <w:tab/>
      </w:r>
      <w:r w:rsidRPr="009E74E3">
        <w:rPr>
          <w:sz w:val="18"/>
          <w:szCs w:val="18"/>
        </w:rPr>
        <w:t>Market trade is facilitated through an electronic trading platform, with standardised terms and conditions and a market settlement facility for the short-term trading of physical gas and related products. The market is designed to complement existing bilateral gas supply arrangements and gas transportation agreements, through the placement of anonymous offers (to sell) or bids (to buy) at specified quantity and price increments, which are automatically matched on the exchange to form transactions.</w:t>
      </w:r>
    </w:p>
  </w:footnote>
  <w:footnote w:id="11">
    <w:p w:rsidR="0091453B" w:rsidRPr="007300C3" w:rsidRDefault="0091453B" w:rsidP="00DE5B7B">
      <w:pPr>
        <w:pStyle w:val="FootnoteText"/>
        <w:spacing w:before="0" w:after="0"/>
        <w:ind w:left="284" w:hanging="284"/>
        <w:jc w:val="both"/>
        <w:rPr>
          <w:sz w:val="18"/>
          <w:szCs w:val="18"/>
        </w:rPr>
      </w:pPr>
      <w:r>
        <w:rPr>
          <w:rStyle w:val="FootnoteReference"/>
        </w:rPr>
        <w:footnoteRef/>
      </w:r>
      <w:r>
        <w:t xml:space="preserve"> </w:t>
      </w:r>
      <w:r>
        <w:tab/>
      </w:r>
      <w:r w:rsidRPr="007300C3">
        <w:rPr>
          <w:sz w:val="18"/>
          <w:szCs w:val="18"/>
        </w:rPr>
        <w:t xml:space="preserve">Volumes shown for weekly products include the </w:t>
      </w:r>
      <w:r>
        <w:rPr>
          <w:sz w:val="18"/>
          <w:szCs w:val="18"/>
        </w:rPr>
        <w:t>‘daily’ volume for each relevant ‘gas day’, and the ‘weekly’ volume for each relevant ‘trading day’.</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47E6E"/>
    <w:multiLevelType w:val="multilevel"/>
    <w:tmpl w:val="4BAC67F8"/>
    <w:lvl w:ilvl="0">
      <w:start w:val="1"/>
      <w:numFmt w:val="upperLetter"/>
      <w:pStyle w:val="AERappendixheading1"/>
      <w:lvlText w:val="%1"/>
      <w:lvlJc w:val="left"/>
      <w:pPr>
        <w:tabs>
          <w:tab w:val="num" w:pos="851"/>
        </w:tabs>
        <w:ind w:left="851" w:hanging="851"/>
      </w:pPr>
      <w:rPr>
        <w:rFonts w:hint="default"/>
      </w:rPr>
    </w:lvl>
    <w:lvl w:ilvl="1">
      <w:start w:val="1"/>
      <w:numFmt w:val="decimal"/>
      <w:pStyle w:val="AERappendixheading2"/>
      <w:lvlText w:val="%1.%2"/>
      <w:lvlJc w:val="left"/>
      <w:pPr>
        <w:tabs>
          <w:tab w:val="num" w:pos="851"/>
        </w:tabs>
        <w:ind w:left="851" w:hanging="851"/>
      </w:pPr>
      <w:rPr>
        <w:rFonts w:hint="default"/>
      </w:rPr>
    </w:lvl>
    <w:lvl w:ilvl="2">
      <w:start w:val="1"/>
      <w:numFmt w:val="decimal"/>
      <w:pStyle w:val="AERappendixheading3"/>
      <w:lvlText w:val="%1.%2.%3"/>
      <w:lvlJc w:val="left"/>
      <w:pPr>
        <w:tabs>
          <w:tab w:val="num" w:pos="851"/>
        </w:tabs>
        <w:ind w:left="851" w:hanging="851"/>
      </w:pPr>
      <w:rPr>
        <w:rFonts w:hint="default"/>
      </w:rPr>
    </w:lvl>
    <w:lvl w:ilvl="3">
      <w:start w:val="1"/>
      <w:numFmt w:val="decimal"/>
      <w:pStyle w:val="AERappendixheading4"/>
      <w:lvlText w:val="%1.%2.%3.%4"/>
      <w:lvlJc w:val="left"/>
      <w:pPr>
        <w:tabs>
          <w:tab w:val="num" w:pos="851"/>
        </w:tabs>
        <w:ind w:left="851" w:hanging="851"/>
      </w:pPr>
      <w:rPr>
        <w:rFonts w:hint="default"/>
      </w:rPr>
    </w:lvl>
    <w:lvl w:ilvl="4">
      <w:start w:val="1"/>
      <w:numFmt w:val="decimal"/>
      <w:lvlRestart w:val="1"/>
      <w:lvlText w:val="Table %1.%5"/>
      <w:lvlJc w:val="left"/>
      <w:pPr>
        <w:tabs>
          <w:tab w:val="num" w:pos="1361"/>
        </w:tabs>
        <w:ind w:left="1361" w:hanging="1361"/>
      </w:pPr>
      <w:rPr>
        <w:rFonts w:hint="default"/>
      </w:rPr>
    </w:lvl>
    <w:lvl w:ilvl="5">
      <w:start w:val="1"/>
      <w:numFmt w:val="decimal"/>
      <w:lvlRestart w:val="1"/>
      <w:pStyle w:val="AERappendixfigureheading"/>
      <w:lvlText w:val="Figure %1.%6"/>
      <w:lvlJc w:val="left"/>
      <w:pPr>
        <w:tabs>
          <w:tab w:val="num" w:pos="1361"/>
        </w:tabs>
        <w:ind w:left="1361" w:hanging="1361"/>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nsid w:val="0BDD4AC5"/>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1A3A6266"/>
    <w:multiLevelType w:val="multilevel"/>
    <w:tmpl w:val="A93864D8"/>
    <w:lvl w:ilvl="0">
      <w:start w:val="1"/>
      <w:numFmt w:val="bullet"/>
      <w:pStyle w:val="AERbulletlistsecondstyle"/>
      <w:lvlText w:val=""/>
      <w:lvlJc w:val="left"/>
      <w:pPr>
        <w:tabs>
          <w:tab w:val="num" w:pos="714"/>
        </w:tabs>
        <w:ind w:left="714" w:hanging="357"/>
      </w:pPr>
      <w:rPr>
        <w:rFonts w:ascii="Wingdings" w:hAnsi="Wingdings" w:hint="default"/>
        <w:sz w:val="24"/>
      </w:rPr>
    </w:lvl>
    <w:lvl w:ilvl="1">
      <w:start w:val="1"/>
      <w:numFmt w:val="bullet"/>
      <w:lvlText w:val=""/>
      <w:lvlJc w:val="left"/>
      <w:pPr>
        <w:tabs>
          <w:tab w:val="num" w:pos="1080"/>
        </w:tabs>
        <w:ind w:left="1080"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sz w:val="20"/>
        <w:szCs w:val="20"/>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3">
    <w:nsid w:val="21AD2891"/>
    <w:multiLevelType w:val="multilevel"/>
    <w:tmpl w:val="427C2556"/>
    <w:lvl w:ilvl="0">
      <w:start w:val="1"/>
      <w:numFmt w:val="none"/>
      <w:pStyle w:val="Heading1"/>
      <w:lvlText w:val="%1"/>
      <w:lvlJc w:val="left"/>
      <w:pPr>
        <w:ind w:left="0" w:firstLine="0"/>
      </w:pPr>
      <w:rPr>
        <w:rFonts w:ascii="Arial Bold" w:hAnsi="Arial Bold" w:hint="default"/>
        <w:b/>
        <w:i w:val="0"/>
        <w:color w:val="2272A3"/>
        <w:sz w:val="32"/>
      </w:rPr>
    </w:lvl>
    <w:lvl w:ilvl="1">
      <w:start w:val="1"/>
      <w:numFmt w:val="decimal"/>
      <w:pStyle w:val="Heading2"/>
      <w:lvlText w:val="Figure %2:"/>
      <w:lvlJc w:val="left"/>
      <w:pPr>
        <w:ind w:left="0" w:firstLine="360"/>
      </w:pPr>
      <w:rPr>
        <w:rFonts w:ascii="Arial Bold" w:hAnsi="Arial Bold" w:hint="default"/>
        <w:b/>
        <w:i w:val="0"/>
        <w:color w:val="2272A3"/>
        <w:sz w:val="24"/>
      </w:rPr>
    </w:lvl>
    <w:lvl w:ilvl="2">
      <w:start w:val="1"/>
      <w:numFmt w:val="decimal"/>
      <w:pStyle w:val="Heading3"/>
      <w:lvlText w:val="%3."/>
      <w:lvlJc w:val="left"/>
      <w:pPr>
        <w:ind w:left="0" w:firstLine="720"/>
      </w:pPr>
      <w:rPr>
        <w:rFonts w:ascii="Arial Bold" w:hAnsi="Arial Bold" w:hint="default"/>
        <w:b/>
        <w:i w:val="0"/>
        <w:color w:val="2272A3"/>
        <w:sz w:val="32"/>
      </w:rPr>
    </w:lvl>
    <w:lvl w:ilvl="3">
      <w:start w:val="1"/>
      <w:numFmt w:val="decimal"/>
      <w:pStyle w:val="Heading4"/>
      <w:lvlText w:val="Figure %3.%4:"/>
      <w:lvlJc w:val="left"/>
      <w:pPr>
        <w:ind w:left="338" w:firstLine="1080"/>
      </w:pPr>
      <w:rPr>
        <w:rFonts w:ascii="Arial Bold" w:hAnsi="Arial Bold" w:hint="default"/>
        <w:b/>
        <w:i w:val="0"/>
        <w:color w:val="2272A3"/>
        <w:sz w:val="24"/>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22B401B7"/>
    <w:multiLevelType w:val="hybridMultilevel"/>
    <w:tmpl w:val="ABCA068E"/>
    <w:lvl w:ilvl="0" w:tplc="BE58AF30">
      <w:start w:val="1"/>
      <w:numFmt w:val="decimal"/>
      <w:pStyle w:val="AERNumberedheading1nonewpage"/>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2B127A5F"/>
    <w:multiLevelType w:val="multilevel"/>
    <w:tmpl w:val="C7BE72A6"/>
    <w:lvl w:ilvl="0">
      <w:start w:val="1"/>
      <w:numFmt w:val="lowerRoman"/>
      <w:pStyle w:val="AERnumberedlistthirdstyle"/>
      <w:lvlText w:val="%1."/>
      <w:lvlJc w:val="left"/>
      <w:pPr>
        <w:tabs>
          <w:tab w:val="num" w:pos="1440"/>
        </w:tabs>
        <w:ind w:left="1440" w:hanging="360"/>
      </w:pPr>
      <w:rPr>
        <w:rFonts w:hint="default"/>
      </w:rPr>
    </w:lvl>
    <w:lvl w:ilvl="1">
      <w:start w:val="1"/>
      <w:numFmt w:val="lowerLetter"/>
      <w:lvlText w:val="%2)"/>
      <w:lvlJc w:val="left"/>
      <w:pPr>
        <w:tabs>
          <w:tab w:val="num" w:pos="1800"/>
        </w:tabs>
        <w:ind w:left="1800" w:hanging="360"/>
      </w:pPr>
      <w:rPr>
        <w:rFonts w:hint="default"/>
      </w:rPr>
    </w:lvl>
    <w:lvl w:ilvl="2">
      <w:start w:val="1"/>
      <w:numFmt w:val="lowerRoman"/>
      <w:lvlText w:val="%3)"/>
      <w:lvlJc w:val="left"/>
      <w:pPr>
        <w:tabs>
          <w:tab w:val="num" w:pos="2160"/>
        </w:tabs>
        <w:ind w:left="2160" w:hanging="36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2880"/>
        </w:tabs>
        <w:ind w:left="2880" w:hanging="360"/>
      </w:pPr>
      <w:rPr>
        <w:rFonts w:hint="default"/>
      </w:rPr>
    </w:lvl>
    <w:lvl w:ilvl="5">
      <w:start w:val="1"/>
      <w:numFmt w:val="lowerRoman"/>
      <w:lvlText w:val="(%6)"/>
      <w:lvlJc w:val="left"/>
      <w:pPr>
        <w:tabs>
          <w:tab w:val="num" w:pos="3240"/>
        </w:tabs>
        <w:ind w:left="3240" w:hanging="360"/>
      </w:pPr>
      <w:rPr>
        <w:rFonts w:hint="default"/>
      </w:rPr>
    </w:lvl>
    <w:lvl w:ilvl="6">
      <w:start w:val="1"/>
      <w:numFmt w:val="decimal"/>
      <w:lvlText w:val="%7."/>
      <w:lvlJc w:val="left"/>
      <w:pPr>
        <w:tabs>
          <w:tab w:val="num" w:pos="3600"/>
        </w:tabs>
        <w:ind w:left="3600" w:hanging="360"/>
      </w:pPr>
      <w:rPr>
        <w:rFonts w:hint="default"/>
      </w:rPr>
    </w:lvl>
    <w:lvl w:ilvl="7">
      <w:start w:val="1"/>
      <w:numFmt w:val="lowerLetter"/>
      <w:lvlText w:val="%8."/>
      <w:lvlJc w:val="left"/>
      <w:pPr>
        <w:tabs>
          <w:tab w:val="num" w:pos="3960"/>
        </w:tabs>
        <w:ind w:left="3960" w:hanging="360"/>
      </w:pPr>
      <w:rPr>
        <w:rFonts w:hint="default"/>
      </w:rPr>
    </w:lvl>
    <w:lvl w:ilvl="8">
      <w:start w:val="1"/>
      <w:numFmt w:val="lowerRoman"/>
      <w:lvlText w:val="%9."/>
      <w:lvlJc w:val="left"/>
      <w:pPr>
        <w:tabs>
          <w:tab w:val="num" w:pos="4320"/>
        </w:tabs>
        <w:ind w:left="4320" w:hanging="360"/>
      </w:pPr>
      <w:rPr>
        <w:rFonts w:hint="default"/>
      </w:rPr>
    </w:lvl>
  </w:abstractNum>
  <w:abstractNum w:abstractNumId="6">
    <w:nsid w:val="2B4A6D4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nsid w:val="301B31FF"/>
    <w:multiLevelType w:val="multilevel"/>
    <w:tmpl w:val="228CA4AE"/>
    <w:lvl w:ilvl="0">
      <w:start w:val="1"/>
      <w:numFmt w:val="lowerLetter"/>
      <w:pStyle w:val="AERnumberedlistsecondstyle"/>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8">
    <w:nsid w:val="313919EB"/>
    <w:multiLevelType w:val="multilevel"/>
    <w:tmpl w:val="3D1013E2"/>
    <w:lvl w:ilvl="0">
      <w:start w:val="1"/>
      <w:numFmt w:val="decimal"/>
      <w:lvlText w:val="Figure %1:"/>
      <w:lvlJc w:val="left"/>
      <w:pPr>
        <w:tabs>
          <w:tab w:val="num" w:pos="0"/>
        </w:tabs>
        <w:ind w:left="1134" w:hanging="1134"/>
      </w:pPr>
      <w:rPr>
        <w:rFonts w:hint="default"/>
      </w:rPr>
    </w:lvl>
    <w:lvl w:ilvl="1">
      <w:start w:val="2"/>
      <w:numFmt w:val="decimal"/>
      <w:lvlRestart w:val="0"/>
      <w:pStyle w:val="FigHeadingN"/>
      <w:lvlText w:val="Figure N%2:"/>
      <w:lvlJc w:val="left"/>
      <w:pPr>
        <w:tabs>
          <w:tab w:val="num" w:pos="0"/>
        </w:tabs>
        <w:ind w:left="1134" w:hanging="1134"/>
      </w:pPr>
      <w:rPr>
        <w:rFonts w:hint="default"/>
      </w:rPr>
    </w:lvl>
    <w:lvl w:ilvl="2">
      <w:start w:val="1"/>
      <w:numFmt w:val="decimal"/>
      <w:lvlRestart w:val="0"/>
      <w:pStyle w:val="FigHeadingV"/>
      <w:lvlText w:val="Figure V%3:"/>
      <w:lvlJc w:val="left"/>
      <w:pPr>
        <w:tabs>
          <w:tab w:val="num" w:pos="0"/>
        </w:tabs>
        <w:ind w:left="1134" w:hanging="1134"/>
      </w:pPr>
      <w:rPr>
        <w:rFonts w:hint="default"/>
      </w:rPr>
    </w:lvl>
    <w:lvl w:ilvl="3">
      <w:start w:val="1"/>
      <w:numFmt w:val="decimal"/>
      <w:lvlRestart w:val="0"/>
      <w:lvlText w:val="Figure S%4:"/>
      <w:lvlJc w:val="left"/>
      <w:pPr>
        <w:tabs>
          <w:tab w:val="num" w:pos="0"/>
        </w:tabs>
        <w:ind w:left="1134" w:hanging="1134"/>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lvlText w:val="Figure A%5:"/>
      <w:lvlJc w:val="left"/>
      <w:pPr>
        <w:tabs>
          <w:tab w:val="num" w:pos="0"/>
        </w:tabs>
        <w:ind w:left="1134" w:hanging="1134"/>
      </w:pPr>
      <w:rPr>
        <w:rFonts w:hint="default"/>
      </w:rPr>
    </w:lvl>
    <w:lvl w:ilvl="5">
      <w:start w:val="1"/>
      <w:numFmt w:val="decimal"/>
      <w:lvlRestart w:val="0"/>
      <w:lvlText w:val="Figure A%6:"/>
      <w:lvlJc w:val="left"/>
      <w:pPr>
        <w:tabs>
          <w:tab w:val="num" w:pos="1134"/>
        </w:tabs>
        <w:ind w:left="1134" w:hanging="1134"/>
      </w:pPr>
      <w:rPr>
        <w:rFonts w:hint="default"/>
      </w:rPr>
    </w:lvl>
    <w:lvl w:ilvl="6">
      <w:start w:val="1"/>
      <w:numFmt w:val="decimal"/>
      <w:lvlRestart w:val="0"/>
      <w:lvlText w:val="Table %7"/>
      <w:lvlJc w:val="left"/>
      <w:pPr>
        <w:tabs>
          <w:tab w:val="num" w:pos="1361"/>
        </w:tabs>
        <w:ind w:left="1361" w:hanging="1361"/>
      </w:pPr>
      <w:rPr>
        <w:rFonts w:hint="default"/>
      </w:rPr>
    </w:lvl>
    <w:lvl w:ilvl="7">
      <w:start w:val="1"/>
      <w:numFmt w:val="decimal"/>
      <w:lvlRestart w:val="0"/>
      <w:lvlText w:val="Figure %8"/>
      <w:lvlJc w:val="left"/>
      <w:pPr>
        <w:tabs>
          <w:tab w:val="num" w:pos="1361"/>
        </w:tabs>
        <w:ind w:left="1361" w:hanging="1361"/>
      </w:pPr>
      <w:rPr>
        <w:rFonts w:hint="default"/>
      </w:rPr>
    </w:lvl>
    <w:lvl w:ilvl="8">
      <w:start w:val="1"/>
      <w:numFmt w:val="none"/>
      <w:lvlText w:val=""/>
      <w:lvlJc w:val="right"/>
      <w:pPr>
        <w:tabs>
          <w:tab w:val="num" w:pos="1584"/>
        </w:tabs>
        <w:ind w:left="1584" w:hanging="144"/>
      </w:pPr>
      <w:rPr>
        <w:rFonts w:hint="default"/>
      </w:rPr>
    </w:lvl>
  </w:abstractNum>
  <w:abstractNum w:abstractNumId="9">
    <w:nsid w:val="3BA8635F"/>
    <w:multiLevelType w:val="hybridMultilevel"/>
    <w:tmpl w:val="A3B4D3C6"/>
    <w:lvl w:ilvl="0" w:tplc="45E48EE6">
      <w:start w:val="1"/>
      <w:numFmt w:val="bullet"/>
      <w:lvlText w:val=""/>
      <w:lvlJc w:val="left"/>
      <w:pPr>
        <w:tabs>
          <w:tab w:val="num" w:pos="1588"/>
        </w:tabs>
        <w:ind w:left="1588" w:hanging="1588"/>
      </w:pPr>
      <w:rPr>
        <w:rFonts w:ascii="Wingdings" w:hAnsi="Wingdings" w:hint="default"/>
        <w:color w:val="auto"/>
        <w:sz w:val="16"/>
        <w:szCs w:val="28"/>
      </w:rPr>
    </w:lvl>
    <w:lvl w:ilvl="1" w:tplc="FC2E1422">
      <w:start w:val="1"/>
      <w:numFmt w:val="bullet"/>
      <w:pStyle w:val="AERquotebullet1"/>
      <w:lvlText w:val=""/>
      <w:lvlJc w:val="left"/>
      <w:pPr>
        <w:tabs>
          <w:tab w:val="num" w:pos="1378"/>
        </w:tabs>
        <w:ind w:left="1378" w:hanging="357"/>
      </w:pPr>
      <w:rPr>
        <w:rFonts w:ascii="Wingdings" w:hAnsi="Wingdings" w:hint="default"/>
        <w:color w:val="auto"/>
        <w:sz w:val="16"/>
        <w:szCs w:val="28"/>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nsid w:val="44385E0E"/>
    <w:multiLevelType w:val="multilevel"/>
    <w:tmpl w:val="5074CBC8"/>
    <w:lvl w:ilvl="0">
      <w:start w:val="1"/>
      <w:numFmt w:val="decimal"/>
      <w:pStyle w:val="FigHeading"/>
      <w:lvlText w:val="Figure %1:"/>
      <w:lvlJc w:val="left"/>
      <w:pPr>
        <w:tabs>
          <w:tab w:val="num" w:pos="0"/>
        </w:tabs>
        <w:ind w:left="1134" w:hanging="1134"/>
      </w:pPr>
      <w:rPr>
        <w:rFonts w:hint="default"/>
      </w:rPr>
    </w:lvl>
    <w:lvl w:ilvl="1">
      <w:start w:val="2"/>
      <w:numFmt w:val="decimal"/>
      <w:lvlRestart w:val="0"/>
      <w:lvlText w:val="Figure N%2:"/>
      <w:lvlJc w:val="left"/>
      <w:pPr>
        <w:tabs>
          <w:tab w:val="num" w:pos="0"/>
        </w:tabs>
        <w:ind w:left="1134" w:hanging="1134"/>
      </w:pPr>
      <w:rPr>
        <w:rFonts w:hint="default"/>
      </w:rPr>
    </w:lvl>
    <w:lvl w:ilvl="2">
      <w:start w:val="1"/>
      <w:numFmt w:val="decimal"/>
      <w:lvlRestart w:val="0"/>
      <w:lvlText w:val="Figure V%3:"/>
      <w:lvlJc w:val="left"/>
      <w:pPr>
        <w:tabs>
          <w:tab w:val="num" w:pos="0"/>
        </w:tabs>
        <w:ind w:left="1134" w:hanging="1134"/>
      </w:pPr>
      <w:rPr>
        <w:rFonts w:hint="default"/>
      </w:rPr>
    </w:lvl>
    <w:lvl w:ilvl="3">
      <w:start w:val="1"/>
      <w:numFmt w:val="decimal"/>
      <w:lvlRestart w:val="0"/>
      <w:pStyle w:val="FigHeadingS"/>
      <w:lvlText w:val="Figure S%4:"/>
      <w:lvlJc w:val="left"/>
      <w:pPr>
        <w:tabs>
          <w:tab w:val="num" w:pos="0"/>
        </w:tabs>
        <w:ind w:left="1134" w:hanging="1134"/>
      </w:pPr>
      <w:rPr>
        <w:rFonts w:hint="default"/>
        <w:bCs w:val="0"/>
        <w:i w:val="0"/>
        <w:iCs w:val="0"/>
        <w:caps w:val="0"/>
        <w:smallCaps w:val="0"/>
        <w:strike w:val="0"/>
        <w:dstrike w:val="0"/>
        <w:outline w:val="0"/>
        <w:shadow w:val="0"/>
        <w:emboss w:val="0"/>
        <w:imprint w:val="0"/>
        <w:vanish w:val="0"/>
        <w:spacing w:val="0"/>
        <w:kern w:val="0"/>
        <w:position w:val="0"/>
        <w:u w:val="none"/>
        <w:vertAlign w:val="baseline"/>
        <w:em w:val="none"/>
      </w:rPr>
    </w:lvl>
    <w:lvl w:ilvl="4">
      <w:start w:val="1"/>
      <w:numFmt w:val="decimal"/>
      <w:lvlRestart w:val="0"/>
      <w:lvlText w:val="Figure A%5:"/>
      <w:lvlJc w:val="left"/>
      <w:pPr>
        <w:tabs>
          <w:tab w:val="num" w:pos="0"/>
        </w:tabs>
        <w:ind w:left="1134" w:hanging="1134"/>
      </w:pPr>
      <w:rPr>
        <w:rFonts w:hint="default"/>
      </w:rPr>
    </w:lvl>
    <w:lvl w:ilvl="5">
      <w:start w:val="1"/>
      <w:numFmt w:val="decimal"/>
      <w:lvlRestart w:val="0"/>
      <w:pStyle w:val="FigheadingA"/>
      <w:lvlText w:val="Figure A%6:"/>
      <w:lvlJc w:val="left"/>
      <w:pPr>
        <w:tabs>
          <w:tab w:val="num" w:pos="5814"/>
        </w:tabs>
        <w:ind w:left="5814" w:hanging="1134"/>
      </w:pPr>
      <w:rPr>
        <w:rFonts w:hint="default"/>
      </w:rPr>
    </w:lvl>
    <w:lvl w:ilvl="6">
      <w:start w:val="1"/>
      <w:numFmt w:val="decimal"/>
      <w:lvlRestart w:val="0"/>
      <w:lvlText w:val="Table %7"/>
      <w:lvlJc w:val="left"/>
      <w:pPr>
        <w:tabs>
          <w:tab w:val="num" w:pos="1361"/>
        </w:tabs>
        <w:ind w:left="1361" w:hanging="1361"/>
      </w:pPr>
      <w:rPr>
        <w:rFonts w:hint="default"/>
      </w:rPr>
    </w:lvl>
    <w:lvl w:ilvl="7">
      <w:start w:val="1"/>
      <w:numFmt w:val="decimal"/>
      <w:lvlRestart w:val="0"/>
      <w:lvlText w:val="Figure %8"/>
      <w:lvlJc w:val="left"/>
      <w:pPr>
        <w:tabs>
          <w:tab w:val="num" w:pos="1361"/>
        </w:tabs>
        <w:ind w:left="1361" w:hanging="1361"/>
      </w:pPr>
      <w:rPr>
        <w:rFonts w:hint="default"/>
      </w:rPr>
    </w:lvl>
    <w:lvl w:ilvl="8">
      <w:start w:val="1"/>
      <w:numFmt w:val="none"/>
      <w:lvlText w:val=""/>
      <w:lvlJc w:val="right"/>
      <w:pPr>
        <w:tabs>
          <w:tab w:val="num" w:pos="1584"/>
        </w:tabs>
        <w:ind w:left="1584" w:hanging="144"/>
      </w:pPr>
      <w:rPr>
        <w:rFonts w:hint="default"/>
      </w:rPr>
    </w:lvl>
  </w:abstractNum>
  <w:abstractNum w:abstractNumId="11">
    <w:nsid w:val="443F74CB"/>
    <w:multiLevelType w:val="hybridMultilevel"/>
    <w:tmpl w:val="D5F80586"/>
    <w:lvl w:ilvl="0" w:tplc="95F8B2D2">
      <w:start w:val="1"/>
      <w:numFmt w:val="decimal"/>
      <w:pStyle w:val="AERnumberedlistfirststyle"/>
      <w:lvlText w:val="%1."/>
      <w:lvlJc w:val="left"/>
      <w:pPr>
        <w:tabs>
          <w:tab w:val="num" w:pos="357"/>
        </w:tabs>
        <w:ind w:left="357" w:hanging="357"/>
      </w:pPr>
      <w:rPr>
        <w:rFonts w:ascii="Times New Roman" w:hAnsi="Times New Roman" w:hint="default"/>
        <w:b w:val="0"/>
        <w:i w:val="0"/>
        <w:sz w:val="24"/>
      </w:rPr>
    </w:lvl>
    <w:lvl w:ilvl="1" w:tplc="ED80F18C" w:tentative="1">
      <w:start w:val="1"/>
      <w:numFmt w:val="lowerLetter"/>
      <w:lvlText w:val="%2."/>
      <w:lvlJc w:val="left"/>
      <w:pPr>
        <w:tabs>
          <w:tab w:val="num" w:pos="1440"/>
        </w:tabs>
        <w:ind w:left="1440" w:hanging="360"/>
      </w:pPr>
    </w:lvl>
    <w:lvl w:ilvl="2" w:tplc="204668FE" w:tentative="1">
      <w:start w:val="1"/>
      <w:numFmt w:val="lowerRoman"/>
      <w:lvlText w:val="%3."/>
      <w:lvlJc w:val="right"/>
      <w:pPr>
        <w:tabs>
          <w:tab w:val="num" w:pos="2160"/>
        </w:tabs>
        <w:ind w:left="2160" w:hanging="180"/>
      </w:pPr>
    </w:lvl>
    <w:lvl w:ilvl="3" w:tplc="447A85C8" w:tentative="1">
      <w:start w:val="1"/>
      <w:numFmt w:val="decimal"/>
      <w:lvlText w:val="%4."/>
      <w:lvlJc w:val="left"/>
      <w:pPr>
        <w:tabs>
          <w:tab w:val="num" w:pos="2880"/>
        </w:tabs>
        <w:ind w:left="2880" w:hanging="360"/>
      </w:pPr>
    </w:lvl>
    <w:lvl w:ilvl="4" w:tplc="C0949998">
      <w:start w:val="1"/>
      <w:numFmt w:val="lowerLetter"/>
      <w:lvlText w:val="%5."/>
      <w:lvlJc w:val="left"/>
      <w:pPr>
        <w:tabs>
          <w:tab w:val="num" w:pos="3600"/>
        </w:tabs>
        <w:ind w:left="3600" w:hanging="360"/>
      </w:pPr>
    </w:lvl>
    <w:lvl w:ilvl="5" w:tplc="CC56BE38">
      <w:start w:val="1"/>
      <w:numFmt w:val="lowerRoman"/>
      <w:lvlText w:val="%6."/>
      <w:lvlJc w:val="right"/>
      <w:pPr>
        <w:tabs>
          <w:tab w:val="num" w:pos="4320"/>
        </w:tabs>
        <w:ind w:left="4320" w:hanging="180"/>
      </w:pPr>
    </w:lvl>
    <w:lvl w:ilvl="6" w:tplc="0D306B9E" w:tentative="1">
      <w:start w:val="1"/>
      <w:numFmt w:val="decimal"/>
      <w:lvlText w:val="%7."/>
      <w:lvlJc w:val="left"/>
      <w:pPr>
        <w:tabs>
          <w:tab w:val="num" w:pos="5040"/>
        </w:tabs>
        <w:ind w:left="5040" w:hanging="360"/>
      </w:pPr>
    </w:lvl>
    <w:lvl w:ilvl="7" w:tplc="F5E62C96" w:tentative="1">
      <w:start w:val="1"/>
      <w:numFmt w:val="lowerLetter"/>
      <w:lvlText w:val="%8."/>
      <w:lvlJc w:val="left"/>
      <w:pPr>
        <w:tabs>
          <w:tab w:val="num" w:pos="5760"/>
        </w:tabs>
        <w:ind w:left="5760" w:hanging="360"/>
      </w:pPr>
    </w:lvl>
    <w:lvl w:ilvl="8" w:tplc="FF946138" w:tentative="1">
      <w:start w:val="1"/>
      <w:numFmt w:val="lowerRoman"/>
      <w:lvlText w:val="%9."/>
      <w:lvlJc w:val="right"/>
      <w:pPr>
        <w:tabs>
          <w:tab w:val="num" w:pos="6480"/>
        </w:tabs>
        <w:ind w:left="6480" w:hanging="180"/>
      </w:pPr>
    </w:lvl>
  </w:abstractNum>
  <w:abstractNum w:abstractNumId="12">
    <w:nsid w:val="50895FE3"/>
    <w:multiLevelType w:val="multilevel"/>
    <w:tmpl w:val="CFB0230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Restart w:val="1"/>
      <w:lvlText w:val="Table %1.%5"/>
      <w:lvlJc w:val="left"/>
      <w:pPr>
        <w:tabs>
          <w:tab w:val="num" w:pos="1361"/>
        </w:tabs>
        <w:ind w:left="1361" w:hanging="1361"/>
      </w:pPr>
      <w:rPr>
        <w:rFonts w:hint="default"/>
      </w:rPr>
    </w:lvl>
    <w:lvl w:ilvl="5">
      <w:start w:val="1"/>
      <w:numFmt w:val="decimal"/>
      <w:lvlRestart w:val="1"/>
      <w:lvlText w:val="Figure %1.%6:"/>
      <w:lvlJc w:val="left"/>
      <w:pPr>
        <w:tabs>
          <w:tab w:val="num" w:pos="1361"/>
        </w:tabs>
        <w:ind w:left="1134" w:hanging="1134"/>
      </w:pPr>
      <w:rPr>
        <w:rFonts w:ascii="Arial" w:hAnsi="Arial" w:cs="Arial" w:hint="default"/>
        <w:b/>
        <w:i w:val="0"/>
        <w:caps w:val="0"/>
        <w:strike w:val="0"/>
        <w:dstrike w:val="0"/>
        <w:shadow w:val="0"/>
        <w:emboss w:val="0"/>
        <w:imprint w:val="0"/>
        <w:vanish w:val="0"/>
        <w:sz w:val="22"/>
        <w:szCs w:val="22"/>
        <w:vertAlign w:val="baseline"/>
      </w:rPr>
    </w:lvl>
    <w:lvl w:ilvl="6">
      <w:start w:val="1"/>
      <w:numFmt w:val="lowerLetter"/>
      <w:lvlRestart w:val="0"/>
      <w:lvlText w:val="Figure 2.2 (%7)"/>
      <w:lvlJc w:val="left"/>
      <w:pPr>
        <w:tabs>
          <w:tab w:val="num" w:pos="1361"/>
        </w:tabs>
        <w:ind w:left="1361" w:hanging="1361"/>
      </w:pPr>
      <w:rPr>
        <w:rFonts w:hint="default"/>
      </w:rPr>
    </w:lvl>
    <w:lvl w:ilvl="7">
      <w:start w:val="1"/>
      <w:numFmt w:val="decimal"/>
      <w:lvlRestart w:val="0"/>
      <w:lvlText w:val="Figure %8:"/>
      <w:lvlJc w:val="left"/>
      <w:pPr>
        <w:tabs>
          <w:tab w:val="num" w:pos="1134"/>
        </w:tabs>
        <w:ind w:left="1361" w:hanging="1361"/>
      </w:pPr>
      <w:rPr>
        <w:rFonts w:ascii="Arial Bold" w:hAnsi="Arial Bold" w:hint="default"/>
        <w:b/>
        <w:i w:val="0"/>
        <w:caps w:val="0"/>
        <w:strike w:val="0"/>
        <w:dstrike w:val="0"/>
        <w:outline w:val="0"/>
        <w:shadow w:val="0"/>
        <w:emboss w:val="0"/>
        <w:imprint w:val="0"/>
        <w:vanish w:val="0"/>
        <w:sz w:val="22"/>
        <w:szCs w:val="22"/>
        <w:vertAlign w:val="baseline"/>
      </w:rPr>
    </w:lvl>
    <w:lvl w:ilvl="8">
      <w:start w:val="1"/>
      <w:numFmt w:val="none"/>
      <w:lvlText w:val=""/>
      <w:lvlJc w:val="right"/>
      <w:pPr>
        <w:tabs>
          <w:tab w:val="num" w:pos="1584"/>
        </w:tabs>
        <w:ind w:left="1584" w:hanging="144"/>
      </w:pPr>
      <w:rPr>
        <w:rFonts w:hint="default"/>
      </w:rPr>
    </w:lvl>
  </w:abstractNum>
  <w:abstractNum w:abstractNumId="13">
    <w:nsid w:val="5AE679F7"/>
    <w:multiLevelType w:val="hybridMultilevel"/>
    <w:tmpl w:val="7EB8E4DC"/>
    <w:lvl w:ilvl="0" w:tplc="83B2D3EC">
      <w:start w:val="1"/>
      <w:numFmt w:val="bullet"/>
      <w:pStyle w:val="AERBullet1"/>
      <w:lvlText w:val=""/>
      <w:lvlJc w:val="left"/>
      <w:pPr>
        <w:tabs>
          <w:tab w:val="num" w:pos="360"/>
        </w:tabs>
        <w:ind w:left="360" w:hanging="360"/>
      </w:pPr>
      <w:rPr>
        <w:rFonts w:ascii="Wingdings" w:hAnsi="Wingdings" w:hint="default"/>
        <w:sz w:val="28"/>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4">
    <w:nsid w:val="62BF0570"/>
    <w:multiLevelType w:val="hybridMultilevel"/>
    <w:tmpl w:val="2C38EE7E"/>
    <w:lvl w:ilvl="0" w:tplc="09AC5D42">
      <w:start w:val="1"/>
      <w:numFmt w:val="bullet"/>
      <w:pStyle w:val="AERbulletlistthirdstyle"/>
      <w:lvlText w:val=""/>
      <w:lvlJc w:val="left"/>
      <w:pPr>
        <w:tabs>
          <w:tab w:val="num" w:pos="870"/>
        </w:tabs>
        <w:ind w:left="870" w:hanging="360"/>
      </w:pPr>
      <w:rPr>
        <w:rFonts w:ascii="Wingdings" w:hAnsi="Wingdings" w:hint="default"/>
        <w:color w:val="auto"/>
        <w:sz w:val="16"/>
        <w:szCs w:val="16"/>
      </w:rPr>
    </w:lvl>
    <w:lvl w:ilvl="1" w:tplc="0C090003" w:tentative="1">
      <w:start w:val="1"/>
      <w:numFmt w:val="bullet"/>
      <w:lvlText w:val="o"/>
      <w:lvlJc w:val="left"/>
      <w:pPr>
        <w:tabs>
          <w:tab w:val="num" w:pos="1590"/>
        </w:tabs>
        <w:ind w:left="1590" w:hanging="360"/>
      </w:pPr>
      <w:rPr>
        <w:rFonts w:ascii="Courier New" w:hAnsi="Courier New" w:cs="Courier New" w:hint="default"/>
      </w:rPr>
    </w:lvl>
    <w:lvl w:ilvl="2" w:tplc="0C090005" w:tentative="1">
      <w:start w:val="1"/>
      <w:numFmt w:val="bullet"/>
      <w:lvlText w:val=""/>
      <w:lvlJc w:val="left"/>
      <w:pPr>
        <w:tabs>
          <w:tab w:val="num" w:pos="2310"/>
        </w:tabs>
        <w:ind w:left="2310" w:hanging="360"/>
      </w:pPr>
      <w:rPr>
        <w:rFonts w:ascii="Wingdings" w:hAnsi="Wingdings" w:hint="default"/>
      </w:rPr>
    </w:lvl>
    <w:lvl w:ilvl="3" w:tplc="0C090001" w:tentative="1">
      <w:start w:val="1"/>
      <w:numFmt w:val="bullet"/>
      <w:lvlText w:val=""/>
      <w:lvlJc w:val="left"/>
      <w:pPr>
        <w:tabs>
          <w:tab w:val="num" w:pos="3030"/>
        </w:tabs>
        <w:ind w:left="3030" w:hanging="360"/>
      </w:pPr>
      <w:rPr>
        <w:rFonts w:ascii="Symbol" w:hAnsi="Symbol" w:hint="default"/>
      </w:rPr>
    </w:lvl>
    <w:lvl w:ilvl="4" w:tplc="0C090003" w:tentative="1">
      <w:start w:val="1"/>
      <w:numFmt w:val="bullet"/>
      <w:lvlText w:val="o"/>
      <w:lvlJc w:val="left"/>
      <w:pPr>
        <w:tabs>
          <w:tab w:val="num" w:pos="3750"/>
        </w:tabs>
        <w:ind w:left="3750" w:hanging="360"/>
      </w:pPr>
      <w:rPr>
        <w:rFonts w:ascii="Courier New" w:hAnsi="Courier New" w:cs="Courier New" w:hint="default"/>
      </w:rPr>
    </w:lvl>
    <w:lvl w:ilvl="5" w:tplc="0C090005" w:tentative="1">
      <w:start w:val="1"/>
      <w:numFmt w:val="bullet"/>
      <w:lvlText w:val=""/>
      <w:lvlJc w:val="left"/>
      <w:pPr>
        <w:tabs>
          <w:tab w:val="num" w:pos="4470"/>
        </w:tabs>
        <w:ind w:left="4470" w:hanging="360"/>
      </w:pPr>
      <w:rPr>
        <w:rFonts w:ascii="Wingdings" w:hAnsi="Wingdings" w:hint="default"/>
      </w:rPr>
    </w:lvl>
    <w:lvl w:ilvl="6" w:tplc="0C090001" w:tentative="1">
      <w:start w:val="1"/>
      <w:numFmt w:val="bullet"/>
      <w:lvlText w:val=""/>
      <w:lvlJc w:val="left"/>
      <w:pPr>
        <w:tabs>
          <w:tab w:val="num" w:pos="5190"/>
        </w:tabs>
        <w:ind w:left="5190" w:hanging="360"/>
      </w:pPr>
      <w:rPr>
        <w:rFonts w:ascii="Symbol" w:hAnsi="Symbol" w:hint="default"/>
      </w:rPr>
    </w:lvl>
    <w:lvl w:ilvl="7" w:tplc="0C090003" w:tentative="1">
      <w:start w:val="1"/>
      <w:numFmt w:val="bullet"/>
      <w:lvlText w:val="o"/>
      <w:lvlJc w:val="left"/>
      <w:pPr>
        <w:tabs>
          <w:tab w:val="num" w:pos="5910"/>
        </w:tabs>
        <w:ind w:left="5910" w:hanging="360"/>
      </w:pPr>
      <w:rPr>
        <w:rFonts w:ascii="Courier New" w:hAnsi="Courier New" w:cs="Courier New" w:hint="default"/>
      </w:rPr>
    </w:lvl>
    <w:lvl w:ilvl="8" w:tplc="0C090005" w:tentative="1">
      <w:start w:val="1"/>
      <w:numFmt w:val="bullet"/>
      <w:lvlText w:val=""/>
      <w:lvlJc w:val="left"/>
      <w:pPr>
        <w:tabs>
          <w:tab w:val="num" w:pos="6630"/>
        </w:tabs>
        <w:ind w:left="6630" w:hanging="360"/>
      </w:pPr>
      <w:rPr>
        <w:rFonts w:ascii="Wingdings" w:hAnsi="Wingdings" w:hint="default"/>
      </w:rPr>
    </w:lvl>
  </w:abstractNum>
  <w:abstractNum w:abstractNumId="15">
    <w:nsid w:val="713E3892"/>
    <w:multiLevelType w:val="multilevel"/>
    <w:tmpl w:val="98546364"/>
    <w:lvl w:ilvl="0">
      <w:start w:val="2"/>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Restart w:val="1"/>
      <w:lvlText w:val="Table %1.%5"/>
      <w:lvlJc w:val="left"/>
      <w:pPr>
        <w:tabs>
          <w:tab w:val="num" w:pos="1361"/>
        </w:tabs>
        <w:ind w:left="1361" w:hanging="1361"/>
      </w:pPr>
      <w:rPr>
        <w:rFonts w:hint="default"/>
      </w:rPr>
    </w:lvl>
    <w:lvl w:ilvl="5">
      <w:start w:val="1"/>
      <w:numFmt w:val="decimal"/>
      <w:lvlRestart w:val="0"/>
      <w:lvlText w:val="Figure %1.%6:"/>
      <w:lvlJc w:val="left"/>
      <w:pPr>
        <w:tabs>
          <w:tab w:val="num" w:pos="1361"/>
        </w:tabs>
        <w:ind w:left="1134" w:hanging="1134"/>
      </w:pPr>
      <w:rPr>
        <w:rFonts w:ascii="Arial" w:hAnsi="Arial" w:cs="Arial" w:hint="default"/>
        <w:b/>
        <w:i w:val="0"/>
        <w:caps w:val="0"/>
        <w:strike w:val="0"/>
        <w:dstrike w:val="0"/>
        <w:shadow w:val="0"/>
        <w:emboss w:val="0"/>
        <w:imprint w:val="0"/>
        <w:vanish w:val="0"/>
        <w:sz w:val="22"/>
        <w:szCs w:val="22"/>
        <w:vertAlign w:val="baseline"/>
      </w:rPr>
    </w:lvl>
    <w:lvl w:ilvl="6">
      <w:start w:val="1"/>
      <w:numFmt w:val="lowerLetter"/>
      <w:lvlRestart w:val="0"/>
      <w:lvlText w:val="Figure 2.2 (%7)"/>
      <w:lvlJc w:val="left"/>
      <w:pPr>
        <w:tabs>
          <w:tab w:val="num" w:pos="1361"/>
        </w:tabs>
        <w:ind w:left="1361" w:hanging="1361"/>
      </w:pPr>
      <w:rPr>
        <w:rFonts w:hint="default"/>
      </w:rPr>
    </w:lvl>
    <w:lvl w:ilvl="7">
      <w:start w:val="1"/>
      <w:numFmt w:val="decimal"/>
      <w:lvlRestart w:val="0"/>
      <w:lvlText w:val="Figure %8:"/>
      <w:lvlJc w:val="left"/>
      <w:pPr>
        <w:tabs>
          <w:tab w:val="num" w:pos="1134"/>
        </w:tabs>
        <w:ind w:left="1361" w:hanging="1361"/>
      </w:pPr>
      <w:rPr>
        <w:rFonts w:ascii="Arial Bold" w:hAnsi="Arial Bold" w:hint="default"/>
        <w:b/>
        <w:i w:val="0"/>
        <w:caps w:val="0"/>
        <w:strike w:val="0"/>
        <w:dstrike w:val="0"/>
        <w:outline w:val="0"/>
        <w:shadow w:val="0"/>
        <w:emboss w:val="0"/>
        <w:imprint w:val="0"/>
        <w:vanish w:val="0"/>
        <w:sz w:val="22"/>
        <w:szCs w:val="22"/>
        <w:vertAlign w:val="baseline"/>
      </w:rPr>
    </w:lvl>
    <w:lvl w:ilvl="8">
      <w:start w:val="1"/>
      <w:numFmt w:val="none"/>
      <w:lvlText w:val=""/>
      <w:lvlJc w:val="right"/>
      <w:pPr>
        <w:tabs>
          <w:tab w:val="num" w:pos="1584"/>
        </w:tabs>
        <w:ind w:left="1584" w:hanging="144"/>
      </w:pPr>
      <w:rPr>
        <w:rFonts w:hint="default"/>
      </w:rPr>
    </w:lvl>
  </w:abstractNum>
  <w:abstractNum w:abstractNumId="16">
    <w:nsid w:val="78F3491B"/>
    <w:multiLevelType w:val="multilevel"/>
    <w:tmpl w:val="0A222A44"/>
    <w:styleLink w:val="Style1"/>
    <w:lvl w:ilvl="0">
      <w:start w:val="2"/>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Restart w:val="1"/>
      <w:lvlText w:val="Table %1.%5"/>
      <w:lvlJc w:val="left"/>
      <w:pPr>
        <w:tabs>
          <w:tab w:val="num" w:pos="1361"/>
        </w:tabs>
        <w:ind w:left="1361" w:hanging="1361"/>
      </w:pPr>
      <w:rPr>
        <w:rFonts w:hint="default"/>
      </w:rPr>
    </w:lvl>
    <w:lvl w:ilvl="5">
      <w:start w:val="1"/>
      <w:numFmt w:val="decimal"/>
      <w:lvlRestart w:val="2"/>
      <w:lvlText w:val="Figure %1.%6:"/>
      <w:lvlJc w:val="left"/>
      <w:pPr>
        <w:tabs>
          <w:tab w:val="num" w:pos="1361"/>
        </w:tabs>
        <w:ind w:left="1134" w:hanging="1134"/>
      </w:pPr>
      <w:rPr>
        <w:rFonts w:ascii="Arial" w:hAnsi="Arial" w:cs="Arial" w:hint="default"/>
        <w:b/>
        <w:i w:val="0"/>
        <w:caps w:val="0"/>
        <w:strike w:val="0"/>
        <w:dstrike w:val="0"/>
        <w:shadow w:val="0"/>
        <w:emboss w:val="0"/>
        <w:imprint w:val="0"/>
        <w:vanish w:val="0"/>
        <w:sz w:val="22"/>
        <w:szCs w:val="22"/>
        <w:vertAlign w:val="baseline"/>
      </w:rPr>
    </w:lvl>
    <w:lvl w:ilvl="6">
      <w:start w:val="1"/>
      <w:numFmt w:val="lowerLetter"/>
      <w:lvlRestart w:val="0"/>
      <w:lvlText w:val="Figure 2.2 (%7)"/>
      <w:lvlJc w:val="left"/>
      <w:pPr>
        <w:tabs>
          <w:tab w:val="num" w:pos="1361"/>
        </w:tabs>
        <w:ind w:left="1361" w:hanging="1361"/>
      </w:pPr>
      <w:rPr>
        <w:rFonts w:hint="default"/>
      </w:rPr>
    </w:lvl>
    <w:lvl w:ilvl="7">
      <w:start w:val="1"/>
      <w:numFmt w:val="decimal"/>
      <w:lvlRestart w:val="0"/>
      <w:lvlText w:val="Figure %8:"/>
      <w:lvlJc w:val="left"/>
      <w:pPr>
        <w:tabs>
          <w:tab w:val="num" w:pos="1134"/>
        </w:tabs>
        <w:ind w:left="1361" w:hanging="1361"/>
      </w:pPr>
      <w:rPr>
        <w:rFonts w:ascii="Arial Bold" w:hAnsi="Arial Bold" w:hint="default"/>
        <w:b/>
        <w:i w:val="0"/>
        <w:caps w:val="0"/>
        <w:strike w:val="0"/>
        <w:dstrike w:val="0"/>
        <w:outline w:val="0"/>
        <w:shadow w:val="0"/>
        <w:emboss w:val="0"/>
        <w:imprint w:val="0"/>
        <w:vanish w:val="0"/>
        <w:sz w:val="22"/>
        <w:szCs w:val="22"/>
        <w:vertAlign w:val="baseline"/>
      </w:rPr>
    </w:lvl>
    <w:lvl w:ilvl="8">
      <w:start w:val="1"/>
      <w:numFmt w:val="none"/>
      <w:lvlText w:val=""/>
      <w:lvlJc w:val="right"/>
      <w:pPr>
        <w:tabs>
          <w:tab w:val="num" w:pos="1584"/>
        </w:tabs>
        <w:ind w:left="1584" w:hanging="144"/>
      </w:pPr>
      <w:rPr>
        <w:rFonts w:hint="default"/>
      </w:rPr>
    </w:lvl>
  </w:abstractNum>
  <w:abstractNum w:abstractNumId="17">
    <w:nsid w:val="7AEF67FF"/>
    <w:multiLevelType w:val="multilevel"/>
    <w:tmpl w:val="7AAEDBAA"/>
    <w:lvl w:ilvl="0">
      <w:start w:val="1"/>
      <w:numFmt w:val="bullet"/>
      <w:pStyle w:val="AERbulletlistfirststyle"/>
      <w:lvlText w:val=""/>
      <w:lvlJc w:val="left"/>
      <w:pPr>
        <w:tabs>
          <w:tab w:val="num" w:pos="357"/>
        </w:tabs>
        <w:ind w:left="357" w:hanging="357"/>
      </w:pPr>
      <w:rPr>
        <w:rFonts w:ascii="Wingdings" w:hAnsi="Wingdings" w:hint="default"/>
        <w:sz w:val="28"/>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360"/>
      </w:pPr>
      <w:rPr>
        <w:rFonts w:ascii="Times New Roman" w:hAnsi="Times New Roman"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8"/>
  </w:num>
  <w:num w:numId="3">
    <w:abstractNumId w:val="10"/>
  </w:num>
  <w:num w:numId="4">
    <w:abstractNumId w:val="17"/>
  </w:num>
  <w:num w:numId="5">
    <w:abstractNumId w:val="2"/>
  </w:num>
  <w:num w:numId="6">
    <w:abstractNumId w:val="14"/>
  </w:num>
  <w:num w:numId="7">
    <w:abstractNumId w:val="11"/>
  </w:num>
  <w:num w:numId="8">
    <w:abstractNumId w:val="7"/>
  </w:num>
  <w:num w:numId="9">
    <w:abstractNumId w:val="5"/>
  </w:num>
  <w:num w:numId="10">
    <w:abstractNumId w:val="9"/>
  </w:num>
  <w:num w:numId="11">
    <w:abstractNumId w:val="0"/>
  </w:num>
  <w:num w:numId="12">
    <w:abstractNumId w:val="12"/>
  </w:num>
  <w:num w:numId="13">
    <w:abstractNumId w:val="1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3"/>
    </w:lvlOverride>
    <w:lvlOverride w:ilvl="6">
      <w:startOverride w:val="1"/>
    </w:lvlOverride>
    <w:lvlOverride w:ilvl="7">
      <w:startOverride w:val="1"/>
    </w:lvlOverride>
    <w:lvlOverride w:ilvl="8">
      <w:startOverride w:val="1"/>
    </w:lvlOverride>
  </w:num>
  <w:num w:numId="14">
    <w:abstractNumId w:val="1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3"/>
    </w:lvlOverride>
    <w:lvlOverride w:ilvl="6">
      <w:startOverride w:val="1"/>
    </w:lvlOverride>
    <w:lvlOverride w:ilvl="7">
      <w:startOverride w:val="1"/>
    </w:lvlOverride>
    <w:lvlOverride w:ilvl="8">
      <w:startOverride w:val="1"/>
    </w:lvlOverride>
  </w:num>
  <w:num w:numId="15">
    <w:abstractNumId w:val="4"/>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lvl w:ilvl="0">
        <w:start w:val="1"/>
        <w:numFmt w:val="decimal"/>
        <w:lvlText w:val="%1"/>
        <w:lvlJc w:val="left"/>
        <w:pPr>
          <w:tabs>
            <w:tab w:val="num" w:pos="851"/>
          </w:tabs>
          <w:ind w:left="851" w:hanging="851"/>
        </w:pPr>
        <w:rPr>
          <w:rFonts w:hint="default"/>
        </w:rPr>
      </w:lvl>
    </w:lvlOverride>
    <w:lvlOverride w:ilvl="1">
      <w:lvl w:ilvl="1">
        <w:start w:val="1"/>
        <w:numFmt w:val="decimal"/>
        <w:lvlText w:val="%1.%2"/>
        <w:lvlJc w:val="left"/>
        <w:pPr>
          <w:tabs>
            <w:tab w:val="num" w:pos="851"/>
          </w:tabs>
          <w:ind w:left="851" w:hanging="851"/>
        </w:pPr>
        <w:rPr>
          <w:rFonts w:hint="default"/>
        </w:rPr>
      </w:lvl>
    </w:lvlOverride>
    <w:lvlOverride w:ilvl="2">
      <w:lvl w:ilvl="2">
        <w:start w:val="1"/>
        <w:numFmt w:val="decimal"/>
        <w:lvlText w:val="%1.%2.%3"/>
        <w:lvlJc w:val="left"/>
        <w:pPr>
          <w:tabs>
            <w:tab w:val="num" w:pos="851"/>
          </w:tabs>
          <w:ind w:left="851" w:hanging="851"/>
        </w:pPr>
        <w:rPr>
          <w:rFonts w:hint="default"/>
        </w:rPr>
      </w:lvl>
    </w:lvlOverride>
    <w:lvlOverride w:ilvl="3">
      <w:lvl w:ilvl="3">
        <w:start w:val="1"/>
        <w:numFmt w:val="decimal"/>
        <w:lvlText w:val="%1.%2.%3.%4"/>
        <w:lvlJc w:val="left"/>
        <w:pPr>
          <w:tabs>
            <w:tab w:val="num" w:pos="851"/>
          </w:tabs>
          <w:ind w:left="851" w:hanging="851"/>
        </w:pPr>
        <w:rPr>
          <w:rFonts w:hint="default"/>
        </w:rPr>
      </w:lvl>
    </w:lvlOverride>
    <w:lvlOverride w:ilvl="4">
      <w:lvl w:ilvl="4">
        <w:start w:val="1"/>
        <w:numFmt w:val="decimal"/>
        <w:lvlRestart w:val="1"/>
        <w:lvlText w:val="Table %1.%5"/>
        <w:lvlJc w:val="left"/>
        <w:pPr>
          <w:tabs>
            <w:tab w:val="num" w:pos="1361"/>
          </w:tabs>
          <w:ind w:left="1361" w:hanging="1361"/>
        </w:pPr>
        <w:rPr>
          <w:rFonts w:hint="default"/>
        </w:rPr>
      </w:lvl>
    </w:lvlOverride>
    <w:lvlOverride w:ilvl="5">
      <w:lvl w:ilvl="5">
        <w:start w:val="1"/>
        <w:numFmt w:val="decimal"/>
        <w:lvlRestart w:val="1"/>
        <w:lvlText w:val="Figure %1.%6:"/>
        <w:lvlJc w:val="left"/>
        <w:pPr>
          <w:tabs>
            <w:tab w:val="num" w:pos="1361"/>
          </w:tabs>
          <w:ind w:left="1134" w:hanging="1134"/>
        </w:pPr>
        <w:rPr>
          <w:rFonts w:ascii="Arial" w:hAnsi="Arial" w:cs="Arial" w:hint="default"/>
          <w:b/>
          <w:i w:val="0"/>
          <w:caps w:val="0"/>
          <w:strike w:val="0"/>
          <w:dstrike w:val="0"/>
          <w:shadow w:val="0"/>
          <w:emboss w:val="0"/>
          <w:imprint w:val="0"/>
          <w:vanish w:val="0"/>
          <w:sz w:val="22"/>
          <w:szCs w:val="22"/>
          <w:vertAlign w:val="baseline"/>
        </w:rPr>
      </w:lvl>
    </w:lvlOverride>
    <w:lvlOverride w:ilvl="6">
      <w:lvl w:ilvl="6">
        <w:start w:val="1"/>
        <w:numFmt w:val="lowerLetter"/>
        <w:lvlRestart w:val="0"/>
        <w:lvlText w:val="Figure 2.2 (%7)"/>
        <w:lvlJc w:val="left"/>
        <w:pPr>
          <w:tabs>
            <w:tab w:val="num" w:pos="1361"/>
          </w:tabs>
          <w:ind w:left="1361" w:hanging="1361"/>
        </w:pPr>
        <w:rPr>
          <w:rFonts w:hint="default"/>
        </w:rPr>
      </w:lvl>
    </w:lvlOverride>
    <w:lvlOverride w:ilvl="7">
      <w:lvl w:ilvl="7">
        <w:start w:val="1"/>
        <w:numFmt w:val="decimal"/>
        <w:lvlRestart w:val="0"/>
        <w:lvlText w:val="Figure %8:"/>
        <w:lvlJc w:val="left"/>
        <w:pPr>
          <w:tabs>
            <w:tab w:val="num" w:pos="1134"/>
          </w:tabs>
          <w:ind w:left="1361" w:hanging="1361"/>
        </w:pPr>
        <w:rPr>
          <w:rFonts w:ascii="Arial Bold" w:hAnsi="Arial Bold" w:hint="default"/>
          <w:b/>
          <w:i w:val="0"/>
          <w:caps w:val="0"/>
          <w:strike w:val="0"/>
          <w:dstrike w:val="0"/>
          <w:outline w:val="0"/>
          <w:shadow w:val="0"/>
          <w:emboss w:val="0"/>
          <w:imprint w:val="0"/>
          <w:vanish w:val="0"/>
          <w:sz w:val="22"/>
          <w:szCs w:val="22"/>
          <w:vertAlign w:val="baseline"/>
        </w:rPr>
      </w:lvl>
    </w:lvlOverride>
    <w:lvlOverride w:ilvl="8">
      <w:lvl w:ilvl="8">
        <w:start w:val="1"/>
        <w:numFmt w:val="none"/>
        <w:lvlText w:val=""/>
        <w:lvlJc w:val="right"/>
        <w:pPr>
          <w:tabs>
            <w:tab w:val="num" w:pos="1584"/>
          </w:tabs>
          <w:ind w:left="1584" w:hanging="144"/>
        </w:pPr>
        <w:rPr>
          <w:rFonts w:hint="default"/>
        </w:rPr>
      </w:lvl>
    </w:lvlOverride>
  </w:num>
  <w:num w:numId="18">
    <w:abstractNumId w:val="12"/>
    <w:lvlOverride w:ilvl="0">
      <w:lvl w:ilvl="0">
        <w:start w:val="1"/>
        <w:numFmt w:val="decimal"/>
        <w:lvlText w:val="%1"/>
        <w:lvlJc w:val="left"/>
        <w:pPr>
          <w:tabs>
            <w:tab w:val="num" w:pos="851"/>
          </w:tabs>
          <w:ind w:left="851" w:hanging="851"/>
        </w:pPr>
        <w:rPr>
          <w:rFonts w:hint="default"/>
        </w:rPr>
      </w:lvl>
    </w:lvlOverride>
    <w:lvlOverride w:ilvl="1">
      <w:lvl w:ilvl="1">
        <w:start w:val="1"/>
        <w:numFmt w:val="decimal"/>
        <w:lvlText w:val="%1.%2"/>
        <w:lvlJc w:val="left"/>
        <w:pPr>
          <w:tabs>
            <w:tab w:val="num" w:pos="851"/>
          </w:tabs>
          <w:ind w:left="851" w:hanging="851"/>
        </w:pPr>
        <w:rPr>
          <w:rFonts w:hint="default"/>
        </w:rPr>
      </w:lvl>
    </w:lvlOverride>
    <w:lvlOverride w:ilvl="2">
      <w:lvl w:ilvl="2">
        <w:start w:val="1"/>
        <w:numFmt w:val="decimal"/>
        <w:lvlText w:val="%1.%2.%3"/>
        <w:lvlJc w:val="left"/>
        <w:pPr>
          <w:tabs>
            <w:tab w:val="num" w:pos="851"/>
          </w:tabs>
          <w:ind w:left="851" w:hanging="851"/>
        </w:pPr>
        <w:rPr>
          <w:rFonts w:hint="default"/>
        </w:rPr>
      </w:lvl>
    </w:lvlOverride>
    <w:lvlOverride w:ilvl="3">
      <w:lvl w:ilvl="3">
        <w:start w:val="1"/>
        <w:numFmt w:val="decimal"/>
        <w:lvlText w:val="%1.%2.%3.%4"/>
        <w:lvlJc w:val="left"/>
        <w:pPr>
          <w:tabs>
            <w:tab w:val="num" w:pos="851"/>
          </w:tabs>
          <w:ind w:left="851" w:hanging="851"/>
        </w:pPr>
        <w:rPr>
          <w:rFonts w:hint="default"/>
        </w:rPr>
      </w:lvl>
    </w:lvlOverride>
    <w:lvlOverride w:ilvl="4">
      <w:lvl w:ilvl="4">
        <w:start w:val="1"/>
        <w:numFmt w:val="decimal"/>
        <w:lvlRestart w:val="1"/>
        <w:lvlText w:val="Table %1.%5"/>
        <w:lvlJc w:val="left"/>
        <w:pPr>
          <w:tabs>
            <w:tab w:val="num" w:pos="1361"/>
          </w:tabs>
          <w:ind w:left="1361" w:hanging="1361"/>
        </w:pPr>
        <w:rPr>
          <w:rFonts w:hint="default"/>
        </w:rPr>
      </w:lvl>
    </w:lvlOverride>
    <w:lvlOverride w:ilvl="5">
      <w:lvl w:ilvl="5">
        <w:start w:val="1"/>
        <w:numFmt w:val="decimal"/>
        <w:lvlRestart w:val="1"/>
        <w:lvlText w:val="Figure %1.%6:"/>
        <w:lvlJc w:val="left"/>
        <w:pPr>
          <w:tabs>
            <w:tab w:val="num" w:pos="1361"/>
          </w:tabs>
          <w:ind w:left="1134" w:hanging="1134"/>
        </w:pPr>
        <w:rPr>
          <w:rFonts w:ascii="Arial" w:hAnsi="Arial" w:cs="Arial" w:hint="default"/>
          <w:b/>
          <w:i w:val="0"/>
          <w:caps w:val="0"/>
          <w:strike w:val="0"/>
          <w:dstrike w:val="0"/>
          <w:shadow w:val="0"/>
          <w:emboss w:val="0"/>
          <w:imprint w:val="0"/>
          <w:vanish w:val="0"/>
          <w:sz w:val="22"/>
          <w:szCs w:val="22"/>
          <w:vertAlign w:val="baseline"/>
        </w:rPr>
      </w:lvl>
    </w:lvlOverride>
    <w:lvlOverride w:ilvl="6">
      <w:lvl w:ilvl="6">
        <w:start w:val="1"/>
        <w:numFmt w:val="lowerLetter"/>
        <w:lvlRestart w:val="0"/>
        <w:lvlText w:val="Figure 2.2 (%7)"/>
        <w:lvlJc w:val="left"/>
        <w:pPr>
          <w:tabs>
            <w:tab w:val="num" w:pos="1361"/>
          </w:tabs>
          <w:ind w:left="1361" w:hanging="1361"/>
        </w:pPr>
        <w:rPr>
          <w:rFonts w:hint="default"/>
        </w:rPr>
      </w:lvl>
    </w:lvlOverride>
    <w:lvlOverride w:ilvl="7">
      <w:lvl w:ilvl="7">
        <w:start w:val="1"/>
        <w:numFmt w:val="decimal"/>
        <w:lvlRestart w:val="0"/>
        <w:lvlText w:val="Figure %8:"/>
        <w:lvlJc w:val="left"/>
        <w:pPr>
          <w:tabs>
            <w:tab w:val="num" w:pos="1134"/>
          </w:tabs>
          <w:ind w:left="1361" w:hanging="1361"/>
        </w:pPr>
        <w:rPr>
          <w:rFonts w:ascii="Arial Bold" w:hAnsi="Arial Bold" w:hint="default"/>
          <w:b/>
          <w:i w:val="0"/>
          <w:caps w:val="0"/>
          <w:strike w:val="0"/>
          <w:dstrike w:val="0"/>
          <w:outline w:val="0"/>
          <w:shadow w:val="0"/>
          <w:emboss w:val="0"/>
          <w:imprint w:val="0"/>
          <w:vanish w:val="0"/>
          <w:sz w:val="22"/>
          <w:szCs w:val="22"/>
          <w:vertAlign w:val="baseline"/>
        </w:rPr>
      </w:lvl>
    </w:lvlOverride>
    <w:lvlOverride w:ilvl="8">
      <w:lvl w:ilvl="8">
        <w:start w:val="1"/>
        <w:numFmt w:val="none"/>
        <w:lvlText w:val=""/>
        <w:lvlJc w:val="right"/>
        <w:pPr>
          <w:tabs>
            <w:tab w:val="num" w:pos="1584"/>
          </w:tabs>
          <w:ind w:left="1584" w:hanging="144"/>
        </w:pPr>
        <w:rPr>
          <w:rFonts w:hint="default"/>
        </w:rPr>
      </w:lvl>
    </w:lvlOverride>
  </w:num>
  <w:num w:numId="19">
    <w:abstractNumId w:val="15"/>
  </w:num>
  <w:num w:numId="20">
    <w:abstractNumId w:val="16"/>
  </w:num>
  <w:num w:numId="21">
    <w:abstractNumId w:val="1"/>
  </w:num>
  <w:num w:numId="22">
    <w:abstractNumId w:val="6"/>
  </w:num>
  <w:num w:numId="23">
    <w:abstractNumId w:val="3"/>
  </w:num>
  <w:num w:numId="24">
    <w:abstractNumId w:val="3"/>
    <w:lvlOverride w:ilvl="0">
      <w:lvl w:ilvl="0">
        <w:start w:val="1"/>
        <w:numFmt w:val="none"/>
        <w:pStyle w:val="Heading1"/>
        <w:lvlText w:val="%1"/>
        <w:lvlJc w:val="left"/>
        <w:pPr>
          <w:ind w:left="0" w:firstLine="0"/>
        </w:pPr>
        <w:rPr>
          <w:rFonts w:ascii="Arial Bold" w:hAnsi="Arial Bold" w:hint="default"/>
          <w:b/>
          <w:i w:val="0"/>
          <w:color w:val="365F91" w:themeColor="accent1" w:themeShade="BF"/>
          <w:sz w:val="32"/>
        </w:rPr>
      </w:lvl>
    </w:lvlOverride>
    <w:lvlOverride w:ilvl="1">
      <w:lvl w:ilvl="1">
        <w:start w:val="1"/>
        <w:numFmt w:val="decimal"/>
        <w:pStyle w:val="Heading2"/>
        <w:lvlText w:val="Figure %2"/>
        <w:lvlJc w:val="left"/>
        <w:pPr>
          <w:ind w:left="0" w:firstLine="0"/>
        </w:pPr>
        <w:rPr>
          <w:rFonts w:ascii="Arial Bold" w:hAnsi="Arial Bold" w:hint="default"/>
          <w:b/>
          <w:i w:val="0"/>
          <w:color w:val="365F91" w:themeColor="accent1" w:themeShade="BF"/>
          <w:sz w:val="24"/>
        </w:rPr>
      </w:lvl>
    </w:lvlOverride>
    <w:lvlOverride w:ilvl="2">
      <w:lvl w:ilvl="2">
        <w:start w:val="1"/>
        <w:numFmt w:val="decimal"/>
        <w:pStyle w:val="Heading3"/>
        <w:lvlText w:val="%3"/>
        <w:lvlJc w:val="left"/>
        <w:pPr>
          <w:ind w:left="0" w:firstLine="0"/>
        </w:pPr>
        <w:rPr>
          <w:rFonts w:ascii="Arial Bold" w:hAnsi="Arial Bold" w:hint="default"/>
          <w:b/>
          <w:i w:val="0"/>
          <w:color w:val="365F91" w:themeColor="accent1" w:themeShade="BF"/>
          <w:sz w:val="24"/>
        </w:rPr>
      </w:lvl>
    </w:lvlOverride>
    <w:lvlOverride w:ilvl="3">
      <w:lvl w:ilvl="3">
        <w:start w:val="1"/>
        <w:numFmt w:val="decimal"/>
        <w:pStyle w:val="Heading4"/>
        <w:lvlText w:val="Figure %3.%4"/>
        <w:lvlJc w:val="left"/>
        <w:pPr>
          <w:ind w:left="0" w:firstLine="0"/>
        </w:pPr>
        <w:rPr>
          <w:rFonts w:ascii="Arial Bold" w:hAnsi="Arial Bold" w:hint="default"/>
          <w:b/>
          <w:i w:val="0"/>
          <w:color w:val="365F91" w:themeColor="accent1" w:themeShade="BF"/>
          <w:sz w:val="24"/>
        </w:rPr>
      </w:lvl>
    </w:lvlOverride>
    <w:lvlOverride w:ilvl="4">
      <w:lvl w:ilvl="4">
        <w:start w:val="1"/>
        <w:numFmt w:val="lowerLetter"/>
        <w:lvlText w:val="(%5)"/>
        <w:lvlJc w:val="left"/>
        <w:pPr>
          <w:ind w:left="0" w:firstLine="0"/>
        </w:pPr>
        <w:rPr>
          <w:rFonts w:hint="default"/>
        </w:rPr>
      </w:lvl>
    </w:lvlOverride>
    <w:lvlOverride w:ilvl="5">
      <w:lvl w:ilvl="5">
        <w:start w:val="1"/>
        <w:numFmt w:val="lowerRoman"/>
        <w:lvlText w:val="(%6)"/>
        <w:lvlJc w:val="left"/>
        <w:pPr>
          <w:ind w:left="0" w:firstLine="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0" w:firstLine="0"/>
        </w:pPr>
        <w:rPr>
          <w:rFonts w:hint="default"/>
        </w:rPr>
      </w:lvl>
    </w:lvlOverride>
    <w:lvlOverride w:ilvl="8">
      <w:lvl w:ilvl="8">
        <w:start w:val="1"/>
        <w:numFmt w:val="lowerRoman"/>
        <w:lvlText w:val="%9."/>
        <w:lvlJc w:val="left"/>
        <w:pPr>
          <w:ind w:left="0" w:firstLine="0"/>
        </w:pPr>
        <w:rPr>
          <w:rFonts w:hint="default"/>
        </w:rPr>
      </w:lvl>
    </w:lvlOverride>
  </w:num>
  <w:num w:numId="25">
    <w:abstractNumId w:val="3"/>
  </w:num>
  <w:num w:numId="26">
    <w:abstractNumId w:val="3"/>
  </w:num>
  <w:num w:numId="27">
    <w:abstractNumId w:val="3"/>
  </w:num>
  <w:num w:numId="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removePersonalInformation/>
  <w:removeDateAndTime/>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trackRevisions/>
  <w:doNotTrackMoves/>
  <w:defaultTabStop w:val="720"/>
  <w:characterSpacingControl w:val="doNotCompress"/>
  <w:hdrShapeDefaults>
    <o:shapedefaults v:ext="edit" spidmax="69633"/>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urrentname" w:val="\\cdchnas-evs02\home$\adrae\Desktop\AER gas weekly report - 1 – 7 May 2016.docx"/>
  </w:docVars>
  <w:rsids>
    <w:rsidRoot w:val="005F18AD"/>
    <w:rsid w:val="000013C1"/>
    <w:rsid w:val="00001BFB"/>
    <w:rsid w:val="00002313"/>
    <w:rsid w:val="00004A63"/>
    <w:rsid w:val="00010025"/>
    <w:rsid w:val="000123CA"/>
    <w:rsid w:val="00020978"/>
    <w:rsid w:val="0002268D"/>
    <w:rsid w:val="00027115"/>
    <w:rsid w:val="000323BA"/>
    <w:rsid w:val="00033456"/>
    <w:rsid w:val="00040F6B"/>
    <w:rsid w:val="000552AF"/>
    <w:rsid w:val="00055584"/>
    <w:rsid w:val="00061656"/>
    <w:rsid w:val="0006609A"/>
    <w:rsid w:val="00073D01"/>
    <w:rsid w:val="000755D2"/>
    <w:rsid w:val="00076046"/>
    <w:rsid w:val="000813BF"/>
    <w:rsid w:val="0008491C"/>
    <w:rsid w:val="00085092"/>
    <w:rsid w:val="000876E7"/>
    <w:rsid w:val="00093854"/>
    <w:rsid w:val="000974A2"/>
    <w:rsid w:val="00097D40"/>
    <w:rsid w:val="000B4A1F"/>
    <w:rsid w:val="000B6397"/>
    <w:rsid w:val="000B69E0"/>
    <w:rsid w:val="000B7FAF"/>
    <w:rsid w:val="000D1F66"/>
    <w:rsid w:val="000D1FEB"/>
    <w:rsid w:val="000E1F9A"/>
    <w:rsid w:val="000F0BBB"/>
    <w:rsid w:val="000F2287"/>
    <w:rsid w:val="000F3B46"/>
    <w:rsid w:val="000F59F8"/>
    <w:rsid w:val="000F5F5E"/>
    <w:rsid w:val="000F6D05"/>
    <w:rsid w:val="00113D67"/>
    <w:rsid w:val="00117C98"/>
    <w:rsid w:val="00125818"/>
    <w:rsid w:val="001420EB"/>
    <w:rsid w:val="001452B3"/>
    <w:rsid w:val="00150A19"/>
    <w:rsid w:val="00153729"/>
    <w:rsid w:val="00157AFD"/>
    <w:rsid w:val="001608BE"/>
    <w:rsid w:val="00171BD5"/>
    <w:rsid w:val="00181F4A"/>
    <w:rsid w:val="001831BF"/>
    <w:rsid w:val="001835B2"/>
    <w:rsid w:val="00183D85"/>
    <w:rsid w:val="00193ECC"/>
    <w:rsid w:val="001A41B4"/>
    <w:rsid w:val="001A5893"/>
    <w:rsid w:val="001A5B94"/>
    <w:rsid w:val="001A5C1A"/>
    <w:rsid w:val="001A765F"/>
    <w:rsid w:val="001B294E"/>
    <w:rsid w:val="001B2ADA"/>
    <w:rsid w:val="001B3823"/>
    <w:rsid w:val="001C006C"/>
    <w:rsid w:val="001C5A74"/>
    <w:rsid w:val="001E79FF"/>
    <w:rsid w:val="001F0F9B"/>
    <w:rsid w:val="002052B6"/>
    <w:rsid w:val="00206559"/>
    <w:rsid w:val="002168D4"/>
    <w:rsid w:val="002312F5"/>
    <w:rsid w:val="00231B0A"/>
    <w:rsid w:val="00233988"/>
    <w:rsid w:val="00234764"/>
    <w:rsid w:val="00252A22"/>
    <w:rsid w:val="00254746"/>
    <w:rsid w:val="00266CA5"/>
    <w:rsid w:val="0026725A"/>
    <w:rsid w:val="0026764C"/>
    <w:rsid w:val="00270B82"/>
    <w:rsid w:val="002765A2"/>
    <w:rsid w:val="00285E00"/>
    <w:rsid w:val="002861A9"/>
    <w:rsid w:val="00290C57"/>
    <w:rsid w:val="002910A1"/>
    <w:rsid w:val="002A0CD1"/>
    <w:rsid w:val="002A30E7"/>
    <w:rsid w:val="002A3E5D"/>
    <w:rsid w:val="002A46AC"/>
    <w:rsid w:val="002A5634"/>
    <w:rsid w:val="002B1803"/>
    <w:rsid w:val="002B3D3C"/>
    <w:rsid w:val="002B4D21"/>
    <w:rsid w:val="002C0499"/>
    <w:rsid w:val="002C2576"/>
    <w:rsid w:val="002D0C16"/>
    <w:rsid w:val="002D59B3"/>
    <w:rsid w:val="002D5CEC"/>
    <w:rsid w:val="002E0688"/>
    <w:rsid w:val="002E2C96"/>
    <w:rsid w:val="002E2E46"/>
    <w:rsid w:val="002E5A67"/>
    <w:rsid w:val="002E7E9E"/>
    <w:rsid w:val="002F0AE7"/>
    <w:rsid w:val="002F139A"/>
    <w:rsid w:val="002F4250"/>
    <w:rsid w:val="0030240F"/>
    <w:rsid w:val="00311A09"/>
    <w:rsid w:val="00314A8B"/>
    <w:rsid w:val="0032174C"/>
    <w:rsid w:val="00323327"/>
    <w:rsid w:val="00330B70"/>
    <w:rsid w:val="003348F7"/>
    <w:rsid w:val="00336E8E"/>
    <w:rsid w:val="003410C4"/>
    <w:rsid w:val="00345444"/>
    <w:rsid w:val="00347FBB"/>
    <w:rsid w:val="003548AA"/>
    <w:rsid w:val="0035758F"/>
    <w:rsid w:val="00357C72"/>
    <w:rsid w:val="003625A6"/>
    <w:rsid w:val="00362B9A"/>
    <w:rsid w:val="003632A4"/>
    <w:rsid w:val="003664D0"/>
    <w:rsid w:val="00366BDF"/>
    <w:rsid w:val="00372976"/>
    <w:rsid w:val="00374CF9"/>
    <w:rsid w:val="003800B4"/>
    <w:rsid w:val="00387B66"/>
    <w:rsid w:val="00396C2C"/>
    <w:rsid w:val="00396C7A"/>
    <w:rsid w:val="003977B4"/>
    <w:rsid w:val="003A2A7D"/>
    <w:rsid w:val="003B0AAD"/>
    <w:rsid w:val="003B0F66"/>
    <w:rsid w:val="003B65E0"/>
    <w:rsid w:val="003C5272"/>
    <w:rsid w:val="003C5482"/>
    <w:rsid w:val="003D59BF"/>
    <w:rsid w:val="003E313D"/>
    <w:rsid w:val="003F3391"/>
    <w:rsid w:val="003F44AD"/>
    <w:rsid w:val="003F44B7"/>
    <w:rsid w:val="003F51E6"/>
    <w:rsid w:val="003F7FD2"/>
    <w:rsid w:val="0040076C"/>
    <w:rsid w:val="004055AC"/>
    <w:rsid w:val="00411C3F"/>
    <w:rsid w:val="004149DB"/>
    <w:rsid w:val="00421FFF"/>
    <w:rsid w:val="00433231"/>
    <w:rsid w:val="00434FC1"/>
    <w:rsid w:val="00435EDA"/>
    <w:rsid w:val="004420C4"/>
    <w:rsid w:val="00442756"/>
    <w:rsid w:val="00444B76"/>
    <w:rsid w:val="00445D38"/>
    <w:rsid w:val="00447A0B"/>
    <w:rsid w:val="00447C09"/>
    <w:rsid w:val="004505EA"/>
    <w:rsid w:val="0045204B"/>
    <w:rsid w:val="00452149"/>
    <w:rsid w:val="00452AAD"/>
    <w:rsid w:val="004560B0"/>
    <w:rsid w:val="00460629"/>
    <w:rsid w:val="00463EFA"/>
    <w:rsid w:val="004718E5"/>
    <w:rsid w:val="004777B8"/>
    <w:rsid w:val="00483EDA"/>
    <w:rsid w:val="00491029"/>
    <w:rsid w:val="00492501"/>
    <w:rsid w:val="00496CEF"/>
    <w:rsid w:val="004A09D6"/>
    <w:rsid w:val="004A10A7"/>
    <w:rsid w:val="004B068E"/>
    <w:rsid w:val="004B18D8"/>
    <w:rsid w:val="004B2256"/>
    <w:rsid w:val="004B2A1A"/>
    <w:rsid w:val="004B6D60"/>
    <w:rsid w:val="004D09C9"/>
    <w:rsid w:val="004D1EBF"/>
    <w:rsid w:val="004D3B99"/>
    <w:rsid w:val="004D3E78"/>
    <w:rsid w:val="004E20BF"/>
    <w:rsid w:val="004F3D13"/>
    <w:rsid w:val="00502181"/>
    <w:rsid w:val="00505139"/>
    <w:rsid w:val="00514A02"/>
    <w:rsid w:val="00514A82"/>
    <w:rsid w:val="005157B0"/>
    <w:rsid w:val="005178FC"/>
    <w:rsid w:val="00522E00"/>
    <w:rsid w:val="005244DA"/>
    <w:rsid w:val="0053609E"/>
    <w:rsid w:val="00541108"/>
    <w:rsid w:val="00547827"/>
    <w:rsid w:val="00560F2D"/>
    <w:rsid w:val="00563C94"/>
    <w:rsid w:val="00564C71"/>
    <w:rsid w:val="0056618C"/>
    <w:rsid w:val="0058198F"/>
    <w:rsid w:val="00582F1C"/>
    <w:rsid w:val="005859CC"/>
    <w:rsid w:val="00586C57"/>
    <w:rsid w:val="00587CD1"/>
    <w:rsid w:val="005A1650"/>
    <w:rsid w:val="005A4569"/>
    <w:rsid w:val="005A6687"/>
    <w:rsid w:val="005A77AC"/>
    <w:rsid w:val="005C4B8B"/>
    <w:rsid w:val="005C68CE"/>
    <w:rsid w:val="005D1037"/>
    <w:rsid w:val="005D4097"/>
    <w:rsid w:val="005D6652"/>
    <w:rsid w:val="005E3DFB"/>
    <w:rsid w:val="005E4050"/>
    <w:rsid w:val="005E4C48"/>
    <w:rsid w:val="005F18AD"/>
    <w:rsid w:val="005F31D0"/>
    <w:rsid w:val="00601A25"/>
    <w:rsid w:val="00601C18"/>
    <w:rsid w:val="00601E71"/>
    <w:rsid w:val="0060661E"/>
    <w:rsid w:val="00612663"/>
    <w:rsid w:val="00614693"/>
    <w:rsid w:val="00645036"/>
    <w:rsid w:val="00647DD2"/>
    <w:rsid w:val="006520EE"/>
    <w:rsid w:val="00652545"/>
    <w:rsid w:val="00652A42"/>
    <w:rsid w:val="006540A8"/>
    <w:rsid w:val="006705A4"/>
    <w:rsid w:val="006722EB"/>
    <w:rsid w:val="00686F6E"/>
    <w:rsid w:val="00697E41"/>
    <w:rsid w:val="006A5317"/>
    <w:rsid w:val="006A7228"/>
    <w:rsid w:val="006B004C"/>
    <w:rsid w:val="006C1858"/>
    <w:rsid w:val="006C242A"/>
    <w:rsid w:val="006C2B2B"/>
    <w:rsid w:val="006C57B2"/>
    <w:rsid w:val="006C5A2C"/>
    <w:rsid w:val="006C6D60"/>
    <w:rsid w:val="006D6E0B"/>
    <w:rsid w:val="006E1063"/>
    <w:rsid w:val="006E312B"/>
    <w:rsid w:val="006E40BD"/>
    <w:rsid w:val="006E7E57"/>
    <w:rsid w:val="006F4169"/>
    <w:rsid w:val="007001FF"/>
    <w:rsid w:val="007059A9"/>
    <w:rsid w:val="00706720"/>
    <w:rsid w:val="00710600"/>
    <w:rsid w:val="0071106C"/>
    <w:rsid w:val="00715BED"/>
    <w:rsid w:val="00716B82"/>
    <w:rsid w:val="007201F8"/>
    <w:rsid w:val="007209C0"/>
    <w:rsid w:val="00722B62"/>
    <w:rsid w:val="0072650E"/>
    <w:rsid w:val="007306EC"/>
    <w:rsid w:val="00740EE4"/>
    <w:rsid w:val="00747724"/>
    <w:rsid w:val="00750C0F"/>
    <w:rsid w:val="00763150"/>
    <w:rsid w:val="0076429B"/>
    <w:rsid w:val="00767397"/>
    <w:rsid w:val="00773AE0"/>
    <w:rsid w:val="00776BBA"/>
    <w:rsid w:val="00781A4A"/>
    <w:rsid w:val="00791198"/>
    <w:rsid w:val="007941C2"/>
    <w:rsid w:val="00795966"/>
    <w:rsid w:val="007966A5"/>
    <w:rsid w:val="007A12DE"/>
    <w:rsid w:val="007A24B5"/>
    <w:rsid w:val="007A51E1"/>
    <w:rsid w:val="007A7E7A"/>
    <w:rsid w:val="007B7771"/>
    <w:rsid w:val="007D470C"/>
    <w:rsid w:val="007D4B14"/>
    <w:rsid w:val="007D4F53"/>
    <w:rsid w:val="007E52F7"/>
    <w:rsid w:val="007E5F68"/>
    <w:rsid w:val="0080456D"/>
    <w:rsid w:val="00811D1C"/>
    <w:rsid w:val="008133CF"/>
    <w:rsid w:val="008170C0"/>
    <w:rsid w:val="008344A6"/>
    <w:rsid w:val="00875D0C"/>
    <w:rsid w:val="008776EF"/>
    <w:rsid w:val="00882958"/>
    <w:rsid w:val="008936C5"/>
    <w:rsid w:val="00895965"/>
    <w:rsid w:val="008A6DB5"/>
    <w:rsid w:val="008B4A16"/>
    <w:rsid w:val="008B7161"/>
    <w:rsid w:val="008C0EC8"/>
    <w:rsid w:val="008C268E"/>
    <w:rsid w:val="008C7F3A"/>
    <w:rsid w:val="008D39F4"/>
    <w:rsid w:val="008D4DAB"/>
    <w:rsid w:val="008D70A4"/>
    <w:rsid w:val="008E2239"/>
    <w:rsid w:val="008E24DA"/>
    <w:rsid w:val="008F4BF5"/>
    <w:rsid w:val="008F4EAE"/>
    <w:rsid w:val="008F5409"/>
    <w:rsid w:val="00900CEB"/>
    <w:rsid w:val="00903620"/>
    <w:rsid w:val="009136B3"/>
    <w:rsid w:val="009143E0"/>
    <w:rsid w:val="0091453B"/>
    <w:rsid w:val="009273C1"/>
    <w:rsid w:val="00936A7B"/>
    <w:rsid w:val="00937543"/>
    <w:rsid w:val="00942622"/>
    <w:rsid w:val="00942640"/>
    <w:rsid w:val="00950C55"/>
    <w:rsid w:val="00951926"/>
    <w:rsid w:val="00956CE9"/>
    <w:rsid w:val="009629B5"/>
    <w:rsid w:val="00976584"/>
    <w:rsid w:val="00987973"/>
    <w:rsid w:val="00990F83"/>
    <w:rsid w:val="009962A0"/>
    <w:rsid w:val="009A04DD"/>
    <w:rsid w:val="009B2F99"/>
    <w:rsid w:val="009B34B0"/>
    <w:rsid w:val="009B4053"/>
    <w:rsid w:val="009B48FB"/>
    <w:rsid w:val="009B6259"/>
    <w:rsid w:val="009B77E9"/>
    <w:rsid w:val="009B7937"/>
    <w:rsid w:val="009C2C0E"/>
    <w:rsid w:val="009C30E2"/>
    <w:rsid w:val="009C4CBD"/>
    <w:rsid w:val="009C7F8C"/>
    <w:rsid w:val="009D2B17"/>
    <w:rsid w:val="009D7763"/>
    <w:rsid w:val="009D7D0F"/>
    <w:rsid w:val="009E18FE"/>
    <w:rsid w:val="009E74E3"/>
    <w:rsid w:val="009F43B1"/>
    <w:rsid w:val="009F4655"/>
    <w:rsid w:val="009F4DF7"/>
    <w:rsid w:val="009F6FA3"/>
    <w:rsid w:val="00A0223D"/>
    <w:rsid w:val="00A13F97"/>
    <w:rsid w:val="00A156EE"/>
    <w:rsid w:val="00A200D0"/>
    <w:rsid w:val="00A26940"/>
    <w:rsid w:val="00A270DD"/>
    <w:rsid w:val="00A324A8"/>
    <w:rsid w:val="00A349B0"/>
    <w:rsid w:val="00A475A2"/>
    <w:rsid w:val="00A51DDD"/>
    <w:rsid w:val="00A5490E"/>
    <w:rsid w:val="00A55660"/>
    <w:rsid w:val="00A55C96"/>
    <w:rsid w:val="00A642B8"/>
    <w:rsid w:val="00A66FD2"/>
    <w:rsid w:val="00A67716"/>
    <w:rsid w:val="00A677D8"/>
    <w:rsid w:val="00A834DF"/>
    <w:rsid w:val="00A91C53"/>
    <w:rsid w:val="00A936AE"/>
    <w:rsid w:val="00AA1D87"/>
    <w:rsid w:val="00AA386E"/>
    <w:rsid w:val="00AD3EBD"/>
    <w:rsid w:val="00AE03A4"/>
    <w:rsid w:val="00AE309F"/>
    <w:rsid w:val="00AE4633"/>
    <w:rsid w:val="00AE748C"/>
    <w:rsid w:val="00AF2164"/>
    <w:rsid w:val="00AF2281"/>
    <w:rsid w:val="00B00058"/>
    <w:rsid w:val="00B1081E"/>
    <w:rsid w:val="00B16118"/>
    <w:rsid w:val="00B17A8A"/>
    <w:rsid w:val="00B2315E"/>
    <w:rsid w:val="00B24A61"/>
    <w:rsid w:val="00B254F8"/>
    <w:rsid w:val="00B30EB3"/>
    <w:rsid w:val="00B3322A"/>
    <w:rsid w:val="00B33F8C"/>
    <w:rsid w:val="00B4302A"/>
    <w:rsid w:val="00B4661F"/>
    <w:rsid w:val="00B46A79"/>
    <w:rsid w:val="00B507D2"/>
    <w:rsid w:val="00B529D0"/>
    <w:rsid w:val="00B60F88"/>
    <w:rsid w:val="00B61751"/>
    <w:rsid w:val="00B64ED1"/>
    <w:rsid w:val="00B659EE"/>
    <w:rsid w:val="00B66BAB"/>
    <w:rsid w:val="00B66E50"/>
    <w:rsid w:val="00B70A9F"/>
    <w:rsid w:val="00B71A5E"/>
    <w:rsid w:val="00B76529"/>
    <w:rsid w:val="00B82478"/>
    <w:rsid w:val="00B8698C"/>
    <w:rsid w:val="00B9666A"/>
    <w:rsid w:val="00BA16E2"/>
    <w:rsid w:val="00BA31C3"/>
    <w:rsid w:val="00BA65E6"/>
    <w:rsid w:val="00BA6C2E"/>
    <w:rsid w:val="00BB2FF6"/>
    <w:rsid w:val="00BC18FB"/>
    <w:rsid w:val="00BC21AB"/>
    <w:rsid w:val="00BC254C"/>
    <w:rsid w:val="00BC4C5B"/>
    <w:rsid w:val="00BC77F9"/>
    <w:rsid w:val="00BD3A40"/>
    <w:rsid w:val="00BD60AA"/>
    <w:rsid w:val="00BE18D0"/>
    <w:rsid w:val="00BE240C"/>
    <w:rsid w:val="00BE4577"/>
    <w:rsid w:val="00BF1D01"/>
    <w:rsid w:val="00BF3080"/>
    <w:rsid w:val="00C21D81"/>
    <w:rsid w:val="00C26B1D"/>
    <w:rsid w:val="00C26E38"/>
    <w:rsid w:val="00C3163F"/>
    <w:rsid w:val="00C560C2"/>
    <w:rsid w:val="00C60857"/>
    <w:rsid w:val="00C75920"/>
    <w:rsid w:val="00C80FD8"/>
    <w:rsid w:val="00C83657"/>
    <w:rsid w:val="00C859CC"/>
    <w:rsid w:val="00C94431"/>
    <w:rsid w:val="00C9498F"/>
    <w:rsid w:val="00CA0EE1"/>
    <w:rsid w:val="00CB0C0E"/>
    <w:rsid w:val="00CC300D"/>
    <w:rsid w:val="00CC385B"/>
    <w:rsid w:val="00CC4A35"/>
    <w:rsid w:val="00CD3544"/>
    <w:rsid w:val="00CE48FC"/>
    <w:rsid w:val="00CE5DB6"/>
    <w:rsid w:val="00CE75EF"/>
    <w:rsid w:val="00CF32A8"/>
    <w:rsid w:val="00CF53CA"/>
    <w:rsid w:val="00CF5471"/>
    <w:rsid w:val="00D10FA6"/>
    <w:rsid w:val="00D11DDB"/>
    <w:rsid w:val="00D161D7"/>
    <w:rsid w:val="00D1641C"/>
    <w:rsid w:val="00D16FE8"/>
    <w:rsid w:val="00D22793"/>
    <w:rsid w:val="00D329E0"/>
    <w:rsid w:val="00D40430"/>
    <w:rsid w:val="00D41D64"/>
    <w:rsid w:val="00D44114"/>
    <w:rsid w:val="00D50980"/>
    <w:rsid w:val="00D60D45"/>
    <w:rsid w:val="00D635F1"/>
    <w:rsid w:val="00D67440"/>
    <w:rsid w:val="00D71951"/>
    <w:rsid w:val="00D76436"/>
    <w:rsid w:val="00D84A8C"/>
    <w:rsid w:val="00DA0113"/>
    <w:rsid w:val="00DA26B1"/>
    <w:rsid w:val="00DA37EC"/>
    <w:rsid w:val="00DA38A8"/>
    <w:rsid w:val="00DA3AAA"/>
    <w:rsid w:val="00DA4967"/>
    <w:rsid w:val="00DB0182"/>
    <w:rsid w:val="00DB12E4"/>
    <w:rsid w:val="00DB3B79"/>
    <w:rsid w:val="00DB3D7F"/>
    <w:rsid w:val="00DB5A3A"/>
    <w:rsid w:val="00DC0A52"/>
    <w:rsid w:val="00DC12FF"/>
    <w:rsid w:val="00DC154F"/>
    <w:rsid w:val="00DC158D"/>
    <w:rsid w:val="00DD0358"/>
    <w:rsid w:val="00DD5ACD"/>
    <w:rsid w:val="00DE5B7B"/>
    <w:rsid w:val="00E01475"/>
    <w:rsid w:val="00E032F3"/>
    <w:rsid w:val="00E16C03"/>
    <w:rsid w:val="00E2040E"/>
    <w:rsid w:val="00E2256B"/>
    <w:rsid w:val="00E27FEA"/>
    <w:rsid w:val="00E37A86"/>
    <w:rsid w:val="00E40361"/>
    <w:rsid w:val="00E41452"/>
    <w:rsid w:val="00E524B2"/>
    <w:rsid w:val="00E52E2A"/>
    <w:rsid w:val="00E63DB5"/>
    <w:rsid w:val="00E74D68"/>
    <w:rsid w:val="00E7639D"/>
    <w:rsid w:val="00E77449"/>
    <w:rsid w:val="00E7755A"/>
    <w:rsid w:val="00E8378F"/>
    <w:rsid w:val="00E86AAA"/>
    <w:rsid w:val="00E92E1D"/>
    <w:rsid w:val="00E93C7C"/>
    <w:rsid w:val="00E94C7D"/>
    <w:rsid w:val="00EA2F65"/>
    <w:rsid w:val="00EA4813"/>
    <w:rsid w:val="00EA6E29"/>
    <w:rsid w:val="00ED5E08"/>
    <w:rsid w:val="00EE2B5F"/>
    <w:rsid w:val="00EE51D2"/>
    <w:rsid w:val="00EE6F2C"/>
    <w:rsid w:val="00EF4E45"/>
    <w:rsid w:val="00EF58A8"/>
    <w:rsid w:val="00EF5A5D"/>
    <w:rsid w:val="00EF6B0C"/>
    <w:rsid w:val="00F01843"/>
    <w:rsid w:val="00F02D8D"/>
    <w:rsid w:val="00F114D5"/>
    <w:rsid w:val="00F16C55"/>
    <w:rsid w:val="00F25FA8"/>
    <w:rsid w:val="00F30B5A"/>
    <w:rsid w:val="00F415E2"/>
    <w:rsid w:val="00F427B4"/>
    <w:rsid w:val="00F45735"/>
    <w:rsid w:val="00F5024F"/>
    <w:rsid w:val="00F50297"/>
    <w:rsid w:val="00F51FA1"/>
    <w:rsid w:val="00F5594F"/>
    <w:rsid w:val="00F55D61"/>
    <w:rsid w:val="00F63042"/>
    <w:rsid w:val="00F645EC"/>
    <w:rsid w:val="00F67024"/>
    <w:rsid w:val="00F67559"/>
    <w:rsid w:val="00F71200"/>
    <w:rsid w:val="00F73DCA"/>
    <w:rsid w:val="00F76C75"/>
    <w:rsid w:val="00F77722"/>
    <w:rsid w:val="00F803DE"/>
    <w:rsid w:val="00F96C04"/>
    <w:rsid w:val="00F976F4"/>
    <w:rsid w:val="00FB3934"/>
    <w:rsid w:val="00FB594A"/>
    <w:rsid w:val="00FB7DD0"/>
    <w:rsid w:val="00FC4B88"/>
    <w:rsid w:val="00FD08B1"/>
    <w:rsid w:val="00FD7009"/>
    <w:rsid w:val="00FD7231"/>
    <w:rsid w:val="00FE0150"/>
    <w:rsid w:val="00FE30E3"/>
    <w:rsid w:val="00FF0D8A"/>
    <w:rsid w:val="00FF2760"/>
    <w:rsid w:val="00FF328C"/>
    <w:rsid w:val="00FF442C"/>
    <w:rsid w:val="00FF6C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6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qFormat="1"/>
    <w:lsdException w:name="heading 9" w:semiHidden="1" w:unhideWhenUsed="1" w:qFormat="1"/>
    <w:lsdException w:name="annotation text" w:uiPriority="99"/>
    <w:lsdException w:name="caption" w:qFormat="1"/>
    <w:lsdException w:name="annotation reference" w:uiPriority="99"/>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6A7B"/>
    <w:pPr>
      <w:spacing w:before="120" w:after="120"/>
    </w:pPr>
    <w:rPr>
      <w:rFonts w:ascii="Arial" w:hAnsi="Arial"/>
      <w:sz w:val="22"/>
      <w:szCs w:val="24"/>
    </w:rPr>
  </w:style>
  <w:style w:type="paragraph" w:styleId="Heading1">
    <w:name w:val="heading 1"/>
    <w:basedOn w:val="Normal"/>
    <w:next w:val="Normal"/>
    <w:link w:val="Heading1Char"/>
    <w:qFormat/>
    <w:rsid w:val="005F18AD"/>
    <w:pPr>
      <w:keepNext/>
      <w:numPr>
        <w:numId w:val="23"/>
      </w:numPr>
      <w:spacing w:before="240" w:after="60"/>
      <w:outlineLvl w:val="0"/>
    </w:pPr>
    <w:rPr>
      <w:rFonts w:cs="Arial"/>
      <w:b/>
      <w:bCs/>
      <w:kern w:val="32"/>
      <w:sz w:val="32"/>
      <w:szCs w:val="32"/>
    </w:rPr>
  </w:style>
  <w:style w:type="paragraph" w:styleId="Heading2">
    <w:name w:val="heading 2"/>
    <w:basedOn w:val="Normal"/>
    <w:next w:val="Normal"/>
    <w:link w:val="Heading2Char"/>
    <w:qFormat/>
    <w:rsid w:val="005F18AD"/>
    <w:pPr>
      <w:keepNext/>
      <w:numPr>
        <w:ilvl w:val="1"/>
        <w:numId w:val="23"/>
      </w:numPr>
      <w:spacing w:before="240" w:after="60"/>
      <w:outlineLvl w:val="1"/>
    </w:pPr>
    <w:rPr>
      <w:rFonts w:cs="Arial"/>
      <w:b/>
      <w:bCs/>
      <w:i/>
      <w:iCs/>
      <w:sz w:val="28"/>
      <w:szCs w:val="28"/>
    </w:rPr>
  </w:style>
  <w:style w:type="paragraph" w:styleId="Heading3">
    <w:name w:val="heading 3"/>
    <w:basedOn w:val="Normal"/>
    <w:next w:val="Normal"/>
    <w:link w:val="Heading3Char"/>
    <w:qFormat/>
    <w:rsid w:val="005F18AD"/>
    <w:pPr>
      <w:keepNext/>
      <w:numPr>
        <w:ilvl w:val="2"/>
        <w:numId w:val="23"/>
      </w:numPr>
      <w:spacing w:before="240" w:after="60"/>
      <w:outlineLvl w:val="2"/>
    </w:pPr>
    <w:rPr>
      <w:rFonts w:cs="Arial"/>
      <w:b/>
      <w:bCs/>
      <w:sz w:val="26"/>
      <w:szCs w:val="26"/>
    </w:rPr>
  </w:style>
  <w:style w:type="paragraph" w:styleId="Heading4">
    <w:name w:val="heading 4"/>
    <w:basedOn w:val="Normal"/>
    <w:next w:val="Normal"/>
    <w:link w:val="Heading4Char"/>
    <w:qFormat/>
    <w:rsid w:val="005F18AD"/>
    <w:pPr>
      <w:keepNext/>
      <w:numPr>
        <w:ilvl w:val="3"/>
        <w:numId w:val="23"/>
      </w:numPr>
      <w:spacing w:before="240" w:after="60"/>
      <w:outlineLvl w:val="3"/>
    </w:pPr>
    <w:rPr>
      <w:b/>
      <w:bCs/>
      <w:sz w:val="28"/>
      <w:szCs w:val="28"/>
    </w:rPr>
  </w:style>
  <w:style w:type="paragraph" w:styleId="Heading5">
    <w:name w:val="heading 5"/>
    <w:basedOn w:val="Normal"/>
    <w:next w:val="Normal"/>
    <w:link w:val="Heading5Char"/>
    <w:qFormat/>
    <w:rsid w:val="005F18AD"/>
    <w:pPr>
      <w:spacing w:before="240" w:after="60"/>
      <w:outlineLvl w:val="4"/>
    </w:pPr>
    <w:rPr>
      <w:b/>
      <w:bCs/>
      <w:i/>
      <w:iCs/>
      <w:sz w:val="26"/>
      <w:szCs w:val="26"/>
    </w:rPr>
  </w:style>
  <w:style w:type="paragraph" w:styleId="Heading6">
    <w:name w:val="heading 6"/>
    <w:basedOn w:val="Normal"/>
    <w:next w:val="Normal"/>
    <w:link w:val="Heading6Char"/>
    <w:qFormat/>
    <w:rsid w:val="005F18AD"/>
    <w:pPr>
      <w:spacing w:before="240" w:after="60"/>
      <w:outlineLvl w:val="5"/>
    </w:pPr>
    <w:rPr>
      <w:b/>
      <w:bCs/>
      <w:szCs w:val="22"/>
    </w:rPr>
  </w:style>
  <w:style w:type="paragraph" w:styleId="Heading8">
    <w:name w:val="heading 8"/>
    <w:basedOn w:val="Normal"/>
    <w:next w:val="Normal"/>
    <w:link w:val="Heading8Char"/>
    <w:qFormat/>
    <w:rsid w:val="005F18AD"/>
    <w:pPr>
      <w:spacing w:before="240" w:after="60"/>
      <w:outlineLvl w:val="7"/>
    </w:pPr>
    <w:rPr>
      <w:rFonts w:eastAsia="Batang"/>
      <w:i/>
      <w:iCs/>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5F18AD"/>
    <w:rPr>
      <w:rFonts w:ascii="Arial" w:hAnsi="Arial" w:cs="Arial"/>
      <w:b/>
      <w:bCs/>
      <w:kern w:val="32"/>
      <w:sz w:val="32"/>
      <w:szCs w:val="32"/>
    </w:rPr>
  </w:style>
  <w:style w:type="character" w:customStyle="1" w:styleId="Heading2Char">
    <w:name w:val="Heading 2 Char"/>
    <w:link w:val="Heading2"/>
    <w:locked/>
    <w:rsid w:val="005F18AD"/>
    <w:rPr>
      <w:rFonts w:ascii="Arial" w:hAnsi="Arial" w:cs="Arial"/>
      <w:b/>
      <w:bCs/>
      <w:i/>
      <w:iCs/>
      <w:sz w:val="28"/>
      <w:szCs w:val="28"/>
    </w:rPr>
  </w:style>
  <w:style w:type="character" w:customStyle="1" w:styleId="Heading3Char">
    <w:name w:val="Heading 3 Char"/>
    <w:link w:val="Heading3"/>
    <w:locked/>
    <w:rsid w:val="005F18AD"/>
    <w:rPr>
      <w:rFonts w:ascii="Arial" w:hAnsi="Arial" w:cs="Arial"/>
      <w:b/>
      <w:bCs/>
      <w:sz w:val="26"/>
      <w:szCs w:val="26"/>
    </w:rPr>
  </w:style>
  <w:style w:type="character" w:customStyle="1" w:styleId="Heading4Char">
    <w:name w:val="Heading 4 Char"/>
    <w:link w:val="Heading4"/>
    <w:locked/>
    <w:rsid w:val="005F18AD"/>
    <w:rPr>
      <w:rFonts w:ascii="Arial" w:hAnsi="Arial"/>
      <w:b/>
      <w:bCs/>
      <w:sz w:val="28"/>
      <w:szCs w:val="28"/>
    </w:rPr>
  </w:style>
  <w:style w:type="character" w:customStyle="1" w:styleId="Heading5Char">
    <w:name w:val="Heading 5 Char"/>
    <w:link w:val="Heading5"/>
    <w:semiHidden/>
    <w:locked/>
    <w:rsid w:val="005F18AD"/>
    <w:rPr>
      <w:b/>
      <w:bCs/>
      <w:i/>
      <w:iCs/>
      <w:sz w:val="26"/>
      <w:szCs w:val="26"/>
      <w:lang w:val="en-AU" w:eastAsia="en-AU" w:bidi="ar-SA"/>
    </w:rPr>
  </w:style>
  <w:style w:type="character" w:customStyle="1" w:styleId="Heading6Char">
    <w:name w:val="Heading 6 Char"/>
    <w:link w:val="Heading6"/>
    <w:semiHidden/>
    <w:locked/>
    <w:rsid w:val="005F18AD"/>
    <w:rPr>
      <w:b/>
      <w:bCs/>
      <w:sz w:val="22"/>
      <w:szCs w:val="22"/>
      <w:lang w:val="en-AU" w:eastAsia="en-AU" w:bidi="ar-SA"/>
    </w:rPr>
  </w:style>
  <w:style w:type="character" w:customStyle="1" w:styleId="Heading8Char">
    <w:name w:val="Heading 8 Char"/>
    <w:link w:val="Heading8"/>
    <w:semiHidden/>
    <w:locked/>
    <w:rsid w:val="005F18AD"/>
    <w:rPr>
      <w:rFonts w:eastAsia="Batang"/>
      <w:i/>
      <w:iCs/>
      <w:sz w:val="24"/>
      <w:szCs w:val="24"/>
      <w:lang w:val="en-AU" w:eastAsia="ko-KR" w:bidi="ar-SA"/>
    </w:rPr>
  </w:style>
  <w:style w:type="paragraph" w:styleId="Header">
    <w:name w:val="header"/>
    <w:basedOn w:val="Normal"/>
    <w:link w:val="HeaderChar"/>
    <w:rsid w:val="005F18AD"/>
    <w:pPr>
      <w:tabs>
        <w:tab w:val="center" w:pos="4153"/>
        <w:tab w:val="right" w:pos="8306"/>
      </w:tabs>
    </w:pPr>
    <w:rPr>
      <w:lang w:eastAsia="en-US"/>
    </w:rPr>
  </w:style>
  <w:style w:type="character" w:customStyle="1" w:styleId="HeaderChar">
    <w:name w:val="Header Char"/>
    <w:link w:val="Header"/>
    <w:semiHidden/>
    <w:locked/>
    <w:rsid w:val="005F18AD"/>
    <w:rPr>
      <w:sz w:val="24"/>
      <w:szCs w:val="24"/>
      <w:lang w:val="en-AU" w:eastAsia="en-US" w:bidi="ar-SA"/>
    </w:rPr>
  </w:style>
  <w:style w:type="paragraph" w:styleId="Footer">
    <w:name w:val="footer"/>
    <w:basedOn w:val="Normal"/>
    <w:link w:val="FooterChar"/>
    <w:rsid w:val="005F18AD"/>
    <w:pPr>
      <w:pBdr>
        <w:top w:val="single" w:sz="4" w:space="4" w:color="auto"/>
      </w:pBdr>
      <w:tabs>
        <w:tab w:val="right" w:pos="8306"/>
      </w:tabs>
    </w:pPr>
    <w:rPr>
      <w:smallCaps/>
      <w:sz w:val="20"/>
      <w:lang w:eastAsia="en-US"/>
    </w:rPr>
  </w:style>
  <w:style w:type="character" w:customStyle="1" w:styleId="FooterChar">
    <w:name w:val="Footer Char"/>
    <w:link w:val="Footer"/>
    <w:locked/>
    <w:rsid w:val="005F18AD"/>
    <w:rPr>
      <w:rFonts w:ascii="Arial" w:hAnsi="Arial"/>
      <w:smallCaps/>
      <w:szCs w:val="24"/>
      <w:lang w:val="en-AU" w:eastAsia="en-US" w:bidi="ar-SA"/>
    </w:rPr>
  </w:style>
  <w:style w:type="paragraph" w:styleId="BodyText">
    <w:name w:val="Body Text"/>
    <w:basedOn w:val="Normal"/>
    <w:link w:val="BodyTextChar"/>
    <w:rsid w:val="005F18AD"/>
    <w:pPr>
      <w:spacing w:after="240"/>
    </w:pPr>
  </w:style>
  <w:style w:type="character" w:customStyle="1" w:styleId="BodyTextChar">
    <w:name w:val="Body Text Char"/>
    <w:link w:val="BodyText"/>
    <w:locked/>
    <w:rsid w:val="005F18AD"/>
    <w:rPr>
      <w:sz w:val="24"/>
      <w:szCs w:val="24"/>
      <w:lang w:val="en-AU" w:eastAsia="en-AU" w:bidi="ar-SA"/>
    </w:rPr>
  </w:style>
  <w:style w:type="paragraph" w:styleId="CommentText">
    <w:name w:val="annotation text"/>
    <w:basedOn w:val="Normal"/>
    <w:link w:val="CommentTextChar"/>
    <w:uiPriority w:val="99"/>
    <w:semiHidden/>
    <w:rsid w:val="005F18AD"/>
    <w:rPr>
      <w:sz w:val="20"/>
    </w:rPr>
  </w:style>
  <w:style w:type="character" w:customStyle="1" w:styleId="CommentTextChar">
    <w:name w:val="Comment Text Char"/>
    <w:link w:val="CommentText"/>
    <w:uiPriority w:val="99"/>
    <w:semiHidden/>
    <w:locked/>
    <w:rsid w:val="005F18AD"/>
    <w:rPr>
      <w:szCs w:val="24"/>
      <w:lang w:val="en-AU" w:eastAsia="en-AU" w:bidi="ar-SA"/>
    </w:rPr>
  </w:style>
  <w:style w:type="paragraph" w:styleId="CommentSubject">
    <w:name w:val="annotation subject"/>
    <w:basedOn w:val="CommentText"/>
    <w:next w:val="CommentText"/>
    <w:link w:val="CommentSubjectChar"/>
    <w:semiHidden/>
    <w:rsid w:val="005F18AD"/>
    <w:rPr>
      <w:b/>
      <w:bCs/>
    </w:rPr>
  </w:style>
  <w:style w:type="character" w:customStyle="1" w:styleId="CommentSubjectChar">
    <w:name w:val="Comment Subject Char"/>
    <w:link w:val="CommentSubject"/>
    <w:semiHidden/>
    <w:locked/>
    <w:rsid w:val="005F18AD"/>
    <w:rPr>
      <w:b/>
      <w:bCs/>
      <w:szCs w:val="24"/>
      <w:lang w:val="en-AU" w:eastAsia="en-AU" w:bidi="ar-SA"/>
    </w:rPr>
  </w:style>
  <w:style w:type="paragraph" w:styleId="BalloonText">
    <w:name w:val="Balloon Text"/>
    <w:basedOn w:val="Normal"/>
    <w:link w:val="BalloonTextChar"/>
    <w:semiHidden/>
    <w:rsid w:val="005F18AD"/>
    <w:rPr>
      <w:rFonts w:ascii="Tahoma" w:hAnsi="Tahoma" w:cs="Tahoma"/>
      <w:sz w:val="16"/>
      <w:szCs w:val="16"/>
    </w:rPr>
  </w:style>
  <w:style w:type="character" w:customStyle="1" w:styleId="BalloonTextChar">
    <w:name w:val="Balloon Text Char"/>
    <w:link w:val="BalloonText"/>
    <w:semiHidden/>
    <w:locked/>
    <w:rsid w:val="005F18AD"/>
    <w:rPr>
      <w:rFonts w:ascii="Tahoma" w:hAnsi="Tahoma" w:cs="Tahoma"/>
      <w:sz w:val="16"/>
      <w:szCs w:val="16"/>
      <w:lang w:val="en-AU" w:eastAsia="en-AU" w:bidi="ar-SA"/>
    </w:rPr>
  </w:style>
  <w:style w:type="paragraph" w:customStyle="1" w:styleId="FigHeading">
    <w:name w:val="Fig Heading"/>
    <w:basedOn w:val="Normal"/>
    <w:link w:val="FigHeadingCharChar"/>
    <w:rsid w:val="005F18AD"/>
    <w:pPr>
      <w:keepNext/>
      <w:numPr>
        <w:numId w:val="3"/>
      </w:numPr>
    </w:pPr>
    <w:rPr>
      <w:rFonts w:cs="Arial"/>
      <w:b/>
      <w:sz w:val="20"/>
    </w:rPr>
  </w:style>
  <w:style w:type="character" w:customStyle="1" w:styleId="FigHeadingCharChar">
    <w:name w:val="Fig Heading Char Char"/>
    <w:link w:val="FigHeading"/>
    <w:rsid w:val="005F18AD"/>
    <w:rPr>
      <w:rFonts w:ascii="Arial" w:hAnsi="Arial" w:cs="Arial"/>
      <w:b/>
      <w:szCs w:val="24"/>
    </w:rPr>
  </w:style>
  <w:style w:type="paragraph" w:customStyle="1" w:styleId="AERbodytext">
    <w:name w:val="AER body text"/>
    <w:basedOn w:val="Normal"/>
    <w:rsid w:val="00936A7B"/>
    <w:pPr>
      <w:spacing w:before="200" w:after="0" w:line="276" w:lineRule="auto"/>
    </w:pPr>
    <w:rPr>
      <w:lang w:eastAsia="en-US"/>
    </w:rPr>
  </w:style>
  <w:style w:type="character" w:customStyle="1" w:styleId="AERbodytextChar">
    <w:name w:val="AER body text Char"/>
    <w:locked/>
    <w:rsid w:val="005F18AD"/>
    <w:rPr>
      <w:rFonts w:cs="Times New Roman"/>
      <w:sz w:val="24"/>
      <w:lang w:val="en-AU" w:eastAsia="en-AU" w:bidi="ar-SA"/>
    </w:rPr>
  </w:style>
  <w:style w:type="character" w:styleId="FootnoteReference">
    <w:name w:val="footnote reference"/>
    <w:semiHidden/>
    <w:rsid w:val="005F18AD"/>
    <w:rPr>
      <w:vertAlign w:val="superscript"/>
    </w:rPr>
  </w:style>
  <w:style w:type="paragraph" w:styleId="FootnoteText">
    <w:name w:val="footnote text"/>
    <w:basedOn w:val="Normal"/>
    <w:link w:val="FootnoteTextChar"/>
    <w:rsid w:val="005F18AD"/>
    <w:pPr>
      <w:ind w:left="340" w:hanging="340"/>
    </w:pPr>
    <w:rPr>
      <w:sz w:val="20"/>
      <w:szCs w:val="20"/>
      <w:lang w:eastAsia="en-US"/>
    </w:rPr>
  </w:style>
  <w:style w:type="character" w:customStyle="1" w:styleId="FootnoteTextChar">
    <w:name w:val="Footnote Text Char"/>
    <w:link w:val="FootnoteText"/>
    <w:locked/>
    <w:rsid w:val="005F18AD"/>
    <w:rPr>
      <w:lang w:val="en-AU" w:eastAsia="en-US" w:bidi="ar-SA"/>
    </w:rPr>
  </w:style>
  <w:style w:type="paragraph" w:styleId="Caption">
    <w:name w:val="caption"/>
    <w:basedOn w:val="Normal"/>
    <w:next w:val="Normal"/>
    <w:qFormat/>
    <w:rsid w:val="000F2287"/>
    <w:pPr>
      <w:keepNext/>
      <w:spacing w:before="240" w:line="276" w:lineRule="auto"/>
    </w:pPr>
    <w:rPr>
      <w:rFonts w:eastAsiaTheme="minorHAnsi" w:cstheme="minorBidi"/>
      <w:b/>
      <w:bCs/>
      <w:color w:val="0070C0"/>
      <w:szCs w:val="22"/>
      <w:lang w:eastAsia="en-US"/>
    </w:rPr>
  </w:style>
  <w:style w:type="character" w:styleId="Hyperlink">
    <w:name w:val="Hyperlink"/>
    <w:semiHidden/>
    <w:rsid w:val="005F18AD"/>
    <w:rPr>
      <w:color w:val="0000FF"/>
      <w:u w:val="single"/>
    </w:rPr>
  </w:style>
  <w:style w:type="character" w:customStyle="1" w:styleId="FigHeadingChar">
    <w:name w:val="Fig Heading Char"/>
    <w:locked/>
    <w:rsid w:val="005F18AD"/>
    <w:rPr>
      <w:b/>
      <w:i/>
      <w:sz w:val="22"/>
      <w:szCs w:val="24"/>
      <w:lang w:val="en-AU" w:eastAsia="en-AU" w:bidi="ar-SA"/>
    </w:rPr>
  </w:style>
  <w:style w:type="paragraph" w:customStyle="1" w:styleId="TableHeader">
    <w:name w:val="Table Header"/>
    <w:basedOn w:val="Normal"/>
    <w:rsid w:val="005F18AD"/>
    <w:pPr>
      <w:jc w:val="center"/>
    </w:pPr>
    <w:rPr>
      <w:b/>
      <w:bCs/>
    </w:rPr>
  </w:style>
  <w:style w:type="paragraph" w:styleId="DocumentMap">
    <w:name w:val="Document Map"/>
    <w:basedOn w:val="Normal"/>
    <w:link w:val="DocumentMapChar"/>
    <w:semiHidden/>
    <w:rsid w:val="005F18AD"/>
    <w:pPr>
      <w:shd w:val="clear" w:color="auto" w:fill="000080"/>
    </w:pPr>
    <w:rPr>
      <w:rFonts w:ascii="Tahoma" w:hAnsi="Tahoma" w:cs="Tahoma"/>
      <w:sz w:val="20"/>
    </w:rPr>
  </w:style>
  <w:style w:type="character" w:customStyle="1" w:styleId="DocumentMapChar">
    <w:name w:val="Document Map Char"/>
    <w:link w:val="DocumentMap"/>
    <w:semiHidden/>
    <w:locked/>
    <w:rsid w:val="005F18AD"/>
    <w:rPr>
      <w:rFonts w:ascii="Tahoma" w:hAnsi="Tahoma" w:cs="Tahoma"/>
      <w:szCs w:val="24"/>
      <w:lang w:val="en-AU" w:eastAsia="en-AU" w:bidi="ar-SA"/>
    </w:rPr>
  </w:style>
  <w:style w:type="paragraph" w:customStyle="1" w:styleId="Tabletext">
    <w:name w:val="Table text"/>
    <w:basedOn w:val="Normal"/>
    <w:rsid w:val="005F18AD"/>
    <w:pPr>
      <w:jc w:val="center"/>
    </w:pPr>
  </w:style>
  <w:style w:type="paragraph" w:customStyle="1" w:styleId="Char">
    <w:name w:val="Char"/>
    <w:basedOn w:val="Normal"/>
    <w:rsid w:val="005F18AD"/>
    <w:pPr>
      <w:spacing w:after="160" w:line="240" w:lineRule="exact"/>
    </w:pPr>
    <w:rPr>
      <w:rFonts w:ascii="Tahoma" w:hAnsi="Tahoma"/>
      <w:sz w:val="20"/>
      <w:lang w:val="en-US"/>
    </w:rPr>
  </w:style>
  <w:style w:type="character" w:styleId="FollowedHyperlink">
    <w:name w:val="FollowedHyperlink"/>
    <w:rsid w:val="005F18AD"/>
    <w:rPr>
      <w:rFonts w:cs="Times New Roman"/>
      <w:color w:val="800080"/>
      <w:u w:val="single"/>
    </w:rPr>
  </w:style>
  <w:style w:type="paragraph" w:styleId="Date">
    <w:name w:val="Date"/>
    <w:basedOn w:val="Normal"/>
    <w:next w:val="Normal"/>
    <w:link w:val="DateChar"/>
    <w:rsid w:val="005F18AD"/>
  </w:style>
  <w:style w:type="character" w:customStyle="1" w:styleId="DateChar">
    <w:name w:val="Date Char"/>
    <w:link w:val="Date"/>
    <w:semiHidden/>
    <w:locked/>
    <w:rsid w:val="005F18AD"/>
    <w:rPr>
      <w:sz w:val="24"/>
      <w:szCs w:val="24"/>
      <w:lang w:val="en-AU" w:eastAsia="en-AU" w:bidi="ar-SA"/>
    </w:rPr>
  </w:style>
  <w:style w:type="paragraph" w:styleId="NormalWeb">
    <w:name w:val="Normal (Web)"/>
    <w:basedOn w:val="Normal"/>
    <w:uiPriority w:val="99"/>
    <w:rsid w:val="005F18AD"/>
    <w:pPr>
      <w:spacing w:before="100" w:beforeAutospacing="1" w:after="100" w:afterAutospacing="1"/>
    </w:pPr>
  </w:style>
  <w:style w:type="paragraph" w:customStyle="1" w:styleId="AERBullet1">
    <w:name w:val="AER Bullet 1"/>
    <w:basedOn w:val="AERbodytext"/>
    <w:rsid w:val="005F18AD"/>
    <w:pPr>
      <w:numPr>
        <w:numId w:val="1"/>
      </w:numPr>
    </w:pPr>
  </w:style>
  <w:style w:type="paragraph" w:customStyle="1" w:styleId="Default">
    <w:name w:val="Default"/>
    <w:rsid w:val="005F18AD"/>
    <w:pPr>
      <w:autoSpaceDE w:val="0"/>
      <w:autoSpaceDN w:val="0"/>
      <w:adjustRightInd w:val="0"/>
    </w:pPr>
    <w:rPr>
      <w:color w:val="000000"/>
      <w:sz w:val="24"/>
      <w:szCs w:val="24"/>
    </w:rPr>
  </w:style>
  <w:style w:type="paragraph" w:styleId="ListContinue">
    <w:name w:val="List Continue"/>
    <w:basedOn w:val="Normal"/>
    <w:rsid w:val="005F18AD"/>
    <w:pPr>
      <w:ind w:left="283"/>
    </w:pPr>
  </w:style>
  <w:style w:type="paragraph" w:customStyle="1" w:styleId="Char0">
    <w:name w:val="Char"/>
    <w:basedOn w:val="Normal"/>
    <w:rsid w:val="005F18AD"/>
    <w:pPr>
      <w:spacing w:after="160" w:line="240" w:lineRule="exact"/>
    </w:pPr>
    <w:rPr>
      <w:rFonts w:ascii="Tahoma" w:hAnsi="Tahoma"/>
      <w:sz w:val="20"/>
      <w:lang w:val="en-US"/>
    </w:rPr>
  </w:style>
  <w:style w:type="paragraph" w:customStyle="1" w:styleId="Body1">
    <w:name w:val="Body 1"/>
    <w:basedOn w:val="Normal"/>
    <w:rsid w:val="005F18AD"/>
    <w:pPr>
      <w:keepLines/>
      <w:overflowPunct w:val="0"/>
      <w:autoSpaceDE w:val="0"/>
      <w:autoSpaceDN w:val="0"/>
      <w:adjustRightInd w:val="0"/>
      <w:spacing w:before="60" w:after="60"/>
      <w:textAlignment w:val="baseline"/>
    </w:pPr>
    <w:rPr>
      <w:rFonts w:cs="Arial"/>
      <w:sz w:val="20"/>
      <w:lang w:val="en-IE" w:eastAsia="en-GB"/>
    </w:rPr>
  </w:style>
  <w:style w:type="character" w:styleId="Emphasis">
    <w:name w:val="Emphasis"/>
    <w:qFormat/>
    <w:rsid w:val="005F18AD"/>
    <w:rPr>
      <w:i/>
      <w:iCs/>
    </w:rPr>
  </w:style>
  <w:style w:type="paragraph" w:customStyle="1" w:styleId="Footnote">
    <w:name w:val="Footnote"/>
    <w:basedOn w:val="Normal"/>
    <w:link w:val="FootnoteChar"/>
    <w:rsid w:val="005F18AD"/>
    <w:pPr>
      <w:tabs>
        <w:tab w:val="left" w:pos="7380"/>
      </w:tabs>
      <w:autoSpaceDE w:val="0"/>
      <w:autoSpaceDN w:val="0"/>
      <w:adjustRightInd w:val="0"/>
      <w:jc w:val="both"/>
    </w:pPr>
    <w:rPr>
      <w:sz w:val="20"/>
    </w:rPr>
  </w:style>
  <w:style w:type="paragraph" w:customStyle="1" w:styleId="AERunnumberedheading5">
    <w:name w:val="AER unnumbered heading 5"/>
    <w:basedOn w:val="Heading5"/>
    <w:next w:val="AERbodytext"/>
    <w:rsid w:val="005F18AD"/>
    <w:pPr>
      <w:keepNext/>
      <w:spacing w:line="240" w:lineRule="atLeast"/>
    </w:pPr>
    <w:rPr>
      <w:sz w:val="22"/>
    </w:rPr>
  </w:style>
  <w:style w:type="paragraph" w:customStyle="1" w:styleId="AERtabletextheading">
    <w:name w:val="AER table text heading"/>
    <w:basedOn w:val="AERtabletext"/>
    <w:rsid w:val="005F18AD"/>
    <w:rPr>
      <w:b/>
    </w:rPr>
  </w:style>
  <w:style w:type="paragraph" w:customStyle="1" w:styleId="FigHeadingN">
    <w:name w:val="Fig Heading N"/>
    <w:basedOn w:val="FigHeading"/>
    <w:rsid w:val="005F18AD"/>
    <w:pPr>
      <w:numPr>
        <w:ilvl w:val="1"/>
        <w:numId w:val="2"/>
      </w:numPr>
      <w:tabs>
        <w:tab w:val="clear" w:pos="0"/>
        <w:tab w:val="num" w:pos="360"/>
      </w:tabs>
    </w:pPr>
  </w:style>
  <w:style w:type="paragraph" w:customStyle="1" w:styleId="AERheading2">
    <w:name w:val="AER heading 2"/>
    <w:basedOn w:val="Heading2"/>
    <w:next w:val="AERbodytext"/>
    <w:rsid w:val="005F18AD"/>
    <w:pPr>
      <w:spacing w:after="120"/>
    </w:pPr>
    <w:rPr>
      <w:i w:val="0"/>
      <w:sz w:val="30"/>
      <w:lang w:eastAsia="en-US"/>
    </w:rPr>
  </w:style>
  <w:style w:type="paragraph" w:customStyle="1" w:styleId="AERheading3">
    <w:name w:val="AER heading 3"/>
    <w:basedOn w:val="Heading3"/>
    <w:next w:val="AERbodytext"/>
    <w:rsid w:val="005F18AD"/>
    <w:pPr>
      <w:spacing w:after="120"/>
    </w:pPr>
    <w:rPr>
      <w:rFonts w:ascii="Arial Bold" w:hAnsi="Arial Bold"/>
      <w:sz w:val="24"/>
      <w:szCs w:val="24"/>
      <w:lang w:eastAsia="en-US"/>
    </w:rPr>
  </w:style>
  <w:style w:type="paragraph" w:customStyle="1" w:styleId="AERheading4">
    <w:name w:val="AER heading 4"/>
    <w:basedOn w:val="Heading4"/>
    <w:next w:val="AERbodytext"/>
    <w:rsid w:val="005F18AD"/>
    <w:pPr>
      <w:spacing w:after="120"/>
    </w:pPr>
    <w:rPr>
      <w:sz w:val="22"/>
      <w:lang w:eastAsia="en-US"/>
    </w:rPr>
  </w:style>
  <w:style w:type="paragraph" w:customStyle="1" w:styleId="AERtableheading">
    <w:name w:val="AER table heading"/>
    <w:basedOn w:val="Normal"/>
    <w:next w:val="Normal"/>
    <w:rsid w:val="005F18AD"/>
    <w:pPr>
      <w:keepNext/>
      <w:spacing w:before="240"/>
      <w:outlineLvl w:val="3"/>
    </w:pPr>
    <w:rPr>
      <w:b/>
      <w:lang w:eastAsia="en-US"/>
    </w:rPr>
  </w:style>
  <w:style w:type="paragraph" w:customStyle="1" w:styleId="AERfigureheading">
    <w:name w:val="AER figure heading"/>
    <w:basedOn w:val="Normal"/>
    <w:next w:val="AERbodytext"/>
    <w:rsid w:val="000F2287"/>
    <w:pPr>
      <w:keepNext/>
      <w:spacing w:before="240"/>
      <w:outlineLvl w:val="3"/>
    </w:pPr>
    <w:rPr>
      <w:b/>
      <w:color w:val="0070C0"/>
      <w:lang w:eastAsia="en-US"/>
    </w:rPr>
  </w:style>
  <w:style w:type="paragraph" w:customStyle="1" w:styleId="AERtableheading-unnumbered">
    <w:name w:val="AER table heading - unnumbered"/>
    <w:basedOn w:val="AERtableheading"/>
    <w:rsid w:val="005F18AD"/>
    <w:pPr>
      <w:numPr>
        <w:ilvl w:val="6"/>
      </w:numPr>
    </w:pPr>
  </w:style>
  <w:style w:type="paragraph" w:customStyle="1" w:styleId="AERfigureheading-unnumbered">
    <w:name w:val="AER figure heading - unnumbered"/>
    <w:basedOn w:val="AERfigureheading"/>
    <w:rsid w:val="005F18AD"/>
    <w:pPr>
      <w:tabs>
        <w:tab w:val="num" w:pos="1134"/>
      </w:tabs>
      <w:ind w:left="1361" w:hanging="1361"/>
    </w:pPr>
  </w:style>
  <w:style w:type="paragraph" w:customStyle="1" w:styleId="FigHeadingV">
    <w:name w:val="Fig Heading V"/>
    <w:basedOn w:val="FigHeading"/>
    <w:rsid w:val="005F18AD"/>
    <w:pPr>
      <w:numPr>
        <w:ilvl w:val="2"/>
        <w:numId w:val="2"/>
      </w:numPr>
      <w:tabs>
        <w:tab w:val="clear" w:pos="0"/>
        <w:tab w:val="num" w:pos="360"/>
      </w:tabs>
    </w:pPr>
  </w:style>
  <w:style w:type="paragraph" w:customStyle="1" w:styleId="FigHeadingS">
    <w:name w:val="Fig Heading S"/>
    <w:basedOn w:val="FigHeading"/>
    <w:link w:val="FigHeadingSChar"/>
    <w:rsid w:val="005F18AD"/>
    <w:pPr>
      <w:numPr>
        <w:ilvl w:val="3"/>
      </w:numPr>
    </w:pPr>
  </w:style>
  <w:style w:type="character" w:customStyle="1" w:styleId="FigHeadingSChar">
    <w:name w:val="Fig Heading S Char"/>
    <w:basedOn w:val="FigHeadingCharChar"/>
    <w:link w:val="FigHeadingS"/>
    <w:rsid w:val="005F18AD"/>
    <w:rPr>
      <w:rFonts w:ascii="Arial" w:hAnsi="Arial" w:cs="Arial"/>
      <w:b/>
      <w:szCs w:val="24"/>
    </w:rPr>
  </w:style>
  <w:style w:type="paragraph" w:customStyle="1" w:styleId="FigheadingA">
    <w:name w:val="Fig heading A"/>
    <w:basedOn w:val="Heading6"/>
    <w:rsid w:val="005F18AD"/>
    <w:pPr>
      <w:numPr>
        <w:ilvl w:val="5"/>
        <w:numId w:val="3"/>
      </w:numPr>
      <w:spacing w:before="0" w:after="120"/>
    </w:pPr>
    <w:rPr>
      <w:rFonts w:cs="Arial"/>
      <w:sz w:val="20"/>
      <w:szCs w:val="20"/>
    </w:rPr>
  </w:style>
  <w:style w:type="paragraph" w:customStyle="1" w:styleId="aerbodytext0">
    <w:name w:val="aerbodytext"/>
    <w:basedOn w:val="Normal"/>
    <w:rsid w:val="005F18AD"/>
    <w:pPr>
      <w:spacing w:after="240"/>
    </w:pPr>
  </w:style>
  <w:style w:type="character" w:styleId="CommentReference">
    <w:name w:val="annotation reference"/>
    <w:uiPriority w:val="99"/>
    <w:semiHidden/>
    <w:rsid w:val="005F18AD"/>
    <w:rPr>
      <w:sz w:val="16"/>
      <w:szCs w:val="16"/>
    </w:rPr>
  </w:style>
  <w:style w:type="table" w:styleId="TableGrid">
    <w:name w:val="Table Grid"/>
    <w:basedOn w:val="TableNormal"/>
    <w:rsid w:val="005F18AD"/>
    <w:pPr>
      <w:spacing w:after="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ER1indentalphalista">
    <w:name w:val="AER (1) indent alpha list (a)"/>
    <w:basedOn w:val="Normal"/>
    <w:next w:val="Normal"/>
    <w:locked/>
    <w:rsid w:val="005F18AD"/>
    <w:pPr>
      <w:widowControl w:val="0"/>
      <w:tabs>
        <w:tab w:val="left" w:pos="1260"/>
      </w:tabs>
      <w:spacing w:after="240"/>
      <w:ind w:left="1259" w:hanging="539"/>
    </w:pPr>
    <w:rPr>
      <w:lang w:eastAsia="en-US"/>
    </w:rPr>
  </w:style>
  <w:style w:type="paragraph" w:customStyle="1" w:styleId="AERAindentcapalphalista1">
    <w:name w:val="AER (A.)  indent cap alpha list (a)(1)"/>
    <w:basedOn w:val="Normal"/>
    <w:next w:val="Normal"/>
    <w:locked/>
    <w:rsid w:val="005F18AD"/>
    <w:pPr>
      <w:tabs>
        <w:tab w:val="left" w:pos="1800"/>
      </w:tabs>
      <w:spacing w:after="240"/>
      <w:ind w:left="1798" w:hanging="539"/>
    </w:pPr>
    <w:rPr>
      <w:lang w:eastAsia="en-US"/>
    </w:rPr>
  </w:style>
  <w:style w:type="paragraph" w:customStyle="1" w:styleId="AERalphalist1">
    <w:name w:val="AER alpha list (1)"/>
    <w:basedOn w:val="Normal"/>
    <w:locked/>
    <w:rsid w:val="005F18AD"/>
    <w:pPr>
      <w:widowControl w:val="0"/>
      <w:tabs>
        <w:tab w:val="left" w:pos="1260"/>
      </w:tabs>
      <w:spacing w:after="240"/>
      <w:ind w:left="1797" w:hanging="1077"/>
    </w:pPr>
    <w:rPr>
      <w:lang w:eastAsia="en-US"/>
    </w:rPr>
  </w:style>
  <w:style w:type="paragraph" w:customStyle="1" w:styleId="AERalphalista">
    <w:name w:val="AER alpha list (a)"/>
    <w:basedOn w:val="Normal"/>
    <w:locked/>
    <w:rsid w:val="005F18AD"/>
    <w:pPr>
      <w:spacing w:after="240"/>
      <w:ind w:left="720" w:hanging="720"/>
    </w:pPr>
    <w:rPr>
      <w:lang w:eastAsia="en-US"/>
    </w:rPr>
  </w:style>
  <w:style w:type="paragraph" w:customStyle="1" w:styleId="AERappendixfigureheading">
    <w:name w:val="AER appendix figure heading"/>
    <w:basedOn w:val="Normal"/>
    <w:next w:val="Normal"/>
    <w:rsid w:val="005F18AD"/>
    <w:pPr>
      <w:keepNext/>
      <w:numPr>
        <w:ilvl w:val="5"/>
        <w:numId w:val="11"/>
      </w:numPr>
      <w:spacing w:before="240"/>
      <w:outlineLvl w:val="3"/>
    </w:pPr>
    <w:rPr>
      <w:b/>
      <w:lang w:eastAsia="en-US"/>
    </w:rPr>
  </w:style>
  <w:style w:type="paragraph" w:customStyle="1" w:styleId="AERappendixheading1">
    <w:name w:val="AER appendix heading 1"/>
    <w:basedOn w:val="AERheading1"/>
    <w:next w:val="AERbodytext"/>
    <w:rsid w:val="005F18AD"/>
    <w:pPr>
      <w:widowControl w:val="0"/>
      <w:numPr>
        <w:numId w:val="11"/>
      </w:numPr>
      <w:jc w:val="both"/>
    </w:pPr>
    <w:rPr>
      <w:rFonts w:ascii="Arial Bold" w:hAnsi="Arial Bold"/>
      <w:b w:val="0"/>
      <w:bCs w:val="0"/>
      <w:spacing w:val="5"/>
      <w:kern w:val="36"/>
      <w:szCs w:val="27"/>
    </w:rPr>
  </w:style>
  <w:style w:type="paragraph" w:customStyle="1" w:styleId="AERappendixheading2">
    <w:name w:val="AER appendix heading 2"/>
    <w:basedOn w:val="AERappendixheading1"/>
    <w:next w:val="AERbodytext"/>
    <w:rsid w:val="005F18AD"/>
    <w:pPr>
      <w:pageBreakBefore w:val="0"/>
      <w:numPr>
        <w:ilvl w:val="1"/>
      </w:numPr>
    </w:pPr>
    <w:rPr>
      <w:sz w:val="30"/>
    </w:rPr>
  </w:style>
  <w:style w:type="paragraph" w:customStyle="1" w:styleId="AERappendixheading3">
    <w:name w:val="AER appendix heading 3"/>
    <w:basedOn w:val="AERappendixheading2"/>
    <w:next w:val="AERbodytext"/>
    <w:rsid w:val="005F18AD"/>
    <w:pPr>
      <w:numPr>
        <w:ilvl w:val="2"/>
      </w:numPr>
    </w:pPr>
    <w:rPr>
      <w:sz w:val="24"/>
    </w:rPr>
  </w:style>
  <w:style w:type="paragraph" w:customStyle="1" w:styleId="AERappendixheading4">
    <w:name w:val="AER appendix heading 4"/>
    <w:basedOn w:val="AERheading4"/>
    <w:next w:val="AERbodytext"/>
    <w:rsid w:val="005F18AD"/>
    <w:pPr>
      <w:numPr>
        <w:numId w:val="11"/>
      </w:numPr>
    </w:pPr>
  </w:style>
  <w:style w:type="paragraph" w:customStyle="1" w:styleId="AERappendixtableheading">
    <w:name w:val="AER appendix table heading"/>
    <w:basedOn w:val="AERtableheading"/>
    <w:next w:val="AERbodytext"/>
    <w:rsid w:val="005F18AD"/>
    <w:pPr>
      <w:tabs>
        <w:tab w:val="num" w:pos="851"/>
      </w:tabs>
      <w:ind w:left="851" w:hanging="851"/>
    </w:pPr>
  </w:style>
  <w:style w:type="character" w:customStyle="1" w:styleId="AERbold">
    <w:name w:val="AER bold"/>
    <w:rsid w:val="005F18AD"/>
    <w:rPr>
      <w:b/>
    </w:rPr>
  </w:style>
  <w:style w:type="character" w:customStyle="1" w:styleId="AERbolditals">
    <w:name w:val="AER bold itals"/>
    <w:rsid w:val="005F18AD"/>
    <w:rPr>
      <w:b/>
      <w:i/>
    </w:rPr>
  </w:style>
  <w:style w:type="paragraph" w:customStyle="1" w:styleId="AERbulletlistfirststyle">
    <w:name w:val="AER bullet list (first style)"/>
    <w:basedOn w:val="Normal"/>
    <w:rsid w:val="005F18AD"/>
    <w:pPr>
      <w:numPr>
        <w:numId w:val="4"/>
      </w:numPr>
      <w:spacing w:after="240" w:line="240" w:lineRule="atLeast"/>
    </w:pPr>
    <w:rPr>
      <w:lang w:eastAsia="en-US"/>
    </w:rPr>
  </w:style>
  <w:style w:type="paragraph" w:customStyle="1" w:styleId="AERbulletlistsecondstyle">
    <w:name w:val="AER bullet list (second style)"/>
    <w:basedOn w:val="AERbodytext"/>
    <w:rsid w:val="005F18AD"/>
    <w:pPr>
      <w:numPr>
        <w:numId w:val="5"/>
      </w:numPr>
      <w:tabs>
        <w:tab w:val="clear" w:pos="714"/>
        <w:tab w:val="left" w:pos="720"/>
      </w:tabs>
      <w:ind w:left="720" w:hanging="363"/>
    </w:pPr>
  </w:style>
  <w:style w:type="paragraph" w:customStyle="1" w:styleId="AERbulletlistthirdstyle">
    <w:name w:val="AER bullet list (third style)"/>
    <w:basedOn w:val="Normal"/>
    <w:rsid w:val="005F18AD"/>
    <w:pPr>
      <w:numPr>
        <w:numId w:val="6"/>
      </w:numPr>
      <w:tabs>
        <w:tab w:val="clear" w:pos="870"/>
        <w:tab w:val="left" w:pos="1077"/>
      </w:tabs>
      <w:ind w:left="1077" w:hanging="357"/>
    </w:pPr>
    <w:rPr>
      <w:lang w:eastAsia="en-US"/>
    </w:rPr>
  </w:style>
  <w:style w:type="paragraph" w:customStyle="1" w:styleId="AERcopyrighttext">
    <w:name w:val="AER copyright text"/>
    <w:basedOn w:val="Normal"/>
    <w:rsid w:val="005F18AD"/>
    <w:pPr>
      <w:spacing w:before="240" w:after="240"/>
    </w:pPr>
    <w:rPr>
      <w:sz w:val="20"/>
      <w:lang w:eastAsia="en-US"/>
    </w:rPr>
  </w:style>
  <w:style w:type="paragraph" w:customStyle="1" w:styleId="AERDecisionBox">
    <w:name w:val="AER Decision Box"/>
    <w:basedOn w:val="AERbodytext"/>
    <w:rsid w:val="005F18AD"/>
    <w:pPr>
      <w:keepLines/>
      <w:pBdr>
        <w:top w:val="single" w:sz="4" w:space="5" w:color="auto"/>
        <w:left w:val="single" w:sz="4" w:space="5" w:color="auto"/>
        <w:bottom w:val="single" w:sz="4" w:space="5" w:color="auto"/>
        <w:right w:val="single" w:sz="4" w:space="5" w:color="auto"/>
      </w:pBdr>
      <w:shd w:val="clear" w:color="auto" w:fill="CCCCCC"/>
    </w:pPr>
  </w:style>
  <w:style w:type="paragraph" w:customStyle="1" w:styleId="AERdraftfinalminortitle">
    <w:name w:val="AER 'draft/final' minor title"/>
    <w:next w:val="Title"/>
    <w:rsid w:val="005F18AD"/>
    <w:pPr>
      <w:spacing w:before="3600" w:after="600"/>
      <w:jc w:val="center"/>
      <w:outlineLvl w:val="1"/>
    </w:pPr>
    <w:rPr>
      <w:rFonts w:ascii="Arial" w:hAnsi="Arial"/>
      <w:sz w:val="32"/>
      <w:lang w:eastAsia="en-US"/>
    </w:rPr>
  </w:style>
  <w:style w:type="paragraph" w:styleId="Title">
    <w:name w:val="Title"/>
    <w:next w:val="Subtitle"/>
    <w:link w:val="TitleChar"/>
    <w:qFormat/>
    <w:rsid w:val="00231B0A"/>
    <w:pPr>
      <w:spacing w:before="100" w:beforeAutospacing="1" w:after="100" w:afterAutospacing="1"/>
    </w:pPr>
    <w:rPr>
      <w:rFonts w:ascii="Arial" w:hAnsi="Arial" w:cs="Arial"/>
      <w:b/>
      <w:bCs/>
      <w:kern w:val="28"/>
      <w:sz w:val="36"/>
      <w:szCs w:val="32"/>
      <w:lang w:eastAsia="en-US"/>
    </w:rPr>
  </w:style>
  <w:style w:type="paragraph" w:customStyle="1" w:styleId="AERFinalminortitle">
    <w:name w:val="AER 'Final' minor title"/>
    <w:next w:val="Title"/>
    <w:rsid w:val="005F18AD"/>
    <w:pPr>
      <w:spacing w:before="3600" w:after="600"/>
      <w:jc w:val="center"/>
    </w:pPr>
    <w:rPr>
      <w:rFonts w:ascii="Arial" w:hAnsi="Arial" w:cs="Arial"/>
      <w:sz w:val="32"/>
      <w:szCs w:val="24"/>
      <w:lang w:eastAsia="en-US"/>
    </w:rPr>
  </w:style>
  <w:style w:type="paragraph" w:customStyle="1" w:styleId="AERheading1">
    <w:name w:val="AER heading 1"/>
    <w:basedOn w:val="Heading1"/>
    <w:next w:val="AERbodytext"/>
    <w:rsid w:val="005F18AD"/>
    <w:pPr>
      <w:pageBreakBefore/>
      <w:spacing w:after="120"/>
    </w:pPr>
    <w:rPr>
      <w:sz w:val="36"/>
      <w:lang w:eastAsia="en-US"/>
    </w:rPr>
  </w:style>
  <w:style w:type="character" w:customStyle="1" w:styleId="AERitals">
    <w:name w:val="AER itals"/>
    <w:rsid w:val="005F18AD"/>
    <w:rPr>
      <w:i/>
    </w:rPr>
  </w:style>
  <w:style w:type="paragraph" w:customStyle="1" w:styleId="AERmaintitle">
    <w:name w:val="AER main title"/>
    <w:next w:val="AERdraftfinalminortitle"/>
    <w:rsid w:val="005F18AD"/>
    <w:pPr>
      <w:spacing w:before="2400" w:after="2000"/>
    </w:pPr>
    <w:rPr>
      <w:rFonts w:ascii="Arial" w:hAnsi="Arial" w:cs="Arial"/>
      <w:b/>
      <w:bCs/>
      <w:kern w:val="28"/>
      <w:sz w:val="32"/>
      <w:szCs w:val="32"/>
      <w:lang w:eastAsia="en-US"/>
    </w:rPr>
  </w:style>
  <w:style w:type="paragraph" w:customStyle="1" w:styleId="AERnumberedlistfirststyle">
    <w:name w:val="AER numbered list (first style)"/>
    <w:rsid w:val="005F18AD"/>
    <w:pPr>
      <w:numPr>
        <w:numId w:val="7"/>
      </w:numPr>
      <w:spacing w:before="120" w:after="120" w:line="240" w:lineRule="atLeast"/>
    </w:pPr>
    <w:rPr>
      <w:sz w:val="24"/>
      <w:szCs w:val="24"/>
      <w:lang w:eastAsia="en-US"/>
    </w:rPr>
  </w:style>
  <w:style w:type="paragraph" w:customStyle="1" w:styleId="AERnumberedlistsecondstyle">
    <w:name w:val="AER numbered list (second style)"/>
    <w:basedOn w:val="AERnumberedlistfirststyle"/>
    <w:rsid w:val="005F18AD"/>
    <w:pPr>
      <w:numPr>
        <w:numId w:val="8"/>
      </w:numPr>
      <w:tabs>
        <w:tab w:val="left" w:pos="720"/>
      </w:tabs>
      <w:ind w:hanging="363"/>
    </w:pPr>
  </w:style>
  <w:style w:type="paragraph" w:customStyle="1" w:styleId="AERnumberedlistthirdstyle">
    <w:name w:val="AER numbered list (third style)"/>
    <w:basedOn w:val="AERnumberedlistsecondstyle"/>
    <w:rsid w:val="005F18AD"/>
    <w:pPr>
      <w:numPr>
        <w:numId w:val="9"/>
      </w:numPr>
      <w:tabs>
        <w:tab w:val="clear" w:pos="1440"/>
        <w:tab w:val="left" w:pos="720"/>
        <w:tab w:val="left" w:pos="1077"/>
      </w:tabs>
      <w:ind w:left="1077" w:hanging="357"/>
    </w:pPr>
  </w:style>
  <w:style w:type="paragraph" w:customStyle="1" w:styleId="AERquote">
    <w:name w:val="AER quote"/>
    <w:basedOn w:val="Normal"/>
    <w:next w:val="AERbodytext"/>
    <w:rsid w:val="005F18AD"/>
    <w:pPr>
      <w:spacing w:after="240"/>
      <w:ind w:left="1077" w:right="1077"/>
    </w:pPr>
    <w:rPr>
      <w:color w:val="000000"/>
      <w:sz w:val="20"/>
      <w:lang w:eastAsia="en-US"/>
    </w:rPr>
  </w:style>
  <w:style w:type="paragraph" w:customStyle="1" w:styleId="AERquotebullet1">
    <w:name w:val="AER quote bullet 1"/>
    <w:basedOn w:val="AERquote"/>
    <w:rsid w:val="005F18AD"/>
    <w:pPr>
      <w:numPr>
        <w:ilvl w:val="1"/>
        <w:numId w:val="10"/>
      </w:numPr>
      <w:tabs>
        <w:tab w:val="clear" w:pos="1378"/>
        <w:tab w:val="left" w:pos="1440"/>
      </w:tabs>
      <w:ind w:left="1440" w:hanging="363"/>
    </w:pPr>
  </w:style>
  <w:style w:type="character" w:customStyle="1" w:styleId="AERsubscript">
    <w:name w:val="AER subscript"/>
    <w:rsid w:val="005F18AD"/>
    <w:rPr>
      <w:vertAlign w:val="subscript"/>
    </w:rPr>
  </w:style>
  <w:style w:type="character" w:customStyle="1" w:styleId="AERsuperscript">
    <w:name w:val="AER superscript"/>
    <w:rsid w:val="005F18AD"/>
    <w:rPr>
      <w:vertAlign w:val="superscript"/>
    </w:rPr>
  </w:style>
  <w:style w:type="table" w:customStyle="1" w:styleId="AERtable-numbers">
    <w:name w:val="AER table - numbers"/>
    <w:basedOn w:val="TableNormal"/>
    <w:rsid w:val="005F18AD"/>
    <w:pPr>
      <w:keepNext/>
      <w:spacing w:before="40" w:after="40"/>
      <w:jc w:val="right"/>
    </w:pPr>
    <w:tblPr>
      <w:tblStyleRowBandSize w:val="1"/>
      <w:tblBorders>
        <w:top w:val="single" w:sz="12" w:space="0" w:color="auto"/>
        <w:bottom w:val="single" w:sz="4" w:space="0" w:color="auto"/>
      </w:tblBorders>
    </w:tblPr>
    <w:tcPr>
      <w:noWrap/>
      <w:tcMar>
        <w:top w:w="0" w:type="dxa"/>
        <w:bottom w:w="0" w:type="dxa"/>
      </w:tcMar>
    </w:tcPr>
    <w:tblStylePr w:type="firstRow">
      <w:rPr>
        <w:rFonts w:ascii="Times New Roman" w:hAnsi="Times New Roman"/>
        <w:b w:val="0"/>
      </w:rPr>
      <w:tblPr/>
      <w:tcPr>
        <w:tcBorders>
          <w:top w:val="single" w:sz="12" w:space="0" w:color="auto"/>
          <w:left w:val="nil"/>
          <w:bottom w:val="single" w:sz="4" w:space="0" w:color="auto"/>
          <w:right w:val="nil"/>
          <w:insideH w:val="nil"/>
          <w:insideV w:val="nil"/>
          <w:tl2br w:val="nil"/>
          <w:tr2bl w:val="nil"/>
        </w:tcBorders>
      </w:tcPr>
    </w:tblStylePr>
    <w:tblStylePr w:type="firstCol">
      <w:pPr>
        <w:jc w:val="left"/>
      </w:pPr>
    </w:tblStylePr>
  </w:style>
  <w:style w:type="paragraph" w:customStyle="1" w:styleId="AERtablesource">
    <w:name w:val="AER table source"/>
    <w:next w:val="AERbodytext"/>
    <w:rsid w:val="005F18AD"/>
    <w:pPr>
      <w:tabs>
        <w:tab w:val="left" w:pos="1361"/>
      </w:tabs>
      <w:spacing w:before="40" w:after="240"/>
      <w:ind w:left="794" w:right="1077" w:hanging="794"/>
      <w:contextualSpacing/>
    </w:pPr>
    <w:rPr>
      <w:szCs w:val="24"/>
      <w:lang w:eastAsia="en-US"/>
    </w:rPr>
  </w:style>
  <w:style w:type="paragraph" w:customStyle="1" w:styleId="AERtabletext">
    <w:name w:val="AER table text"/>
    <w:basedOn w:val="Normal"/>
    <w:rsid w:val="005F18AD"/>
    <w:pPr>
      <w:widowControl w:val="0"/>
    </w:pPr>
    <w:rPr>
      <w:sz w:val="20"/>
      <w:lang w:eastAsia="en-US"/>
    </w:rPr>
  </w:style>
  <w:style w:type="character" w:customStyle="1" w:styleId="AERunderline">
    <w:name w:val="AER underline"/>
    <w:rsid w:val="005F18AD"/>
    <w:rPr>
      <w:u w:val="single"/>
    </w:rPr>
  </w:style>
  <w:style w:type="paragraph" w:customStyle="1" w:styleId="AERunnumberedheading1">
    <w:name w:val="AER unnumbered heading 1"/>
    <w:basedOn w:val="Normal"/>
    <w:next w:val="AERbodytext"/>
    <w:rsid w:val="005F18AD"/>
    <w:pPr>
      <w:pageBreakBefore/>
      <w:widowControl w:val="0"/>
      <w:tabs>
        <w:tab w:val="left" w:pos="851"/>
      </w:tabs>
      <w:spacing w:before="240"/>
      <w:outlineLvl w:val="0"/>
    </w:pPr>
    <w:rPr>
      <w:rFonts w:ascii="Arial Bold" w:hAnsi="Arial Bold"/>
      <w:b/>
      <w:bCs/>
      <w:spacing w:val="5"/>
      <w:kern w:val="36"/>
      <w:sz w:val="36"/>
      <w:szCs w:val="27"/>
      <w:lang w:eastAsia="en-US"/>
    </w:rPr>
  </w:style>
  <w:style w:type="paragraph" w:customStyle="1" w:styleId="AERunnumberedheading2">
    <w:name w:val="AER unnumbered heading 2"/>
    <w:basedOn w:val="Normal"/>
    <w:next w:val="AERbodytext"/>
    <w:rsid w:val="005F18AD"/>
    <w:pPr>
      <w:keepNext/>
      <w:tabs>
        <w:tab w:val="left" w:pos="851"/>
      </w:tabs>
      <w:spacing w:before="240"/>
    </w:pPr>
    <w:rPr>
      <w:rFonts w:ascii="Arial Bold" w:hAnsi="Arial Bold"/>
      <w:sz w:val="30"/>
      <w:lang w:eastAsia="en-US"/>
    </w:rPr>
  </w:style>
  <w:style w:type="paragraph" w:customStyle="1" w:styleId="AERunnumberedheading3">
    <w:name w:val="AER unnumbered heading 3"/>
    <w:basedOn w:val="AERHeading10"/>
    <w:next w:val="AERbodytext"/>
    <w:rsid w:val="00936A7B"/>
  </w:style>
  <w:style w:type="paragraph" w:customStyle="1" w:styleId="AERunnumberedheading4">
    <w:name w:val="AER unnumbered heading 4"/>
    <w:basedOn w:val="Normal"/>
    <w:next w:val="AERbodytext"/>
    <w:rsid w:val="005F18AD"/>
    <w:pPr>
      <w:keepNext/>
      <w:tabs>
        <w:tab w:val="left" w:pos="851"/>
        <w:tab w:val="left" w:pos="1080"/>
      </w:tabs>
      <w:spacing w:before="240"/>
      <w:outlineLvl w:val="3"/>
    </w:pPr>
    <w:rPr>
      <w:b/>
      <w:lang w:eastAsia="en-US"/>
    </w:rPr>
  </w:style>
  <w:style w:type="character" w:styleId="PageNumber">
    <w:name w:val="page number"/>
    <w:rsid w:val="005F18AD"/>
    <w:rPr>
      <w:rFonts w:ascii="Arial" w:hAnsi="Arial"/>
      <w:sz w:val="20"/>
    </w:rPr>
  </w:style>
  <w:style w:type="paragraph" w:styleId="Subtitle">
    <w:name w:val="Subtitle"/>
    <w:link w:val="SubtitleChar"/>
    <w:qFormat/>
    <w:rsid w:val="005F18AD"/>
    <w:pPr>
      <w:spacing w:after="60"/>
      <w:jc w:val="center"/>
      <w:outlineLvl w:val="1"/>
    </w:pPr>
    <w:rPr>
      <w:rFonts w:ascii="Arial" w:hAnsi="Arial" w:cs="Arial"/>
      <w:sz w:val="28"/>
      <w:szCs w:val="24"/>
      <w:lang w:eastAsia="en-US"/>
    </w:rPr>
  </w:style>
  <w:style w:type="paragraph" w:styleId="TOC1">
    <w:name w:val="toc 1"/>
    <w:basedOn w:val="Normal"/>
    <w:next w:val="Normal"/>
    <w:rsid w:val="005F18AD"/>
    <w:pPr>
      <w:tabs>
        <w:tab w:val="left" w:pos="567"/>
        <w:tab w:val="right" w:leader="dot" w:pos="8307"/>
      </w:tabs>
    </w:pPr>
    <w:rPr>
      <w:b/>
      <w:lang w:eastAsia="en-US"/>
    </w:rPr>
  </w:style>
  <w:style w:type="paragraph" w:styleId="TOC2">
    <w:name w:val="toc 2"/>
    <w:basedOn w:val="Normal"/>
    <w:next w:val="Normal"/>
    <w:rsid w:val="005F18AD"/>
    <w:pPr>
      <w:tabs>
        <w:tab w:val="left" w:pos="1080"/>
        <w:tab w:val="right" w:leader="dot" w:pos="8307"/>
      </w:tabs>
      <w:ind w:left="1134" w:hanging="567"/>
    </w:pPr>
    <w:rPr>
      <w:lang w:eastAsia="en-US"/>
    </w:rPr>
  </w:style>
  <w:style w:type="paragraph" w:styleId="TOC3">
    <w:name w:val="toc 3"/>
    <w:basedOn w:val="Normal"/>
    <w:next w:val="Normal"/>
    <w:rsid w:val="005F18AD"/>
    <w:pPr>
      <w:tabs>
        <w:tab w:val="left" w:pos="1980"/>
        <w:tab w:val="right" w:leader="dot" w:pos="8307"/>
      </w:tabs>
      <w:ind w:left="1980" w:hanging="900"/>
    </w:pPr>
    <w:rPr>
      <w:lang w:eastAsia="en-US"/>
    </w:rPr>
  </w:style>
  <w:style w:type="table" w:customStyle="1" w:styleId="AERtable-text">
    <w:name w:val="AER table - text"/>
    <w:basedOn w:val="AERtable-numbers"/>
    <w:rsid w:val="005F18AD"/>
    <w:pPr>
      <w:jc w:val="left"/>
    </w:pPr>
    <w:tblPr/>
    <w:tblStylePr w:type="firstRow">
      <w:rPr>
        <w:rFonts w:ascii="Times New Roman" w:hAnsi="Times New Roman"/>
        <w:b w:val="0"/>
      </w:rPr>
      <w:tblPr/>
      <w:tcPr>
        <w:tcBorders>
          <w:top w:val="single" w:sz="12" w:space="0" w:color="auto"/>
          <w:left w:val="nil"/>
          <w:bottom w:val="single" w:sz="4" w:space="0" w:color="auto"/>
          <w:right w:val="nil"/>
          <w:insideH w:val="nil"/>
          <w:insideV w:val="nil"/>
          <w:tl2br w:val="nil"/>
          <w:tr2bl w:val="nil"/>
        </w:tcBorders>
      </w:tcPr>
    </w:tblStylePr>
    <w:tblStylePr w:type="firstCol">
      <w:pPr>
        <w:jc w:val="left"/>
      </w:pPr>
    </w:tblStylePr>
  </w:style>
  <w:style w:type="paragraph" w:customStyle="1" w:styleId="AERquoteindent1">
    <w:name w:val="AER quote (indent 1)"/>
    <w:basedOn w:val="AERquote"/>
    <w:rsid w:val="005F18AD"/>
    <w:pPr>
      <w:ind w:left="1440" w:right="1440"/>
    </w:pPr>
  </w:style>
  <w:style w:type="paragraph" w:customStyle="1" w:styleId="AERbodytextindent2">
    <w:name w:val="AER body text (indent 2)"/>
    <w:basedOn w:val="AERbodytext"/>
    <w:rsid w:val="005F18AD"/>
    <w:pPr>
      <w:ind w:left="720"/>
    </w:pPr>
  </w:style>
  <w:style w:type="paragraph" w:customStyle="1" w:styleId="AERbodytextindent1">
    <w:name w:val="AER body text (indent 1)"/>
    <w:basedOn w:val="AERbodytext"/>
    <w:rsid w:val="005F18AD"/>
    <w:pPr>
      <w:ind w:left="357"/>
    </w:pPr>
  </w:style>
  <w:style w:type="paragraph" w:customStyle="1" w:styleId="AERbodytextindent3">
    <w:name w:val="AER body text (indent 3)"/>
    <w:basedOn w:val="AERbodytext"/>
    <w:rsid w:val="005F18AD"/>
    <w:pPr>
      <w:ind w:left="1077"/>
    </w:pPr>
  </w:style>
  <w:style w:type="paragraph" w:customStyle="1" w:styleId="AERunnumberedheading6">
    <w:name w:val="AER unnumbered heading 6"/>
    <w:basedOn w:val="Heading6"/>
    <w:next w:val="AERbodytext"/>
    <w:rsid w:val="005F18AD"/>
    <w:pPr>
      <w:spacing w:before="120" w:after="0"/>
    </w:pPr>
    <w:rPr>
      <w:b w:val="0"/>
      <w:i/>
      <w:lang w:eastAsia="en-US"/>
    </w:rPr>
  </w:style>
  <w:style w:type="paragraph" w:customStyle="1" w:styleId="AERquoteindent2">
    <w:name w:val="AER quote (indent 2)"/>
    <w:basedOn w:val="AERquoteindent1"/>
    <w:rsid w:val="005F18AD"/>
    <w:pPr>
      <w:ind w:left="1797" w:right="1797"/>
    </w:pPr>
  </w:style>
  <w:style w:type="paragraph" w:customStyle="1" w:styleId="AERquoteindent3">
    <w:name w:val="AER quote (indent 3)"/>
    <w:basedOn w:val="AERquoteindent2"/>
    <w:rsid w:val="005F18AD"/>
    <w:pPr>
      <w:ind w:left="2160" w:right="2160"/>
    </w:pPr>
  </w:style>
  <w:style w:type="character" w:customStyle="1" w:styleId="FigHeadingChar1">
    <w:name w:val="Fig Heading Char1"/>
    <w:rsid w:val="00CF53CA"/>
    <w:rPr>
      <w:rFonts w:ascii="Arial" w:hAnsi="Arial" w:cs="Arial"/>
      <w:b/>
      <w:lang w:val="en-AU" w:eastAsia="en-US" w:bidi="ar-SA"/>
    </w:rPr>
  </w:style>
  <w:style w:type="character" w:customStyle="1" w:styleId="FootnoteChar">
    <w:name w:val="Footnote Char"/>
    <w:link w:val="Footnote"/>
    <w:rsid w:val="006F4169"/>
    <w:rPr>
      <w:szCs w:val="24"/>
      <w:lang w:val="en-AU" w:eastAsia="en-AU" w:bidi="ar-SA"/>
    </w:rPr>
  </w:style>
  <w:style w:type="paragraph" w:styleId="ListParagraph">
    <w:name w:val="List Paragraph"/>
    <w:basedOn w:val="Normal"/>
    <w:uiPriority w:val="34"/>
    <w:qFormat/>
    <w:rsid w:val="002052B6"/>
    <w:pPr>
      <w:ind w:left="720"/>
      <w:contextualSpacing/>
    </w:pPr>
    <w:rPr>
      <w:rFonts w:ascii="Calibri" w:eastAsia="Calibri" w:hAnsi="Calibri" w:cs="Calibri"/>
      <w:sz w:val="20"/>
      <w:szCs w:val="20"/>
    </w:rPr>
  </w:style>
  <w:style w:type="table" w:customStyle="1" w:styleId="AERTable-Text0">
    <w:name w:val="AER Table - Text"/>
    <w:basedOn w:val="TableNormal"/>
    <w:uiPriority w:val="99"/>
    <w:rsid w:val="00936A7B"/>
    <w:pPr>
      <w:spacing w:before="120" w:after="120"/>
    </w:pPr>
    <w:rPr>
      <w:rFonts w:ascii="Arial" w:eastAsia="Arial" w:hAnsi="Arial"/>
      <w:sz w:val="18"/>
      <w:szCs w:val="22"/>
      <w:lang w:eastAsia="en-US"/>
    </w:rPr>
    <w:tblPr>
      <w:tblStyleRowBandSize w:val="1"/>
      <w:tblBorders>
        <w:bottom w:val="single" w:sz="4" w:space="0" w:color="auto"/>
      </w:tblBorders>
    </w:tblPr>
    <w:trPr>
      <w:cantSplit/>
    </w:trPr>
    <w:tblStylePr w:type="firstRow">
      <w:pPr>
        <w:wordWrap/>
        <w:spacing w:beforeLines="0" w:before="240" w:beforeAutospacing="0" w:afterLines="0" w:after="120" w:afterAutospacing="0"/>
      </w:pPr>
      <w:rPr>
        <w:rFonts w:ascii="Arial" w:hAnsi="Arial"/>
        <w:b/>
        <w:color w:val="FFFFFF"/>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AERHeading10">
    <w:name w:val="AER Heading 1"/>
    <w:basedOn w:val="Normal"/>
    <w:link w:val="AERHeading1Char"/>
    <w:qFormat/>
    <w:rsid w:val="00936A7B"/>
    <w:pPr>
      <w:tabs>
        <w:tab w:val="left" w:pos="680"/>
      </w:tabs>
      <w:spacing w:before="200" w:after="0" w:line="240" w:lineRule="atLeast"/>
      <w:outlineLvl w:val="1"/>
    </w:pPr>
    <w:rPr>
      <w:b/>
      <w:bCs/>
      <w:color w:val="2272A3"/>
      <w:sz w:val="32"/>
      <w:szCs w:val="20"/>
      <w:lang w:eastAsia="en-US"/>
    </w:rPr>
  </w:style>
  <w:style w:type="character" w:customStyle="1" w:styleId="AERHeading1Char">
    <w:name w:val="AER Heading 1 Char"/>
    <w:link w:val="AERHeading10"/>
    <w:rsid w:val="00936A7B"/>
    <w:rPr>
      <w:rFonts w:ascii="Arial" w:hAnsi="Arial"/>
      <w:b/>
      <w:bCs/>
      <w:color w:val="2272A3"/>
      <w:sz w:val="32"/>
      <w:lang w:eastAsia="en-US"/>
    </w:rPr>
  </w:style>
  <w:style w:type="paragraph" w:customStyle="1" w:styleId="AERNumberedheading1nonewpage">
    <w:name w:val="AER Numbered heading 1 no new page"/>
    <w:basedOn w:val="AERHeading10"/>
    <w:link w:val="AERNumberedheading1nonewpageChar"/>
    <w:qFormat/>
    <w:rsid w:val="000F2287"/>
    <w:pPr>
      <w:numPr>
        <w:numId w:val="15"/>
      </w:numPr>
      <w:tabs>
        <w:tab w:val="clear" w:pos="680"/>
        <w:tab w:val="left" w:pos="709"/>
      </w:tabs>
    </w:pPr>
  </w:style>
  <w:style w:type="character" w:customStyle="1" w:styleId="AERNumberedheading1nonewpageChar">
    <w:name w:val="AER Numbered heading 1 no new page Char"/>
    <w:basedOn w:val="AERHeading1Char"/>
    <w:link w:val="AERNumberedheading1nonewpage"/>
    <w:rsid w:val="000F2287"/>
    <w:rPr>
      <w:rFonts w:ascii="Arial" w:hAnsi="Arial"/>
      <w:b/>
      <w:bCs/>
      <w:color w:val="2272A3"/>
      <w:sz w:val="32"/>
      <w:lang w:eastAsia="en-US"/>
    </w:rPr>
  </w:style>
  <w:style w:type="numbering" w:customStyle="1" w:styleId="Style1">
    <w:name w:val="Style1"/>
    <w:uiPriority w:val="99"/>
    <w:rsid w:val="00E2040E"/>
    <w:pPr>
      <w:numPr>
        <w:numId w:val="20"/>
      </w:numPr>
    </w:pPr>
  </w:style>
  <w:style w:type="character" w:customStyle="1" w:styleId="TitleChar">
    <w:name w:val="Title Char"/>
    <w:link w:val="Title"/>
    <w:rsid w:val="00004A63"/>
    <w:rPr>
      <w:rFonts w:ascii="Arial" w:hAnsi="Arial" w:cs="Arial"/>
      <w:b/>
      <w:bCs/>
      <w:kern w:val="28"/>
      <w:sz w:val="36"/>
      <w:szCs w:val="32"/>
      <w:lang w:eastAsia="en-US"/>
    </w:rPr>
  </w:style>
  <w:style w:type="character" w:customStyle="1" w:styleId="SubtitleChar">
    <w:name w:val="Subtitle Char"/>
    <w:link w:val="Subtitle"/>
    <w:rsid w:val="00004A63"/>
    <w:rPr>
      <w:rFonts w:ascii="Arial" w:hAnsi="Arial" w:cs="Arial"/>
      <w:sz w:val="28"/>
      <w:szCs w:val="24"/>
      <w:lang w:eastAsia="en-US"/>
    </w:rPr>
  </w:style>
  <w:style w:type="paragraph" w:customStyle="1" w:styleId="TableHeading">
    <w:name w:val="Table Heading"/>
    <w:basedOn w:val="Tabletext"/>
    <w:link w:val="TableHeadingChar"/>
    <w:qFormat/>
    <w:rsid w:val="0091453B"/>
    <w:pPr>
      <w:spacing w:before="60" w:after="60" w:line="276" w:lineRule="auto"/>
      <w:jc w:val="left"/>
    </w:pPr>
    <w:rPr>
      <w:rFonts w:eastAsia="Arial"/>
      <w:color w:val="FFFFFF"/>
      <w:sz w:val="18"/>
      <w:szCs w:val="22"/>
      <w:lang w:eastAsia="en-US"/>
    </w:rPr>
  </w:style>
  <w:style w:type="character" w:customStyle="1" w:styleId="TableHeadingChar">
    <w:name w:val="Table Heading Char"/>
    <w:link w:val="TableHeading"/>
    <w:rsid w:val="0091453B"/>
    <w:rPr>
      <w:rFonts w:ascii="Arial" w:eastAsia="Arial" w:hAnsi="Arial"/>
      <w:color w:val="FFFFFF"/>
      <w:sz w:val="18"/>
      <w:szCs w:val="22"/>
      <w:lang w:eastAsia="en-US"/>
    </w:rPr>
  </w:style>
  <w:style w:type="paragraph" w:customStyle="1" w:styleId="tableheadingline2">
    <w:name w:val="table heading line 2"/>
    <w:basedOn w:val="Normal"/>
    <w:link w:val="tableheadingline2Char"/>
    <w:qFormat/>
    <w:rsid w:val="0091453B"/>
    <w:pPr>
      <w:spacing w:before="0" w:line="276" w:lineRule="auto"/>
      <w:jc w:val="center"/>
    </w:pPr>
    <w:rPr>
      <w:rFonts w:eastAsia="Arial"/>
      <w:b/>
      <w:sz w:val="18"/>
      <w:szCs w:val="22"/>
      <w:lang w:eastAsia="en-US"/>
    </w:rPr>
  </w:style>
  <w:style w:type="character" w:customStyle="1" w:styleId="tableheadingline2Char">
    <w:name w:val="table heading line 2 Char"/>
    <w:link w:val="tableheadingline2"/>
    <w:rsid w:val="0091453B"/>
    <w:rPr>
      <w:rFonts w:ascii="Arial" w:eastAsia="Arial" w:hAnsi="Arial"/>
      <w:b/>
      <w:sz w:val="18"/>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Heading1Char">
    <w:name w:val="Style1"/>
    <w:pPr>
      <w:numPr>
        <w:numId w:val="2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882389">
      <w:bodyDiv w:val="1"/>
      <w:marLeft w:val="0"/>
      <w:marRight w:val="0"/>
      <w:marTop w:val="0"/>
      <w:marBottom w:val="0"/>
      <w:divBdr>
        <w:top w:val="none" w:sz="0" w:space="0" w:color="auto"/>
        <w:left w:val="none" w:sz="0" w:space="0" w:color="auto"/>
        <w:bottom w:val="none" w:sz="0" w:space="0" w:color="auto"/>
        <w:right w:val="none" w:sz="0" w:space="0" w:color="auto"/>
      </w:divBdr>
    </w:div>
    <w:div w:id="700863153">
      <w:bodyDiv w:val="1"/>
      <w:marLeft w:val="0"/>
      <w:marRight w:val="0"/>
      <w:marTop w:val="0"/>
      <w:marBottom w:val="0"/>
      <w:divBdr>
        <w:top w:val="none" w:sz="0" w:space="0" w:color="auto"/>
        <w:left w:val="none" w:sz="0" w:space="0" w:color="auto"/>
        <w:bottom w:val="none" w:sz="0" w:space="0" w:color="auto"/>
        <w:right w:val="none" w:sz="0" w:space="0" w:color="auto"/>
      </w:divBdr>
    </w:div>
    <w:div w:id="872185116">
      <w:bodyDiv w:val="1"/>
      <w:marLeft w:val="0"/>
      <w:marRight w:val="0"/>
      <w:marTop w:val="0"/>
      <w:marBottom w:val="0"/>
      <w:divBdr>
        <w:top w:val="none" w:sz="0" w:space="0" w:color="auto"/>
        <w:left w:val="none" w:sz="0" w:space="0" w:color="auto"/>
        <w:bottom w:val="none" w:sz="0" w:space="0" w:color="auto"/>
        <w:right w:val="none" w:sz="0" w:space="0" w:color="auto"/>
      </w:divBdr>
    </w:div>
    <w:div w:id="1117607492">
      <w:bodyDiv w:val="1"/>
      <w:marLeft w:val="0"/>
      <w:marRight w:val="0"/>
      <w:marTop w:val="0"/>
      <w:marBottom w:val="0"/>
      <w:divBdr>
        <w:top w:val="none" w:sz="0" w:space="0" w:color="auto"/>
        <w:left w:val="none" w:sz="0" w:space="0" w:color="auto"/>
        <w:bottom w:val="none" w:sz="0" w:space="0" w:color="auto"/>
        <w:right w:val="none" w:sz="0" w:space="0" w:color="auto"/>
      </w:divBdr>
    </w:div>
    <w:div w:id="1458179203">
      <w:bodyDiv w:val="1"/>
      <w:marLeft w:val="0"/>
      <w:marRight w:val="0"/>
      <w:marTop w:val="0"/>
      <w:marBottom w:val="0"/>
      <w:divBdr>
        <w:top w:val="none" w:sz="0" w:space="0" w:color="auto"/>
        <w:left w:val="none" w:sz="0" w:space="0" w:color="auto"/>
        <w:bottom w:val="none" w:sz="0" w:space="0" w:color="auto"/>
        <w:right w:val="none" w:sz="0" w:space="0" w:color="auto"/>
      </w:divBdr>
    </w:div>
    <w:div w:id="1856334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hyperlink" Target="http://www.aer.gov.au/node/451" TargetMode="External"/><Relationship Id="rId26" Type="http://schemas.openxmlformats.org/officeDocument/2006/relationships/image" Target="media/image15.emf"/><Relationship Id="rId3" Type="http://schemas.openxmlformats.org/officeDocument/2006/relationships/styles" Target="styles.xml"/><Relationship Id="rId21" Type="http://schemas.openxmlformats.org/officeDocument/2006/relationships/image" Target="media/image10.emf"/><Relationship Id="rId7" Type="http://schemas.openxmlformats.org/officeDocument/2006/relationships/footnotes" Target="footnotes.xml"/><Relationship Id="rId12" Type="http://schemas.openxmlformats.org/officeDocument/2006/relationships/hyperlink" Target="http://www.aer.gov.au/node/456" TargetMode="External"/><Relationship Id="rId17" Type="http://schemas.openxmlformats.org/officeDocument/2006/relationships/image" Target="media/image7.emf"/><Relationship Id="rId25" Type="http://schemas.openxmlformats.org/officeDocument/2006/relationships/image" Target="media/image14.emf"/><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6.emf"/><Relationship Id="rId20" Type="http://schemas.openxmlformats.org/officeDocument/2006/relationships/image" Target="media/image9.emf"/><Relationship Id="rId29" Type="http://schemas.openxmlformats.org/officeDocument/2006/relationships/image" Target="media/image18.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er.gov.au/node/451" TargetMode="External"/><Relationship Id="rId24" Type="http://schemas.openxmlformats.org/officeDocument/2006/relationships/image" Target="media/image13.emf"/><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5.emf"/><Relationship Id="rId23" Type="http://schemas.openxmlformats.org/officeDocument/2006/relationships/image" Target="media/image12.emf"/><Relationship Id="rId28" Type="http://schemas.openxmlformats.org/officeDocument/2006/relationships/image" Target="media/image17.emf"/><Relationship Id="rId10" Type="http://schemas.openxmlformats.org/officeDocument/2006/relationships/image" Target="media/image2.emf"/><Relationship Id="rId19" Type="http://schemas.openxmlformats.org/officeDocument/2006/relationships/image" Target="media/image8.emf"/><Relationship Id="rId31"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emf"/><Relationship Id="rId22" Type="http://schemas.openxmlformats.org/officeDocument/2006/relationships/image" Target="media/image11.emf"/><Relationship Id="rId27" Type="http://schemas.openxmlformats.org/officeDocument/2006/relationships/image" Target="media/image16.emf"/><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6AD39C8-6034-4845-89EC-0878531D8C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31E3B011.dotm</Template>
  <TotalTime>0</TotalTime>
  <Pages>11</Pages>
  <Words>1783</Words>
  <Characters>8348</Characters>
  <Application>Microsoft Office Word</Application>
  <DocSecurity>0</DocSecurity>
  <Lines>69</Lines>
  <Paragraphs>20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10111</CharactersWithSpaces>
  <SharedDoc>false</SharedDoc>
  <HLinks>
    <vt:vector size="12" baseType="variant">
      <vt:variant>
        <vt:i4>7274559</vt:i4>
      </vt:variant>
      <vt:variant>
        <vt:i4>3</vt:i4>
      </vt:variant>
      <vt:variant>
        <vt:i4>0</vt:i4>
      </vt:variant>
      <vt:variant>
        <vt:i4>5</vt:i4>
      </vt:variant>
      <vt:variant>
        <vt:lpwstr>http://www.aer.gov.au/node/456</vt:lpwstr>
      </vt:variant>
      <vt:variant>
        <vt:lpwstr/>
      </vt:variant>
      <vt:variant>
        <vt:i4>6815807</vt:i4>
      </vt:variant>
      <vt:variant>
        <vt:i4>0</vt:i4>
      </vt:variant>
      <vt:variant>
        <vt:i4>0</vt:i4>
      </vt:variant>
      <vt:variant>
        <vt:i4>5</vt:i4>
      </vt:variant>
      <vt:variant>
        <vt:lpwstr>http://www.aer.gov.au/node/451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2016-05-18T06:11:00Z</dcterms:created>
  <dcterms:modified xsi:type="dcterms:W3CDTF">2016-05-18T06:14:00Z</dcterms:modified>
</cp:coreProperties>
</file>