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4102FA08" wp14:editId="2A3EE5A4">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674114" w:rsidP="00286866">
      <w:pPr>
        <w:pStyle w:val="Heading2"/>
        <w:rPr>
          <w:i/>
        </w:rPr>
      </w:pPr>
      <w:r>
        <w:rPr>
          <w:sz w:val="36"/>
          <w:szCs w:val="36"/>
        </w:rPr>
        <w:t>10</w:t>
      </w:r>
      <w:r w:rsidR="00EC3568">
        <w:rPr>
          <w:sz w:val="36"/>
          <w:szCs w:val="36"/>
        </w:rPr>
        <w:t xml:space="preserve"> </w:t>
      </w:r>
      <w:r>
        <w:rPr>
          <w:sz w:val="36"/>
          <w:szCs w:val="36"/>
        </w:rPr>
        <w:t>–</w:t>
      </w:r>
      <w:r w:rsidR="00EC3568">
        <w:rPr>
          <w:sz w:val="36"/>
          <w:szCs w:val="36"/>
        </w:rPr>
        <w:t xml:space="preserve"> </w:t>
      </w:r>
      <w:r>
        <w:rPr>
          <w:sz w:val="36"/>
          <w:szCs w:val="36"/>
        </w:rPr>
        <w:t>16</w:t>
      </w:r>
      <w:r w:rsidR="00301B4D">
        <w:rPr>
          <w:sz w:val="36"/>
          <w:szCs w:val="36"/>
        </w:rPr>
        <w:t xml:space="preserve"> July 2016</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60355F" w:rsidRPr="009E6ED7" w:rsidRDefault="0060355F" w:rsidP="00674114">
      <w:pPr>
        <w:jc w:val="both"/>
        <w:rPr>
          <w:i/>
          <w:iCs/>
        </w:rPr>
      </w:pPr>
      <w:r w:rsidRPr="009E6ED7">
        <w:rPr>
          <w:i/>
          <w:iCs/>
        </w:rPr>
        <w:t>Prices</w:t>
      </w:r>
    </w:p>
    <w:p w:rsidR="005D365C" w:rsidRDefault="00674114" w:rsidP="00674114">
      <w:pPr>
        <w:jc w:val="both"/>
      </w:pPr>
      <w:r w:rsidRPr="009E6ED7">
        <w:t xml:space="preserve">Prices </w:t>
      </w:r>
      <w:r w:rsidR="00E52216">
        <w:t xml:space="preserve">generally </w:t>
      </w:r>
      <w:r w:rsidRPr="009E6ED7">
        <w:t>remain</w:t>
      </w:r>
      <w:r w:rsidR="00E23BF0">
        <w:t>ed</w:t>
      </w:r>
      <w:r w:rsidR="00E52216">
        <w:t xml:space="preserve"> </w:t>
      </w:r>
      <w:r w:rsidRPr="009E6ED7">
        <w:t xml:space="preserve">above $10/GJ across </w:t>
      </w:r>
      <w:r w:rsidR="009F11E6">
        <w:t xml:space="preserve">all </w:t>
      </w:r>
      <w:r w:rsidR="000A0B6F">
        <w:t>gas markets</w:t>
      </w:r>
      <w:r w:rsidR="00E52216">
        <w:t xml:space="preserve"> throughout the week</w:t>
      </w:r>
      <w:r w:rsidR="000A0B6F">
        <w:t xml:space="preserve">, peaking </w:t>
      </w:r>
      <w:r w:rsidR="00E23BF0">
        <w:t xml:space="preserve">in Southern markets </w:t>
      </w:r>
      <w:r w:rsidR="00E23BF0" w:rsidRPr="009E6ED7">
        <w:t>on</w:t>
      </w:r>
      <w:bookmarkStart w:id="6" w:name="_GoBack"/>
      <w:bookmarkEnd w:id="6"/>
      <w:r w:rsidR="00E23BF0" w:rsidRPr="009E6ED7">
        <w:t xml:space="preserve"> </w:t>
      </w:r>
      <w:r w:rsidR="00E23BF0">
        <w:t>13</w:t>
      </w:r>
      <w:r w:rsidR="004C3724">
        <w:t xml:space="preserve"> July</w:t>
      </w:r>
      <w:r w:rsidR="00E23BF0">
        <w:t xml:space="preserve">. </w:t>
      </w:r>
    </w:p>
    <w:p w:rsidR="005D365C" w:rsidRDefault="005D365C" w:rsidP="00674114">
      <w:pPr>
        <w:jc w:val="both"/>
      </w:pPr>
      <w:r>
        <w:t>On 13 July p</w:t>
      </w:r>
      <w:r w:rsidR="00E23BF0">
        <w:t xml:space="preserve">rices reached </w:t>
      </w:r>
      <w:r>
        <w:t xml:space="preserve">$43.55/GJ </w:t>
      </w:r>
      <w:r w:rsidR="000A0B6F">
        <w:t xml:space="preserve">in Victoria </w:t>
      </w:r>
      <w:r>
        <w:t xml:space="preserve">(the </w:t>
      </w:r>
      <w:r w:rsidRPr="009E6ED7">
        <w:t xml:space="preserve">highest </w:t>
      </w:r>
      <w:r>
        <w:t xml:space="preserve">price </w:t>
      </w:r>
      <w:r w:rsidRPr="009E6ED7">
        <w:t>since 2008</w:t>
      </w:r>
      <w:r>
        <w:t>)</w:t>
      </w:r>
      <w:r>
        <w:rPr>
          <w:rStyle w:val="FootnoteReference"/>
        </w:rPr>
        <w:footnoteReference w:id="1"/>
      </w:r>
      <w:r>
        <w:t xml:space="preserve">, </w:t>
      </w:r>
      <w:r w:rsidR="00674114" w:rsidRPr="009E6ED7">
        <w:t xml:space="preserve">$25.88/GJ </w:t>
      </w:r>
      <w:r w:rsidR="00C90E2E">
        <w:t xml:space="preserve">in Adelaide (exceeding records </w:t>
      </w:r>
      <w:r w:rsidR="00674114" w:rsidRPr="009E6ED7">
        <w:t xml:space="preserve">set </w:t>
      </w:r>
      <w:r w:rsidR="00C90E2E">
        <w:t xml:space="preserve">in </w:t>
      </w:r>
      <w:r w:rsidR="00674114" w:rsidRPr="009E6ED7">
        <w:t>previous weeks)</w:t>
      </w:r>
      <w:r w:rsidR="00E23BF0">
        <w:rPr>
          <w:rStyle w:val="FootnoteReference"/>
        </w:rPr>
        <w:footnoteReference w:id="2"/>
      </w:r>
      <w:r w:rsidR="00E23BF0">
        <w:t xml:space="preserve">, </w:t>
      </w:r>
      <w:r>
        <w:t xml:space="preserve">and </w:t>
      </w:r>
      <w:r w:rsidR="00E23BF0">
        <w:t>$16/GJ in Sydney</w:t>
      </w:r>
      <w:r>
        <w:t xml:space="preserve">. In Victoria </w:t>
      </w:r>
      <w:r w:rsidR="00ED4749" w:rsidRPr="005037C1">
        <w:t xml:space="preserve">the day started with line pack around 35 TJ short </w:t>
      </w:r>
      <w:r>
        <w:t xml:space="preserve">of target </w:t>
      </w:r>
      <w:r w:rsidR="00ED4749" w:rsidRPr="005037C1">
        <w:t>requiring</w:t>
      </w:r>
      <w:r w:rsidR="000A0B6F">
        <w:t xml:space="preserve"> more</w:t>
      </w:r>
      <w:r>
        <w:t xml:space="preserve"> supply to be scheduled across the day</w:t>
      </w:r>
      <w:r w:rsidR="00ED4749" w:rsidRPr="005037C1">
        <w:t xml:space="preserve">. Preliminary inquiries </w:t>
      </w:r>
      <w:r w:rsidR="00E52216">
        <w:t>indicate</w:t>
      </w:r>
      <w:r w:rsidR="00E52216" w:rsidRPr="005037C1">
        <w:t xml:space="preserve"> </w:t>
      </w:r>
      <w:r w:rsidR="00ED4749" w:rsidRPr="005037C1">
        <w:t>that weather patterns</w:t>
      </w:r>
      <w:r w:rsidR="005037C1">
        <w:t xml:space="preserve"> were </w:t>
      </w:r>
      <w:r w:rsidR="00ED4749" w:rsidRPr="005037C1">
        <w:t xml:space="preserve">difficult to predict </w:t>
      </w:r>
      <w:r w:rsidR="000D51BD">
        <w:t xml:space="preserve">around the </w:t>
      </w:r>
      <w:r w:rsidR="00ED4749" w:rsidRPr="005037C1">
        <w:t>13 July gas day leading to the</w:t>
      </w:r>
      <w:r>
        <w:t xml:space="preserve"> line pack</w:t>
      </w:r>
      <w:r w:rsidR="00ED4749" w:rsidRPr="005037C1">
        <w:t xml:space="preserve"> shortfall.</w:t>
      </w:r>
      <w:r w:rsidR="000D51BD">
        <w:t xml:space="preserve">  </w:t>
      </w:r>
    </w:p>
    <w:p w:rsidR="00674114" w:rsidRPr="005037C1" w:rsidRDefault="005D365C" w:rsidP="00674114">
      <w:pPr>
        <w:jc w:val="both"/>
      </w:pPr>
      <w:r>
        <w:t>Aligned with prices in Southern markets, t</w:t>
      </w:r>
      <w:r w:rsidR="00E23BF0" w:rsidRPr="005037C1">
        <w:t xml:space="preserve">he price paid for gas at the Wallumbilla Gas Supply Hub reached $14.25/GJ for </w:t>
      </w:r>
      <w:r w:rsidR="000A0B6F">
        <w:t xml:space="preserve">gas </w:t>
      </w:r>
      <w:r w:rsidR="00E23BF0" w:rsidRPr="005037C1">
        <w:t>tra</w:t>
      </w:r>
      <w:r w:rsidR="000A0B6F">
        <w:t>ded</w:t>
      </w:r>
      <w:r w:rsidR="000D51BD">
        <w:t xml:space="preserve"> </w:t>
      </w:r>
      <w:r w:rsidR="00E23BF0" w:rsidRPr="005037C1">
        <w:t xml:space="preserve">on 12 </w:t>
      </w:r>
      <w:r w:rsidR="004C3724" w:rsidRPr="005037C1">
        <w:t>July</w:t>
      </w:r>
      <w:r w:rsidR="000D51BD">
        <w:t xml:space="preserve"> for </w:t>
      </w:r>
      <w:r w:rsidR="004C3724" w:rsidRPr="005037C1">
        <w:t>deliver</w:t>
      </w:r>
      <w:r w:rsidR="000D51BD">
        <w:t xml:space="preserve">y </w:t>
      </w:r>
      <w:r w:rsidR="004C3724" w:rsidRPr="005037C1">
        <w:t>on</w:t>
      </w:r>
      <w:r w:rsidR="004C3724">
        <w:t xml:space="preserve"> 13 July</w:t>
      </w:r>
      <w:r w:rsidR="000D51BD">
        <w:t>.</w:t>
      </w:r>
    </w:p>
    <w:p w:rsidR="0060355F" w:rsidRPr="00B15B13" w:rsidRDefault="0060355F" w:rsidP="00F50BD1">
      <w:pPr>
        <w:ind w:left="709" w:hanging="709"/>
        <w:rPr>
          <w:rFonts w:asciiTheme="minorHAnsi" w:eastAsia="Times New Roman" w:hAnsiTheme="minorHAnsi" w:cstheme="minorHAnsi"/>
          <w:i/>
          <w:lang w:eastAsia="en-AU"/>
        </w:rPr>
      </w:pPr>
      <w:r w:rsidRPr="00B15B13">
        <w:rPr>
          <w:rFonts w:asciiTheme="minorHAnsi" w:eastAsia="Times New Roman" w:hAnsiTheme="minorHAnsi" w:cstheme="minorHAnsi"/>
          <w:i/>
          <w:lang w:eastAsia="en-AU"/>
        </w:rPr>
        <w:t xml:space="preserve">Supply </w:t>
      </w:r>
      <w:r w:rsidR="00ED4749">
        <w:rPr>
          <w:rFonts w:asciiTheme="minorHAnsi" w:eastAsia="Times New Roman" w:hAnsiTheme="minorHAnsi" w:cstheme="minorHAnsi"/>
          <w:i/>
          <w:lang w:eastAsia="en-AU"/>
        </w:rPr>
        <w:t>and Demand</w:t>
      </w:r>
    </w:p>
    <w:p w:rsidR="004C3724" w:rsidRDefault="004C3724" w:rsidP="00F50BD1">
      <w:pPr>
        <w:jc w:val="both"/>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As </w:t>
      </w:r>
      <w:r w:rsidR="00E52216">
        <w:rPr>
          <w:rFonts w:asciiTheme="minorHAnsi" w:eastAsia="Times New Roman" w:hAnsiTheme="minorHAnsi" w:cstheme="minorHAnsi"/>
          <w:lang w:eastAsia="en-AU"/>
        </w:rPr>
        <w:t xml:space="preserve">we recently </w:t>
      </w:r>
      <w:r>
        <w:rPr>
          <w:rFonts w:asciiTheme="minorHAnsi" w:eastAsia="Times New Roman" w:hAnsiTheme="minorHAnsi" w:cstheme="minorHAnsi"/>
          <w:lang w:eastAsia="en-AU"/>
        </w:rPr>
        <w:t>reported</w:t>
      </w:r>
      <w:r w:rsidR="00897DA6">
        <w:rPr>
          <w:rStyle w:val="FootnoteReference"/>
          <w:rFonts w:asciiTheme="minorHAnsi" w:eastAsia="Times New Roman" w:hAnsiTheme="minorHAnsi" w:cstheme="minorHAnsi"/>
          <w:lang w:eastAsia="en-AU"/>
        </w:rPr>
        <w:footnoteReference w:id="3"/>
      </w:r>
      <w:r w:rsidR="005037C1">
        <w:rPr>
          <w:rFonts w:asciiTheme="minorHAnsi" w:eastAsia="Times New Roman" w:hAnsiTheme="minorHAnsi" w:cstheme="minorHAnsi"/>
          <w:lang w:eastAsia="en-AU"/>
        </w:rPr>
        <w:t xml:space="preserve">, </w:t>
      </w:r>
      <w:r>
        <w:rPr>
          <w:rFonts w:asciiTheme="minorHAnsi" w:eastAsia="Times New Roman" w:hAnsiTheme="minorHAnsi" w:cstheme="minorHAnsi"/>
          <w:lang w:eastAsia="en-AU"/>
        </w:rPr>
        <w:t>h</w:t>
      </w:r>
      <w:r w:rsidR="0060355F">
        <w:rPr>
          <w:rFonts w:asciiTheme="minorHAnsi" w:eastAsia="Times New Roman" w:hAnsiTheme="minorHAnsi" w:cstheme="minorHAnsi"/>
          <w:lang w:eastAsia="en-AU"/>
        </w:rPr>
        <w:t xml:space="preserve">igh </w:t>
      </w:r>
      <w:r w:rsidR="002E1D06">
        <w:rPr>
          <w:rFonts w:asciiTheme="minorHAnsi" w:eastAsia="Times New Roman" w:hAnsiTheme="minorHAnsi" w:cstheme="minorHAnsi"/>
          <w:lang w:eastAsia="en-AU"/>
        </w:rPr>
        <w:t xml:space="preserve">gas prices reflect general </w:t>
      </w:r>
      <w:r w:rsidR="0060355F">
        <w:rPr>
          <w:rFonts w:asciiTheme="minorHAnsi" w:eastAsia="Times New Roman" w:hAnsiTheme="minorHAnsi" w:cstheme="minorHAnsi"/>
          <w:lang w:eastAsia="en-AU"/>
        </w:rPr>
        <w:t xml:space="preserve">tightness across the market </w:t>
      </w:r>
      <w:r w:rsidR="002E1D06">
        <w:rPr>
          <w:rFonts w:asciiTheme="minorHAnsi" w:eastAsia="Times New Roman" w:hAnsiTheme="minorHAnsi" w:cstheme="minorHAnsi"/>
          <w:lang w:eastAsia="en-AU"/>
        </w:rPr>
        <w:t xml:space="preserve">whereby gas </w:t>
      </w:r>
      <w:r w:rsidR="00DB708E">
        <w:rPr>
          <w:rFonts w:asciiTheme="minorHAnsi" w:eastAsia="Times New Roman" w:hAnsiTheme="minorHAnsi" w:cstheme="minorHAnsi"/>
          <w:lang w:eastAsia="en-AU"/>
        </w:rPr>
        <w:t>production</w:t>
      </w:r>
      <w:r w:rsidR="002E1D06">
        <w:rPr>
          <w:rFonts w:asciiTheme="minorHAnsi" w:eastAsia="Times New Roman" w:hAnsiTheme="minorHAnsi" w:cstheme="minorHAnsi"/>
          <w:lang w:eastAsia="en-AU"/>
        </w:rPr>
        <w:t xml:space="preserve"> is </w:t>
      </w:r>
      <w:r>
        <w:rPr>
          <w:rFonts w:asciiTheme="minorHAnsi" w:eastAsia="Times New Roman" w:hAnsiTheme="minorHAnsi" w:cstheme="minorHAnsi"/>
          <w:lang w:eastAsia="en-AU"/>
        </w:rPr>
        <w:t xml:space="preserve">running close to capacity </w:t>
      </w:r>
      <w:r w:rsidR="002E1D06">
        <w:rPr>
          <w:rFonts w:asciiTheme="minorHAnsi" w:eastAsia="Times New Roman" w:hAnsiTheme="minorHAnsi" w:cstheme="minorHAnsi"/>
          <w:lang w:eastAsia="en-AU"/>
        </w:rPr>
        <w:t xml:space="preserve">to satisfy </w:t>
      </w:r>
      <w:r w:rsidR="000A0B6F">
        <w:rPr>
          <w:rFonts w:asciiTheme="minorHAnsi" w:eastAsia="Times New Roman" w:hAnsiTheme="minorHAnsi" w:cstheme="minorHAnsi"/>
          <w:lang w:eastAsia="en-AU"/>
        </w:rPr>
        <w:t xml:space="preserve">a combination of </w:t>
      </w:r>
      <w:r>
        <w:rPr>
          <w:rFonts w:asciiTheme="minorHAnsi" w:eastAsia="Times New Roman" w:hAnsiTheme="minorHAnsi" w:cstheme="minorHAnsi"/>
          <w:lang w:eastAsia="en-AU"/>
        </w:rPr>
        <w:t xml:space="preserve">Southern </w:t>
      </w:r>
      <w:r w:rsidR="00ED4749">
        <w:rPr>
          <w:rFonts w:asciiTheme="minorHAnsi" w:eastAsia="Times New Roman" w:hAnsiTheme="minorHAnsi" w:cstheme="minorHAnsi"/>
          <w:lang w:eastAsia="en-AU"/>
        </w:rPr>
        <w:t>winter demand</w:t>
      </w:r>
      <w:r w:rsidR="009E6ED7">
        <w:rPr>
          <w:rFonts w:asciiTheme="minorHAnsi" w:eastAsia="Times New Roman" w:hAnsiTheme="minorHAnsi" w:cstheme="minorHAnsi"/>
          <w:lang w:eastAsia="en-AU"/>
        </w:rPr>
        <w:t>,</w:t>
      </w:r>
      <w:r w:rsidR="002E1D06">
        <w:rPr>
          <w:rFonts w:asciiTheme="minorHAnsi" w:eastAsia="Times New Roman" w:hAnsiTheme="minorHAnsi" w:cstheme="minorHAnsi"/>
          <w:lang w:eastAsia="en-AU"/>
        </w:rPr>
        <w:t xml:space="preserve"> </w:t>
      </w:r>
      <w:r w:rsidR="009E6ED7">
        <w:rPr>
          <w:rFonts w:asciiTheme="minorHAnsi" w:eastAsia="Times New Roman" w:hAnsiTheme="minorHAnsi" w:cstheme="minorHAnsi"/>
          <w:lang w:eastAsia="en-AU"/>
        </w:rPr>
        <w:t>Queensland</w:t>
      </w:r>
      <w:r w:rsidR="005037C1">
        <w:rPr>
          <w:rFonts w:asciiTheme="minorHAnsi" w:eastAsia="Times New Roman" w:hAnsiTheme="minorHAnsi" w:cstheme="minorHAnsi"/>
          <w:lang w:eastAsia="en-AU"/>
        </w:rPr>
        <w:t xml:space="preserve"> exports and </w:t>
      </w:r>
      <w:r w:rsidR="000A0B6F">
        <w:rPr>
          <w:rFonts w:asciiTheme="minorHAnsi" w:eastAsia="Times New Roman" w:hAnsiTheme="minorHAnsi" w:cstheme="minorHAnsi"/>
          <w:lang w:eastAsia="en-AU"/>
        </w:rPr>
        <w:t xml:space="preserve">high levels of </w:t>
      </w:r>
      <w:r>
        <w:rPr>
          <w:rFonts w:asciiTheme="minorHAnsi" w:eastAsia="Times New Roman" w:hAnsiTheme="minorHAnsi" w:cstheme="minorHAnsi"/>
          <w:lang w:eastAsia="en-AU"/>
        </w:rPr>
        <w:t>gas power generation</w:t>
      </w:r>
      <w:r w:rsidR="00ED4749">
        <w:rPr>
          <w:rFonts w:asciiTheme="minorHAnsi" w:eastAsia="Times New Roman" w:hAnsiTheme="minorHAnsi" w:cstheme="minorHAnsi"/>
          <w:lang w:eastAsia="en-AU"/>
        </w:rPr>
        <w:t xml:space="preserve">, particularly </w:t>
      </w:r>
      <w:r>
        <w:rPr>
          <w:rFonts w:asciiTheme="minorHAnsi" w:eastAsia="Times New Roman" w:hAnsiTheme="minorHAnsi" w:cstheme="minorHAnsi"/>
          <w:lang w:eastAsia="en-AU"/>
        </w:rPr>
        <w:t>in South Australia</w:t>
      </w:r>
      <w:r w:rsidR="002E1D06">
        <w:rPr>
          <w:rFonts w:asciiTheme="minorHAnsi" w:eastAsia="Times New Roman" w:hAnsiTheme="minorHAnsi" w:cstheme="minorHAnsi"/>
          <w:lang w:eastAsia="en-AU"/>
        </w:rPr>
        <w:t xml:space="preserve">. </w:t>
      </w:r>
      <w:r w:rsidR="00DB708E">
        <w:rPr>
          <w:rFonts w:asciiTheme="minorHAnsi" w:eastAsia="Times New Roman" w:hAnsiTheme="minorHAnsi" w:cstheme="minorHAnsi"/>
          <w:lang w:eastAsia="en-AU"/>
        </w:rPr>
        <w:t xml:space="preserve">The Gippsland and Otway Basins </w:t>
      </w:r>
      <w:r>
        <w:rPr>
          <w:rFonts w:asciiTheme="minorHAnsi" w:eastAsia="Times New Roman" w:hAnsiTheme="minorHAnsi" w:cstheme="minorHAnsi"/>
          <w:lang w:eastAsia="en-AU"/>
        </w:rPr>
        <w:t xml:space="preserve">production facilities </w:t>
      </w:r>
      <w:r w:rsidR="00DB708E">
        <w:rPr>
          <w:rFonts w:asciiTheme="minorHAnsi" w:eastAsia="Times New Roman" w:hAnsiTheme="minorHAnsi" w:cstheme="minorHAnsi"/>
          <w:lang w:eastAsia="en-AU"/>
        </w:rPr>
        <w:t>in Victoria have</w:t>
      </w:r>
      <w:r w:rsidR="00B15B13">
        <w:rPr>
          <w:rFonts w:asciiTheme="minorHAnsi" w:eastAsia="Times New Roman" w:hAnsiTheme="minorHAnsi" w:cstheme="minorHAnsi"/>
          <w:lang w:eastAsia="en-AU"/>
        </w:rPr>
        <w:t xml:space="preserve"> been producing at </w:t>
      </w:r>
      <w:r w:rsidR="00BE2DB8">
        <w:rPr>
          <w:rFonts w:asciiTheme="minorHAnsi" w:eastAsia="Times New Roman" w:hAnsiTheme="minorHAnsi" w:cstheme="minorHAnsi"/>
          <w:lang w:eastAsia="en-AU"/>
        </w:rPr>
        <w:t xml:space="preserve">close to </w:t>
      </w:r>
      <w:r w:rsidR="00B15B13">
        <w:rPr>
          <w:rFonts w:asciiTheme="minorHAnsi" w:eastAsia="Times New Roman" w:hAnsiTheme="minorHAnsi" w:cstheme="minorHAnsi"/>
          <w:lang w:eastAsia="en-AU"/>
        </w:rPr>
        <w:t>full capacity to meet demand</w:t>
      </w:r>
      <w:r w:rsidR="00BE2DB8">
        <w:rPr>
          <w:rStyle w:val="FootnoteReference"/>
          <w:rFonts w:asciiTheme="minorHAnsi" w:eastAsia="Times New Roman" w:hAnsiTheme="minorHAnsi" w:cstheme="minorHAnsi"/>
          <w:lang w:eastAsia="en-AU"/>
        </w:rPr>
        <w:footnoteReference w:id="4"/>
      </w:r>
      <w:r w:rsidR="005D365C">
        <w:rPr>
          <w:rFonts w:asciiTheme="minorHAnsi" w:eastAsia="Times New Roman" w:hAnsiTheme="minorHAnsi" w:cstheme="minorHAnsi"/>
          <w:lang w:eastAsia="en-AU"/>
        </w:rPr>
        <w:t xml:space="preserve">. </w:t>
      </w:r>
      <w:r w:rsidR="00B15B13">
        <w:rPr>
          <w:rFonts w:asciiTheme="minorHAnsi" w:eastAsia="Times New Roman" w:hAnsiTheme="minorHAnsi" w:cstheme="minorHAnsi"/>
          <w:lang w:eastAsia="en-AU"/>
        </w:rPr>
        <w:t xml:space="preserve"> </w:t>
      </w:r>
      <w:r w:rsidR="005D365C">
        <w:rPr>
          <w:rFonts w:asciiTheme="minorHAnsi" w:eastAsia="Times New Roman" w:hAnsiTheme="minorHAnsi" w:cstheme="minorHAnsi"/>
          <w:lang w:eastAsia="en-AU"/>
        </w:rPr>
        <w:t xml:space="preserve">At the same time </w:t>
      </w:r>
      <w:r w:rsidR="00B15B13">
        <w:rPr>
          <w:rFonts w:asciiTheme="minorHAnsi" w:eastAsia="Times New Roman" w:hAnsiTheme="minorHAnsi" w:cstheme="minorHAnsi"/>
          <w:lang w:eastAsia="en-AU"/>
        </w:rPr>
        <w:t xml:space="preserve">gas storage facilities in Victoria </w:t>
      </w:r>
      <w:r>
        <w:rPr>
          <w:rFonts w:asciiTheme="minorHAnsi" w:eastAsia="Times New Roman" w:hAnsiTheme="minorHAnsi" w:cstheme="minorHAnsi"/>
          <w:lang w:eastAsia="en-AU"/>
        </w:rPr>
        <w:t>and New South Wales</w:t>
      </w:r>
      <w:r w:rsidR="00ED4749">
        <w:rPr>
          <w:rFonts w:asciiTheme="minorHAnsi" w:eastAsia="Times New Roman" w:hAnsiTheme="minorHAnsi" w:cstheme="minorHAnsi"/>
          <w:lang w:eastAsia="en-AU"/>
        </w:rPr>
        <w:t xml:space="preserve"> (including </w:t>
      </w:r>
      <w:r w:rsidR="0061550A">
        <w:rPr>
          <w:rFonts w:asciiTheme="minorHAnsi" w:eastAsia="Times New Roman" w:hAnsiTheme="minorHAnsi" w:cstheme="minorHAnsi"/>
          <w:lang w:eastAsia="en-AU"/>
        </w:rPr>
        <w:t xml:space="preserve">the </w:t>
      </w:r>
      <w:r w:rsidR="00ED4749">
        <w:rPr>
          <w:rFonts w:asciiTheme="minorHAnsi" w:eastAsia="Times New Roman" w:hAnsiTheme="minorHAnsi" w:cstheme="minorHAnsi"/>
          <w:lang w:eastAsia="en-AU"/>
        </w:rPr>
        <w:t>Dandenong/Newcastle LNG</w:t>
      </w:r>
      <w:r w:rsidR="0061550A">
        <w:rPr>
          <w:rFonts w:asciiTheme="minorHAnsi" w:eastAsia="Times New Roman" w:hAnsiTheme="minorHAnsi" w:cstheme="minorHAnsi"/>
          <w:lang w:eastAsia="en-AU"/>
        </w:rPr>
        <w:t xml:space="preserve"> </w:t>
      </w:r>
      <w:r w:rsidR="00D77622">
        <w:rPr>
          <w:rFonts w:asciiTheme="minorHAnsi" w:eastAsia="Times New Roman" w:hAnsiTheme="minorHAnsi" w:cstheme="minorHAnsi"/>
          <w:lang w:eastAsia="en-AU"/>
        </w:rPr>
        <w:t xml:space="preserve">storage </w:t>
      </w:r>
      <w:r w:rsidR="0061550A">
        <w:rPr>
          <w:rFonts w:asciiTheme="minorHAnsi" w:eastAsia="Times New Roman" w:hAnsiTheme="minorHAnsi" w:cstheme="minorHAnsi"/>
          <w:lang w:eastAsia="en-AU"/>
        </w:rPr>
        <w:t>facilities</w:t>
      </w:r>
      <w:r w:rsidR="00ED4749">
        <w:rPr>
          <w:rFonts w:asciiTheme="minorHAnsi" w:eastAsia="Times New Roman" w:hAnsiTheme="minorHAnsi" w:cstheme="minorHAnsi"/>
          <w:lang w:eastAsia="en-AU"/>
        </w:rPr>
        <w:t xml:space="preserve">), </w:t>
      </w:r>
      <w:r>
        <w:rPr>
          <w:rFonts w:asciiTheme="minorHAnsi" w:eastAsia="Times New Roman" w:hAnsiTheme="minorHAnsi" w:cstheme="minorHAnsi"/>
          <w:lang w:eastAsia="en-AU"/>
        </w:rPr>
        <w:t xml:space="preserve"> </w:t>
      </w:r>
      <w:r w:rsidR="00B15B13">
        <w:rPr>
          <w:rFonts w:asciiTheme="minorHAnsi" w:eastAsia="Times New Roman" w:hAnsiTheme="minorHAnsi" w:cstheme="minorHAnsi"/>
          <w:lang w:eastAsia="en-AU"/>
        </w:rPr>
        <w:t>have been drawn upon</w:t>
      </w:r>
      <w:r w:rsidR="00D04D56">
        <w:rPr>
          <w:rFonts w:asciiTheme="minorHAnsi" w:eastAsia="Times New Roman" w:hAnsiTheme="minorHAnsi" w:cstheme="minorHAnsi"/>
          <w:lang w:eastAsia="en-AU"/>
        </w:rPr>
        <w:t xml:space="preserve"> </w:t>
      </w:r>
      <w:r>
        <w:rPr>
          <w:rFonts w:asciiTheme="minorHAnsi" w:eastAsia="Times New Roman" w:hAnsiTheme="minorHAnsi" w:cstheme="minorHAnsi"/>
          <w:lang w:eastAsia="en-AU"/>
        </w:rPr>
        <w:t xml:space="preserve">regularly with </w:t>
      </w:r>
      <w:r w:rsidR="00F44FC5">
        <w:rPr>
          <w:rFonts w:asciiTheme="minorHAnsi" w:eastAsia="Times New Roman" w:hAnsiTheme="minorHAnsi" w:cstheme="minorHAnsi"/>
          <w:lang w:eastAsia="en-AU"/>
        </w:rPr>
        <w:t xml:space="preserve">Iona storage </w:t>
      </w:r>
      <w:r>
        <w:rPr>
          <w:rFonts w:asciiTheme="minorHAnsi" w:eastAsia="Times New Roman" w:hAnsiTheme="minorHAnsi" w:cstheme="minorHAnsi"/>
          <w:lang w:eastAsia="en-AU"/>
        </w:rPr>
        <w:t xml:space="preserve">reported as being </w:t>
      </w:r>
      <w:r w:rsidR="0000023B">
        <w:rPr>
          <w:rFonts w:asciiTheme="minorHAnsi" w:eastAsia="Times New Roman" w:hAnsiTheme="minorHAnsi" w:cstheme="minorHAnsi"/>
          <w:lang w:eastAsia="en-AU"/>
        </w:rPr>
        <w:t xml:space="preserve">around </w:t>
      </w:r>
      <w:r w:rsidR="00F44FC5">
        <w:rPr>
          <w:rFonts w:asciiTheme="minorHAnsi" w:eastAsia="Times New Roman" w:hAnsiTheme="minorHAnsi" w:cstheme="minorHAnsi"/>
          <w:lang w:eastAsia="en-AU"/>
        </w:rPr>
        <w:t>40</w:t>
      </w:r>
      <w:r w:rsidR="00F50BD1">
        <w:rPr>
          <w:rFonts w:asciiTheme="minorHAnsi" w:eastAsia="Times New Roman" w:hAnsiTheme="minorHAnsi" w:cstheme="minorHAnsi"/>
          <w:lang w:eastAsia="en-AU"/>
        </w:rPr>
        <w:t> per cent</w:t>
      </w:r>
      <w:r w:rsidR="00F44FC5">
        <w:rPr>
          <w:rFonts w:asciiTheme="minorHAnsi" w:eastAsia="Times New Roman" w:hAnsiTheme="minorHAnsi" w:cstheme="minorHAnsi"/>
          <w:lang w:eastAsia="en-AU"/>
        </w:rPr>
        <w:t xml:space="preserve"> full</w:t>
      </w:r>
      <w:r>
        <w:rPr>
          <w:rFonts w:asciiTheme="minorHAnsi" w:eastAsia="Times New Roman" w:hAnsiTheme="minorHAnsi" w:cstheme="minorHAnsi"/>
          <w:lang w:eastAsia="en-AU"/>
        </w:rPr>
        <w:t xml:space="preserve"> in early July</w:t>
      </w:r>
      <w:r w:rsidR="004047DF">
        <w:rPr>
          <w:rFonts w:asciiTheme="minorHAnsi" w:eastAsia="Times New Roman" w:hAnsiTheme="minorHAnsi" w:cstheme="minorHAnsi"/>
          <w:lang w:eastAsia="en-AU"/>
        </w:rPr>
        <w:t>.</w:t>
      </w:r>
      <w:r w:rsidR="0000023B">
        <w:rPr>
          <w:rStyle w:val="FootnoteReference"/>
          <w:rFonts w:asciiTheme="minorHAnsi" w:eastAsia="Times New Roman" w:hAnsiTheme="minorHAnsi" w:cstheme="minorHAnsi"/>
          <w:lang w:eastAsia="en-AU"/>
        </w:rPr>
        <w:footnoteReference w:id="5"/>
      </w:r>
      <w:r w:rsidR="00F44FC5">
        <w:rPr>
          <w:rFonts w:asciiTheme="minorHAnsi" w:eastAsia="Times New Roman" w:hAnsiTheme="minorHAnsi" w:cstheme="minorHAnsi"/>
          <w:lang w:eastAsia="en-AU"/>
        </w:rPr>
        <w:t xml:space="preserve"> </w:t>
      </w:r>
    </w:p>
    <w:p w:rsidR="00A208DD" w:rsidRPr="00280D29" w:rsidRDefault="00ED4749" w:rsidP="00F50BD1">
      <w:pPr>
        <w:jc w:val="both"/>
        <w:rPr>
          <w:rFonts w:asciiTheme="minorHAnsi" w:eastAsia="Times New Roman" w:hAnsiTheme="minorHAnsi" w:cstheme="minorHAnsi"/>
          <w:lang w:eastAsia="en-AU"/>
        </w:rPr>
      </w:pPr>
      <w:r w:rsidRPr="005037C1">
        <w:rPr>
          <w:rFonts w:asciiTheme="minorHAnsi" w:eastAsia="Times New Roman" w:hAnsiTheme="minorHAnsi" w:cstheme="minorHAnsi"/>
          <w:lang w:eastAsia="en-AU"/>
        </w:rPr>
        <w:t xml:space="preserve">AGL reported </w:t>
      </w:r>
      <w:r w:rsidR="005037C1" w:rsidRPr="005037C1">
        <w:rPr>
          <w:rFonts w:asciiTheme="minorHAnsi" w:eastAsia="Times New Roman" w:hAnsiTheme="minorHAnsi" w:cstheme="minorHAnsi"/>
          <w:lang w:eastAsia="en-AU"/>
        </w:rPr>
        <w:t>on 7 July</w:t>
      </w:r>
      <w:r w:rsidR="005037C1">
        <w:rPr>
          <w:rFonts w:asciiTheme="minorHAnsi" w:eastAsia="Times New Roman" w:hAnsiTheme="minorHAnsi" w:cstheme="minorHAnsi"/>
          <w:lang w:eastAsia="en-AU"/>
        </w:rPr>
        <w:t xml:space="preserve"> that</w:t>
      </w:r>
      <w:r w:rsidR="005037C1" w:rsidRPr="005037C1">
        <w:rPr>
          <w:rFonts w:asciiTheme="minorHAnsi" w:eastAsia="Times New Roman" w:hAnsiTheme="minorHAnsi" w:cstheme="minorHAnsi"/>
          <w:lang w:eastAsia="en-AU"/>
        </w:rPr>
        <w:t xml:space="preserve"> it had acquired a higher than anticipated proportion of wholesale gas for the first quarter of FY17 </w:t>
      </w:r>
      <w:r w:rsidR="005037C1">
        <w:rPr>
          <w:rFonts w:asciiTheme="minorHAnsi" w:eastAsia="Times New Roman" w:hAnsiTheme="minorHAnsi" w:cstheme="minorHAnsi"/>
          <w:lang w:eastAsia="en-AU"/>
        </w:rPr>
        <w:t>in part because of a supply constraint in Queensland</w:t>
      </w:r>
      <w:r w:rsidR="005037C1" w:rsidRPr="005037C1">
        <w:rPr>
          <w:rFonts w:cs="Arial"/>
          <w:lang w:val="en"/>
        </w:rPr>
        <w:t>.</w:t>
      </w:r>
      <w:r>
        <w:rPr>
          <w:rStyle w:val="FootnoteReference"/>
          <w:rFonts w:asciiTheme="minorHAnsi" w:eastAsia="Times New Roman" w:hAnsiTheme="minorHAnsi" w:cstheme="minorHAnsi"/>
          <w:lang w:eastAsia="en-AU"/>
        </w:rPr>
        <w:footnoteReference w:id="6"/>
      </w:r>
      <w:r w:rsidR="005037C1">
        <w:rPr>
          <w:rFonts w:asciiTheme="minorHAnsi" w:eastAsia="Times New Roman" w:hAnsiTheme="minorHAnsi" w:cstheme="minorHAnsi"/>
          <w:i/>
          <w:lang w:eastAsia="en-AU"/>
        </w:rPr>
        <w:t xml:space="preserve"> </w:t>
      </w:r>
      <w:r w:rsidR="005037C1">
        <w:t>On the Gas Bulletin Board</w:t>
      </w:r>
      <w:r w:rsidR="00F50BD1">
        <w:t>,</w:t>
      </w:r>
      <w:r w:rsidR="005037C1">
        <w:t xml:space="preserve"> QCLNG and Santos have reported </w:t>
      </w:r>
      <w:r w:rsidR="0061550A">
        <w:t xml:space="preserve">the need for </w:t>
      </w:r>
      <w:r w:rsidR="005037C1">
        <w:t xml:space="preserve">maintenance </w:t>
      </w:r>
      <w:r w:rsidR="0061550A">
        <w:t>o</w:t>
      </w:r>
      <w:r w:rsidR="005037C1">
        <w:t xml:space="preserve">f their LNG trains </w:t>
      </w:r>
      <w:r w:rsidR="0061550A">
        <w:t xml:space="preserve">during </w:t>
      </w:r>
      <w:r w:rsidR="005037C1">
        <w:t>the period</w:t>
      </w:r>
      <w:r w:rsidR="0061550A">
        <w:t>s</w:t>
      </w:r>
      <w:r w:rsidR="005037C1">
        <w:t xml:space="preserve"> 25 July to 2 August and 5 to 23 October </w:t>
      </w:r>
      <w:r w:rsidR="00F50BD1">
        <w:t>respectively</w:t>
      </w:r>
      <w:r w:rsidR="0061550A">
        <w:t xml:space="preserve">.  This </w:t>
      </w:r>
      <w:r w:rsidR="005037C1">
        <w:t>should increase supply available for the domestic market.</w:t>
      </w:r>
      <w:r w:rsidR="005037C1">
        <w:rPr>
          <w:rStyle w:val="FootnoteReference"/>
        </w:rPr>
        <w:footnoteReference w:id="7"/>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0023B" w:rsidRDefault="000835F4" w:rsidP="0000023B">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w:t>
      </w:r>
      <w:r>
        <w:lastRenderedPageBreak/>
        <w:t>performance of the gas sector including gas prices, production, pipeline flows and consumer demand.</w:t>
      </w:r>
    </w:p>
    <w:p w:rsidR="000835F4" w:rsidRPr="000835F4" w:rsidRDefault="000835F4" w:rsidP="0000023B">
      <w:pPr>
        <w:jc w:val="both"/>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r w:rsidR="00894A83">
        <w:fldChar w:fldCharType="begin"/>
      </w:r>
      <w:r w:rsidR="00894A83">
        <w:instrText xml:space="preserve"> SEQ Figure \* ARABIC </w:instrText>
      </w:r>
      <w:r w:rsidR="00894A83">
        <w:fldChar w:fldCharType="separate"/>
      </w:r>
      <w:r w:rsidR="00894A83">
        <w:rPr>
          <w:noProof/>
        </w:rPr>
        <w:t>1</w:t>
      </w:r>
      <w:r w:rsidR="00894A83">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8"/>
      </w:r>
    </w:p>
    <w:tbl>
      <w:tblPr>
        <w:tblStyle w:val="AERTable-Text"/>
        <w:tblW w:w="4991" w:type="pct"/>
        <w:tblLayout w:type="fixed"/>
        <w:tblLook w:val="04A0" w:firstRow="1" w:lastRow="0" w:firstColumn="1" w:lastColumn="0" w:noHBand="0" w:noVBand="1"/>
      </w:tblPr>
      <w:tblGrid>
        <w:gridCol w:w="1382"/>
        <w:gridCol w:w="607"/>
        <w:gridCol w:w="814"/>
        <w:gridCol w:w="607"/>
        <w:gridCol w:w="769"/>
        <w:gridCol w:w="607"/>
        <w:gridCol w:w="572"/>
        <w:gridCol w:w="607"/>
        <w:gridCol w:w="670"/>
        <w:gridCol w:w="609"/>
        <w:gridCol w:w="662"/>
        <w:gridCol w:w="79"/>
        <w:gridCol w:w="480"/>
        <w:gridCol w:w="760"/>
      </w:tblGrid>
      <w:tr w:rsidR="00C92095" w:rsidRPr="00E95390" w:rsidTr="00CF057C">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C92095" w:rsidRPr="00E16EDC" w:rsidRDefault="00C92095" w:rsidP="00CF057C">
            <w:pPr>
              <w:pStyle w:val="TableHeading"/>
              <w:spacing w:before="120" w:after="0" w:line="240" w:lineRule="auto"/>
              <w:jc w:val="center"/>
              <w:rPr>
                <w:rFonts w:cs="Arial"/>
                <w:sz w:val="20"/>
                <w:szCs w:val="20"/>
              </w:rPr>
            </w:pPr>
          </w:p>
        </w:tc>
        <w:tc>
          <w:tcPr>
            <w:tcW w:w="770" w:type="pct"/>
            <w:gridSpan w:val="2"/>
            <w:tcBorders>
              <w:bottom w:val="nil"/>
            </w:tcBorders>
            <w:vAlign w:val="center"/>
          </w:tcPr>
          <w:p w:rsidR="00C92095" w:rsidRPr="00E95390" w:rsidRDefault="00C92095" w:rsidP="00CF057C">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C92095" w:rsidRPr="00E95390" w:rsidRDefault="00C92095" w:rsidP="00CF057C">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2"/>
            <w:tcBorders>
              <w:bottom w:val="nil"/>
            </w:tcBorders>
            <w:vAlign w:val="center"/>
          </w:tcPr>
          <w:p w:rsidR="00C92095" w:rsidRPr="00E95390" w:rsidRDefault="00C92095" w:rsidP="00CF057C">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2"/>
            <w:tcBorders>
              <w:bottom w:val="nil"/>
            </w:tcBorders>
            <w:vAlign w:val="center"/>
          </w:tcPr>
          <w:p w:rsidR="00C92095" w:rsidRPr="00E95390" w:rsidRDefault="00C92095" w:rsidP="00CF057C">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3"/>
            <w:tcBorders>
              <w:bottom w:val="nil"/>
            </w:tcBorders>
            <w:vAlign w:val="center"/>
          </w:tcPr>
          <w:p w:rsidR="00C92095" w:rsidRPr="00E95390" w:rsidRDefault="00C92095" w:rsidP="00CF057C">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2" w:type="pct"/>
            <w:gridSpan w:val="2"/>
            <w:tcBorders>
              <w:bottom w:val="nil"/>
            </w:tcBorders>
            <w:vAlign w:val="center"/>
          </w:tcPr>
          <w:p w:rsidR="00C92095" w:rsidRPr="00E95390" w:rsidRDefault="00C92095" w:rsidP="00CF057C">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C92095" w:rsidRPr="00E16EDC" w:rsidTr="00CF057C">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C92095" w:rsidRPr="00A226E9" w:rsidRDefault="00C92095" w:rsidP="00CF057C">
            <w:pPr>
              <w:spacing w:before="0" w:line="240" w:lineRule="auto"/>
              <w:rPr>
                <w:rFonts w:cs="Arial"/>
                <w:sz w:val="20"/>
                <w:szCs w:val="20"/>
                <w:highlight w:val="yellow"/>
              </w:rPr>
            </w:pPr>
          </w:p>
        </w:tc>
        <w:tc>
          <w:tcPr>
            <w:tcW w:w="329" w:type="pct"/>
            <w:tcBorders>
              <w:bottom w:val="nil"/>
            </w:tcBorders>
            <w:vAlign w:val="center"/>
            <w:hideMark/>
          </w:tcPr>
          <w:p w:rsidR="00C92095" w:rsidRPr="00E16EDC" w:rsidRDefault="00C92095" w:rsidP="00CF057C">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tcBorders>
              <w:bottom w:val="nil"/>
            </w:tcBorders>
            <w:vAlign w:val="center"/>
            <w:hideMark/>
          </w:tcPr>
          <w:p w:rsidR="00C92095" w:rsidRPr="00E16EDC" w:rsidRDefault="00C92095" w:rsidP="00CF057C">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C92095" w:rsidRPr="00E16EDC" w:rsidRDefault="00C92095" w:rsidP="00CF057C">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C92095" w:rsidRPr="00E16EDC" w:rsidRDefault="00C92095" w:rsidP="00CF057C">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C92095" w:rsidRPr="00E16EDC" w:rsidRDefault="00C92095" w:rsidP="00CF057C">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tcBorders>
              <w:bottom w:val="nil"/>
            </w:tcBorders>
            <w:vAlign w:val="center"/>
          </w:tcPr>
          <w:p w:rsidR="00C92095" w:rsidRPr="00E16EDC" w:rsidRDefault="00C92095" w:rsidP="00CF057C">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C92095" w:rsidRPr="00E16EDC" w:rsidRDefault="00C92095" w:rsidP="00CF057C">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tcBorders>
              <w:bottom w:val="nil"/>
            </w:tcBorders>
            <w:vAlign w:val="center"/>
          </w:tcPr>
          <w:p w:rsidR="00C92095" w:rsidRPr="00E16EDC" w:rsidRDefault="00C92095" w:rsidP="00CF057C">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tcBorders>
              <w:bottom w:val="nil"/>
            </w:tcBorders>
            <w:vAlign w:val="center"/>
          </w:tcPr>
          <w:p w:rsidR="00C92095" w:rsidRPr="00E16EDC" w:rsidRDefault="00C92095" w:rsidP="00CF057C">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tcBorders>
              <w:bottom w:val="nil"/>
            </w:tcBorders>
            <w:vAlign w:val="center"/>
          </w:tcPr>
          <w:p w:rsidR="00C92095" w:rsidRPr="00E16EDC" w:rsidRDefault="00C92095" w:rsidP="00CF057C">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2"/>
            <w:tcBorders>
              <w:bottom w:val="nil"/>
            </w:tcBorders>
            <w:vAlign w:val="center"/>
          </w:tcPr>
          <w:p w:rsidR="00C92095" w:rsidRPr="00E16EDC" w:rsidRDefault="00C92095" w:rsidP="00CF057C">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tcBorders>
              <w:bottom w:val="nil"/>
            </w:tcBorders>
            <w:vAlign w:val="center"/>
          </w:tcPr>
          <w:p w:rsidR="00C92095" w:rsidRPr="00E16EDC" w:rsidRDefault="00C92095" w:rsidP="00CF057C">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C92095" w:rsidTr="00CF057C">
        <w:trPr>
          <w:trHeight w:val="510"/>
        </w:trPr>
        <w:tc>
          <w:tcPr>
            <w:tcW w:w="749" w:type="pct"/>
            <w:tcBorders>
              <w:top w:val="nil"/>
              <w:bottom w:val="nil"/>
            </w:tcBorders>
            <w:vAlign w:val="center"/>
          </w:tcPr>
          <w:p w:rsidR="00C92095" w:rsidRDefault="00C92095">
            <w:pPr>
              <w:rPr>
                <w:rFonts w:cs="Arial"/>
                <w:sz w:val="16"/>
                <w:szCs w:val="16"/>
              </w:rPr>
            </w:pPr>
            <w:r>
              <w:rPr>
                <w:rFonts w:cs="Arial"/>
                <w:sz w:val="16"/>
                <w:szCs w:val="16"/>
              </w:rPr>
              <w:t>10 Jul - 16 Jul 2016</w:t>
            </w:r>
          </w:p>
        </w:tc>
        <w:tc>
          <w:tcPr>
            <w:tcW w:w="329" w:type="pct"/>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17.62</w:t>
            </w:r>
          </w:p>
        </w:tc>
        <w:tc>
          <w:tcPr>
            <w:tcW w:w="441" w:type="pct"/>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970</w:t>
            </w:r>
          </w:p>
        </w:tc>
        <w:tc>
          <w:tcPr>
            <w:tcW w:w="329" w:type="pct"/>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12.06</w:t>
            </w:r>
          </w:p>
        </w:tc>
        <w:tc>
          <w:tcPr>
            <w:tcW w:w="417" w:type="pct"/>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307</w:t>
            </w:r>
          </w:p>
        </w:tc>
        <w:tc>
          <w:tcPr>
            <w:tcW w:w="329" w:type="pct"/>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18.09</w:t>
            </w:r>
          </w:p>
        </w:tc>
        <w:tc>
          <w:tcPr>
            <w:tcW w:w="310" w:type="pct"/>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95</w:t>
            </w:r>
          </w:p>
        </w:tc>
        <w:tc>
          <w:tcPr>
            <w:tcW w:w="329" w:type="pct"/>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11.18</w:t>
            </w:r>
          </w:p>
        </w:tc>
        <w:tc>
          <w:tcPr>
            <w:tcW w:w="363" w:type="pct"/>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96</w:t>
            </w:r>
          </w:p>
        </w:tc>
        <w:tc>
          <w:tcPr>
            <w:tcW w:w="330" w:type="pct"/>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9.55</w:t>
            </w:r>
          </w:p>
        </w:tc>
        <w:tc>
          <w:tcPr>
            <w:tcW w:w="359" w:type="pct"/>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253</w:t>
            </w:r>
          </w:p>
        </w:tc>
        <w:tc>
          <w:tcPr>
            <w:tcW w:w="303" w:type="pct"/>
            <w:gridSpan w:val="2"/>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w:t>
            </w:r>
          </w:p>
        </w:tc>
        <w:tc>
          <w:tcPr>
            <w:tcW w:w="412" w:type="pct"/>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w:t>
            </w:r>
          </w:p>
        </w:tc>
      </w:tr>
      <w:tr w:rsidR="00C92095" w:rsidTr="00CF057C">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nil"/>
            </w:tcBorders>
            <w:vAlign w:val="center"/>
          </w:tcPr>
          <w:p w:rsidR="00C92095" w:rsidRDefault="00C92095">
            <w:pPr>
              <w:rPr>
                <w:rFonts w:cs="Arial"/>
                <w:sz w:val="16"/>
                <w:szCs w:val="16"/>
              </w:rPr>
            </w:pPr>
            <w:r>
              <w:rPr>
                <w:rFonts w:cs="Arial"/>
                <w:sz w:val="16"/>
                <w:szCs w:val="16"/>
              </w:rPr>
              <w:t>% change from previous week</w:t>
            </w:r>
          </w:p>
        </w:tc>
        <w:tc>
          <w:tcPr>
            <w:tcW w:w="329" w:type="pct"/>
            <w:tcBorders>
              <w:top w:val="nil"/>
              <w:bottom w:val="nil"/>
            </w:tcBorders>
            <w:vAlign w:val="center"/>
          </w:tcPr>
          <w:p w:rsidR="00C92095" w:rsidRDefault="00C92095" w:rsidP="00C92095">
            <w:pPr>
              <w:ind w:left="-106" w:right="-70"/>
              <w:jc w:val="center"/>
              <w:rPr>
                <w:rFonts w:cs="Arial"/>
                <w:szCs w:val="20"/>
              </w:rPr>
            </w:pPr>
            <w:r>
              <w:rPr>
                <w:rFonts w:cs="Arial"/>
                <w:szCs w:val="20"/>
              </w:rPr>
              <w:t>24</w:t>
            </w:r>
          </w:p>
        </w:tc>
        <w:tc>
          <w:tcPr>
            <w:tcW w:w="441" w:type="pct"/>
            <w:tcBorders>
              <w:top w:val="nil"/>
              <w:bottom w:val="nil"/>
            </w:tcBorders>
            <w:vAlign w:val="center"/>
          </w:tcPr>
          <w:p w:rsidR="00C92095" w:rsidRDefault="00C92095" w:rsidP="00C92095">
            <w:pPr>
              <w:ind w:left="-106" w:right="-70"/>
              <w:jc w:val="center"/>
              <w:rPr>
                <w:rFonts w:cs="Arial"/>
                <w:szCs w:val="20"/>
              </w:rPr>
            </w:pPr>
            <w:r>
              <w:rPr>
                <w:rFonts w:cs="Arial"/>
                <w:szCs w:val="20"/>
              </w:rPr>
              <w:t>4</w:t>
            </w:r>
          </w:p>
        </w:tc>
        <w:tc>
          <w:tcPr>
            <w:tcW w:w="329" w:type="pct"/>
            <w:tcBorders>
              <w:top w:val="nil"/>
              <w:bottom w:val="nil"/>
            </w:tcBorders>
            <w:vAlign w:val="center"/>
          </w:tcPr>
          <w:p w:rsidR="00C92095" w:rsidRDefault="00C92095" w:rsidP="00C92095">
            <w:pPr>
              <w:ind w:left="-106" w:right="-70"/>
              <w:jc w:val="center"/>
              <w:rPr>
                <w:rFonts w:cs="Arial"/>
                <w:szCs w:val="20"/>
              </w:rPr>
            </w:pPr>
            <w:r>
              <w:rPr>
                <w:rFonts w:cs="Arial"/>
                <w:szCs w:val="20"/>
              </w:rPr>
              <w:t>0</w:t>
            </w:r>
          </w:p>
        </w:tc>
        <w:tc>
          <w:tcPr>
            <w:tcW w:w="417" w:type="pct"/>
            <w:tcBorders>
              <w:top w:val="nil"/>
              <w:bottom w:val="nil"/>
            </w:tcBorders>
            <w:vAlign w:val="center"/>
          </w:tcPr>
          <w:p w:rsidR="00C92095" w:rsidRDefault="00C92095" w:rsidP="00C92095">
            <w:pPr>
              <w:ind w:left="-106" w:right="-70"/>
              <w:jc w:val="center"/>
              <w:rPr>
                <w:rFonts w:cs="Arial"/>
                <w:szCs w:val="20"/>
              </w:rPr>
            </w:pPr>
            <w:r>
              <w:rPr>
                <w:rFonts w:cs="Arial"/>
                <w:szCs w:val="20"/>
              </w:rPr>
              <w:t>3</w:t>
            </w:r>
          </w:p>
        </w:tc>
        <w:tc>
          <w:tcPr>
            <w:tcW w:w="329" w:type="pct"/>
            <w:tcBorders>
              <w:top w:val="nil"/>
              <w:bottom w:val="nil"/>
            </w:tcBorders>
            <w:vAlign w:val="center"/>
          </w:tcPr>
          <w:p w:rsidR="00C92095" w:rsidRDefault="00C92095" w:rsidP="00C92095">
            <w:pPr>
              <w:ind w:left="-106" w:right="-70"/>
              <w:jc w:val="center"/>
              <w:rPr>
                <w:rFonts w:cs="Arial"/>
                <w:szCs w:val="20"/>
              </w:rPr>
            </w:pPr>
            <w:r>
              <w:rPr>
                <w:rFonts w:cs="Arial"/>
                <w:szCs w:val="20"/>
              </w:rPr>
              <w:t>0</w:t>
            </w:r>
          </w:p>
        </w:tc>
        <w:tc>
          <w:tcPr>
            <w:tcW w:w="310" w:type="pct"/>
            <w:tcBorders>
              <w:top w:val="nil"/>
              <w:bottom w:val="nil"/>
            </w:tcBorders>
            <w:vAlign w:val="center"/>
          </w:tcPr>
          <w:p w:rsidR="00C92095" w:rsidRDefault="00C92095" w:rsidP="00C92095">
            <w:pPr>
              <w:ind w:left="-106" w:right="-70"/>
              <w:jc w:val="center"/>
              <w:rPr>
                <w:rFonts w:cs="Arial"/>
                <w:szCs w:val="20"/>
              </w:rPr>
            </w:pPr>
            <w:r>
              <w:rPr>
                <w:rFonts w:cs="Arial"/>
                <w:szCs w:val="20"/>
              </w:rPr>
              <w:t>2</w:t>
            </w:r>
          </w:p>
        </w:tc>
        <w:tc>
          <w:tcPr>
            <w:tcW w:w="329" w:type="pct"/>
            <w:tcBorders>
              <w:top w:val="nil"/>
              <w:bottom w:val="nil"/>
            </w:tcBorders>
            <w:vAlign w:val="center"/>
          </w:tcPr>
          <w:p w:rsidR="00C92095" w:rsidRDefault="00C92095" w:rsidP="00C92095">
            <w:pPr>
              <w:ind w:left="-106" w:right="-70"/>
              <w:jc w:val="center"/>
              <w:rPr>
                <w:rFonts w:cs="Arial"/>
                <w:szCs w:val="20"/>
              </w:rPr>
            </w:pPr>
            <w:r>
              <w:rPr>
                <w:rFonts w:cs="Arial"/>
                <w:szCs w:val="20"/>
              </w:rPr>
              <w:t>-26</w:t>
            </w:r>
          </w:p>
        </w:tc>
        <w:tc>
          <w:tcPr>
            <w:tcW w:w="363" w:type="pct"/>
            <w:tcBorders>
              <w:top w:val="nil"/>
              <w:bottom w:val="nil"/>
            </w:tcBorders>
            <w:vAlign w:val="center"/>
          </w:tcPr>
          <w:p w:rsidR="00C92095" w:rsidRDefault="00C92095" w:rsidP="00C92095">
            <w:pPr>
              <w:ind w:left="-106" w:right="-70"/>
              <w:jc w:val="center"/>
              <w:rPr>
                <w:rFonts w:cs="Arial"/>
                <w:szCs w:val="20"/>
              </w:rPr>
            </w:pPr>
            <w:r>
              <w:rPr>
                <w:rFonts w:cs="Arial"/>
                <w:szCs w:val="20"/>
              </w:rPr>
              <w:t>-1</w:t>
            </w:r>
          </w:p>
        </w:tc>
        <w:tc>
          <w:tcPr>
            <w:tcW w:w="330" w:type="pct"/>
            <w:tcBorders>
              <w:top w:val="nil"/>
              <w:bottom w:val="nil"/>
            </w:tcBorders>
            <w:vAlign w:val="center"/>
          </w:tcPr>
          <w:p w:rsidR="00C92095" w:rsidRDefault="00C92095" w:rsidP="00C92095">
            <w:pPr>
              <w:ind w:left="-106" w:right="-70"/>
              <w:jc w:val="center"/>
              <w:rPr>
                <w:rFonts w:cs="Arial"/>
                <w:szCs w:val="20"/>
              </w:rPr>
            </w:pPr>
            <w:r>
              <w:rPr>
                <w:rFonts w:cs="Arial"/>
                <w:szCs w:val="20"/>
              </w:rPr>
              <w:t>4</w:t>
            </w:r>
          </w:p>
        </w:tc>
        <w:tc>
          <w:tcPr>
            <w:tcW w:w="359" w:type="pct"/>
            <w:tcBorders>
              <w:top w:val="nil"/>
              <w:bottom w:val="nil"/>
            </w:tcBorders>
            <w:vAlign w:val="center"/>
          </w:tcPr>
          <w:p w:rsidR="00C92095" w:rsidRDefault="00C92095" w:rsidP="00C92095">
            <w:pPr>
              <w:ind w:left="-106" w:right="-70"/>
              <w:jc w:val="center"/>
              <w:rPr>
                <w:rFonts w:cs="Arial"/>
                <w:szCs w:val="20"/>
              </w:rPr>
            </w:pPr>
            <w:r>
              <w:rPr>
                <w:rFonts w:cs="Arial"/>
                <w:szCs w:val="20"/>
              </w:rPr>
              <w:t>-89</w:t>
            </w:r>
          </w:p>
        </w:tc>
        <w:tc>
          <w:tcPr>
            <w:tcW w:w="303" w:type="pct"/>
            <w:gridSpan w:val="2"/>
            <w:tcBorders>
              <w:top w:val="nil"/>
              <w:bottom w:val="nil"/>
            </w:tcBorders>
            <w:vAlign w:val="center"/>
          </w:tcPr>
          <w:p w:rsidR="00C92095" w:rsidRDefault="00C92095" w:rsidP="00C92095">
            <w:pPr>
              <w:ind w:left="-106" w:right="-70"/>
              <w:jc w:val="center"/>
              <w:rPr>
                <w:rFonts w:cs="Arial"/>
                <w:szCs w:val="20"/>
              </w:rPr>
            </w:pPr>
            <w:r>
              <w:rPr>
                <w:rFonts w:cs="Arial"/>
                <w:szCs w:val="20"/>
              </w:rPr>
              <w:t>-</w:t>
            </w:r>
          </w:p>
        </w:tc>
        <w:tc>
          <w:tcPr>
            <w:tcW w:w="412" w:type="pct"/>
            <w:tcBorders>
              <w:top w:val="nil"/>
              <w:bottom w:val="nil"/>
            </w:tcBorders>
            <w:vAlign w:val="center"/>
          </w:tcPr>
          <w:p w:rsidR="00C92095" w:rsidRDefault="00C92095" w:rsidP="00C92095">
            <w:pPr>
              <w:ind w:left="-106" w:right="-70"/>
              <w:jc w:val="center"/>
              <w:rPr>
                <w:rFonts w:cs="Arial"/>
                <w:szCs w:val="20"/>
              </w:rPr>
            </w:pPr>
            <w:r>
              <w:rPr>
                <w:rFonts w:cs="Arial"/>
                <w:szCs w:val="20"/>
              </w:rPr>
              <w:t>-</w:t>
            </w:r>
          </w:p>
        </w:tc>
      </w:tr>
      <w:tr w:rsidR="00C92095" w:rsidTr="00CF057C">
        <w:trPr>
          <w:trHeight w:val="510"/>
        </w:trPr>
        <w:tc>
          <w:tcPr>
            <w:tcW w:w="749" w:type="pct"/>
            <w:tcBorders>
              <w:top w:val="nil"/>
              <w:bottom w:val="nil"/>
            </w:tcBorders>
            <w:vAlign w:val="center"/>
          </w:tcPr>
          <w:p w:rsidR="00C92095" w:rsidRDefault="00C92095">
            <w:pPr>
              <w:rPr>
                <w:rFonts w:cs="Arial"/>
                <w:sz w:val="16"/>
                <w:szCs w:val="16"/>
              </w:rPr>
            </w:pPr>
            <w:r>
              <w:rPr>
                <w:rFonts w:cs="Arial"/>
                <w:sz w:val="16"/>
                <w:szCs w:val="16"/>
              </w:rPr>
              <w:t>16-17 financial YTD</w:t>
            </w:r>
          </w:p>
        </w:tc>
        <w:tc>
          <w:tcPr>
            <w:tcW w:w="329" w:type="pct"/>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15.34</w:t>
            </w:r>
          </w:p>
        </w:tc>
        <w:tc>
          <w:tcPr>
            <w:tcW w:w="441" w:type="pct"/>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945</w:t>
            </w:r>
          </w:p>
        </w:tc>
        <w:tc>
          <w:tcPr>
            <w:tcW w:w="329" w:type="pct"/>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12.18</w:t>
            </w:r>
          </w:p>
        </w:tc>
        <w:tc>
          <w:tcPr>
            <w:tcW w:w="417" w:type="pct"/>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303</w:t>
            </w:r>
          </w:p>
        </w:tc>
        <w:tc>
          <w:tcPr>
            <w:tcW w:w="329" w:type="pct"/>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18.48</w:t>
            </w:r>
          </w:p>
        </w:tc>
        <w:tc>
          <w:tcPr>
            <w:tcW w:w="310" w:type="pct"/>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93</w:t>
            </w:r>
          </w:p>
        </w:tc>
        <w:tc>
          <w:tcPr>
            <w:tcW w:w="329" w:type="pct"/>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13.39</w:t>
            </w:r>
          </w:p>
        </w:tc>
        <w:tc>
          <w:tcPr>
            <w:tcW w:w="363" w:type="pct"/>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96</w:t>
            </w:r>
          </w:p>
        </w:tc>
        <w:tc>
          <w:tcPr>
            <w:tcW w:w="330" w:type="pct"/>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9.28</w:t>
            </w:r>
          </w:p>
        </w:tc>
        <w:tc>
          <w:tcPr>
            <w:tcW w:w="359" w:type="pct"/>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2638</w:t>
            </w:r>
          </w:p>
        </w:tc>
        <w:tc>
          <w:tcPr>
            <w:tcW w:w="303" w:type="pct"/>
            <w:gridSpan w:val="2"/>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w:t>
            </w:r>
          </w:p>
        </w:tc>
        <w:tc>
          <w:tcPr>
            <w:tcW w:w="412" w:type="pct"/>
            <w:tcBorders>
              <w:top w:val="nil"/>
              <w:bottom w:val="nil"/>
            </w:tcBorders>
            <w:vAlign w:val="center"/>
          </w:tcPr>
          <w:p w:rsidR="00C92095" w:rsidRDefault="00C92095" w:rsidP="00C92095">
            <w:pPr>
              <w:ind w:left="-106" w:right="-70"/>
              <w:jc w:val="center"/>
              <w:rPr>
                <w:rFonts w:cs="Arial"/>
                <w:sz w:val="20"/>
                <w:szCs w:val="20"/>
              </w:rPr>
            </w:pPr>
            <w:r>
              <w:rPr>
                <w:rFonts w:cs="Arial"/>
                <w:sz w:val="20"/>
                <w:szCs w:val="20"/>
              </w:rPr>
              <w:t>-</w:t>
            </w:r>
          </w:p>
        </w:tc>
      </w:tr>
      <w:tr w:rsidR="00C92095" w:rsidTr="00CF057C">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single" w:sz="4" w:space="0" w:color="auto"/>
            </w:tcBorders>
            <w:vAlign w:val="center"/>
          </w:tcPr>
          <w:p w:rsidR="00C92095" w:rsidRDefault="00C92095">
            <w:pPr>
              <w:rPr>
                <w:rFonts w:cs="Arial"/>
                <w:sz w:val="16"/>
                <w:szCs w:val="16"/>
              </w:rPr>
            </w:pPr>
            <w:r>
              <w:rPr>
                <w:rFonts w:cs="Arial"/>
                <w:sz w:val="16"/>
                <w:szCs w:val="16"/>
              </w:rPr>
              <w:t>% change from previous financial YTD</w:t>
            </w:r>
          </w:p>
        </w:tc>
        <w:tc>
          <w:tcPr>
            <w:tcW w:w="329" w:type="pct"/>
            <w:tcBorders>
              <w:top w:val="nil"/>
              <w:bottom w:val="single" w:sz="4" w:space="0" w:color="auto"/>
            </w:tcBorders>
            <w:vAlign w:val="center"/>
          </w:tcPr>
          <w:p w:rsidR="00C92095" w:rsidRDefault="00C92095" w:rsidP="00C92095">
            <w:pPr>
              <w:ind w:left="-106" w:right="-70"/>
              <w:jc w:val="center"/>
              <w:rPr>
                <w:rFonts w:cs="Arial"/>
                <w:szCs w:val="20"/>
              </w:rPr>
            </w:pPr>
            <w:r>
              <w:rPr>
                <w:rFonts w:cs="Arial"/>
                <w:szCs w:val="20"/>
              </w:rPr>
              <w:t>237</w:t>
            </w:r>
          </w:p>
        </w:tc>
        <w:tc>
          <w:tcPr>
            <w:tcW w:w="441" w:type="pct"/>
            <w:tcBorders>
              <w:top w:val="nil"/>
              <w:bottom w:val="single" w:sz="4" w:space="0" w:color="auto"/>
            </w:tcBorders>
            <w:vAlign w:val="center"/>
          </w:tcPr>
          <w:p w:rsidR="00C92095" w:rsidRDefault="00C92095" w:rsidP="00C92095">
            <w:pPr>
              <w:ind w:left="-106" w:right="-70"/>
              <w:jc w:val="center"/>
              <w:rPr>
                <w:rFonts w:cs="Arial"/>
                <w:szCs w:val="20"/>
              </w:rPr>
            </w:pPr>
            <w:r>
              <w:rPr>
                <w:rFonts w:cs="Arial"/>
                <w:szCs w:val="20"/>
              </w:rPr>
              <w:t>-8</w:t>
            </w:r>
          </w:p>
        </w:tc>
        <w:tc>
          <w:tcPr>
            <w:tcW w:w="329" w:type="pct"/>
            <w:tcBorders>
              <w:top w:val="nil"/>
              <w:bottom w:val="single" w:sz="4" w:space="0" w:color="auto"/>
            </w:tcBorders>
            <w:vAlign w:val="center"/>
          </w:tcPr>
          <w:p w:rsidR="00C92095" w:rsidRDefault="00C92095" w:rsidP="00C92095">
            <w:pPr>
              <w:ind w:left="-106" w:right="-70"/>
              <w:jc w:val="center"/>
              <w:rPr>
                <w:rFonts w:cs="Arial"/>
                <w:szCs w:val="20"/>
              </w:rPr>
            </w:pPr>
            <w:r>
              <w:rPr>
                <w:rFonts w:cs="Arial"/>
                <w:szCs w:val="20"/>
              </w:rPr>
              <w:t>144</w:t>
            </w:r>
          </w:p>
        </w:tc>
        <w:tc>
          <w:tcPr>
            <w:tcW w:w="417" w:type="pct"/>
            <w:tcBorders>
              <w:top w:val="nil"/>
              <w:bottom w:val="single" w:sz="4" w:space="0" w:color="auto"/>
            </w:tcBorders>
            <w:vAlign w:val="center"/>
          </w:tcPr>
          <w:p w:rsidR="00C92095" w:rsidRDefault="00C92095" w:rsidP="00C92095">
            <w:pPr>
              <w:ind w:left="-106" w:right="-70"/>
              <w:jc w:val="center"/>
              <w:rPr>
                <w:rFonts w:cs="Arial"/>
                <w:szCs w:val="20"/>
              </w:rPr>
            </w:pPr>
            <w:r>
              <w:rPr>
                <w:rFonts w:cs="Arial"/>
                <w:szCs w:val="20"/>
              </w:rPr>
              <w:t>0</w:t>
            </w:r>
          </w:p>
        </w:tc>
        <w:tc>
          <w:tcPr>
            <w:tcW w:w="329" w:type="pct"/>
            <w:tcBorders>
              <w:top w:val="nil"/>
              <w:bottom w:val="single" w:sz="4" w:space="0" w:color="auto"/>
            </w:tcBorders>
            <w:vAlign w:val="center"/>
          </w:tcPr>
          <w:p w:rsidR="00C92095" w:rsidRDefault="00C92095" w:rsidP="00C92095">
            <w:pPr>
              <w:ind w:left="-106" w:right="-70"/>
              <w:jc w:val="center"/>
              <w:rPr>
                <w:rFonts w:cs="Arial"/>
                <w:szCs w:val="20"/>
              </w:rPr>
            </w:pPr>
            <w:r>
              <w:rPr>
                <w:rFonts w:cs="Arial"/>
                <w:szCs w:val="20"/>
              </w:rPr>
              <w:t>262</w:t>
            </w:r>
          </w:p>
        </w:tc>
        <w:tc>
          <w:tcPr>
            <w:tcW w:w="310" w:type="pct"/>
            <w:tcBorders>
              <w:top w:val="nil"/>
              <w:bottom w:val="single" w:sz="4" w:space="0" w:color="auto"/>
            </w:tcBorders>
            <w:vAlign w:val="center"/>
          </w:tcPr>
          <w:p w:rsidR="00C92095" w:rsidRDefault="00C92095" w:rsidP="00C92095">
            <w:pPr>
              <w:ind w:left="-106" w:right="-70"/>
              <w:jc w:val="center"/>
              <w:rPr>
                <w:rFonts w:cs="Arial"/>
                <w:szCs w:val="20"/>
              </w:rPr>
            </w:pPr>
            <w:r>
              <w:rPr>
                <w:rFonts w:cs="Arial"/>
                <w:szCs w:val="20"/>
              </w:rPr>
              <w:t>2</w:t>
            </w:r>
          </w:p>
        </w:tc>
        <w:tc>
          <w:tcPr>
            <w:tcW w:w="329" w:type="pct"/>
            <w:tcBorders>
              <w:top w:val="nil"/>
              <w:bottom w:val="single" w:sz="4" w:space="0" w:color="auto"/>
            </w:tcBorders>
            <w:vAlign w:val="center"/>
          </w:tcPr>
          <w:p w:rsidR="00C92095" w:rsidRDefault="00C92095" w:rsidP="00C92095">
            <w:pPr>
              <w:ind w:left="-106" w:right="-70"/>
              <w:jc w:val="center"/>
              <w:rPr>
                <w:rFonts w:cs="Arial"/>
                <w:szCs w:val="20"/>
              </w:rPr>
            </w:pPr>
            <w:r>
              <w:rPr>
                <w:rFonts w:cs="Arial"/>
                <w:szCs w:val="20"/>
              </w:rPr>
              <w:t>223</w:t>
            </w:r>
          </w:p>
        </w:tc>
        <w:tc>
          <w:tcPr>
            <w:tcW w:w="363" w:type="pct"/>
            <w:tcBorders>
              <w:top w:val="nil"/>
              <w:bottom w:val="single" w:sz="4" w:space="0" w:color="auto"/>
            </w:tcBorders>
            <w:vAlign w:val="center"/>
          </w:tcPr>
          <w:p w:rsidR="00C92095" w:rsidRDefault="00C92095" w:rsidP="00C92095">
            <w:pPr>
              <w:ind w:left="-106" w:right="-70"/>
              <w:jc w:val="center"/>
              <w:rPr>
                <w:rFonts w:cs="Arial"/>
                <w:szCs w:val="20"/>
              </w:rPr>
            </w:pPr>
            <w:r>
              <w:rPr>
                <w:rFonts w:cs="Arial"/>
                <w:szCs w:val="20"/>
              </w:rPr>
              <w:t>-2</w:t>
            </w:r>
          </w:p>
        </w:tc>
        <w:tc>
          <w:tcPr>
            <w:tcW w:w="330" w:type="pct"/>
            <w:tcBorders>
              <w:top w:val="nil"/>
              <w:bottom w:val="single" w:sz="4" w:space="0" w:color="auto"/>
            </w:tcBorders>
            <w:vAlign w:val="center"/>
          </w:tcPr>
          <w:p w:rsidR="00C92095" w:rsidRDefault="00C92095" w:rsidP="00C92095">
            <w:pPr>
              <w:ind w:left="-106" w:right="-70"/>
              <w:jc w:val="center"/>
              <w:rPr>
                <w:rFonts w:cs="Arial"/>
                <w:szCs w:val="20"/>
              </w:rPr>
            </w:pPr>
            <w:r>
              <w:rPr>
                <w:rFonts w:cs="Arial"/>
                <w:szCs w:val="20"/>
              </w:rPr>
              <w:t>112</w:t>
            </w:r>
          </w:p>
        </w:tc>
        <w:tc>
          <w:tcPr>
            <w:tcW w:w="359" w:type="pct"/>
            <w:tcBorders>
              <w:top w:val="nil"/>
              <w:bottom w:val="single" w:sz="4" w:space="0" w:color="auto"/>
            </w:tcBorders>
            <w:vAlign w:val="center"/>
          </w:tcPr>
          <w:p w:rsidR="00C92095" w:rsidRDefault="00C92095" w:rsidP="00C92095">
            <w:pPr>
              <w:ind w:left="-106" w:right="-70"/>
              <w:jc w:val="center"/>
              <w:rPr>
                <w:rFonts w:cs="Arial"/>
                <w:szCs w:val="20"/>
              </w:rPr>
            </w:pPr>
            <w:r>
              <w:rPr>
                <w:rFonts w:cs="Arial"/>
                <w:szCs w:val="20"/>
              </w:rPr>
              <w:t>798</w:t>
            </w:r>
          </w:p>
        </w:tc>
        <w:tc>
          <w:tcPr>
            <w:tcW w:w="303" w:type="pct"/>
            <w:gridSpan w:val="2"/>
            <w:tcBorders>
              <w:top w:val="nil"/>
              <w:bottom w:val="single" w:sz="4" w:space="0" w:color="auto"/>
            </w:tcBorders>
            <w:vAlign w:val="center"/>
          </w:tcPr>
          <w:p w:rsidR="00C92095" w:rsidRDefault="00C92095" w:rsidP="00C92095">
            <w:pPr>
              <w:ind w:left="-106" w:right="-70"/>
              <w:jc w:val="center"/>
              <w:rPr>
                <w:rFonts w:cs="Arial"/>
                <w:szCs w:val="20"/>
              </w:rPr>
            </w:pPr>
            <w:r>
              <w:rPr>
                <w:rFonts w:cs="Arial"/>
                <w:szCs w:val="20"/>
              </w:rPr>
              <w:t>-</w:t>
            </w:r>
          </w:p>
        </w:tc>
        <w:tc>
          <w:tcPr>
            <w:tcW w:w="412" w:type="pct"/>
            <w:tcBorders>
              <w:top w:val="nil"/>
              <w:bottom w:val="single" w:sz="4" w:space="0" w:color="auto"/>
            </w:tcBorders>
            <w:vAlign w:val="center"/>
          </w:tcPr>
          <w:p w:rsidR="00C92095" w:rsidRDefault="00C92095" w:rsidP="00C92095">
            <w:pPr>
              <w:ind w:left="-106" w:right="-70"/>
              <w:jc w:val="center"/>
              <w:rPr>
                <w:rFonts w:cs="Arial"/>
                <w:szCs w:val="20"/>
              </w:rPr>
            </w:pPr>
            <w:r>
              <w:rPr>
                <w:rFonts w:cs="Arial"/>
                <w:szCs w:val="20"/>
              </w:rPr>
              <w:t>-</w:t>
            </w:r>
          </w:p>
        </w:tc>
      </w:tr>
    </w:tbl>
    <w:p w:rsidR="00805582" w:rsidRDefault="00805582" w:rsidP="00A226E9">
      <w:pPr>
        <w:pStyle w:val="AERbodytext"/>
        <w:keepNext/>
      </w:pPr>
    </w:p>
    <w:p w:rsidR="001521CB" w:rsidRPr="008D4DAB" w:rsidRDefault="001521CB" w:rsidP="00A226E9">
      <w:pPr>
        <w:pStyle w:val="AERbodytext"/>
        <w:keepNext/>
      </w:pPr>
      <w:r w:rsidRPr="00EC137F">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r w:rsidR="00894A83">
        <w:fldChar w:fldCharType="begin"/>
      </w:r>
      <w:r w:rsidR="00894A83">
        <w:instrText xml:space="preserve"> SEQ Figure \* ARABIC </w:instrText>
      </w:r>
      <w:r w:rsidR="00894A83">
        <w:fldChar w:fldCharType="separate"/>
      </w:r>
      <w:r w:rsidR="00894A83">
        <w:rPr>
          <w:noProof/>
        </w:rPr>
        <w:t>2</w:t>
      </w:r>
      <w:r w:rsidR="00894A83">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F34B98" w:rsidP="001521CB">
      <w:r w:rsidRPr="00F34B98">
        <w:rPr>
          <w:noProof/>
          <w:lang w:eastAsia="en-AU"/>
        </w:rPr>
        <w:drawing>
          <wp:inline distT="0" distB="0" distL="0" distR="0" wp14:anchorId="7DE7581C" wp14:editId="2F2C267B">
            <wp:extent cx="5727940" cy="3062377"/>
            <wp:effectExtent l="0" t="0" r="6350" b="5080"/>
            <wp:docPr id="3" name="Picture 3"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064286"/>
                    </a:xfrm>
                    <a:prstGeom prst="rect">
                      <a:avLst/>
                    </a:prstGeom>
                    <a:noFill/>
                    <a:ln>
                      <a:noFill/>
                    </a:ln>
                  </pic:spPr>
                </pic:pic>
              </a:graphicData>
            </a:graphic>
          </wp:inline>
        </w:drawing>
      </w:r>
    </w:p>
    <w:p w:rsidR="001521CB" w:rsidRPr="00853438" w:rsidRDefault="001521CB" w:rsidP="00853438">
      <w:pPr>
        <w:spacing w:line="240" w:lineRule="auto"/>
        <w:rPr>
          <w:rFonts w:eastAsia="Times New Roman" w:cs="Arial"/>
          <w:bCs/>
          <w:lang w:eastAsia="en-AU"/>
        </w:rPr>
      </w:pPr>
      <w:r w:rsidRPr="00EC137F">
        <w:lastRenderedPageBreak/>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r w:rsidR="00894A83">
        <w:fldChar w:fldCharType="begin"/>
      </w:r>
      <w:r w:rsidR="00894A83">
        <w:instrText xml:space="preserve"> SEQ Figure \* ARABIC </w:instrText>
      </w:r>
      <w:r w:rsidR="00894A83">
        <w:fldChar w:fldCharType="separate"/>
      </w:r>
      <w:r w:rsidR="00894A83">
        <w:rPr>
          <w:noProof/>
        </w:rPr>
        <w:t>3</w:t>
      </w:r>
      <w:r w:rsidR="00894A83">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0F7778" w:rsidRPr="00405CDE" w:rsidTr="00534DD9">
        <w:trPr>
          <w:trHeight w:val="510"/>
        </w:trPr>
        <w:tc>
          <w:tcPr>
            <w:tcW w:w="1585" w:type="pct"/>
            <w:tcBorders>
              <w:top w:val="nil"/>
              <w:bottom w:val="nil"/>
            </w:tcBorders>
            <w:vAlign w:val="center"/>
          </w:tcPr>
          <w:p w:rsidR="000F7778" w:rsidRPr="000F7778" w:rsidRDefault="000F7778">
            <w:pPr>
              <w:rPr>
                <w:rFonts w:cs="Arial"/>
                <w:sz w:val="16"/>
                <w:szCs w:val="16"/>
              </w:rPr>
            </w:pPr>
            <w:r w:rsidRPr="000F7778">
              <w:rPr>
                <w:rFonts w:cs="Arial"/>
                <w:sz w:val="16"/>
                <w:szCs w:val="16"/>
              </w:rPr>
              <w:t>10 Jul - 16 Jul 2016</w:t>
            </w:r>
          </w:p>
        </w:tc>
        <w:tc>
          <w:tcPr>
            <w:tcW w:w="993"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758"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103.75</w:t>
            </w:r>
          </w:p>
        </w:tc>
        <w:tc>
          <w:tcPr>
            <w:tcW w:w="831"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8.44</w:t>
            </w:r>
          </w:p>
        </w:tc>
        <w:tc>
          <w:tcPr>
            <w:tcW w:w="833"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1.53</w:t>
            </w:r>
          </w:p>
        </w:tc>
      </w:tr>
      <w:tr w:rsidR="000F7778"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0F7778" w:rsidRPr="000F7778" w:rsidRDefault="000F7778">
            <w:pPr>
              <w:rPr>
                <w:rFonts w:cs="Arial"/>
                <w:sz w:val="16"/>
                <w:szCs w:val="16"/>
              </w:rPr>
            </w:pPr>
            <w:r w:rsidRPr="000F7778">
              <w:rPr>
                <w:rFonts w:cs="Arial"/>
                <w:sz w:val="16"/>
                <w:szCs w:val="16"/>
              </w:rPr>
              <w:t>% change from previous week</w:t>
            </w:r>
          </w:p>
        </w:tc>
        <w:tc>
          <w:tcPr>
            <w:tcW w:w="993"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758"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132</w:t>
            </w:r>
          </w:p>
        </w:tc>
        <w:tc>
          <w:tcPr>
            <w:tcW w:w="831"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-63</w:t>
            </w:r>
          </w:p>
        </w:tc>
        <w:tc>
          <w:tcPr>
            <w:tcW w:w="833"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113</w:t>
            </w:r>
          </w:p>
        </w:tc>
      </w:tr>
      <w:tr w:rsidR="000F7778" w:rsidRPr="00405CDE" w:rsidTr="00534DD9">
        <w:trPr>
          <w:trHeight w:val="510"/>
        </w:trPr>
        <w:tc>
          <w:tcPr>
            <w:tcW w:w="1585" w:type="pct"/>
            <w:tcBorders>
              <w:top w:val="nil"/>
              <w:bottom w:val="nil"/>
            </w:tcBorders>
            <w:vAlign w:val="center"/>
          </w:tcPr>
          <w:p w:rsidR="000F7778" w:rsidRPr="000F7778" w:rsidRDefault="000F7778">
            <w:pPr>
              <w:rPr>
                <w:rFonts w:cs="Arial"/>
                <w:sz w:val="16"/>
                <w:szCs w:val="16"/>
              </w:rPr>
            </w:pPr>
            <w:r w:rsidRPr="000F7778">
              <w:rPr>
                <w:rFonts w:cs="Arial"/>
                <w:sz w:val="16"/>
                <w:szCs w:val="16"/>
              </w:rPr>
              <w:t>16-17 financial YTD</w:t>
            </w:r>
          </w:p>
        </w:tc>
        <w:tc>
          <w:tcPr>
            <w:tcW w:w="993"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 </w:t>
            </w:r>
          </w:p>
        </w:tc>
        <w:tc>
          <w:tcPr>
            <w:tcW w:w="758"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87.97</w:t>
            </w:r>
          </w:p>
        </w:tc>
        <w:tc>
          <w:tcPr>
            <w:tcW w:w="831"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15.85</w:t>
            </w:r>
          </w:p>
        </w:tc>
        <w:tc>
          <w:tcPr>
            <w:tcW w:w="833"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1.27</w:t>
            </w:r>
          </w:p>
        </w:tc>
      </w:tr>
      <w:tr w:rsidR="000F7778"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0F7778" w:rsidRPr="000F7778" w:rsidRDefault="000F7778">
            <w:pPr>
              <w:rPr>
                <w:rFonts w:cs="Arial"/>
                <w:sz w:val="16"/>
                <w:szCs w:val="16"/>
              </w:rPr>
            </w:pPr>
            <w:r w:rsidRPr="000F7778">
              <w:rPr>
                <w:rFonts w:cs="Arial"/>
                <w:sz w:val="16"/>
                <w:szCs w:val="16"/>
              </w:rPr>
              <w:t xml:space="preserve">% change from previous financial YTD </w:t>
            </w:r>
          </w:p>
        </w:tc>
        <w:tc>
          <w:tcPr>
            <w:tcW w:w="993" w:type="pct"/>
            <w:tcBorders>
              <w:top w:val="nil"/>
              <w:bottom w:val="single" w:sz="4" w:space="0" w:color="auto"/>
            </w:tcBorders>
            <w:vAlign w:val="center"/>
          </w:tcPr>
          <w:p w:rsidR="000F7778" w:rsidRPr="000F7778" w:rsidRDefault="000F7778">
            <w:pPr>
              <w:jc w:val="center"/>
              <w:rPr>
                <w:rFonts w:cs="Arial"/>
                <w:sz w:val="16"/>
                <w:szCs w:val="16"/>
              </w:rPr>
            </w:pPr>
            <w:r w:rsidRPr="000F7778">
              <w:rPr>
                <w:rFonts w:cs="Arial"/>
                <w:sz w:val="16"/>
                <w:szCs w:val="16"/>
              </w:rPr>
              <w:t> </w:t>
            </w:r>
          </w:p>
        </w:tc>
        <w:tc>
          <w:tcPr>
            <w:tcW w:w="758" w:type="pct"/>
            <w:tcBorders>
              <w:top w:val="nil"/>
              <w:bottom w:val="single" w:sz="4" w:space="0" w:color="auto"/>
            </w:tcBorders>
            <w:vAlign w:val="center"/>
          </w:tcPr>
          <w:p w:rsidR="000F7778" w:rsidRPr="000F7778" w:rsidRDefault="000F7778">
            <w:pPr>
              <w:jc w:val="center"/>
              <w:rPr>
                <w:rFonts w:cs="Arial"/>
                <w:sz w:val="16"/>
                <w:szCs w:val="16"/>
              </w:rPr>
            </w:pPr>
            <w:r w:rsidRPr="000F7778">
              <w:rPr>
                <w:rFonts w:cs="Arial"/>
                <w:sz w:val="16"/>
                <w:szCs w:val="16"/>
              </w:rPr>
              <w:t>117</w:t>
            </w:r>
          </w:p>
        </w:tc>
        <w:tc>
          <w:tcPr>
            <w:tcW w:w="831" w:type="pct"/>
            <w:tcBorders>
              <w:top w:val="nil"/>
              <w:bottom w:val="single" w:sz="4" w:space="0" w:color="auto"/>
            </w:tcBorders>
            <w:vAlign w:val="center"/>
          </w:tcPr>
          <w:p w:rsidR="000F7778" w:rsidRPr="000F7778" w:rsidRDefault="000F7778">
            <w:pPr>
              <w:jc w:val="center"/>
              <w:rPr>
                <w:rFonts w:cs="Arial"/>
                <w:sz w:val="16"/>
                <w:szCs w:val="16"/>
              </w:rPr>
            </w:pPr>
            <w:r w:rsidRPr="000F7778">
              <w:rPr>
                <w:rFonts w:cs="Arial"/>
                <w:sz w:val="16"/>
                <w:szCs w:val="16"/>
              </w:rPr>
              <w:t>8</w:t>
            </w:r>
          </w:p>
        </w:tc>
        <w:tc>
          <w:tcPr>
            <w:tcW w:w="833" w:type="pct"/>
            <w:tcBorders>
              <w:top w:val="nil"/>
              <w:bottom w:val="single" w:sz="4" w:space="0" w:color="auto"/>
            </w:tcBorders>
            <w:vAlign w:val="center"/>
          </w:tcPr>
          <w:p w:rsidR="000F7778" w:rsidRPr="000F7778" w:rsidRDefault="000F7778">
            <w:pPr>
              <w:jc w:val="center"/>
              <w:rPr>
                <w:rFonts w:cs="Arial"/>
                <w:sz w:val="16"/>
                <w:szCs w:val="16"/>
              </w:rPr>
            </w:pPr>
            <w:r w:rsidRPr="000F7778">
              <w:rPr>
                <w:rFonts w:cs="Arial"/>
                <w:sz w:val="16"/>
                <w:szCs w:val="16"/>
              </w:rPr>
              <w:t>-17</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BF02CB"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E37999" w:rsidRDefault="003553DC" w:rsidP="00BF02CB">
      <w:pPr>
        <w:pStyle w:val="Caption"/>
      </w:pPr>
      <w:r w:rsidRPr="003553DC">
        <w:rPr>
          <w:rFonts w:eastAsia="Times New Roman" w:cs="Arial"/>
          <w:b w:val="0"/>
          <w:color w:val="auto"/>
          <w:sz w:val="22"/>
          <w:szCs w:val="22"/>
          <w:lang w:eastAsia="en-AU"/>
        </w:rPr>
        <w:t>F</w:t>
      </w:r>
      <w:r w:rsidR="00BF02CB" w:rsidRPr="003553DC">
        <w:rPr>
          <w:rFonts w:eastAsia="Times New Roman" w:cs="Arial"/>
          <w:b w:val="0"/>
          <w:color w:val="auto"/>
          <w:sz w:val="22"/>
          <w:szCs w:val="22"/>
          <w:lang w:eastAsia="en-AU"/>
        </w:rPr>
        <w:t>igure 4 shows the quantity and volume weighted prices of products traded in the Gas Supply Hub locations at Wallumbilla and Moomba.</w:t>
      </w:r>
    </w:p>
    <w:p w:rsidR="00BF02CB" w:rsidRDefault="00BF02CB" w:rsidP="00BF02CB">
      <w:pPr>
        <w:pStyle w:val="Caption"/>
        <w:rPr>
          <w:color w:val="2272A3"/>
          <w:szCs w:val="24"/>
        </w:rPr>
      </w:pPr>
      <w:r w:rsidRPr="00552F68">
        <w:t xml:space="preserve">Figure </w:t>
      </w:r>
      <w:r w:rsidR="00894A83">
        <w:fldChar w:fldCharType="begin"/>
      </w:r>
      <w:r w:rsidR="00894A83">
        <w:instrText xml:space="preserve"> SEQ Figure \* </w:instrText>
      </w:r>
      <w:r w:rsidR="00894A83">
        <w:instrText xml:space="preserve">ARABIC </w:instrText>
      </w:r>
      <w:r w:rsidR="00894A83">
        <w:fldChar w:fldCharType="separate"/>
      </w:r>
      <w:r w:rsidR="00894A83">
        <w:rPr>
          <w:noProof/>
        </w:rPr>
        <w:t>4</w:t>
      </w:r>
      <w:r w:rsidR="00894A83">
        <w:rPr>
          <w:noProof/>
        </w:rPr>
        <w:fldChar w:fldCharType="end"/>
      </w:r>
      <w:r w:rsidRPr="00552F68">
        <w:t xml:space="preserve">: </w:t>
      </w:r>
      <w:r w:rsidRPr="00552F68">
        <w:rPr>
          <w:color w:val="2272A3"/>
          <w:szCs w:val="24"/>
        </w:rPr>
        <w:t>Gas supply hub products traded for the current week ($/GJ, TJ)</w:t>
      </w:r>
      <w:r w:rsidR="003163B7" w:rsidRPr="003163B7">
        <w:rPr>
          <w:color w:val="2272A3"/>
          <w:szCs w:val="24"/>
        </w:rPr>
        <w:t xml:space="preserve"> </w:t>
      </w:r>
      <w:r w:rsidR="003163B7" w:rsidRPr="00552F68">
        <w:rPr>
          <w:color w:val="2272A3"/>
          <w:szCs w:val="24"/>
        </w:rPr>
        <w:t>*</w:t>
      </w:r>
    </w:p>
    <w:tbl>
      <w:tblPr>
        <w:tblStyle w:val="AERTable-Text"/>
        <w:tblW w:w="4966" w:type="pct"/>
        <w:tblLayout w:type="fixed"/>
        <w:tblLook w:val="04A0" w:firstRow="1" w:lastRow="0" w:firstColumn="1" w:lastColumn="0" w:noHBand="0" w:noVBand="1"/>
      </w:tblPr>
      <w:tblGrid>
        <w:gridCol w:w="1666"/>
        <w:gridCol w:w="624"/>
        <w:gridCol w:w="795"/>
        <w:gridCol w:w="714"/>
        <w:gridCol w:w="788"/>
        <w:gridCol w:w="633"/>
        <w:gridCol w:w="789"/>
        <w:gridCol w:w="723"/>
        <w:gridCol w:w="788"/>
        <w:gridCol w:w="622"/>
        <w:gridCol w:w="1037"/>
      </w:tblGrid>
      <w:tr w:rsidR="003163B7" w:rsidRPr="002861A9" w:rsidTr="000F7778">
        <w:trPr>
          <w:cnfStyle w:val="100000000000" w:firstRow="1" w:lastRow="0" w:firstColumn="0" w:lastColumn="0" w:oddVBand="0" w:evenVBand="0" w:oddHBand="0" w:evenHBand="0" w:firstRowFirstColumn="0" w:firstRowLastColumn="0" w:lastRowFirstColumn="0" w:lastRowLastColumn="0"/>
          <w:trHeight w:val="404"/>
          <w:tblHeader/>
        </w:trPr>
        <w:tc>
          <w:tcPr>
            <w:tcW w:w="907" w:type="pct"/>
            <w:tcBorders>
              <w:bottom w:val="nil"/>
            </w:tcBorders>
            <w:vAlign w:val="center"/>
          </w:tcPr>
          <w:p w:rsidR="003163B7" w:rsidRPr="00E16EDC" w:rsidRDefault="003163B7" w:rsidP="009064C6">
            <w:pPr>
              <w:pStyle w:val="TableHeading"/>
              <w:spacing w:before="120" w:after="0" w:line="240" w:lineRule="auto"/>
              <w:jc w:val="center"/>
              <w:rPr>
                <w:rFonts w:cs="Arial"/>
                <w:sz w:val="20"/>
                <w:szCs w:val="20"/>
              </w:rPr>
            </w:pPr>
          </w:p>
        </w:tc>
        <w:tc>
          <w:tcPr>
            <w:tcW w:w="773" w:type="pct"/>
            <w:gridSpan w:val="2"/>
            <w:tcBorders>
              <w:bottom w:val="nil"/>
            </w:tcBorders>
            <w:vAlign w:val="center"/>
          </w:tcPr>
          <w:p w:rsidR="003163B7" w:rsidRPr="00E16EDC" w:rsidRDefault="003163B7" w:rsidP="009064C6">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818" w:type="pct"/>
            <w:gridSpan w:val="2"/>
            <w:tcBorders>
              <w:bottom w:val="nil"/>
            </w:tcBorders>
            <w:vAlign w:val="center"/>
          </w:tcPr>
          <w:p w:rsidR="003163B7" w:rsidRPr="00E16EDC" w:rsidRDefault="003163B7" w:rsidP="009064C6">
            <w:pPr>
              <w:spacing w:before="120" w:after="0" w:line="240" w:lineRule="auto"/>
              <w:jc w:val="center"/>
              <w:rPr>
                <w:rFonts w:cs="Arial"/>
                <w:bCs/>
                <w:color w:val="FFFFFF"/>
                <w:sz w:val="20"/>
                <w:szCs w:val="20"/>
              </w:rPr>
            </w:pPr>
            <w:r>
              <w:rPr>
                <w:rFonts w:cs="Arial"/>
                <w:bCs/>
                <w:color w:val="FFFFFF"/>
                <w:sz w:val="20"/>
                <w:szCs w:val="20"/>
              </w:rPr>
              <w:t>SWQP</w:t>
            </w:r>
          </w:p>
        </w:tc>
        <w:tc>
          <w:tcPr>
            <w:tcW w:w="775" w:type="pct"/>
            <w:gridSpan w:val="2"/>
            <w:tcBorders>
              <w:bottom w:val="nil"/>
            </w:tcBorders>
            <w:vAlign w:val="center"/>
          </w:tcPr>
          <w:p w:rsidR="003163B7" w:rsidRPr="00E16EDC" w:rsidRDefault="003163B7" w:rsidP="009064C6">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822" w:type="pct"/>
            <w:gridSpan w:val="2"/>
            <w:tcBorders>
              <w:bottom w:val="nil"/>
            </w:tcBorders>
            <w:vAlign w:val="center"/>
          </w:tcPr>
          <w:p w:rsidR="003163B7" w:rsidRPr="00E16EDC" w:rsidRDefault="003163B7" w:rsidP="009064C6">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905" w:type="pct"/>
            <w:gridSpan w:val="2"/>
            <w:tcBorders>
              <w:bottom w:val="nil"/>
            </w:tcBorders>
            <w:vAlign w:val="center"/>
          </w:tcPr>
          <w:p w:rsidR="003163B7" w:rsidRPr="00E16EDC" w:rsidRDefault="003163B7" w:rsidP="009064C6">
            <w:pPr>
              <w:spacing w:before="120" w:after="0" w:line="240" w:lineRule="auto"/>
              <w:jc w:val="center"/>
              <w:rPr>
                <w:rFonts w:cs="Arial"/>
                <w:bCs/>
                <w:color w:val="FFFFFF"/>
                <w:sz w:val="20"/>
                <w:szCs w:val="20"/>
              </w:rPr>
            </w:pPr>
            <w:r w:rsidRPr="00E16EDC">
              <w:rPr>
                <w:rFonts w:cs="Arial"/>
                <w:bCs/>
                <w:color w:val="FFFFFF"/>
                <w:sz w:val="20"/>
                <w:szCs w:val="20"/>
              </w:rPr>
              <w:t>QGP</w:t>
            </w:r>
          </w:p>
        </w:tc>
      </w:tr>
      <w:tr w:rsidR="003163B7" w:rsidRPr="002861A9" w:rsidTr="000F7778">
        <w:trPr>
          <w:cnfStyle w:val="100000000000" w:firstRow="1" w:lastRow="0" w:firstColumn="0" w:lastColumn="0" w:oddVBand="0" w:evenVBand="0" w:oddHBand="0" w:evenHBand="0" w:firstRowFirstColumn="0" w:firstRowLastColumn="0" w:lastRowFirstColumn="0" w:lastRowLastColumn="0"/>
          <w:tblHeader/>
        </w:trPr>
        <w:tc>
          <w:tcPr>
            <w:tcW w:w="907" w:type="pct"/>
            <w:tcBorders>
              <w:bottom w:val="nil"/>
            </w:tcBorders>
            <w:vAlign w:val="center"/>
          </w:tcPr>
          <w:p w:rsidR="003163B7" w:rsidRPr="00587CFB" w:rsidRDefault="003163B7" w:rsidP="009064C6">
            <w:pPr>
              <w:pStyle w:val="TableHeading"/>
              <w:jc w:val="center"/>
              <w:rPr>
                <w:rFonts w:cs="Arial"/>
                <w:sz w:val="20"/>
                <w:szCs w:val="20"/>
              </w:rPr>
            </w:pPr>
          </w:p>
        </w:tc>
        <w:tc>
          <w:tcPr>
            <w:tcW w:w="340" w:type="pct"/>
            <w:tcBorders>
              <w:bottom w:val="nil"/>
            </w:tcBorders>
            <w:vAlign w:val="center"/>
            <w:hideMark/>
          </w:tcPr>
          <w:p w:rsidR="003163B7" w:rsidRPr="00587CFB" w:rsidRDefault="003163B7" w:rsidP="009064C6">
            <w:pPr>
              <w:jc w:val="center"/>
              <w:rPr>
                <w:rFonts w:cs="Arial"/>
                <w:bCs/>
                <w:color w:val="FFFFFF"/>
                <w:sz w:val="14"/>
                <w:szCs w:val="20"/>
                <w:highlight w:val="cyan"/>
              </w:rPr>
            </w:pPr>
            <w:r w:rsidRPr="00587CFB">
              <w:rPr>
                <w:rFonts w:cs="Arial"/>
                <w:bCs/>
                <w:color w:val="FFFFFF"/>
                <w:sz w:val="14"/>
                <w:szCs w:val="20"/>
              </w:rPr>
              <w:t>VWA price</w:t>
            </w:r>
          </w:p>
        </w:tc>
        <w:tc>
          <w:tcPr>
            <w:tcW w:w="433" w:type="pct"/>
            <w:tcBorders>
              <w:bottom w:val="nil"/>
            </w:tcBorders>
            <w:vAlign w:val="center"/>
            <w:hideMark/>
          </w:tcPr>
          <w:p w:rsidR="003163B7" w:rsidRPr="00587CFB" w:rsidRDefault="003163B7" w:rsidP="009064C6">
            <w:pPr>
              <w:jc w:val="center"/>
              <w:rPr>
                <w:rFonts w:cs="Arial"/>
                <w:bCs/>
                <w:color w:val="FFFFFF"/>
                <w:sz w:val="14"/>
                <w:szCs w:val="20"/>
                <w:highlight w:val="cyan"/>
              </w:rPr>
            </w:pPr>
            <w:r>
              <w:rPr>
                <w:rFonts w:cs="Arial"/>
                <w:bCs/>
                <w:color w:val="FFFFFF"/>
                <w:sz w:val="14"/>
                <w:szCs w:val="20"/>
              </w:rPr>
              <w:t>Quantity</w:t>
            </w:r>
          </w:p>
        </w:tc>
        <w:tc>
          <w:tcPr>
            <w:tcW w:w="389" w:type="pct"/>
            <w:tcBorders>
              <w:bottom w:val="nil"/>
            </w:tcBorders>
            <w:vAlign w:val="center"/>
            <w:hideMark/>
          </w:tcPr>
          <w:p w:rsidR="003163B7" w:rsidRPr="00587CFB" w:rsidRDefault="003163B7" w:rsidP="009064C6">
            <w:pPr>
              <w:jc w:val="center"/>
              <w:rPr>
                <w:rFonts w:cs="Arial"/>
                <w:bCs/>
                <w:color w:val="FFFFFF"/>
                <w:sz w:val="14"/>
                <w:szCs w:val="20"/>
                <w:highlight w:val="cyan"/>
              </w:rPr>
            </w:pPr>
            <w:r w:rsidRPr="00587CFB">
              <w:rPr>
                <w:rFonts w:cs="Arial"/>
                <w:bCs/>
                <w:color w:val="FFFFFF"/>
                <w:sz w:val="14"/>
                <w:szCs w:val="20"/>
              </w:rPr>
              <w:t>VWA price</w:t>
            </w:r>
          </w:p>
        </w:tc>
        <w:tc>
          <w:tcPr>
            <w:tcW w:w="429" w:type="pct"/>
            <w:tcBorders>
              <w:bottom w:val="nil"/>
            </w:tcBorders>
            <w:vAlign w:val="center"/>
          </w:tcPr>
          <w:p w:rsidR="003163B7" w:rsidRPr="00587CFB" w:rsidRDefault="003163B7" w:rsidP="009064C6">
            <w:pPr>
              <w:jc w:val="center"/>
              <w:rPr>
                <w:rFonts w:cs="Arial"/>
                <w:bCs/>
                <w:color w:val="FFFFFF"/>
                <w:sz w:val="14"/>
                <w:szCs w:val="20"/>
                <w:highlight w:val="cyan"/>
              </w:rPr>
            </w:pPr>
            <w:r>
              <w:rPr>
                <w:rFonts w:cs="Arial"/>
                <w:bCs/>
                <w:color w:val="FFFFFF"/>
                <w:sz w:val="14"/>
                <w:szCs w:val="20"/>
              </w:rPr>
              <w:t>Quantity</w:t>
            </w:r>
          </w:p>
        </w:tc>
        <w:tc>
          <w:tcPr>
            <w:tcW w:w="345" w:type="pct"/>
            <w:tcBorders>
              <w:bottom w:val="nil"/>
            </w:tcBorders>
            <w:vAlign w:val="center"/>
          </w:tcPr>
          <w:p w:rsidR="003163B7" w:rsidRPr="00587CFB" w:rsidRDefault="003163B7" w:rsidP="009064C6">
            <w:pPr>
              <w:jc w:val="center"/>
              <w:rPr>
                <w:rFonts w:cs="Arial"/>
                <w:bCs/>
                <w:color w:val="FFFFFF"/>
                <w:sz w:val="14"/>
                <w:szCs w:val="20"/>
                <w:highlight w:val="cyan"/>
              </w:rPr>
            </w:pPr>
            <w:r w:rsidRPr="00587CFB">
              <w:rPr>
                <w:rFonts w:cs="Arial"/>
                <w:bCs/>
                <w:color w:val="FFFFFF"/>
                <w:sz w:val="14"/>
                <w:szCs w:val="20"/>
              </w:rPr>
              <w:t>VWA price</w:t>
            </w:r>
          </w:p>
        </w:tc>
        <w:tc>
          <w:tcPr>
            <w:tcW w:w="430" w:type="pct"/>
            <w:tcBorders>
              <w:bottom w:val="nil"/>
            </w:tcBorders>
            <w:vAlign w:val="center"/>
          </w:tcPr>
          <w:p w:rsidR="003163B7" w:rsidRPr="00587CFB" w:rsidRDefault="003163B7" w:rsidP="009064C6">
            <w:pPr>
              <w:jc w:val="center"/>
              <w:rPr>
                <w:rFonts w:cs="Arial"/>
                <w:bCs/>
                <w:color w:val="FFFFFF"/>
                <w:sz w:val="14"/>
                <w:szCs w:val="20"/>
                <w:highlight w:val="cyan"/>
              </w:rPr>
            </w:pPr>
            <w:r>
              <w:rPr>
                <w:rFonts w:cs="Arial"/>
                <w:bCs/>
                <w:color w:val="FFFFFF"/>
                <w:sz w:val="14"/>
                <w:szCs w:val="20"/>
              </w:rPr>
              <w:t>Quantity</w:t>
            </w:r>
          </w:p>
        </w:tc>
        <w:tc>
          <w:tcPr>
            <w:tcW w:w="394" w:type="pct"/>
            <w:tcBorders>
              <w:bottom w:val="nil"/>
            </w:tcBorders>
            <w:vAlign w:val="center"/>
          </w:tcPr>
          <w:p w:rsidR="003163B7" w:rsidRPr="00587CFB" w:rsidRDefault="003163B7" w:rsidP="009064C6">
            <w:pPr>
              <w:jc w:val="center"/>
              <w:rPr>
                <w:rFonts w:cs="Arial"/>
                <w:bCs/>
                <w:color w:val="FFFFFF"/>
                <w:sz w:val="14"/>
                <w:szCs w:val="20"/>
                <w:highlight w:val="cyan"/>
              </w:rPr>
            </w:pPr>
            <w:r w:rsidRPr="00587CFB">
              <w:rPr>
                <w:rFonts w:cs="Arial"/>
                <w:bCs/>
                <w:color w:val="FFFFFF"/>
                <w:sz w:val="14"/>
                <w:szCs w:val="20"/>
              </w:rPr>
              <w:t>VWA price</w:t>
            </w:r>
          </w:p>
        </w:tc>
        <w:tc>
          <w:tcPr>
            <w:tcW w:w="429" w:type="pct"/>
            <w:tcBorders>
              <w:bottom w:val="nil"/>
            </w:tcBorders>
            <w:vAlign w:val="center"/>
          </w:tcPr>
          <w:p w:rsidR="003163B7" w:rsidRPr="00587CFB" w:rsidRDefault="003163B7" w:rsidP="009064C6">
            <w:pPr>
              <w:jc w:val="center"/>
              <w:rPr>
                <w:rFonts w:cs="Arial"/>
                <w:bCs/>
                <w:color w:val="FFFFFF"/>
                <w:sz w:val="14"/>
                <w:szCs w:val="20"/>
                <w:highlight w:val="cyan"/>
              </w:rPr>
            </w:pPr>
            <w:r>
              <w:rPr>
                <w:rFonts w:cs="Arial"/>
                <w:bCs/>
                <w:color w:val="FFFFFF"/>
                <w:sz w:val="14"/>
                <w:szCs w:val="20"/>
              </w:rPr>
              <w:t>Quantity</w:t>
            </w:r>
          </w:p>
        </w:tc>
        <w:tc>
          <w:tcPr>
            <w:tcW w:w="339" w:type="pct"/>
            <w:tcBorders>
              <w:bottom w:val="nil"/>
            </w:tcBorders>
            <w:vAlign w:val="center"/>
          </w:tcPr>
          <w:p w:rsidR="003163B7" w:rsidRPr="00587CFB" w:rsidRDefault="003163B7" w:rsidP="009064C6">
            <w:pPr>
              <w:jc w:val="center"/>
              <w:rPr>
                <w:rFonts w:cs="Arial"/>
                <w:bCs/>
                <w:color w:val="FFFFFF"/>
                <w:sz w:val="14"/>
                <w:szCs w:val="20"/>
                <w:highlight w:val="cyan"/>
              </w:rPr>
            </w:pPr>
            <w:r w:rsidRPr="00587CFB">
              <w:rPr>
                <w:rFonts w:cs="Arial"/>
                <w:bCs/>
                <w:color w:val="FFFFFF"/>
                <w:sz w:val="14"/>
                <w:szCs w:val="20"/>
              </w:rPr>
              <w:t>VWA price</w:t>
            </w:r>
          </w:p>
        </w:tc>
        <w:tc>
          <w:tcPr>
            <w:tcW w:w="565" w:type="pct"/>
            <w:tcBorders>
              <w:bottom w:val="nil"/>
            </w:tcBorders>
            <w:vAlign w:val="center"/>
          </w:tcPr>
          <w:p w:rsidR="003163B7" w:rsidRPr="00587CFB" w:rsidRDefault="003163B7" w:rsidP="009064C6">
            <w:pPr>
              <w:jc w:val="center"/>
              <w:rPr>
                <w:rFonts w:cs="Arial"/>
                <w:bCs/>
                <w:color w:val="FFFFFF"/>
                <w:sz w:val="14"/>
                <w:szCs w:val="20"/>
                <w:highlight w:val="cyan"/>
              </w:rPr>
            </w:pPr>
            <w:r>
              <w:rPr>
                <w:rFonts w:cs="Arial"/>
                <w:bCs/>
                <w:color w:val="FFFFFF"/>
                <w:sz w:val="14"/>
                <w:szCs w:val="20"/>
              </w:rPr>
              <w:t>Quantity</w:t>
            </w:r>
          </w:p>
        </w:tc>
      </w:tr>
      <w:tr w:rsidR="000F7778" w:rsidRPr="006A7228" w:rsidTr="000F7778">
        <w:trPr>
          <w:trHeight w:val="510"/>
        </w:trPr>
        <w:tc>
          <w:tcPr>
            <w:tcW w:w="907" w:type="pct"/>
            <w:tcBorders>
              <w:top w:val="nil"/>
              <w:bottom w:val="nil"/>
            </w:tcBorders>
            <w:vAlign w:val="center"/>
          </w:tcPr>
          <w:p w:rsidR="000F7778" w:rsidRPr="000F7778" w:rsidRDefault="000F7778">
            <w:pPr>
              <w:rPr>
                <w:rFonts w:cs="Arial"/>
                <w:b/>
                <w:bCs/>
                <w:sz w:val="16"/>
                <w:szCs w:val="16"/>
              </w:rPr>
            </w:pPr>
            <w:r w:rsidRPr="000F7778">
              <w:rPr>
                <w:rFonts w:cs="Arial"/>
                <w:b/>
                <w:bCs/>
                <w:sz w:val="16"/>
                <w:szCs w:val="16"/>
              </w:rPr>
              <w:t>Balance of day</w:t>
            </w:r>
          </w:p>
        </w:tc>
        <w:tc>
          <w:tcPr>
            <w:tcW w:w="340"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7.04</w:t>
            </w:r>
          </w:p>
        </w:tc>
        <w:tc>
          <w:tcPr>
            <w:tcW w:w="433"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55.3</w:t>
            </w:r>
          </w:p>
        </w:tc>
        <w:tc>
          <w:tcPr>
            <w:tcW w:w="389"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8.50</w:t>
            </w:r>
          </w:p>
        </w:tc>
        <w:tc>
          <w:tcPr>
            <w:tcW w:w="429"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4.9</w:t>
            </w:r>
          </w:p>
        </w:tc>
        <w:tc>
          <w:tcPr>
            <w:tcW w:w="345"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430"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394"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429"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339"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565"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r>
      <w:tr w:rsidR="000F7778" w:rsidRPr="006A7228" w:rsidTr="000F7778">
        <w:trPr>
          <w:cnfStyle w:val="000000010000" w:firstRow="0" w:lastRow="0" w:firstColumn="0" w:lastColumn="0" w:oddVBand="0" w:evenVBand="0" w:oddHBand="0" w:evenHBand="1" w:firstRowFirstColumn="0" w:firstRowLastColumn="0" w:lastRowFirstColumn="0" w:lastRowLastColumn="0"/>
          <w:trHeight w:val="510"/>
        </w:trPr>
        <w:tc>
          <w:tcPr>
            <w:tcW w:w="907" w:type="pct"/>
            <w:tcBorders>
              <w:top w:val="nil"/>
              <w:bottom w:val="nil"/>
            </w:tcBorders>
            <w:vAlign w:val="center"/>
          </w:tcPr>
          <w:p w:rsidR="000F7778" w:rsidRPr="000F7778" w:rsidRDefault="000F7778">
            <w:pPr>
              <w:rPr>
                <w:rFonts w:cs="Arial"/>
                <w:b/>
                <w:bCs/>
                <w:sz w:val="16"/>
                <w:szCs w:val="16"/>
              </w:rPr>
            </w:pPr>
            <w:r w:rsidRPr="000F7778">
              <w:rPr>
                <w:rFonts w:cs="Arial"/>
                <w:b/>
                <w:bCs/>
                <w:sz w:val="16"/>
                <w:szCs w:val="16"/>
              </w:rPr>
              <w:t>Daily</w:t>
            </w:r>
          </w:p>
        </w:tc>
        <w:tc>
          <w:tcPr>
            <w:tcW w:w="340"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7.24</w:t>
            </w:r>
          </w:p>
        </w:tc>
        <w:tc>
          <w:tcPr>
            <w:tcW w:w="433"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27.0</w:t>
            </w:r>
          </w:p>
        </w:tc>
        <w:tc>
          <w:tcPr>
            <w:tcW w:w="389"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12.99</w:t>
            </w:r>
          </w:p>
        </w:tc>
        <w:tc>
          <w:tcPr>
            <w:tcW w:w="429"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51.0</w:t>
            </w:r>
          </w:p>
        </w:tc>
        <w:tc>
          <w:tcPr>
            <w:tcW w:w="345"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430"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394"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429"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339"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565"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r>
      <w:tr w:rsidR="000F7778" w:rsidRPr="006A7228" w:rsidTr="000F7778">
        <w:trPr>
          <w:trHeight w:val="510"/>
        </w:trPr>
        <w:tc>
          <w:tcPr>
            <w:tcW w:w="907" w:type="pct"/>
            <w:tcBorders>
              <w:top w:val="nil"/>
              <w:bottom w:val="nil"/>
            </w:tcBorders>
            <w:vAlign w:val="center"/>
          </w:tcPr>
          <w:p w:rsidR="000F7778" w:rsidRPr="000F7778" w:rsidRDefault="000F7778">
            <w:pPr>
              <w:rPr>
                <w:rFonts w:cs="Arial"/>
                <w:b/>
                <w:bCs/>
                <w:sz w:val="16"/>
                <w:szCs w:val="16"/>
              </w:rPr>
            </w:pPr>
            <w:r w:rsidRPr="000F7778">
              <w:rPr>
                <w:rFonts w:cs="Arial"/>
                <w:b/>
                <w:bCs/>
                <w:sz w:val="16"/>
                <w:szCs w:val="16"/>
              </w:rPr>
              <w:t>Day ahead</w:t>
            </w:r>
          </w:p>
        </w:tc>
        <w:tc>
          <w:tcPr>
            <w:tcW w:w="340"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7.87</w:t>
            </w:r>
          </w:p>
        </w:tc>
        <w:tc>
          <w:tcPr>
            <w:tcW w:w="433"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76.0</w:t>
            </w:r>
          </w:p>
        </w:tc>
        <w:tc>
          <w:tcPr>
            <w:tcW w:w="389"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13.63</w:t>
            </w:r>
          </w:p>
        </w:tc>
        <w:tc>
          <w:tcPr>
            <w:tcW w:w="429"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39.0</w:t>
            </w:r>
          </w:p>
        </w:tc>
        <w:tc>
          <w:tcPr>
            <w:tcW w:w="345"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430"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394"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429"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339"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565"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r>
      <w:tr w:rsidR="000F7778" w:rsidRPr="006A7228" w:rsidTr="000F7778">
        <w:trPr>
          <w:cnfStyle w:val="000000010000" w:firstRow="0" w:lastRow="0" w:firstColumn="0" w:lastColumn="0" w:oddVBand="0" w:evenVBand="0" w:oddHBand="0" w:evenHBand="1" w:firstRowFirstColumn="0" w:firstRowLastColumn="0" w:lastRowFirstColumn="0" w:lastRowLastColumn="0"/>
          <w:trHeight w:val="510"/>
        </w:trPr>
        <w:tc>
          <w:tcPr>
            <w:tcW w:w="907" w:type="pct"/>
            <w:tcBorders>
              <w:top w:val="nil"/>
              <w:bottom w:val="nil"/>
            </w:tcBorders>
            <w:vAlign w:val="center"/>
          </w:tcPr>
          <w:p w:rsidR="000F7778" w:rsidRPr="000F7778" w:rsidRDefault="000F7778">
            <w:pPr>
              <w:rPr>
                <w:rFonts w:cs="Arial"/>
                <w:b/>
                <w:bCs/>
                <w:sz w:val="16"/>
                <w:szCs w:val="16"/>
              </w:rPr>
            </w:pPr>
            <w:r w:rsidRPr="000F7778">
              <w:rPr>
                <w:rFonts w:cs="Arial"/>
                <w:b/>
                <w:bCs/>
                <w:sz w:val="16"/>
                <w:szCs w:val="16"/>
              </w:rPr>
              <w:t>Weekly</w:t>
            </w:r>
          </w:p>
        </w:tc>
        <w:tc>
          <w:tcPr>
            <w:tcW w:w="340"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433"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389"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429"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345"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430"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394"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429"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339"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c>
          <w:tcPr>
            <w:tcW w:w="565" w:type="pct"/>
            <w:tcBorders>
              <w:top w:val="nil"/>
              <w:bottom w:val="nil"/>
            </w:tcBorders>
            <w:vAlign w:val="center"/>
          </w:tcPr>
          <w:p w:rsidR="000F7778" w:rsidRPr="000F7778" w:rsidRDefault="000F7778">
            <w:pPr>
              <w:jc w:val="center"/>
              <w:rPr>
                <w:rFonts w:cs="Arial"/>
                <w:sz w:val="16"/>
                <w:szCs w:val="16"/>
              </w:rPr>
            </w:pPr>
            <w:r w:rsidRPr="000F7778">
              <w:rPr>
                <w:rFonts w:cs="Arial"/>
                <w:sz w:val="16"/>
                <w:szCs w:val="16"/>
              </w:rPr>
              <w:t>-</w:t>
            </w:r>
          </w:p>
        </w:tc>
      </w:tr>
      <w:tr w:rsidR="000F7778" w:rsidRPr="006A7228" w:rsidTr="000F7778">
        <w:trPr>
          <w:trHeight w:val="510"/>
        </w:trPr>
        <w:tc>
          <w:tcPr>
            <w:tcW w:w="907" w:type="pct"/>
            <w:tcBorders>
              <w:top w:val="nil"/>
              <w:bottom w:val="single" w:sz="4" w:space="0" w:color="auto"/>
            </w:tcBorders>
            <w:vAlign w:val="center"/>
          </w:tcPr>
          <w:p w:rsidR="000F7778" w:rsidRPr="000F7778" w:rsidRDefault="000F7778">
            <w:pPr>
              <w:rPr>
                <w:rFonts w:cs="Arial"/>
                <w:b/>
                <w:bCs/>
                <w:sz w:val="16"/>
                <w:szCs w:val="16"/>
              </w:rPr>
            </w:pPr>
            <w:r w:rsidRPr="000F7778">
              <w:rPr>
                <w:rFonts w:cs="Arial"/>
                <w:b/>
                <w:bCs/>
                <w:sz w:val="16"/>
                <w:szCs w:val="16"/>
              </w:rPr>
              <w:t>Monthly</w:t>
            </w:r>
          </w:p>
        </w:tc>
        <w:tc>
          <w:tcPr>
            <w:tcW w:w="340" w:type="pct"/>
            <w:tcBorders>
              <w:top w:val="nil"/>
              <w:bottom w:val="single" w:sz="4" w:space="0" w:color="auto"/>
            </w:tcBorders>
            <w:vAlign w:val="center"/>
          </w:tcPr>
          <w:p w:rsidR="000F7778" w:rsidRPr="000F7778" w:rsidRDefault="000F7778">
            <w:pPr>
              <w:jc w:val="center"/>
              <w:rPr>
                <w:rFonts w:cs="Arial"/>
                <w:sz w:val="16"/>
                <w:szCs w:val="16"/>
              </w:rPr>
            </w:pPr>
            <w:r w:rsidRPr="000F7778">
              <w:rPr>
                <w:rFonts w:cs="Arial"/>
                <w:sz w:val="16"/>
                <w:szCs w:val="16"/>
              </w:rPr>
              <w:t>-</w:t>
            </w:r>
          </w:p>
        </w:tc>
        <w:tc>
          <w:tcPr>
            <w:tcW w:w="433" w:type="pct"/>
            <w:tcBorders>
              <w:top w:val="nil"/>
              <w:bottom w:val="single" w:sz="4" w:space="0" w:color="auto"/>
            </w:tcBorders>
            <w:vAlign w:val="center"/>
          </w:tcPr>
          <w:p w:rsidR="000F7778" w:rsidRPr="000F7778" w:rsidRDefault="000F7778">
            <w:pPr>
              <w:jc w:val="center"/>
              <w:rPr>
                <w:rFonts w:cs="Arial"/>
                <w:sz w:val="16"/>
                <w:szCs w:val="16"/>
              </w:rPr>
            </w:pPr>
            <w:r w:rsidRPr="000F7778">
              <w:rPr>
                <w:rFonts w:cs="Arial"/>
                <w:sz w:val="16"/>
                <w:szCs w:val="16"/>
              </w:rPr>
              <w:t>-</w:t>
            </w:r>
          </w:p>
        </w:tc>
        <w:tc>
          <w:tcPr>
            <w:tcW w:w="389" w:type="pct"/>
            <w:tcBorders>
              <w:top w:val="nil"/>
              <w:bottom w:val="single" w:sz="4" w:space="0" w:color="auto"/>
            </w:tcBorders>
            <w:vAlign w:val="center"/>
          </w:tcPr>
          <w:p w:rsidR="000F7778" w:rsidRPr="000F7778" w:rsidRDefault="000F7778">
            <w:pPr>
              <w:jc w:val="center"/>
              <w:rPr>
                <w:rFonts w:cs="Arial"/>
                <w:sz w:val="16"/>
                <w:szCs w:val="16"/>
              </w:rPr>
            </w:pPr>
            <w:r w:rsidRPr="000F7778">
              <w:rPr>
                <w:rFonts w:cs="Arial"/>
                <w:sz w:val="16"/>
                <w:szCs w:val="16"/>
              </w:rPr>
              <w:t>-</w:t>
            </w:r>
          </w:p>
        </w:tc>
        <w:tc>
          <w:tcPr>
            <w:tcW w:w="429" w:type="pct"/>
            <w:tcBorders>
              <w:top w:val="nil"/>
              <w:bottom w:val="single" w:sz="4" w:space="0" w:color="auto"/>
            </w:tcBorders>
            <w:vAlign w:val="center"/>
          </w:tcPr>
          <w:p w:rsidR="000F7778" w:rsidRPr="000F7778" w:rsidRDefault="000F7778">
            <w:pPr>
              <w:jc w:val="center"/>
              <w:rPr>
                <w:rFonts w:cs="Arial"/>
                <w:sz w:val="16"/>
                <w:szCs w:val="16"/>
              </w:rPr>
            </w:pPr>
            <w:r w:rsidRPr="000F7778">
              <w:rPr>
                <w:rFonts w:cs="Arial"/>
                <w:sz w:val="16"/>
                <w:szCs w:val="16"/>
              </w:rPr>
              <w:t>-</w:t>
            </w:r>
          </w:p>
        </w:tc>
        <w:tc>
          <w:tcPr>
            <w:tcW w:w="345" w:type="pct"/>
            <w:tcBorders>
              <w:top w:val="nil"/>
              <w:bottom w:val="single" w:sz="4" w:space="0" w:color="auto"/>
            </w:tcBorders>
            <w:vAlign w:val="center"/>
          </w:tcPr>
          <w:p w:rsidR="000F7778" w:rsidRPr="000F7778" w:rsidRDefault="000F7778">
            <w:pPr>
              <w:jc w:val="center"/>
              <w:rPr>
                <w:rFonts w:cs="Arial"/>
                <w:sz w:val="16"/>
                <w:szCs w:val="16"/>
              </w:rPr>
            </w:pPr>
            <w:r w:rsidRPr="000F7778">
              <w:rPr>
                <w:rFonts w:cs="Arial"/>
                <w:sz w:val="16"/>
                <w:szCs w:val="16"/>
              </w:rPr>
              <w:t>-</w:t>
            </w:r>
          </w:p>
        </w:tc>
        <w:tc>
          <w:tcPr>
            <w:tcW w:w="430" w:type="pct"/>
            <w:tcBorders>
              <w:top w:val="nil"/>
              <w:bottom w:val="single" w:sz="4" w:space="0" w:color="auto"/>
            </w:tcBorders>
            <w:vAlign w:val="center"/>
          </w:tcPr>
          <w:p w:rsidR="000F7778" w:rsidRPr="000F7778" w:rsidRDefault="000F7778">
            <w:pPr>
              <w:jc w:val="center"/>
              <w:rPr>
                <w:rFonts w:cs="Arial"/>
                <w:sz w:val="16"/>
                <w:szCs w:val="16"/>
              </w:rPr>
            </w:pPr>
            <w:r w:rsidRPr="000F7778">
              <w:rPr>
                <w:rFonts w:cs="Arial"/>
                <w:sz w:val="16"/>
                <w:szCs w:val="16"/>
              </w:rPr>
              <w:t>-</w:t>
            </w:r>
          </w:p>
        </w:tc>
        <w:tc>
          <w:tcPr>
            <w:tcW w:w="394" w:type="pct"/>
            <w:tcBorders>
              <w:top w:val="nil"/>
              <w:bottom w:val="single" w:sz="4" w:space="0" w:color="auto"/>
            </w:tcBorders>
            <w:vAlign w:val="center"/>
          </w:tcPr>
          <w:p w:rsidR="000F7778" w:rsidRPr="000F7778" w:rsidRDefault="000F7778">
            <w:pPr>
              <w:jc w:val="center"/>
              <w:rPr>
                <w:rFonts w:cs="Arial"/>
                <w:sz w:val="16"/>
                <w:szCs w:val="16"/>
              </w:rPr>
            </w:pPr>
            <w:r w:rsidRPr="000F7778">
              <w:rPr>
                <w:rFonts w:cs="Arial"/>
                <w:sz w:val="16"/>
                <w:szCs w:val="16"/>
              </w:rPr>
              <w:t>-</w:t>
            </w:r>
          </w:p>
        </w:tc>
        <w:tc>
          <w:tcPr>
            <w:tcW w:w="429" w:type="pct"/>
            <w:tcBorders>
              <w:top w:val="nil"/>
              <w:bottom w:val="single" w:sz="4" w:space="0" w:color="auto"/>
            </w:tcBorders>
            <w:vAlign w:val="center"/>
          </w:tcPr>
          <w:p w:rsidR="000F7778" w:rsidRPr="000F7778" w:rsidRDefault="000F7778">
            <w:pPr>
              <w:jc w:val="center"/>
              <w:rPr>
                <w:rFonts w:cs="Arial"/>
                <w:sz w:val="16"/>
                <w:szCs w:val="16"/>
              </w:rPr>
            </w:pPr>
            <w:r w:rsidRPr="000F7778">
              <w:rPr>
                <w:rFonts w:cs="Arial"/>
                <w:sz w:val="16"/>
                <w:szCs w:val="16"/>
              </w:rPr>
              <w:t>-</w:t>
            </w:r>
          </w:p>
        </w:tc>
        <w:tc>
          <w:tcPr>
            <w:tcW w:w="339" w:type="pct"/>
            <w:tcBorders>
              <w:top w:val="nil"/>
              <w:bottom w:val="single" w:sz="4" w:space="0" w:color="auto"/>
            </w:tcBorders>
            <w:vAlign w:val="center"/>
          </w:tcPr>
          <w:p w:rsidR="000F7778" w:rsidRPr="000F7778" w:rsidRDefault="000F7778">
            <w:pPr>
              <w:jc w:val="center"/>
              <w:rPr>
                <w:rFonts w:cs="Arial"/>
                <w:sz w:val="16"/>
                <w:szCs w:val="16"/>
              </w:rPr>
            </w:pPr>
            <w:r w:rsidRPr="000F7778">
              <w:rPr>
                <w:rFonts w:cs="Arial"/>
                <w:sz w:val="16"/>
                <w:szCs w:val="16"/>
              </w:rPr>
              <w:t>-</w:t>
            </w:r>
          </w:p>
        </w:tc>
        <w:tc>
          <w:tcPr>
            <w:tcW w:w="565" w:type="pct"/>
            <w:tcBorders>
              <w:top w:val="nil"/>
              <w:bottom w:val="single" w:sz="4" w:space="0" w:color="auto"/>
            </w:tcBorders>
            <w:vAlign w:val="center"/>
          </w:tcPr>
          <w:p w:rsidR="000F7778" w:rsidRPr="000F7778" w:rsidRDefault="000F7778">
            <w:pPr>
              <w:jc w:val="center"/>
              <w:rPr>
                <w:rFonts w:cs="Arial"/>
                <w:sz w:val="16"/>
                <w:szCs w:val="16"/>
              </w:rPr>
            </w:pPr>
            <w:r w:rsidRPr="000F7778">
              <w:rPr>
                <w:rFonts w:cs="Arial"/>
                <w:sz w:val="16"/>
                <w:szCs w:val="16"/>
              </w:rPr>
              <w:t>-</w:t>
            </w:r>
          </w:p>
        </w:tc>
      </w:tr>
    </w:tbl>
    <w:p w:rsidR="00805582" w:rsidRDefault="003163B7" w:rsidP="00534DD9">
      <w:pPr>
        <w:pStyle w:val="AERbodytext"/>
      </w:pPr>
      <w:r w:rsidRPr="00552F68">
        <w:rPr>
          <w:sz w:val="16"/>
        </w:rPr>
        <w:t>* Non-netted products are not shown here. For information about these products, refer to figure 6.1.</w:t>
      </w:r>
    </w:p>
    <w:p w:rsidR="001934E9" w:rsidRDefault="001934E9" w:rsidP="00A226E9">
      <w:pPr>
        <w:keepNext/>
      </w:pPr>
      <w:r w:rsidRPr="00552F68">
        <w:lastRenderedPageBreak/>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894A83">
        <w:fldChar w:fldCharType="begin"/>
      </w:r>
      <w:r w:rsidR="00894A83">
        <w:instrText xml:space="preserve"> SEQ Figure \* ARABIC </w:instrText>
      </w:r>
      <w:r w:rsidR="00894A83">
        <w:fldChar w:fldCharType="separate"/>
      </w:r>
      <w:r w:rsidR="00894A83">
        <w:rPr>
          <w:noProof/>
        </w:rPr>
        <w:t>5</w:t>
      </w:r>
      <w:r w:rsidR="00894A83">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p>
    <w:p w:rsidR="00805582" w:rsidRPr="00E16EDC" w:rsidRDefault="000F7778" w:rsidP="00E16EDC">
      <w:r w:rsidRPr="000F7778">
        <w:rPr>
          <w:noProof/>
          <w:lang w:eastAsia="en-AU"/>
        </w:rPr>
        <w:drawing>
          <wp:inline distT="0" distB="0" distL="0" distR="0" wp14:anchorId="62277D78" wp14:editId="20053CDD">
            <wp:extent cx="5731510" cy="3179062"/>
            <wp:effectExtent l="0" t="0" r="2540" b="2540"/>
            <wp:docPr id="13" name="Picture 13"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E70B1C" w:rsidRDefault="00E70B1C" w:rsidP="00E70B1C">
      <w:pPr>
        <w:spacing w:after="120"/>
        <w:jc w:val="both"/>
      </w:pPr>
      <w:r>
        <w:t>On gas days Tuesday 12 July, Wednesday 13 July and Friday 15 July, a number of significant price variation (SPV) triggers were exceeded in the Adelaide and Sydney STTM hubs and the Victorian gas market:</w:t>
      </w:r>
    </w:p>
    <w:p w:rsidR="00E70B1C" w:rsidRDefault="00E70B1C" w:rsidP="00E70B1C">
      <w:pPr>
        <w:pStyle w:val="ListParagraph"/>
        <w:numPr>
          <w:ilvl w:val="0"/>
          <w:numId w:val="36"/>
        </w:numPr>
        <w:spacing w:before="0" w:after="120" w:line="240" w:lineRule="auto"/>
        <w:contextualSpacing/>
        <w:jc w:val="both"/>
      </w:pPr>
      <w:r>
        <w:t>12 July, Adelaide STTM, $12/GJ variation between the D-1 and D+1 schedule prices.</w:t>
      </w:r>
    </w:p>
    <w:p w:rsidR="00E70B1C" w:rsidRDefault="00E70B1C" w:rsidP="006C7898">
      <w:pPr>
        <w:pStyle w:val="ListParagraph"/>
        <w:numPr>
          <w:ilvl w:val="0"/>
          <w:numId w:val="36"/>
        </w:numPr>
        <w:spacing w:before="0" w:after="120" w:line="240" w:lineRule="auto"/>
        <w:ind w:left="714" w:hanging="357"/>
        <w:contextualSpacing/>
        <w:jc w:val="both"/>
      </w:pPr>
      <w:r>
        <w:t>13 July, Adelaide STTM, $8.08/GJ variation between the D-2 and D-1 schedule price.</w:t>
      </w:r>
    </w:p>
    <w:p w:rsidR="00E70B1C" w:rsidRDefault="00E70B1C" w:rsidP="00E70B1C">
      <w:pPr>
        <w:pStyle w:val="ListParagraph"/>
        <w:numPr>
          <w:ilvl w:val="0"/>
          <w:numId w:val="36"/>
        </w:numPr>
        <w:spacing w:before="0" w:after="120" w:line="240" w:lineRule="auto"/>
        <w:ind w:left="714" w:hanging="357"/>
        <w:contextualSpacing/>
        <w:jc w:val="both"/>
      </w:pPr>
      <w:r>
        <w:t>13 July, Victoria, $43.33/GJ imbalance price.</w:t>
      </w:r>
    </w:p>
    <w:p w:rsidR="00E70B1C" w:rsidRDefault="00E70B1C" w:rsidP="00E70B1C">
      <w:pPr>
        <w:pStyle w:val="ListParagraph"/>
        <w:numPr>
          <w:ilvl w:val="0"/>
          <w:numId w:val="36"/>
        </w:numPr>
        <w:spacing w:before="0" w:after="120" w:line="240" w:lineRule="auto"/>
        <w:ind w:left="714" w:hanging="357"/>
        <w:contextualSpacing/>
        <w:jc w:val="both"/>
      </w:pPr>
      <w:r>
        <w:t>15 July, Adelaide STTM, $9.12/GJ variation between the D-2 and D-1 schedule price.</w:t>
      </w:r>
    </w:p>
    <w:p w:rsidR="00E70B1C" w:rsidRDefault="00E70B1C" w:rsidP="00E70B1C">
      <w:pPr>
        <w:spacing w:after="120"/>
        <w:jc w:val="both"/>
      </w:pPr>
      <w:r>
        <w:t xml:space="preserve">Under Rules 498 and 355 of the Gas Rules, the AER is required to identify and report on any significant price variations (SPVs) in the STTM and Victorian gas market, respectively. </w:t>
      </w:r>
    </w:p>
    <w:p w:rsidR="00E70B1C" w:rsidRDefault="00E70B1C" w:rsidP="00E70B1C">
      <w:pPr>
        <w:spacing w:after="120"/>
        <w:jc w:val="both"/>
      </w:pPr>
      <w:r>
        <w:t>In the Victorian gas market, an SPV occurs when the Trade Weighted Market Price (imbalance price) published by AEMO on a gas day is more than three times the average price for the previous 30 days and is greater than or equal to $15/GJ.</w:t>
      </w:r>
    </w:p>
    <w:p w:rsidR="00E70B1C" w:rsidRDefault="00E70B1C" w:rsidP="00E70B1C">
      <w:pPr>
        <w:spacing w:after="120"/>
        <w:jc w:val="both"/>
      </w:pPr>
      <w:r>
        <w:t>In the STTM, an SPV occurs when:</w:t>
      </w:r>
    </w:p>
    <w:p w:rsidR="00E70B1C" w:rsidRDefault="00E70B1C" w:rsidP="00E70B1C">
      <w:pPr>
        <w:pStyle w:val="ListParagraph"/>
        <w:numPr>
          <w:ilvl w:val="0"/>
          <w:numId w:val="37"/>
        </w:numPr>
        <w:spacing w:before="0" w:after="120" w:line="240" w:lineRule="auto"/>
        <w:ind w:left="714" w:hanging="357"/>
        <w:contextualSpacing/>
        <w:jc w:val="both"/>
      </w:pPr>
      <w:proofErr w:type="gramStart"/>
      <w:r>
        <w:t>there</w:t>
      </w:r>
      <w:proofErr w:type="gramEnd"/>
      <w:r>
        <w:t xml:space="preserve"> is a variation of greater than $7/GJ between either the D-2 provisional price and ex ante price, or the ex ante and the ex post price.</w:t>
      </w:r>
    </w:p>
    <w:p w:rsidR="00E70B1C" w:rsidRDefault="00E70B1C" w:rsidP="00E70B1C">
      <w:pPr>
        <w:pStyle w:val="ListParagraph"/>
        <w:numPr>
          <w:ilvl w:val="0"/>
          <w:numId w:val="37"/>
        </w:numPr>
        <w:spacing w:before="0" w:after="120"/>
        <w:ind w:left="714" w:hanging="357"/>
        <w:contextualSpacing/>
        <w:jc w:val="both"/>
      </w:pPr>
      <w:proofErr w:type="gramStart"/>
      <w:r>
        <w:t>a</w:t>
      </w:r>
      <w:proofErr w:type="gramEnd"/>
      <w:r>
        <w:t xml:space="preserve"> MOS service payment exceeds $250 000.</w:t>
      </w:r>
    </w:p>
    <w:p w:rsidR="007B0728" w:rsidRDefault="007B0728" w:rsidP="00805582">
      <w:pPr>
        <w:spacing w:line="240" w:lineRule="auto"/>
        <w:jc w:val="both"/>
      </w:pPr>
      <w:r w:rsidRPr="0009660F">
        <w:t xml:space="preserve">In accordance with the Gas Rules, we will publish a separate detailed report into the events leading to the </w:t>
      </w:r>
      <w:r>
        <w:t>significant price variations on the identified gas days</w:t>
      </w:r>
      <w:r w:rsidRPr="0009660F">
        <w:t>.</w:t>
      </w:r>
      <w:r w:rsidR="0061550A">
        <w:t xml:space="preserve"> In summary:</w:t>
      </w:r>
    </w:p>
    <w:p w:rsidR="00E71901" w:rsidRPr="00897DA6" w:rsidRDefault="0098734A" w:rsidP="00805582">
      <w:pPr>
        <w:jc w:val="both"/>
        <w:rPr>
          <w:i/>
        </w:rPr>
      </w:pPr>
      <w:r w:rsidRPr="00897DA6">
        <w:rPr>
          <w:i/>
        </w:rPr>
        <w:t>Adelaide</w:t>
      </w:r>
    </w:p>
    <w:p w:rsidR="00621EFD" w:rsidRDefault="0000023B" w:rsidP="00805582">
      <w:pPr>
        <w:jc w:val="both"/>
      </w:pPr>
      <w:r>
        <w:t>Higher demand from gas-fired generators in South Australia on 13 and 14 July (with Pelican Point restarting on 14 July) outside of the Adelaide STTM, along with high demand in neighbouring markets (Sydney and Victoria) appeared to contribute to the $25.88/GJ and $22.22</w:t>
      </w:r>
      <w:r w:rsidR="00D907E0">
        <w:t>/GJ</w:t>
      </w:r>
      <w:r>
        <w:t xml:space="preserve"> price in the Adelaide STTM on 13 and 14 July.</w:t>
      </w:r>
    </w:p>
    <w:p w:rsidR="004226D4" w:rsidRDefault="004226D4" w:rsidP="00805582">
      <w:pPr>
        <w:jc w:val="both"/>
      </w:pPr>
      <w:r>
        <w:lastRenderedPageBreak/>
        <w:t>The Moomba Adelaide Pipeline</w:t>
      </w:r>
      <w:r w:rsidR="00E37999" w:rsidRPr="004226D4">
        <w:t xml:space="preserve"> flag</w:t>
      </w:r>
      <w:r>
        <w:t xml:space="preserve">ged potential load shedding </w:t>
      </w:r>
      <w:r w:rsidR="00D77622">
        <w:t xml:space="preserve">of </w:t>
      </w:r>
      <w:r>
        <w:t>interruptible gas customers for 14 July</w:t>
      </w:r>
      <w:r w:rsidR="00E37999" w:rsidRPr="004226D4">
        <w:t xml:space="preserve"> </w:t>
      </w:r>
      <w:r>
        <w:t>(an amber flag) but did not provide a reason. We will be following this up with the operator.</w:t>
      </w:r>
    </w:p>
    <w:p w:rsidR="0000023B" w:rsidRPr="0000023B" w:rsidRDefault="0000023B" w:rsidP="00805582">
      <w:pPr>
        <w:jc w:val="both"/>
        <w:rPr>
          <w:i/>
        </w:rPr>
      </w:pPr>
      <w:r>
        <w:rPr>
          <w:i/>
        </w:rPr>
        <w:t>Sydney</w:t>
      </w:r>
    </w:p>
    <w:p w:rsidR="004146E3" w:rsidRDefault="00B70648" w:rsidP="00D907E0">
      <w:pPr>
        <w:jc w:val="both"/>
      </w:pPr>
      <w:r w:rsidRPr="00B70648">
        <w:t>In Sydney, demand reached close to record levels exceeding 350 TJ for the first time this winter</w:t>
      </w:r>
      <w:r w:rsidR="00D77622">
        <w:t xml:space="preserve">. This </w:t>
      </w:r>
      <w:r w:rsidR="000D51BD">
        <w:t>contribut</w:t>
      </w:r>
      <w:r w:rsidR="00D77622">
        <w:t>ed</w:t>
      </w:r>
      <w:r w:rsidR="000D51BD">
        <w:t xml:space="preserve"> to </w:t>
      </w:r>
      <w:r w:rsidRPr="00B70648">
        <w:t>push</w:t>
      </w:r>
      <w:r w:rsidR="00D77622">
        <w:t>ing</w:t>
      </w:r>
      <w:r w:rsidR="00442A92">
        <w:t xml:space="preserve"> </w:t>
      </w:r>
      <w:r w:rsidRPr="00B70648">
        <w:t>the price up to $16/GJ</w:t>
      </w:r>
      <w:r>
        <w:t xml:space="preserve"> on 13</w:t>
      </w:r>
      <w:r w:rsidR="00D907E0">
        <w:t> </w:t>
      </w:r>
      <w:r>
        <w:t>July</w:t>
      </w:r>
      <w:r w:rsidRPr="00B70648">
        <w:t>.</w:t>
      </w:r>
      <w:r w:rsidR="007331AF">
        <w:t xml:space="preserve"> </w:t>
      </w:r>
      <w:r w:rsidR="00D77622">
        <w:t>The h</w:t>
      </w:r>
      <w:r w:rsidR="007331AF">
        <w:t>igh demand was partly met by unusually high flows of gas supplied by the Newcastle LNG storage facility.</w:t>
      </w:r>
      <w:r w:rsidR="00115C39">
        <w:t xml:space="preserve"> Separately, d</w:t>
      </w:r>
      <w:r w:rsidR="00514A35">
        <w:t xml:space="preserve">emand in Sydney </w:t>
      </w:r>
      <w:r w:rsidR="006C7898">
        <w:t xml:space="preserve">was over </w:t>
      </w:r>
      <w:r w:rsidR="00896FA7">
        <w:t xml:space="preserve">forecast each day </w:t>
      </w:r>
      <w:r w:rsidR="00D77622">
        <w:t xml:space="preserve">between </w:t>
      </w:r>
      <w:r w:rsidR="00896FA7">
        <w:t>10</w:t>
      </w:r>
      <w:r w:rsidR="00D907E0">
        <w:t xml:space="preserve"> </w:t>
      </w:r>
      <w:r w:rsidR="00896FA7">
        <w:t>–</w:t>
      </w:r>
      <w:r w:rsidR="00D907E0">
        <w:t xml:space="preserve"> </w:t>
      </w:r>
      <w:r w:rsidR="00896FA7">
        <w:t>15</w:t>
      </w:r>
      <w:r w:rsidR="00D907E0">
        <w:t xml:space="preserve"> </w:t>
      </w:r>
      <w:proofErr w:type="gramStart"/>
      <w:r w:rsidR="00896FA7">
        <w:t>July</w:t>
      </w:r>
      <w:proofErr w:type="gramEnd"/>
      <w:r w:rsidR="00896FA7">
        <w:t xml:space="preserve"> result</w:t>
      </w:r>
      <w:r w:rsidR="00D77622">
        <w:t>ing</w:t>
      </w:r>
      <w:r w:rsidR="00896FA7">
        <w:t xml:space="preserve"> in high </w:t>
      </w:r>
      <w:r w:rsidR="00D77622">
        <w:t xml:space="preserve">daily </w:t>
      </w:r>
      <w:r w:rsidR="00896FA7">
        <w:t>MOS payments in Sydney of over $100</w:t>
      </w:r>
      <w:r w:rsidR="00D907E0">
        <w:t> </w:t>
      </w:r>
      <w:r w:rsidR="00896FA7">
        <w:t xml:space="preserve">000 on </w:t>
      </w:r>
      <w:r w:rsidR="00D77622">
        <w:t>four of the six days</w:t>
      </w:r>
      <w:r w:rsidR="00896FA7">
        <w:t>.</w:t>
      </w:r>
      <w:r>
        <w:t xml:space="preserve"> </w:t>
      </w:r>
      <w:r w:rsidR="00896FA7">
        <w:t xml:space="preserve"> </w:t>
      </w:r>
    </w:p>
    <w:p w:rsidR="00135D73" w:rsidRDefault="00135D73" w:rsidP="00D907E0">
      <w:pPr>
        <w:jc w:val="both"/>
        <w:rPr>
          <w:i/>
        </w:rPr>
      </w:pPr>
      <w:r>
        <w:rPr>
          <w:i/>
        </w:rPr>
        <w:t>Victoria</w:t>
      </w:r>
    </w:p>
    <w:p w:rsidR="00B70648" w:rsidRDefault="00B70648" w:rsidP="00D907E0">
      <w:pPr>
        <w:jc w:val="both"/>
      </w:pPr>
      <w:r w:rsidRPr="00B70648">
        <w:t>On 13 July, the 6 am price in Victoria reached $43.55/GJ</w:t>
      </w:r>
      <w:r w:rsidR="00442A92">
        <w:t xml:space="preserve"> </w:t>
      </w:r>
      <w:r w:rsidRPr="00B70648">
        <w:t>as temperatures dropped to</w:t>
      </w:r>
      <w:r w:rsidR="00D907E0">
        <w:t xml:space="preserve"> some of</w:t>
      </w:r>
      <w:r w:rsidRPr="00B70648">
        <w:t xml:space="preserve"> the </w:t>
      </w:r>
      <w:r w:rsidRPr="000A5D43">
        <w:t>coldest levels seen this winter, leading to forecast demand exceeding 1.15 PJ.</w:t>
      </w:r>
      <w:r w:rsidR="00D907E0">
        <w:rPr>
          <w:rStyle w:val="FootnoteReference"/>
        </w:rPr>
        <w:footnoteReference w:id="9"/>
      </w:r>
      <w:r w:rsidRPr="000A5D43">
        <w:t xml:space="preserve"> This was </w:t>
      </w:r>
      <w:r w:rsidRPr="00B70648">
        <w:t>further exacerbated by lower than expected levels of line</w:t>
      </w:r>
      <w:r w:rsidR="000D51BD">
        <w:t xml:space="preserve"> </w:t>
      </w:r>
      <w:r w:rsidRPr="00B70648">
        <w:t xml:space="preserve">pack due to participants under forecasting demand. </w:t>
      </w:r>
    </w:p>
    <w:p w:rsidR="0000023B" w:rsidRPr="006C7898" w:rsidRDefault="000A5D43" w:rsidP="00D907E0">
      <w:pPr>
        <w:spacing w:after="120"/>
        <w:jc w:val="both"/>
      </w:pPr>
      <w:r w:rsidRPr="000A5D43">
        <w:t>On 14 July</w:t>
      </w:r>
      <w:r w:rsidR="00C92095">
        <w:t>,</w:t>
      </w:r>
      <w:r w:rsidRPr="000A5D43">
        <w:t xml:space="preserve"> </w:t>
      </w:r>
      <w:r w:rsidR="0000023B" w:rsidRPr="000A5D43">
        <w:t xml:space="preserve">Iona </w:t>
      </w:r>
      <w:r w:rsidR="00606C19">
        <w:t xml:space="preserve">in Victoria’s south west </w:t>
      </w:r>
      <w:r w:rsidR="00D77622">
        <w:t xml:space="preserve">was </w:t>
      </w:r>
      <w:r w:rsidR="0000023B" w:rsidRPr="000A5D43">
        <w:t xml:space="preserve">constrained to 0 TJ </w:t>
      </w:r>
      <w:r>
        <w:t xml:space="preserve">injections </w:t>
      </w:r>
      <w:r w:rsidR="0000023B" w:rsidRPr="000A5D43">
        <w:t>from</w:t>
      </w:r>
      <w:r>
        <w:t xml:space="preserve"> 2 to </w:t>
      </w:r>
      <w:r w:rsidR="0000023B" w:rsidRPr="000A5D43">
        <w:t xml:space="preserve">6 pm due to </w:t>
      </w:r>
      <w:r>
        <w:t xml:space="preserve">a </w:t>
      </w:r>
      <w:r w:rsidR="0000023B" w:rsidRPr="000A5D43">
        <w:t xml:space="preserve">plant trip, </w:t>
      </w:r>
      <w:r w:rsidRPr="000A5D43">
        <w:t xml:space="preserve">which </w:t>
      </w:r>
      <w:r w:rsidR="0000023B" w:rsidRPr="000A5D43">
        <w:t xml:space="preserve">coincided with </w:t>
      </w:r>
      <w:r w:rsidRPr="000A5D43">
        <w:t xml:space="preserve">the </w:t>
      </w:r>
      <w:r w:rsidR="0000023B" w:rsidRPr="000A5D43">
        <w:t>schedule</w:t>
      </w:r>
      <w:r w:rsidRPr="000A5D43">
        <w:t>d</w:t>
      </w:r>
      <w:r w:rsidR="0000023B" w:rsidRPr="000A5D43">
        <w:t xml:space="preserve"> price jump</w:t>
      </w:r>
      <w:r w:rsidRPr="000A5D43">
        <w:t>ing</w:t>
      </w:r>
      <w:r w:rsidR="0000023B" w:rsidRPr="000A5D43">
        <w:t xml:space="preserve"> to $20.45/GJ</w:t>
      </w:r>
      <w:r>
        <w:t xml:space="preserve"> (see figure 1.1)</w:t>
      </w:r>
      <w:r w:rsidR="00C92095">
        <w:t>.</w:t>
      </w:r>
    </w:p>
    <w:p w:rsidR="000D51BD" w:rsidRPr="00712670" w:rsidRDefault="000D51BD" w:rsidP="00D907E0">
      <w:pPr>
        <w:jc w:val="both"/>
        <w:rPr>
          <w:i/>
        </w:rPr>
      </w:pPr>
      <w:r w:rsidRPr="00712670">
        <w:rPr>
          <w:i/>
        </w:rPr>
        <w:t>Bulletin Board gas flows</w:t>
      </w:r>
    </w:p>
    <w:p w:rsidR="000D51BD" w:rsidRDefault="000D51BD" w:rsidP="00D907E0">
      <w:pPr>
        <w:jc w:val="both"/>
        <w:rPr>
          <w:rFonts w:ascii="Times New Roman" w:eastAsia="Times New Roman" w:hAnsi="Times New Roman" w:cs="Times New Roman"/>
          <w:sz w:val="24"/>
          <w:szCs w:val="24"/>
          <w:lang w:eastAsia="en-AU"/>
        </w:rPr>
      </w:pPr>
      <w:r>
        <w:t>F</w:t>
      </w:r>
      <w:r w:rsidR="00EC06DF">
        <w:t xml:space="preserve">lows on </w:t>
      </w:r>
      <w:r w:rsidR="00D657E7">
        <w:t>the QSN-link changed direction to flow gas towards South</w:t>
      </w:r>
      <w:r>
        <w:t>ern</w:t>
      </w:r>
      <w:r w:rsidR="00D657E7">
        <w:t xml:space="preserve"> Australia on 12 July. This </w:t>
      </w:r>
      <w:r>
        <w:t xml:space="preserve">appears likely to </w:t>
      </w:r>
      <w:r w:rsidR="00D657E7">
        <w:t xml:space="preserve">have been driven by the high </w:t>
      </w:r>
      <w:r w:rsidR="003D0D1C">
        <w:t xml:space="preserve">winter </w:t>
      </w:r>
      <w:r w:rsidR="00D657E7">
        <w:t xml:space="preserve">demand forecasts in the southern states </w:t>
      </w:r>
      <w:r w:rsidR="003D0D1C">
        <w:t>on 13 July.</w:t>
      </w:r>
      <w:r>
        <w:t xml:space="preserve"> </w:t>
      </w:r>
      <w:r w:rsidR="00442A92">
        <w:t xml:space="preserve">On </w:t>
      </w:r>
      <w:r>
        <w:t>14 July the Victoria–NSW interconnect</w:t>
      </w:r>
      <w:r w:rsidR="00606C19">
        <w:t xml:space="preserve"> also</w:t>
      </w:r>
      <w:r>
        <w:t xml:space="preserve"> changed direction to flow gas into Victoria. </w:t>
      </w:r>
    </w:p>
    <w:p w:rsidR="001521CB" w:rsidRDefault="001521CB" w:rsidP="00805582">
      <w:pPr>
        <w:spacing w:line="240" w:lineRule="auto"/>
        <w:jc w:val="both"/>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6F7BF84F" wp14:editId="01F1EDDB">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at 6 am, 10 am, 2 pm, 6 pm and 10 pm. The imbalance weighted price on a gas day tends towards the 6 am price</w:t>
      </w:r>
      <w:r w:rsidRPr="00EF58A8">
        <w:rPr>
          <w:rStyle w:val="FootnoteReference"/>
        </w:rPr>
        <w:footnoteReference w:id="10"/>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11"/>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12"/>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847D0F" w:rsidP="003171C6">
      <w:r w:rsidRPr="00847D0F">
        <w:rPr>
          <w:noProof/>
          <w:lang w:eastAsia="en-AU"/>
        </w:rPr>
        <w:drawing>
          <wp:inline distT="0" distB="0" distL="0" distR="0" wp14:anchorId="6C91048D" wp14:editId="12687968">
            <wp:extent cx="5731510" cy="1653009"/>
            <wp:effectExtent l="0" t="0" r="2540" b="4445"/>
            <wp:docPr id="14" name="Picture 14"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3009"/>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C92095" w:rsidP="003171C6">
      <w:r w:rsidRPr="00C92095">
        <w:rPr>
          <w:noProof/>
          <w:lang w:eastAsia="en-AU"/>
        </w:rPr>
        <w:drawing>
          <wp:inline distT="0" distB="0" distL="0" distR="0" wp14:anchorId="5DEE81D9" wp14:editId="21F85A18">
            <wp:extent cx="5731510" cy="2410934"/>
            <wp:effectExtent l="0" t="0" r="2540" b="8890"/>
            <wp:docPr id="6" name="Picture 6"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410934"/>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847D0F" w:rsidP="003171C6">
      <w:r w:rsidRPr="00847D0F">
        <w:rPr>
          <w:noProof/>
          <w:lang w:eastAsia="en-AU"/>
        </w:rPr>
        <w:drawing>
          <wp:inline distT="0" distB="0" distL="0" distR="0" wp14:anchorId="48958CC9" wp14:editId="2C46D3E3">
            <wp:extent cx="5731510" cy="2485354"/>
            <wp:effectExtent l="0" t="0" r="2540" b="0"/>
            <wp:docPr id="16" name="Picture 16"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5354"/>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847D0F" w:rsidP="003171C6">
      <w:r w:rsidRPr="00847D0F">
        <w:rPr>
          <w:noProof/>
          <w:lang w:eastAsia="en-AU"/>
        </w:rPr>
        <w:drawing>
          <wp:inline distT="0" distB="0" distL="0" distR="0" wp14:anchorId="343B8647" wp14:editId="6A9B3153">
            <wp:extent cx="5731510" cy="1958608"/>
            <wp:effectExtent l="0" t="0" r="2540" b="3810"/>
            <wp:docPr id="18" name="Picture 18"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608"/>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847D0F" w:rsidP="003171C6">
      <w:r w:rsidRPr="00847D0F">
        <w:rPr>
          <w:noProof/>
          <w:lang w:eastAsia="en-AU"/>
        </w:rPr>
        <w:drawing>
          <wp:inline distT="0" distB="0" distL="0" distR="0" wp14:anchorId="5EC02DB1" wp14:editId="0DA5D8C3">
            <wp:extent cx="5731510" cy="2125206"/>
            <wp:effectExtent l="0" t="0" r="2540" b="8890"/>
            <wp:docPr id="20" name="Picture 20"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25206"/>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13"/>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rsidR="00606C19">
        <w:rPr>
          <w:rStyle w:val="Hyperlink"/>
        </w:rPr>
        <w:t xml:space="preserve"> on our website</w:t>
      </w:r>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4"/>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847D0F" w:rsidRPr="00405CDE" w:rsidTr="00A226E9">
        <w:trPr>
          <w:trHeight w:val="510"/>
        </w:trPr>
        <w:tc>
          <w:tcPr>
            <w:tcW w:w="1211" w:type="pct"/>
            <w:tcBorders>
              <w:top w:val="nil"/>
              <w:bottom w:val="nil"/>
            </w:tcBorders>
            <w:vAlign w:val="center"/>
          </w:tcPr>
          <w:p w:rsidR="00847D0F" w:rsidRPr="00847D0F" w:rsidRDefault="00847D0F">
            <w:pPr>
              <w:rPr>
                <w:rFonts w:cs="Arial"/>
                <w:sz w:val="16"/>
                <w:szCs w:val="16"/>
              </w:rPr>
            </w:pPr>
            <w:r w:rsidRPr="00847D0F">
              <w:rPr>
                <w:rFonts w:cs="Arial"/>
                <w:sz w:val="16"/>
                <w:szCs w:val="16"/>
              </w:rPr>
              <w:t>Ex ante price ($/GJ)</w:t>
            </w:r>
          </w:p>
        </w:tc>
        <w:tc>
          <w:tcPr>
            <w:tcW w:w="580"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10.25</w:t>
            </w:r>
          </w:p>
        </w:tc>
        <w:tc>
          <w:tcPr>
            <w:tcW w:w="508"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10.55</w:t>
            </w:r>
          </w:p>
        </w:tc>
        <w:tc>
          <w:tcPr>
            <w:tcW w:w="589"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11.01</w:t>
            </w:r>
          </w:p>
        </w:tc>
        <w:tc>
          <w:tcPr>
            <w:tcW w:w="517"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16.00</w:t>
            </w:r>
          </w:p>
        </w:tc>
        <w:tc>
          <w:tcPr>
            <w:tcW w:w="510"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14.58</w:t>
            </w:r>
          </w:p>
        </w:tc>
        <w:tc>
          <w:tcPr>
            <w:tcW w:w="507"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11.83</w:t>
            </w:r>
          </w:p>
        </w:tc>
        <w:tc>
          <w:tcPr>
            <w:tcW w:w="578"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10.23</w:t>
            </w:r>
          </w:p>
        </w:tc>
      </w:tr>
      <w:tr w:rsidR="00847D0F"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847D0F" w:rsidRPr="00847D0F" w:rsidRDefault="00847D0F">
            <w:pPr>
              <w:rPr>
                <w:rFonts w:cs="Arial"/>
                <w:sz w:val="16"/>
                <w:szCs w:val="16"/>
              </w:rPr>
            </w:pPr>
            <w:r w:rsidRPr="00847D0F">
              <w:rPr>
                <w:rFonts w:cs="Arial"/>
                <w:sz w:val="16"/>
                <w:szCs w:val="16"/>
              </w:rPr>
              <w:t>Ex ante quantity (TJ)</w:t>
            </w:r>
          </w:p>
        </w:tc>
        <w:tc>
          <w:tcPr>
            <w:tcW w:w="580"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264</w:t>
            </w:r>
          </w:p>
        </w:tc>
        <w:tc>
          <w:tcPr>
            <w:tcW w:w="508"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294</w:t>
            </w:r>
          </w:p>
        </w:tc>
        <w:tc>
          <w:tcPr>
            <w:tcW w:w="589"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294</w:t>
            </w:r>
          </w:p>
        </w:tc>
        <w:tc>
          <w:tcPr>
            <w:tcW w:w="517"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350</w:t>
            </w:r>
          </w:p>
        </w:tc>
        <w:tc>
          <w:tcPr>
            <w:tcW w:w="510"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344</w:t>
            </w:r>
          </w:p>
        </w:tc>
        <w:tc>
          <w:tcPr>
            <w:tcW w:w="507"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328</w:t>
            </w:r>
          </w:p>
        </w:tc>
        <w:tc>
          <w:tcPr>
            <w:tcW w:w="578"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275</w:t>
            </w:r>
          </w:p>
        </w:tc>
      </w:tr>
      <w:tr w:rsidR="00847D0F" w:rsidRPr="00405CDE" w:rsidTr="00A226E9">
        <w:trPr>
          <w:trHeight w:val="510"/>
        </w:trPr>
        <w:tc>
          <w:tcPr>
            <w:tcW w:w="1211" w:type="pct"/>
            <w:tcBorders>
              <w:top w:val="nil"/>
              <w:bottom w:val="nil"/>
            </w:tcBorders>
            <w:vAlign w:val="center"/>
          </w:tcPr>
          <w:p w:rsidR="00847D0F" w:rsidRPr="00847D0F" w:rsidRDefault="00847D0F">
            <w:pPr>
              <w:rPr>
                <w:rFonts w:cs="Arial"/>
                <w:sz w:val="16"/>
                <w:szCs w:val="16"/>
              </w:rPr>
            </w:pPr>
            <w:r w:rsidRPr="00847D0F">
              <w:rPr>
                <w:rFonts w:cs="Arial"/>
                <w:sz w:val="16"/>
                <w:szCs w:val="16"/>
              </w:rPr>
              <w:t>Ex post price ($/GJ)</w:t>
            </w:r>
          </w:p>
        </w:tc>
        <w:tc>
          <w:tcPr>
            <w:tcW w:w="580"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9.52</w:t>
            </w:r>
          </w:p>
        </w:tc>
        <w:tc>
          <w:tcPr>
            <w:tcW w:w="508"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10.15</w:t>
            </w:r>
          </w:p>
        </w:tc>
        <w:tc>
          <w:tcPr>
            <w:tcW w:w="589"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10.51</w:t>
            </w:r>
          </w:p>
        </w:tc>
        <w:tc>
          <w:tcPr>
            <w:tcW w:w="517"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15.00</w:t>
            </w:r>
          </w:p>
        </w:tc>
        <w:tc>
          <w:tcPr>
            <w:tcW w:w="510"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13.60</w:t>
            </w:r>
          </w:p>
        </w:tc>
        <w:tc>
          <w:tcPr>
            <w:tcW w:w="507"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11.80</w:t>
            </w:r>
          </w:p>
        </w:tc>
        <w:tc>
          <w:tcPr>
            <w:tcW w:w="578"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10.23</w:t>
            </w:r>
          </w:p>
        </w:tc>
      </w:tr>
      <w:tr w:rsidR="00847D0F"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847D0F" w:rsidRPr="00847D0F" w:rsidRDefault="00847D0F">
            <w:pPr>
              <w:rPr>
                <w:rFonts w:cs="Arial"/>
                <w:sz w:val="16"/>
                <w:szCs w:val="16"/>
              </w:rPr>
            </w:pPr>
            <w:r w:rsidRPr="00847D0F">
              <w:rPr>
                <w:rFonts w:cs="Arial"/>
                <w:sz w:val="16"/>
                <w:szCs w:val="16"/>
              </w:rPr>
              <w:t>Ex post quantity (TJ)</w:t>
            </w:r>
          </w:p>
        </w:tc>
        <w:tc>
          <w:tcPr>
            <w:tcW w:w="580" w:type="pct"/>
            <w:tcBorders>
              <w:top w:val="nil"/>
              <w:bottom w:val="single" w:sz="4" w:space="0" w:color="auto"/>
            </w:tcBorders>
            <w:vAlign w:val="center"/>
          </w:tcPr>
          <w:p w:rsidR="00847D0F" w:rsidRPr="00847D0F" w:rsidRDefault="00847D0F">
            <w:pPr>
              <w:jc w:val="center"/>
              <w:rPr>
                <w:rFonts w:cs="Arial"/>
                <w:sz w:val="16"/>
                <w:szCs w:val="16"/>
              </w:rPr>
            </w:pPr>
            <w:r w:rsidRPr="00847D0F">
              <w:rPr>
                <w:rFonts w:cs="Arial"/>
                <w:sz w:val="16"/>
                <w:szCs w:val="16"/>
              </w:rPr>
              <w:t>247</w:t>
            </w:r>
          </w:p>
        </w:tc>
        <w:tc>
          <w:tcPr>
            <w:tcW w:w="508" w:type="pct"/>
            <w:tcBorders>
              <w:top w:val="nil"/>
              <w:bottom w:val="single" w:sz="4" w:space="0" w:color="auto"/>
            </w:tcBorders>
            <w:vAlign w:val="center"/>
          </w:tcPr>
          <w:p w:rsidR="00847D0F" w:rsidRPr="00847D0F" w:rsidRDefault="00847D0F">
            <w:pPr>
              <w:jc w:val="center"/>
              <w:rPr>
                <w:rFonts w:cs="Arial"/>
                <w:sz w:val="16"/>
                <w:szCs w:val="16"/>
              </w:rPr>
            </w:pPr>
            <w:r w:rsidRPr="00847D0F">
              <w:rPr>
                <w:rFonts w:cs="Arial"/>
                <w:sz w:val="16"/>
                <w:szCs w:val="16"/>
              </w:rPr>
              <w:t>280</w:t>
            </w:r>
          </w:p>
        </w:tc>
        <w:tc>
          <w:tcPr>
            <w:tcW w:w="589" w:type="pct"/>
            <w:tcBorders>
              <w:top w:val="nil"/>
              <w:bottom w:val="single" w:sz="4" w:space="0" w:color="auto"/>
            </w:tcBorders>
            <w:vAlign w:val="center"/>
          </w:tcPr>
          <w:p w:rsidR="00847D0F" w:rsidRPr="00847D0F" w:rsidRDefault="00847D0F">
            <w:pPr>
              <w:jc w:val="center"/>
              <w:rPr>
                <w:rFonts w:cs="Arial"/>
                <w:sz w:val="16"/>
                <w:szCs w:val="16"/>
              </w:rPr>
            </w:pPr>
            <w:r w:rsidRPr="00847D0F">
              <w:rPr>
                <w:rFonts w:cs="Arial"/>
                <w:sz w:val="16"/>
                <w:szCs w:val="16"/>
              </w:rPr>
              <w:t>282</w:t>
            </w:r>
          </w:p>
        </w:tc>
        <w:tc>
          <w:tcPr>
            <w:tcW w:w="517" w:type="pct"/>
            <w:tcBorders>
              <w:top w:val="nil"/>
              <w:bottom w:val="single" w:sz="4" w:space="0" w:color="auto"/>
            </w:tcBorders>
            <w:vAlign w:val="center"/>
          </w:tcPr>
          <w:p w:rsidR="00847D0F" w:rsidRPr="00847D0F" w:rsidRDefault="00847D0F">
            <w:pPr>
              <w:jc w:val="center"/>
              <w:rPr>
                <w:rFonts w:cs="Arial"/>
                <w:sz w:val="16"/>
                <w:szCs w:val="16"/>
              </w:rPr>
            </w:pPr>
            <w:r w:rsidRPr="00847D0F">
              <w:rPr>
                <w:rFonts w:cs="Arial"/>
                <w:sz w:val="16"/>
                <w:szCs w:val="16"/>
              </w:rPr>
              <w:t>336</w:t>
            </w:r>
          </w:p>
        </w:tc>
        <w:tc>
          <w:tcPr>
            <w:tcW w:w="510" w:type="pct"/>
            <w:tcBorders>
              <w:top w:val="nil"/>
              <w:bottom w:val="single" w:sz="4" w:space="0" w:color="auto"/>
            </w:tcBorders>
            <w:vAlign w:val="center"/>
          </w:tcPr>
          <w:p w:rsidR="00847D0F" w:rsidRPr="00847D0F" w:rsidRDefault="00847D0F">
            <w:pPr>
              <w:jc w:val="center"/>
              <w:rPr>
                <w:rFonts w:cs="Arial"/>
                <w:sz w:val="16"/>
                <w:szCs w:val="16"/>
              </w:rPr>
            </w:pPr>
            <w:r w:rsidRPr="00847D0F">
              <w:rPr>
                <w:rFonts w:cs="Arial"/>
                <w:sz w:val="16"/>
                <w:szCs w:val="16"/>
              </w:rPr>
              <w:t>335</w:t>
            </w:r>
          </w:p>
        </w:tc>
        <w:tc>
          <w:tcPr>
            <w:tcW w:w="507" w:type="pct"/>
            <w:tcBorders>
              <w:top w:val="nil"/>
              <w:bottom w:val="single" w:sz="4" w:space="0" w:color="auto"/>
            </w:tcBorders>
            <w:vAlign w:val="center"/>
          </w:tcPr>
          <w:p w:rsidR="00847D0F" w:rsidRPr="00847D0F" w:rsidRDefault="00847D0F">
            <w:pPr>
              <w:jc w:val="center"/>
              <w:rPr>
                <w:rFonts w:cs="Arial"/>
                <w:sz w:val="16"/>
                <w:szCs w:val="16"/>
              </w:rPr>
            </w:pPr>
            <w:r w:rsidRPr="00847D0F">
              <w:rPr>
                <w:rFonts w:cs="Arial"/>
                <w:sz w:val="16"/>
                <w:szCs w:val="16"/>
              </w:rPr>
              <w:t>321</w:t>
            </w:r>
          </w:p>
        </w:tc>
        <w:tc>
          <w:tcPr>
            <w:tcW w:w="578" w:type="pct"/>
            <w:tcBorders>
              <w:top w:val="nil"/>
              <w:bottom w:val="single" w:sz="4" w:space="0" w:color="auto"/>
            </w:tcBorders>
            <w:vAlign w:val="center"/>
          </w:tcPr>
          <w:p w:rsidR="00847D0F" w:rsidRPr="00847D0F" w:rsidRDefault="00847D0F">
            <w:pPr>
              <w:jc w:val="center"/>
              <w:rPr>
                <w:rFonts w:cs="Arial"/>
                <w:sz w:val="16"/>
                <w:szCs w:val="16"/>
              </w:rPr>
            </w:pPr>
            <w:r w:rsidRPr="00847D0F">
              <w:rPr>
                <w:rFonts w:cs="Arial"/>
                <w:sz w:val="16"/>
                <w:szCs w:val="16"/>
              </w:rPr>
              <w:t>275</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847D0F" w:rsidP="00EC2CB1">
      <w:r w:rsidRPr="00847D0F">
        <w:rPr>
          <w:noProof/>
          <w:lang w:eastAsia="en-AU"/>
        </w:rPr>
        <w:drawing>
          <wp:inline distT="0" distB="0" distL="0" distR="0" wp14:anchorId="7B0A284A" wp14:editId="4FB88AB4">
            <wp:extent cx="5731510" cy="2051996"/>
            <wp:effectExtent l="0" t="0" r="0" b="5715"/>
            <wp:docPr id="25" name="Picture 25"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51996"/>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847D0F" w:rsidP="00EC2CB1">
      <w:r w:rsidRPr="00847D0F">
        <w:rPr>
          <w:noProof/>
          <w:lang w:eastAsia="en-AU"/>
        </w:rPr>
        <w:drawing>
          <wp:inline distT="0" distB="0" distL="0" distR="0" wp14:anchorId="75AE03EA" wp14:editId="2FD910C2">
            <wp:extent cx="5731510" cy="2549536"/>
            <wp:effectExtent l="0" t="0" r="2540" b="3175"/>
            <wp:docPr id="26" name="Picture 26"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495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15"/>
      </w:r>
    </w:p>
    <w:p w:rsidR="00EC2CB1" w:rsidRDefault="00847D0F" w:rsidP="00EC2CB1">
      <w:r w:rsidRPr="00847D0F">
        <w:rPr>
          <w:noProof/>
          <w:lang w:eastAsia="en-AU"/>
        </w:rPr>
        <w:drawing>
          <wp:inline distT="0" distB="0" distL="0" distR="0" wp14:anchorId="3564B9C5" wp14:editId="7437857E">
            <wp:extent cx="5731510" cy="2175861"/>
            <wp:effectExtent l="0" t="0" r="2540" b="0"/>
            <wp:docPr id="30" name="Picture 30"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861"/>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847D0F" w:rsidRPr="00405CDE" w:rsidTr="00A226E9">
        <w:trPr>
          <w:trHeight w:val="389"/>
        </w:trPr>
        <w:tc>
          <w:tcPr>
            <w:tcW w:w="1152" w:type="pct"/>
            <w:tcBorders>
              <w:top w:val="nil"/>
              <w:bottom w:val="nil"/>
            </w:tcBorders>
            <w:vAlign w:val="center"/>
          </w:tcPr>
          <w:p w:rsidR="00847D0F" w:rsidRPr="00847D0F" w:rsidRDefault="00847D0F">
            <w:pPr>
              <w:rPr>
                <w:rFonts w:cs="Arial"/>
                <w:sz w:val="16"/>
                <w:szCs w:val="16"/>
              </w:rPr>
            </w:pPr>
            <w:r w:rsidRPr="00847D0F">
              <w:rPr>
                <w:rFonts w:cs="Arial"/>
                <w:sz w:val="16"/>
                <w:szCs w:val="16"/>
              </w:rPr>
              <w:t>Ex ante price ($/GJ)</w:t>
            </w:r>
          </w:p>
        </w:tc>
        <w:tc>
          <w:tcPr>
            <w:tcW w:w="589"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12.30</w:t>
            </w:r>
          </w:p>
        </w:tc>
        <w:tc>
          <w:tcPr>
            <w:tcW w:w="516"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13.11</w:t>
            </w:r>
          </w:p>
        </w:tc>
        <w:tc>
          <w:tcPr>
            <w:tcW w:w="598"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17.99</w:t>
            </w:r>
          </w:p>
        </w:tc>
        <w:tc>
          <w:tcPr>
            <w:tcW w:w="525"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25.88</w:t>
            </w:r>
          </w:p>
        </w:tc>
        <w:tc>
          <w:tcPr>
            <w:tcW w:w="518"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22.22</w:t>
            </w:r>
          </w:p>
        </w:tc>
        <w:tc>
          <w:tcPr>
            <w:tcW w:w="515"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20.22</w:t>
            </w:r>
          </w:p>
        </w:tc>
        <w:tc>
          <w:tcPr>
            <w:tcW w:w="587"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14.88</w:t>
            </w:r>
          </w:p>
        </w:tc>
      </w:tr>
      <w:tr w:rsidR="00847D0F"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847D0F" w:rsidRPr="00847D0F" w:rsidRDefault="00847D0F">
            <w:pPr>
              <w:rPr>
                <w:rFonts w:cs="Arial"/>
                <w:sz w:val="16"/>
                <w:szCs w:val="16"/>
              </w:rPr>
            </w:pPr>
            <w:r w:rsidRPr="00847D0F">
              <w:rPr>
                <w:rFonts w:cs="Arial"/>
                <w:sz w:val="16"/>
                <w:szCs w:val="16"/>
              </w:rPr>
              <w:t>Ex ante quantity (TJ)</w:t>
            </w:r>
          </w:p>
        </w:tc>
        <w:tc>
          <w:tcPr>
            <w:tcW w:w="589"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79</w:t>
            </w:r>
          </w:p>
        </w:tc>
        <w:tc>
          <w:tcPr>
            <w:tcW w:w="516"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92</w:t>
            </w:r>
          </w:p>
        </w:tc>
        <w:tc>
          <w:tcPr>
            <w:tcW w:w="598"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103</w:t>
            </w:r>
          </w:p>
        </w:tc>
        <w:tc>
          <w:tcPr>
            <w:tcW w:w="525"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102</w:t>
            </w:r>
          </w:p>
        </w:tc>
        <w:tc>
          <w:tcPr>
            <w:tcW w:w="518"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106</w:t>
            </w:r>
          </w:p>
        </w:tc>
        <w:tc>
          <w:tcPr>
            <w:tcW w:w="515"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94</w:t>
            </w:r>
          </w:p>
        </w:tc>
        <w:tc>
          <w:tcPr>
            <w:tcW w:w="587"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91</w:t>
            </w:r>
          </w:p>
        </w:tc>
      </w:tr>
      <w:tr w:rsidR="00847D0F" w:rsidRPr="00405CDE" w:rsidTr="00A226E9">
        <w:trPr>
          <w:trHeight w:val="87"/>
        </w:trPr>
        <w:tc>
          <w:tcPr>
            <w:tcW w:w="1152" w:type="pct"/>
            <w:tcBorders>
              <w:top w:val="nil"/>
              <w:bottom w:val="nil"/>
            </w:tcBorders>
            <w:vAlign w:val="center"/>
          </w:tcPr>
          <w:p w:rsidR="00847D0F" w:rsidRPr="00847D0F" w:rsidRDefault="00847D0F">
            <w:pPr>
              <w:rPr>
                <w:rFonts w:cs="Arial"/>
                <w:sz w:val="16"/>
                <w:szCs w:val="16"/>
              </w:rPr>
            </w:pPr>
            <w:r w:rsidRPr="00847D0F">
              <w:rPr>
                <w:rFonts w:cs="Arial"/>
                <w:sz w:val="16"/>
                <w:szCs w:val="16"/>
              </w:rPr>
              <w:t>Ex post price ($/GJ)</w:t>
            </w:r>
          </w:p>
        </w:tc>
        <w:tc>
          <w:tcPr>
            <w:tcW w:w="589"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13.50</w:t>
            </w:r>
          </w:p>
        </w:tc>
        <w:tc>
          <w:tcPr>
            <w:tcW w:w="516"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11.73</w:t>
            </w:r>
          </w:p>
        </w:tc>
        <w:tc>
          <w:tcPr>
            <w:tcW w:w="598"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29.99</w:t>
            </w:r>
          </w:p>
        </w:tc>
        <w:tc>
          <w:tcPr>
            <w:tcW w:w="525"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23.50</w:t>
            </w:r>
          </w:p>
        </w:tc>
        <w:tc>
          <w:tcPr>
            <w:tcW w:w="518"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22.22</w:t>
            </w:r>
          </w:p>
        </w:tc>
        <w:tc>
          <w:tcPr>
            <w:tcW w:w="515"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20.22</w:t>
            </w:r>
          </w:p>
        </w:tc>
        <w:tc>
          <w:tcPr>
            <w:tcW w:w="587"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14.00</w:t>
            </w:r>
          </w:p>
        </w:tc>
      </w:tr>
      <w:tr w:rsidR="00847D0F"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847D0F" w:rsidRPr="00847D0F" w:rsidRDefault="00847D0F">
            <w:pPr>
              <w:rPr>
                <w:rFonts w:cs="Arial"/>
                <w:sz w:val="16"/>
                <w:szCs w:val="16"/>
              </w:rPr>
            </w:pPr>
            <w:r w:rsidRPr="00847D0F">
              <w:rPr>
                <w:rFonts w:cs="Arial"/>
                <w:sz w:val="16"/>
                <w:szCs w:val="16"/>
              </w:rPr>
              <w:t>Ex post quantity (TJ)</w:t>
            </w:r>
          </w:p>
        </w:tc>
        <w:tc>
          <w:tcPr>
            <w:tcW w:w="589" w:type="pct"/>
            <w:tcBorders>
              <w:top w:val="nil"/>
              <w:bottom w:val="single" w:sz="4" w:space="0" w:color="auto"/>
            </w:tcBorders>
            <w:vAlign w:val="center"/>
          </w:tcPr>
          <w:p w:rsidR="00847D0F" w:rsidRPr="00847D0F" w:rsidRDefault="00847D0F">
            <w:pPr>
              <w:jc w:val="center"/>
              <w:rPr>
                <w:rFonts w:cs="Arial"/>
                <w:sz w:val="16"/>
                <w:szCs w:val="16"/>
              </w:rPr>
            </w:pPr>
            <w:r w:rsidRPr="00847D0F">
              <w:rPr>
                <w:rFonts w:cs="Arial"/>
                <w:sz w:val="16"/>
                <w:szCs w:val="16"/>
              </w:rPr>
              <w:t>81</w:t>
            </w:r>
          </w:p>
        </w:tc>
        <w:tc>
          <w:tcPr>
            <w:tcW w:w="516" w:type="pct"/>
            <w:tcBorders>
              <w:top w:val="nil"/>
              <w:bottom w:val="single" w:sz="4" w:space="0" w:color="auto"/>
            </w:tcBorders>
            <w:vAlign w:val="center"/>
          </w:tcPr>
          <w:p w:rsidR="00847D0F" w:rsidRPr="00847D0F" w:rsidRDefault="00847D0F">
            <w:pPr>
              <w:jc w:val="center"/>
              <w:rPr>
                <w:rFonts w:cs="Arial"/>
                <w:sz w:val="16"/>
                <w:szCs w:val="16"/>
              </w:rPr>
            </w:pPr>
            <w:r w:rsidRPr="00847D0F">
              <w:rPr>
                <w:rFonts w:cs="Arial"/>
                <w:sz w:val="16"/>
                <w:szCs w:val="16"/>
              </w:rPr>
              <w:t>88</w:t>
            </w:r>
          </w:p>
        </w:tc>
        <w:tc>
          <w:tcPr>
            <w:tcW w:w="598" w:type="pct"/>
            <w:tcBorders>
              <w:top w:val="nil"/>
              <w:bottom w:val="single" w:sz="4" w:space="0" w:color="auto"/>
            </w:tcBorders>
            <w:vAlign w:val="center"/>
          </w:tcPr>
          <w:p w:rsidR="00847D0F" w:rsidRPr="00847D0F" w:rsidRDefault="00847D0F">
            <w:pPr>
              <w:jc w:val="center"/>
              <w:rPr>
                <w:rFonts w:cs="Arial"/>
                <w:sz w:val="16"/>
                <w:szCs w:val="16"/>
              </w:rPr>
            </w:pPr>
            <w:r w:rsidRPr="00847D0F">
              <w:rPr>
                <w:rFonts w:cs="Arial"/>
                <w:sz w:val="16"/>
                <w:szCs w:val="16"/>
              </w:rPr>
              <w:t>110</w:t>
            </w:r>
          </w:p>
        </w:tc>
        <w:tc>
          <w:tcPr>
            <w:tcW w:w="525" w:type="pct"/>
            <w:tcBorders>
              <w:top w:val="nil"/>
              <w:bottom w:val="single" w:sz="4" w:space="0" w:color="auto"/>
            </w:tcBorders>
            <w:vAlign w:val="center"/>
          </w:tcPr>
          <w:p w:rsidR="00847D0F" w:rsidRPr="00847D0F" w:rsidRDefault="00847D0F">
            <w:pPr>
              <w:jc w:val="center"/>
              <w:rPr>
                <w:rFonts w:cs="Arial"/>
                <w:sz w:val="16"/>
                <w:szCs w:val="16"/>
              </w:rPr>
            </w:pPr>
            <w:r w:rsidRPr="00847D0F">
              <w:rPr>
                <w:rFonts w:cs="Arial"/>
                <w:sz w:val="16"/>
                <w:szCs w:val="16"/>
              </w:rPr>
              <w:t>100</w:t>
            </w:r>
          </w:p>
        </w:tc>
        <w:tc>
          <w:tcPr>
            <w:tcW w:w="518" w:type="pct"/>
            <w:tcBorders>
              <w:top w:val="nil"/>
              <w:bottom w:val="single" w:sz="4" w:space="0" w:color="auto"/>
            </w:tcBorders>
            <w:vAlign w:val="center"/>
          </w:tcPr>
          <w:p w:rsidR="00847D0F" w:rsidRPr="00847D0F" w:rsidRDefault="00847D0F">
            <w:pPr>
              <w:jc w:val="center"/>
              <w:rPr>
                <w:rFonts w:cs="Arial"/>
                <w:sz w:val="16"/>
                <w:szCs w:val="16"/>
              </w:rPr>
            </w:pPr>
            <w:r w:rsidRPr="00847D0F">
              <w:rPr>
                <w:rFonts w:cs="Arial"/>
                <w:sz w:val="16"/>
                <w:szCs w:val="16"/>
              </w:rPr>
              <w:t>105</w:t>
            </w:r>
          </w:p>
        </w:tc>
        <w:tc>
          <w:tcPr>
            <w:tcW w:w="515" w:type="pct"/>
            <w:tcBorders>
              <w:top w:val="nil"/>
              <w:bottom w:val="single" w:sz="4" w:space="0" w:color="auto"/>
            </w:tcBorders>
            <w:vAlign w:val="center"/>
          </w:tcPr>
          <w:p w:rsidR="00847D0F" w:rsidRPr="00847D0F" w:rsidRDefault="00847D0F">
            <w:pPr>
              <w:jc w:val="center"/>
              <w:rPr>
                <w:rFonts w:cs="Arial"/>
                <w:sz w:val="16"/>
                <w:szCs w:val="16"/>
              </w:rPr>
            </w:pPr>
            <w:r w:rsidRPr="00847D0F">
              <w:rPr>
                <w:rFonts w:cs="Arial"/>
                <w:sz w:val="16"/>
                <w:szCs w:val="16"/>
              </w:rPr>
              <w:t>94</w:t>
            </w:r>
          </w:p>
        </w:tc>
        <w:tc>
          <w:tcPr>
            <w:tcW w:w="587" w:type="pct"/>
            <w:tcBorders>
              <w:top w:val="nil"/>
              <w:bottom w:val="single" w:sz="4" w:space="0" w:color="auto"/>
            </w:tcBorders>
            <w:vAlign w:val="center"/>
          </w:tcPr>
          <w:p w:rsidR="00847D0F" w:rsidRPr="00847D0F" w:rsidRDefault="00847D0F">
            <w:pPr>
              <w:jc w:val="center"/>
              <w:rPr>
                <w:rFonts w:cs="Arial"/>
                <w:sz w:val="16"/>
                <w:szCs w:val="16"/>
              </w:rPr>
            </w:pPr>
            <w:r w:rsidRPr="00847D0F">
              <w:rPr>
                <w:rFonts w:cs="Arial"/>
                <w:sz w:val="16"/>
                <w:szCs w:val="16"/>
              </w:rPr>
              <w:t>89</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847D0F" w:rsidP="00EC2CB1">
      <w:r w:rsidRPr="00847D0F">
        <w:rPr>
          <w:noProof/>
          <w:lang w:eastAsia="en-AU"/>
        </w:rPr>
        <w:drawing>
          <wp:inline distT="0" distB="0" distL="0" distR="0" wp14:anchorId="11092531" wp14:editId="26E48A5D">
            <wp:extent cx="5731510" cy="1738095"/>
            <wp:effectExtent l="0" t="0" r="2540" b="0"/>
            <wp:docPr id="31" name="Picture 31"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8095"/>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847D0F" w:rsidP="00EC2CB1">
      <w:r w:rsidRPr="00847D0F">
        <w:rPr>
          <w:noProof/>
          <w:lang w:eastAsia="en-AU"/>
        </w:rPr>
        <w:drawing>
          <wp:inline distT="0" distB="0" distL="0" distR="0" wp14:anchorId="289CE927" wp14:editId="26A94F11">
            <wp:extent cx="5731510" cy="1508197"/>
            <wp:effectExtent l="0" t="0" r="2540" b="0"/>
            <wp:docPr id="32" name="Picture 32"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0819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847D0F" w:rsidP="00A226E9">
      <w:r w:rsidRPr="00847D0F">
        <w:rPr>
          <w:noProof/>
          <w:lang w:eastAsia="en-AU"/>
        </w:rPr>
        <w:drawing>
          <wp:inline distT="0" distB="0" distL="0" distR="0" wp14:anchorId="484B071B" wp14:editId="015C7F0A">
            <wp:extent cx="5731510" cy="1805302"/>
            <wp:effectExtent l="0" t="0" r="2540" b="5080"/>
            <wp:docPr id="33" name="Picture 33"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530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847D0F" w:rsidRPr="00405CDE" w:rsidTr="00A226E9">
        <w:trPr>
          <w:trHeight w:val="510"/>
        </w:trPr>
        <w:tc>
          <w:tcPr>
            <w:tcW w:w="1152" w:type="pct"/>
            <w:tcBorders>
              <w:top w:val="nil"/>
              <w:bottom w:val="nil"/>
            </w:tcBorders>
            <w:vAlign w:val="center"/>
          </w:tcPr>
          <w:p w:rsidR="00847D0F" w:rsidRPr="00847D0F" w:rsidRDefault="00847D0F">
            <w:pPr>
              <w:rPr>
                <w:rFonts w:cs="Arial"/>
                <w:sz w:val="16"/>
                <w:szCs w:val="16"/>
              </w:rPr>
            </w:pPr>
            <w:r w:rsidRPr="00847D0F">
              <w:rPr>
                <w:rFonts w:cs="Arial"/>
                <w:sz w:val="16"/>
                <w:szCs w:val="16"/>
              </w:rPr>
              <w:t>Ex ante price ($/GJ)</w:t>
            </w:r>
          </w:p>
        </w:tc>
        <w:tc>
          <w:tcPr>
            <w:tcW w:w="589"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12.91</w:t>
            </w:r>
          </w:p>
        </w:tc>
        <w:tc>
          <w:tcPr>
            <w:tcW w:w="516"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12.46</w:t>
            </w:r>
          </w:p>
        </w:tc>
        <w:tc>
          <w:tcPr>
            <w:tcW w:w="598"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9.99</w:t>
            </w:r>
          </w:p>
        </w:tc>
        <w:tc>
          <w:tcPr>
            <w:tcW w:w="525"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12.46</w:t>
            </w:r>
          </w:p>
        </w:tc>
        <w:tc>
          <w:tcPr>
            <w:tcW w:w="518"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13.77</w:t>
            </w:r>
          </w:p>
        </w:tc>
        <w:tc>
          <w:tcPr>
            <w:tcW w:w="515"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10.00</w:t>
            </w:r>
          </w:p>
        </w:tc>
        <w:tc>
          <w:tcPr>
            <w:tcW w:w="587"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6.67</w:t>
            </w:r>
          </w:p>
        </w:tc>
      </w:tr>
      <w:tr w:rsidR="00847D0F"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847D0F" w:rsidRPr="00847D0F" w:rsidRDefault="00847D0F">
            <w:pPr>
              <w:rPr>
                <w:rFonts w:cs="Arial"/>
                <w:sz w:val="16"/>
                <w:szCs w:val="16"/>
              </w:rPr>
            </w:pPr>
            <w:r w:rsidRPr="00847D0F">
              <w:rPr>
                <w:rFonts w:cs="Arial"/>
                <w:sz w:val="16"/>
                <w:szCs w:val="16"/>
              </w:rPr>
              <w:t>Ex ante quantity (TJ)</w:t>
            </w:r>
          </w:p>
        </w:tc>
        <w:tc>
          <w:tcPr>
            <w:tcW w:w="589"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87</w:t>
            </w:r>
          </w:p>
        </w:tc>
        <w:tc>
          <w:tcPr>
            <w:tcW w:w="516"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101</w:t>
            </w:r>
          </w:p>
        </w:tc>
        <w:tc>
          <w:tcPr>
            <w:tcW w:w="598"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100</w:t>
            </w:r>
          </w:p>
        </w:tc>
        <w:tc>
          <w:tcPr>
            <w:tcW w:w="525"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102</w:t>
            </w:r>
          </w:p>
        </w:tc>
        <w:tc>
          <w:tcPr>
            <w:tcW w:w="518"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102</w:t>
            </w:r>
          </w:p>
        </w:tc>
        <w:tc>
          <w:tcPr>
            <w:tcW w:w="515"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96</w:t>
            </w:r>
          </w:p>
        </w:tc>
        <w:tc>
          <w:tcPr>
            <w:tcW w:w="587"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84</w:t>
            </w:r>
          </w:p>
        </w:tc>
      </w:tr>
      <w:tr w:rsidR="00847D0F" w:rsidRPr="00405CDE" w:rsidTr="00A226E9">
        <w:trPr>
          <w:trHeight w:val="510"/>
        </w:trPr>
        <w:tc>
          <w:tcPr>
            <w:tcW w:w="1152" w:type="pct"/>
            <w:tcBorders>
              <w:top w:val="nil"/>
              <w:bottom w:val="nil"/>
            </w:tcBorders>
            <w:vAlign w:val="center"/>
          </w:tcPr>
          <w:p w:rsidR="00847D0F" w:rsidRPr="00847D0F" w:rsidRDefault="00847D0F">
            <w:pPr>
              <w:rPr>
                <w:rFonts w:cs="Arial"/>
                <w:sz w:val="16"/>
                <w:szCs w:val="16"/>
              </w:rPr>
            </w:pPr>
            <w:r w:rsidRPr="00847D0F">
              <w:rPr>
                <w:rFonts w:cs="Arial"/>
                <w:sz w:val="16"/>
                <w:szCs w:val="16"/>
              </w:rPr>
              <w:t>Ex post price ($/GJ)</w:t>
            </w:r>
          </w:p>
        </w:tc>
        <w:tc>
          <w:tcPr>
            <w:tcW w:w="589"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11.01</w:t>
            </w:r>
          </w:p>
        </w:tc>
        <w:tc>
          <w:tcPr>
            <w:tcW w:w="516"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12.46</w:t>
            </w:r>
          </w:p>
        </w:tc>
        <w:tc>
          <w:tcPr>
            <w:tcW w:w="598"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12.46</w:t>
            </w:r>
          </w:p>
        </w:tc>
        <w:tc>
          <w:tcPr>
            <w:tcW w:w="525"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12.46</w:t>
            </w:r>
          </w:p>
        </w:tc>
        <w:tc>
          <w:tcPr>
            <w:tcW w:w="518"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13.77</w:t>
            </w:r>
          </w:p>
        </w:tc>
        <w:tc>
          <w:tcPr>
            <w:tcW w:w="515"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10.00</w:t>
            </w:r>
          </w:p>
        </w:tc>
        <w:tc>
          <w:tcPr>
            <w:tcW w:w="587" w:type="pct"/>
            <w:tcBorders>
              <w:top w:val="nil"/>
              <w:bottom w:val="nil"/>
            </w:tcBorders>
            <w:vAlign w:val="center"/>
          </w:tcPr>
          <w:p w:rsidR="00847D0F" w:rsidRPr="00847D0F" w:rsidRDefault="00847D0F">
            <w:pPr>
              <w:jc w:val="center"/>
              <w:rPr>
                <w:rFonts w:cs="Arial"/>
                <w:sz w:val="16"/>
                <w:szCs w:val="16"/>
              </w:rPr>
            </w:pPr>
            <w:r w:rsidRPr="00847D0F">
              <w:rPr>
                <w:rFonts w:cs="Arial"/>
                <w:sz w:val="16"/>
                <w:szCs w:val="16"/>
              </w:rPr>
              <w:t>6.67</w:t>
            </w:r>
          </w:p>
        </w:tc>
      </w:tr>
      <w:tr w:rsidR="00847D0F"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847D0F" w:rsidRPr="00847D0F" w:rsidRDefault="00847D0F">
            <w:pPr>
              <w:rPr>
                <w:rFonts w:cs="Arial"/>
                <w:sz w:val="16"/>
                <w:szCs w:val="16"/>
              </w:rPr>
            </w:pPr>
            <w:r w:rsidRPr="00847D0F">
              <w:rPr>
                <w:rFonts w:cs="Arial"/>
                <w:sz w:val="16"/>
                <w:szCs w:val="16"/>
              </w:rPr>
              <w:t>Ex post quantity (TJ)</w:t>
            </w:r>
          </w:p>
        </w:tc>
        <w:tc>
          <w:tcPr>
            <w:tcW w:w="589" w:type="pct"/>
            <w:tcBorders>
              <w:top w:val="nil"/>
              <w:bottom w:val="single" w:sz="4" w:space="0" w:color="auto"/>
            </w:tcBorders>
            <w:vAlign w:val="center"/>
          </w:tcPr>
          <w:p w:rsidR="00847D0F" w:rsidRPr="00847D0F" w:rsidRDefault="00847D0F">
            <w:pPr>
              <w:jc w:val="center"/>
              <w:rPr>
                <w:rFonts w:cs="Arial"/>
                <w:sz w:val="16"/>
                <w:szCs w:val="16"/>
              </w:rPr>
            </w:pPr>
            <w:r w:rsidRPr="00847D0F">
              <w:rPr>
                <w:rFonts w:cs="Arial"/>
                <w:sz w:val="16"/>
                <w:szCs w:val="16"/>
              </w:rPr>
              <w:t>84</w:t>
            </w:r>
          </w:p>
        </w:tc>
        <w:tc>
          <w:tcPr>
            <w:tcW w:w="516" w:type="pct"/>
            <w:tcBorders>
              <w:top w:val="nil"/>
              <w:bottom w:val="single" w:sz="4" w:space="0" w:color="auto"/>
            </w:tcBorders>
            <w:vAlign w:val="center"/>
          </w:tcPr>
          <w:p w:rsidR="00847D0F" w:rsidRPr="00847D0F" w:rsidRDefault="00847D0F">
            <w:pPr>
              <w:jc w:val="center"/>
              <w:rPr>
                <w:rFonts w:cs="Arial"/>
                <w:sz w:val="16"/>
                <w:szCs w:val="16"/>
              </w:rPr>
            </w:pPr>
            <w:r w:rsidRPr="00847D0F">
              <w:rPr>
                <w:rFonts w:cs="Arial"/>
                <w:sz w:val="16"/>
                <w:szCs w:val="16"/>
              </w:rPr>
              <w:t>101</w:t>
            </w:r>
          </w:p>
        </w:tc>
        <w:tc>
          <w:tcPr>
            <w:tcW w:w="598" w:type="pct"/>
            <w:tcBorders>
              <w:top w:val="nil"/>
              <w:bottom w:val="single" w:sz="4" w:space="0" w:color="auto"/>
            </w:tcBorders>
            <w:vAlign w:val="center"/>
          </w:tcPr>
          <w:p w:rsidR="00847D0F" w:rsidRPr="00847D0F" w:rsidRDefault="00847D0F">
            <w:pPr>
              <w:jc w:val="center"/>
              <w:rPr>
                <w:rFonts w:cs="Arial"/>
                <w:sz w:val="16"/>
                <w:szCs w:val="16"/>
              </w:rPr>
            </w:pPr>
            <w:r w:rsidRPr="00847D0F">
              <w:rPr>
                <w:rFonts w:cs="Arial"/>
                <w:sz w:val="16"/>
                <w:szCs w:val="16"/>
              </w:rPr>
              <w:t>101</w:t>
            </w:r>
          </w:p>
        </w:tc>
        <w:tc>
          <w:tcPr>
            <w:tcW w:w="525" w:type="pct"/>
            <w:tcBorders>
              <w:top w:val="nil"/>
              <w:bottom w:val="single" w:sz="4" w:space="0" w:color="auto"/>
            </w:tcBorders>
            <w:vAlign w:val="center"/>
          </w:tcPr>
          <w:p w:rsidR="00847D0F" w:rsidRPr="00847D0F" w:rsidRDefault="00847D0F">
            <w:pPr>
              <w:jc w:val="center"/>
              <w:rPr>
                <w:rFonts w:cs="Arial"/>
                <w:sz w:val="16"/>
                <w:szCs w:val="16"/>
              </w:rPr>
            </w:pPr>
            <w:r w:rsidRPr="00847D0F">
              <w:rPr>
                <w:rFonts w:cs="Arial"/>
                <w:sz w:val="16"/>
                <w:szCs w:val="16"/>
              </w:rPr>
              <w:t>104</w:t>
            </w:r>
          </w:p>
        </w:tc>
        <w:tc>
          <w:tcPr>
            <w:tcW w:w="518" w:type="pct"/>
            <w:tcBorders>
              <w:top w:val="nil"/>
              <w:bottom w:val="single" w:sz="4" w:space="0" w:color="auto"/>
            </w:tcBorders>
            <w:vAlign w:val="center"/>
          </w:tcPr>
          <w:p w:rsidR="00847D0F" w:rsidRPr="00847D0F" w:rsidRDefault="00847D0F">
            <w:pPr>
              <w:jc w:val="center"/>
              <w:rPr>
                <w:rFonts w:cs="Arial"/>
                <w:sz w:val="16"/>
                <w:szCs w:val="16"/>
              </w:rPr>
            </w:pPr>
            <w:r w:rsidRPr="00847D0F">
              <w:rPr>
                <w:rFonts w:cs="Arial"/>
                <w:sz w:val="16"/>
                <w:szCs w:val="16"/>
              </w:rPr>
              <w:t>102</w:t>
            </w:r>
          </w:p>
        </w:tc>
        <w:tc>
          <w:tcPr>
            <w:tcW w:w="515" w:type="pct"/>
            <w:tcBorders>
              <w:top w:val="nil"/>
              <w:bottom w:val="single" w:sz="4" w:space="0" w:color="auto"/>
            </w:tcBorders>
            <w:vAlign w:val="center"/>
          </w:tcPr>
          <w:p w:rsidR="00847D0F" w:rsidRPr="00847D0F" w:rsidRDefault="00847D0F">
            <w:pPr>
              <w:jc w:val="center"/>
              <w:rPr>
                <w:rFonts w:cs="Arial"/>
                <w:sz w:val="16"/>
                <w:szCs w:val="16"/>
              </w:rPr>
            </w:pPr>
            <w:r w:rsidRPr="00847D0F">
              <w:rPr>
                <w:rFonts w:cs="Arial"/>
                <w:sz w:val="16"/>
                <w:szCs w:val="16"/>
              </w:rPr>
              <w:t>96</w:t>
            </w:r>
          </w:p>
        </w:tc>
        <w:tc>
          <w:tcPr>
            <w:tcW w:w="587" w:type="pct"/>
            <w:tcBorders>
              <w:top w:val="nil"/>
              <w:bottom w:val="single" w:sz="4" w:space="0" w:color="auto"/>
            </w:tcBorders>
            <w:vAlign w:val="center"/>
          </w:tcPr>
          <w:p w:rsidR="00847D0F" w:rsidRPr="00847D0F" w:rsidRDefault="00847D0F">
            <w:pPr>
              <w:jc w:val="center"/>
              <w:rPr>
                <w:rFonts w:cs="Arial"/>
                <w:sz w:val="16"/>
                <w:szCs w:val="16"/>
              </w:rPr>
            </w:pPr>
            <w:r w:rsidRPr="00847D0F">
              <w:rPr>
                <w:rFonts w:cs="Arial"/>
                <w:sz w:val="16"/>
                <w:szCs w:val="16"/>
              </w:rPr>
              <w:t>85</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847D0F" w:rsidP="00EC2CB1">
      <w:r w:rsidRPr="00847D0F">
        <w:rPr>
          <w:noProof/>
          <w:lang w:eastAsia="en-AU"/>
        </w:rPr>
        <w:drawing>
          <wp:inline distT="0" distB="0" distL="0" distR="0" wp14:anchorId="54824925" wp14:editId="253CF838">
            <wp:extent cx="5731510" cy="1728306"/>
            <wp:effectExtent l="0" t="0" r="2540" b="0"/>
            <wp:docPr id="34" name="Picture 34"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8306"/>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847D0F" w:rsidP="00EC2CB1">
      <w:r w:rsidRPr="00847D0F">
        <w:rPr>
          <w:noProof/>
          <w:lang w:eastAsia="en-AU"/>
        </w:rPr>
        <w:drawing>
          <wp:inline distT="0" distB="0" distL="0" distR="0" wp14:anchorId="2F0B513D" wp14:editId="60386348">
            <wp:extent cx="5731510" cy="1475290"/>
            <wp:effectExtent l="0" t="0" r="2540" b="0"/>
            <wp:docPr id="35" name="Picture 35"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290"/>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847D0F" w:rsidP="00A226E9">
      <w:r w:rsidRPr="00847D0F">
        <w:rPr>
          <w:noProof/>
          <w:lang w:eastAsia="en-AU"/>
        </w:rPr>
        <w:drawing>
          <wp:inline distT="0" distB="0" distL="0" distR="0" wp14:anchorId="6E459DFD" wp14:editId="7FCAF522">
            <wp:extent cx="5731510" cy="1883831"/>
            <wp:effectExtent l="0" t="0" r="2540" b="2540"/>
            <wp:docPr id="36" name="Picture 36"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831"/>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4C571B" w:rsidRDefault="00551D6B" w:rsidP="00551D6B">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6"/>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7"/>
      </w:r>
      <w:r>
        <w:t xml:space="preserve"> are provided for gas markets </w:t>
      </w:r>
      <w:r w:rsidR="00817724">
        <w:t>and gas supply hubs. Average daily quantities are provided for</w:t>
      </w:r>
      <w:r>
        <w:t xml:space="preserve"> gas powered generation for each region.</w:t>
      </w:r>
    </w:p>
    <w:p w:rsidR="004C571B" w:rsidRDefault="00551D6B" w:rsidP="00551D6B">
      <w:pPr>
        <w:pStyle w:val="Caption"/>
        <w:numPr>
          <w:ilvl w:val="0"/>
          <w:numId w:val="33"/>
        </w:numPr>
        <w:ind w:left="1418" w:hanging="1418"/>
        <w:rPr>
          <w:color w:val="2272A3"/>
          <w:szCs w:val="24"/>
        </w:rPr>
      </w:pPr>
      <w:r w:rsidRPr="00DD0358">
        <w:rPr>
          <w:color w:val="2272A3"/>
          <w:szCs w:val="24"/>
        </w:rPr>
        <w:t>Gas market data ($/GJ, TJ); Production and Pipeline flows (TJ)</w:t>
      </w:r>
    </w:p>
    <w:p w:rsidR="00665C0C" w:rsidRDefault="00656515">
      <w:pPr>
        <w:spacing w:line="240" w:lineRule="auto"/>
      </w:pPr>
      <w:r>
        <w:rPr>
          <w:noProof/>
          <w:lang w:eastAsia="en-AU"/>
        </w:rPr>
        <w:drawing>
          <wp:inline distT="0" distB="0" distL="0" distR="0" wp14:anchorId="282B0DB8" wp14:editId="16BA02C5">
            <wp:extent cx="5731510" cy="6141635"/>
            <wp:effectExtent l="0" t="0" r="2540" b="0"/>
            <wp:docPr id="2" name="Picture 2"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141635"/>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E16EDC" w:rsidRDefault="00551D6B" w:rsidP="00551D6B">
      <w:pPr>
        <w:jc w:val="both"/>
      </w:pPr>
      <w:r>
        <w:t xml:space="preserve">The Gas Supply </w:t>
      </w:r>
      <w:r w:rsidRPr="00552F68">
        <w:t xml:space="preserve">Hub </w:t>
      </w:r>
      <w:r w:rsidRPr="00552F68">
        <w:rPr>
          <w:b/>
          <w:bCs/>
        </w:rPr>
        <w:t>(GSH)</w:t>
      </w:r>
      <w:r w:rsidRPr="00552F68">
        <w:t xml:space="preserve"> was established</w:t>
      </w:r>
      <w:r w:rsidR="00E06937" w:rsidRPr="00552F68">
        <w:t xml:space="preserve"> in March 2014</w:t>
      </w:r>
      <w:r w:rsidRPr="00552F68">
        <w:t xml:space="preserve"> for the trading of gas at Wallumbilla. The GSH is a voluntary market</w:t>
      </w:r>
      <w:r w:rsidRPr="00552F68">
        <w:rPr>
          <w:rStyle w:val="FootnoteReference"/>
        </w:rPr>
        <w:footnoteReference w:id="18"/>
      </w:r>
      <w:r w:rsidRPr="00552F68">
        <w:t xml:space="preserve"> for the supply of gas traded</w:t>
      </w:r>
      <w:r w:rsidR="006A1226">
        <w:rPr>
          <w:rStyle w:val="FootnoteReference"/>
        </w:rPr>
        <w:footnoteReference w:id="19"/>
      </w:r>
      <w:r w:rsidRPr="00552F68">
        <w:t xml:space="preserve"> between separate participants, with products listed for sale and purchase at delivery points on three major connecting pipelines at Wallumbilla – the </w:t>
      </w:r>
      <w:r w:rsidRPr="00552F68">
        <w:rPr>
          <w:b/>
        </w:rPr>
        <w:t>QGP</w:t>
      </w:r>
      <w:r w:rsidRPr="00552F68">
        <w:t xml:space="preserve">, the </w:t>
      </w:r>
      <w:r w:rsidRPr="00552F68">
        <w:rPr>
          <w:b/>
        </w:rPr>
        <w:t>SWQP</w:t>
      </w:r>
      <w:r w:rsidRPr="00552F68">
        <w:t xml:space="preserve"> and the </w:t>
      </w:r>
      <w:r w:rsidRPr="00552F68">
        <w:rPr>
          <w:b/>
        </w:rPr>
        <w:t>RBP</w:t>
      </w:r>
      <w:r w:rsidRPr="00552F68">
        <w:t>. There are separate products for each pipeline (each pipeline is considered a trading location, and each has a number of delivery points) and delivery period (daily, day-ahead, balance-of-day</w:t>
      </w:r>
      <w:r w:rsidR="00E06937" w:rsidRPr="00552F68">
        <w:t>,</w:t>
      </w:r>
      <w:r w:rsidRPr="00552F68">
        <w:t xml:space="preserve"> weekly</w:t>
      </w:r>
      <w:r w:rsidR="00E06937" w:rsidRPr="00552F68">
        <w:t xml:space="preserve"> and monthly products</w:t>
      </w:r>
      <w:r w:rsidRPr="00552F68">
        <w:t>).</w:t>
      </w:r>
      <w:r w:rsidR="00E06937" w:rsidRPr="00552F68">
        <w:rPr>
          <w:color w:val="FF0000"/>
        </w:rPr>
        <w:t xml:space="preserve"> </w:t>
      </w:r>
      <w:r w:rsidR="00E06937" w:rsidRPr="00552F68">
        <w:t xml:space="preserve">In June 2016, a new supply hub at Moomba was created to facilitate trade on the </w:t>
      </w:r>
      <w:r w:rsidR="00E06937" w:rsidRPr="000E7D8C">
        <w:rPr>
          <w:b/>
        </w:rPr>
        <w:t>MAP</w:t>
      </w:r>
      <w:r w:rsidR="00E06937" w:rsidRPr="00552F68">
        <w:t xml:space="preserve"> and </w:t>
      </w:r>
      <w:r w:rsidR="00E06937" w:rsidRPr="000E7D8C">
        <w:rPr>
          <w:b/>
        </w:rPr>
        <w:t>MSP</w:t>
      </w:r>
      <w:r w:rsidR="00E06937" w:rsidRPr="00552F68">
        <w:t>, and also allow for trading between the Wallumbilla and Moomba markets on the SWQP through a spread product</w:t>
      </w:r>
      <w:r w:rsidR="001C3452" w:rsidRPr="00552F68">
        <w:t xml:space="preserve"> (representing the price differential between the two hubs)</w:t>
      </w:r>
      <w:r w:rsidR="00E06937" w:rsidRPr="00552F68">
        <w:t>.</w:t>
      </w:r>
      <w:r w:rsidR="00337F4F" w:rsidRPr="00552F68">
        <w:t xml:space="preserve"> </w:t>
      </w:r>
    </w:p>
    <w:p w:rsidR="008217AB" w:rsidRPr="00997D3F" w:rsidRDefault="00AC4BF5" w:rsidP="008217AB">
      <w:pPr>
        <w:jc w:val="both"/>
      </w:pPr>
      <w:r w:rsidRPr="000D51BD">
        <w:t xml:space="preserve">There were </w:t>
      </w:r>
      <w:r w:rsidR="009E6ED7" w:rsidRPr="000D51BD">
        <w:t>5</w:t>
      </w:r>
      <w:r w:rsidR="008217AB" w:rsidRPr="000D51BD">
        <w:t>3</w:t>
      </w:r>
      <w:r w:rsidRPr="000D51BD">
        <w:t xml:space="preserve"> trades this week for </w:t>
      </w:r>
      <w:r w:rsidR="009E6ED7" w:rsidRPr="000D51BD">
        <w:t>253</w:t>
      </w:r>
      <w:r w:rsidRPr="000D51BD">
        <w:t> TJ of gas at a volume weighted price of $</w:t>
      </w:r>
      <w:r w:rsidR="008217AB" w:rsidRPr="000D51BD">
        <w:t>9.</w:t>
      </w:r>
      <w:r w:rsidR="009E6ED7" w:rsidRPr="000D51BD">
        <w:t>55</w:t>
      </w:r>
      <w:r w:rsidRPr="000D51BD">
        <w:t xml:space="preserve">/GJ in the Wallumbilla hub. </w:t>
      </w:r>
      <w:r w:rsidR="003D0D1C">
        <w:t>Large</w:t>
      </w:r>
      <w:r w:rsidR="000A5D43">
        <w:t>r</w:t>
      </w:r>
      <w:r w:rsidR="003D0D1C">
        <w:t xml:space="preserve"> gas trades on the Wallumbilla hub around high demand days in Sydney, </w:t>
      </w:r>
      <w:r w:rsidR="000A5D43">
        <w:t>Adelaide and Victoria coincided</w:t>
      </w:r>
      <w:r w:rsidR="003D0D1C">
        <w:t xml:space="preserve"> with reversal of the QSN-link may suggest excess gas is moving from Queensland to the southern states to meet winter demand.</w:t>
      </w:r>
    </w:p>
    <w:p w:rsidR="000C1A94" w:rsidRDefault="000C1A94" w:rsidP="00551D6B">
      <w:pPr>
        <w:jc w:val="both"/>
      </w:pPr>
      <w:r w:rsidRPr="00552F68">
        <w:t xml:space="preserve">Figure 6.1 shows the </w:t>
      </w:r>
      <w:r w:rsidR="00F65699" w:rsidRPr="00552F68">
        <w:t>quantity of gas</w:t>
      </w:r>
      <w:r w:rsidRPr="00552F68">
        <w:t xml:space="preserve"> traded </w:t>
      </w:r>
      <w:r w:rsidR="001934E9" w:rsidRPr="00552F68">
        <w:t>by product type for each trading day on pipeline trading locations in the Wallumbilla and Moomba Gas Supply Hubs.</w:t>
      </w:r>
      <w:r w:rsidR="001934E9">
        <w:t xml:space="preserve"> </w:t>
      </w:r>
    </w:p>
    <w:p w:rsidR="003553DC" w:rsidRPr="00E06937" w:rsidRDefault="003553DC" w:rsidP="00551D6B">
      <w:pPr>
        <w:jc w:val="both"/>
      </w:pPr>
      <w:r>
        <w:t>There were no trades this week on the QGP, MAP or MSP which have never traded to date.</w:t>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915D05" w:rsidP="00E16EDC">
      <w:r w:rsidRPr="00915D05">
        <w:rPr>
          <w:noProof/>
          <w:lang w:eastAsia="en-AU"/>
        </w:rPr>
        <w:drawing>
          <wp:inline distT="0" distB="0" distL="0" distR="0" wp14:anchorId="0D1ACD21" wp14:editId="583C1360">
            <wp:extent cx="5731510" cy="3122393"/>
            <wp:effectExtent l="0" t="0" r="2540" b="1905"/>
            <wp:docPr id="38" name="Picture 38"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2393"/>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E06937" w:rsidRPr="00997D3F">
        <w:t>Ju</w:t>
      </w:r>
      <w:r w:rsidR="0003244F" w:rsidRPr="00997D3F">
        <w:t>ly</w:t>
      </w:r>
      <w:r w:rsidR="004D5447" w:rsidRPr="00997D3F">
        <w:t xml:space="preserve"> </w:t>
      </w:r>
      <w:r w:rsidR="00C4712A" w:rsidRPr="00997D3F">
        <w:t>2016</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BD1" w:rsidRDefault="00F50BD1" w:rsidP="004B4412">
      <w:pPr>
        <w:spacing w:before="0"/>
      </w:pPr>
      <w:r>
        <w:separator/>
      </w:r>
    </w:p>
  </w:endnote>
  <w:endnote w:type="continuationSeparator" w:id="0">
    <w:p w:rsidR="00F50BD1" w:rsidRDefault="00F50BD1"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BD1" w:rsidRPr="00A91A9E" w:rsidRDefault="00F50BD1"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F50BD1" w:rsidRDefault="00F50BD1"/>
  <w:p w:rsidR="00F50BD1" w:rsidRDefault="00F50BD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BD1" w:rsidRPr="00A94D89" w:rsidRDefault="00F50BD1"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894A83">
      <w:rPr>
        <w:rFonts w:cs="Arial"/>
        <w:i/>
        <w:noProof/>
      </w:rPr>
      <w:t>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BD1" w:rsidRPr="003163B7" w:rsidRDefault="00F50BD1" w:rsidP="00A94D89">
    <w:pPr>
      <w:pStyle w:val="Footer"/>
      <w:pBdr>
        <w:top w:val="single" w:sz="4" w:space="1" w:color="auto"/>
      </w:pBdr>
      <w:rPr>
        <w:rFonts w:cs="Arial"/>
        <w:i/>
        <w:szCs w:val="18"/>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894A83">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D16/</w:t>
    </w:r>
    <w:r>
      <w:rPr>
        <w:rFonts w:cs="Arial"/>
        <w:i/>
        <w:szCs w:val="18"/>
      </w:rPr>
      <w:t>97114</w:t>
    </w:r>
  </w:p>
  <w:p w:rsidR="00F50BD1" w:rsidRDefault="00F50B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BD1" w:rsidRDefault="00F50BD1" w:rsidP="004B4412">
      <w:pPr>
        <w:spacing w:before="0"/>
      </w:pPr>
      <w:r>
        <w:separator/>
      </w:r>
    </w:p>
  </w:footnote>
  <w:footnote w:type="continuationSeparator" w:id="0">
    <w:p w:rsidR="00F50BD1" w:rsidRDefault="00F50BD1" w:rsidP="004B4412">
      <w:pPr>
        <w:spacing w:before="0"/>
      </w:pPr>
      <w:r>
        <w:continuationSeparator/>
      </w:r>
    </w:p>
  </w:footnote>
  <w:footnote w:id="1">
    <w:p w:rsidR="00F50BD1" w:rsidRDefault="00F50BD1" w:rsidP="00F50BD1">
      <w:pPr>
        <w:pStyle w:val="FootnoteText"/>
        <w:ind w:left="709" w:hanging="709"/>
        <w:jc w:val="both"/>
      </w:pPr>
      <w:r>
        <w:rPr>
          <w:rStyle w:val="FootnoteReference"/>
        </w:rPr>
        <w:footnoteRef/>
      </w:r>
      <w:r>
        <w:t xml:space="preserve"> </w:t>
      </w:r>
      <w:r>
        <w:tab/>
        <w:t>On 22 November 2008 the average daily price was $54.88/GJ.</w:t>
      </w:r>
    </w:p>
  </w:footnote>
  <w:footnote w:id="2">
    <w:p w:rsidR="00F50BD1" w:rsidRDefault="00F50BD1" w:rsidP="00F50BD1">
      <w:pPr>
        <w:pStyle w:val="FootnoteText"/>
        <w:ind w:left="709" w:hanging="709"/>
        <w:jc w:val="both"/>
      </w:pPr>
      <w:r>
        <w:rPr>
          <w:rStyle w:val="FootnoteReference"/>
        </w:rPr>
        <w:footnoteRef/>
      </w:r>
      <w:r>
        <w:t xml:space="preserve"> </w:t>
      </w:r>
      <w:r>
        <w:tab/>
        <w:t>The ex-</w:t>
      </w:r>
      <w:r w:rsidRPr="009E6ED7">
        <w:t>ante price in Adelaide reached $18.99/GJ on 24 June, $24/GJ on 2 July and $25.45/GJ on 6 July.</w:t>
      </w:r>
    </w:p>
  </w:footnote>
  <w:footnote w:id="3">
    <w:p w:rsidR="00F50BD1" w:rsidRDefault="00F50BD1" w:rsidP="00F50BD1">
      <w:pPr>
        <w:pStyle w:val="FootnoteText"/>
        <w:ind w:left="709" w:hanging="709"/>
        <w:jc w:val="both"/>
      </w:pPr>
      <w:r>
        <w:rPr>
          <w:rStyle w:val="FootnoteReference"/>
        </w:rPr>
        <w:footnoteRef/>
      </w:r>
      <w:r>
        <w:t xml:space="preserve"> </w:t>
      </w:r>
      <w:r>
        <w:tab/>
      </w:r>
      <w:hyperlink r:id="rId1" w:history="1">
        <w:r w:rsidRPr="00897DA6">
          <w:rPr>
            <w:rStyle w:val="Hyperlink"/>
            <w:sz w:val="16"/>
            <w:szCs w:val="16"/>
            <w:lang w:eastAsia="en-AU"/>
          </w:rPr>
          <w:t>http://www.aer.gov.au/wholesale-markets/market-performance/gas-report-26-june-2-july-2016</w:t>
        </w:r>
      </w:hyperlink>
    </w:p>
  </w:footnote>
  <w:footnote w:id="4">
    <w:p w:rsidR="00F50BD1" w:rsidRDefault="00F50BD1" w:rsidP="00F50BD1">
      <w:pPr>
        <w:pStyle w:val="FootnoteText"/>
        <w:ind w:left="709" w:hanging="709"/>
        <w:jc w:val="both"/>
      </w:pPr>
      <w:r>
        <w:rPr>
          <w:rStyle w:val="FootnoteReference"/>
        </w:rPr>
        <w:footnoteRef/>
      </w:r>
      <w:r>
        <w:t xml:space="preserve"> </w:t>
      </w:r>
      <w:r>
        <w:tab/>
        <w:t>The Longford Gas Plant has been averaging close to 99% of its daily capacity forecast since 1 June 2016.</w:t>
      </w:r>
    </w:p>
  </w:footnote>
  <w:footnote w:id="5">
    <w:p w:rsidR="00F50BD1" w:rsidRDefault="00F50BD1" w:rsidP="00F50BD1">
      <w:pPr>
        <w:pStyle w:val="FootnoteText"/>
        <w:ind w:left="709" w:hanging="709"/>
        <w:jc w:val="both"/>
      </w:pPr>
      <w:r>
        <w:rPr>
          <w:rStyle w:val="FootnoteReference"/>
        </w:rPr>
        <w:footnoteRef/>
      </w:r>
      <w:r>
        <w:t xml:space="preserve"> </w:t>
      </w:r>
      <w:r>
        <w:tab/>
        <w:t xml:space="preserve">The </w:t>
      </w:r>
      <w:r w:rsidRPr="00280D29">
        <w:t>reservoirs were replenished in the following week with some injections into storage during milder weather</w:t>
      </w:r>
      <w:r>
        <w:t>.</w:t>
      </w:r>
    </w:p>
  </w:footnote>
  <w:footnote w:id="6">
    <w:p w:rsidR="00F50BD1" w:rsidRDefault="00F50BD1" w:rsidP="00F50BD1">
      <w:pPr>
        <w:pStyle w:val="FootnoteText"/>
        <w:ind w:left="709" w:hanging="709"/>
        <w:jc w:val="both"/>
      </w:pPr>
      <w:r>
        <w:rPr>
          <w:rStyle w:val="FootnoteReference"/>
        </w:rPr>
        <w:footnoteRef/>
      </w:r>
      <w:r>
        <w:t xml:space="preserve"> </w:t>
      </w:r>
      <w:r>
        <w:tab/>
        <w:t xml:space="preserve">AGL media release: </w:t>
      </w:r>
      <w:hyperlink r:id="rId2" w:history="1">
        <w:r w:rsidRPr="00523D05">
          <w:rPr>
            <w:rStyle w:val="Hyperlink"/>
            <w:sz w:val="16"/>
          </w:rPr>
          <w:t>https://www.agl.com.au/about-agl/media-centre/article-list/2016/july/agl-update-on- fy17-gas   portfolio-margins</w:t>
        </w:r>
      </w:hyperlink>
      <w:r>
        <w:t>, accessed 28 July 2016.</w:t>
      </w:r>
    </w:p>
  </w:footnote>
  <w:footnote w:id="7">
    <w:p w:rsidR="00F50BD1" w:rsidRDefault="00F50BD1" w:rsidP="00A61E0A">
      <w:pPr>
        <w:pStyle w:val="FootnoteText"/>
        <w:ind w:left="709" w:hanging="709"/>
        <w:jc w:val="both"/>
      </w:pPr>
      <w:r>
        <w:rPr>
          <w:rStyle w:val="FootnoteReference"/>
        </w:rPr>
        <w:footnoteRef/>
      </w:r>
      <w:r>
        <w:t xml:space="preserve"> </w:t>
      </w:r>
      <w:r>
        <w:tab/>
      </w:r>
      <w:hyperlink r:id="rId3" w:history="1">
        <w:proofErr w:type="gramStart"/>
        <w:r w:rsidRPr="00C50298">
          <w:rPr>
            <w:rStyle w:val="Hyperlink"/>
            <w:sz w:val="16"/>
          </w:rPr>
          <w:t>http://www.gasbb.com.au/Reports/Medium%20Term%20Capacity.aspx</w:t>
        </w:r>
      </w:hyperlink>
      <w:r>
        <w:t xml:space="preserve"> (as at 22 July 2016).</w:t>
      </w:r>
      <w:proofErr w:type="gramEnd"/>
    </w:p>
  </w:footnote>
  <w:footnote w:id="8">
    <w:p w:rsidR="00F50BD1" w:rsidRPr="000835F4" w:rsidRDefault="00F50BD1" w:rsidP="007B0728">
      <w:pPr>
        <w:pStyle w:val="FootnoteText"/>
        <w:spacing w:beforeLines="60" w:before="144"/>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with the exception of Gas Supply Hubs (GSH). </w:t>
      </w:r>
      <w:r w:rsidRPr="00EC137F">
        <w:rPr>
          <w:szCs w:val="16"/>
        </w:rPr>
        <w:t>The weighted average daily imbalance price applies for Victoria. The prices shown for the GSH in Wallumbilla and Moomba are volume weighted average prices for all products traded across the period. The total quantity contributing to the weighted price is displayed for these GSH.</w:t>
      </w:r>
    </w:p>
  </w:footnote>
  <w:footnote w:id="9">
    <w:p w:rsidR="00D907E0" w:rsidRDefault="00D907E0" w:rsidP="00D907E0">
      <w:pPr>
        <w:pStyle w:val="FootnoteText"/>
        <w:ind w:left="709" w:hanging="709"/>
        <w:jc w:val="both"/>
      </w:pPr>
      <w:r>
        <w:rPr>
          <w:rStyle w:val="FootnoteReference"/>
        </w:rPr>
        <w:footnoteRef/>
      </w:r>
      <w:r>
        <w:t xml:space="preserve"> </w:t>
      </w:r>
      <w:r>
        <w:tab/>
      </w:r>
      <w:r w:rsidRPr="009E6ED7">
        <w:t xml:space="preserve">While </w:t>
      </w:r>
      <w:r>
        <w:t>temperatures weren’t necessarily at their lowest levels</w:t>
      </w:r>
      <w:r w:rsidRPr="009E6ED7">
        <w:t xml:space="preserve"> this winter, the wind chill had a more significant effect which led to overnight temperatures plummeting and snow in a number of areas across the state. Actual demand exceeded 1200 TJ.</w:t>
      </w:r>
    </w:p>
  </w:footnote>
  <w:footnote w:id="10">
    <w:p w:rsidR="00F50BD1" w:rsidRPr="00EC2CB1" w:rsidRDefault="00F50BD1"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11">
    <w:p w:rsidR="00F50BD1" w:rsidRPr="00EC2CB1" w:rsidRDefault="00F50BD1"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12">
    <w:p w:rsidR="00F50BD1" w:rsidRPr="00EC2CB1" w:rsidRDefault="00F50BD1"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13">
    <w:p w:rsidR="00F50BD1" w:rsidRPr="00551D6B" w:rsidRDefault="00F50BD1"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14">
    <w:p w:rsidR="00F50BD1" w:rsidRPr="00551D6B" w:rsidRDefault="00F50BD1"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5">
    <w:p w:rsidR="00F50BD1" w:rsidRPr="00552F68" w:rsidRDefault="00F50BD1"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6">
    <w:p w:rsidR="00F50BD1" w:rsidRDefault="00F50BD1" w:rsidP="00034A40">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r>
      <w:r w:rsidRPr="00552F68">
        <w:rPr>
          <w:b/>
          <w:sz w:val="20"/>
          <w:szCs w:val="16"/>
        </w:rPr>
        <w:t>Domestic gas flows</w:t>
      </w:r>
      <w:r w:rsidRPr="00552F68">
        <w:rPr>
          <w:sz w:val="20"/>
          <w:szCs w:val="16"/>
        </w:rPr>
        <w:t xml:space="preserve"> are calculated as the total of:  </w:t>
      </w:r>
      <w:r w:rsidRPr="00552F68">
        <w:rPr>
          <w:b/>
          <w:sz w:val="20"/>
          <w:szCs w:val="16"/>
        </w:rPr>
        <w:t>SA</w:t>
      </w:r>
      <w:r w:rsidRPr="00552F68">
        <w:rPr>
          <w:sz w:val="20"/>
          <w:szCs w:val="16"/>
        </w:rPr>
        <w:t xml:space="preserve"> = MAP + SEAGAS</w:t>
      </w:r>
      <w:r>
        <w:rPr>
          <w:sz w:val="20"/>
          <w:szCs w:val="16"/>
        </w:rPr>
        <w:t>;</w:t>
      </w:r>
      <w:r w:rsidRPr="00552F68">
        <w:rPr>
          <w:sz w:val="20"/>
          <w:szCs w:val="16"/>
        </w:rPr>
        <w:t xml:space="preserve"> </w:t>
      </w:r>
      <w:r w:rsidRPr="00552F68">
        <w:rPr>
          <w:b/>
          <w:sz w:val="20"/>
          <w:szCs w:val="16"/>
        </w:rPr>
        <w:t>VIC</w:t>
      </w:r>
      <w:r w:rsidRPr="00552F68">
        <w:rPr>
          <w:sz w:val="20"/>
          <w:szCs w:val="16"/>
        </w:rPr>
        <w:t xml:space="preserve"> = SWP + LMP </w:t>
      </w:r>
      <w:r>
        <w:rPr>
          <w:sz w:val="20"/>
          <w:szCs w:val="16"/>
        </w:rPr>
        <w:t>+ (absolute quantity of</w:t>
      </w:r>
      <w:r w:rsidRPr="00552F68">
        <w:rPr>
          <w:sz w:val="20"/>
          <w:szCs w:val="16"/>
        </w:rPr>
        <w:t xml:space="preserve"> negative</w:t>
      </w:r>
      <w:r>
        <w:rPr>
          <w:sz w:val="20"/>
          <w:szCs w:val="16"/>
        </w:rPr>
        <w:t xml:space="preserve"> flows only on the ‘</w:t>
      </w:r>
      <w:r w:rsidRPr="00552F68">
        <w:rPr>
          <w:sz w:val="20"/>
          <w:szCs w:val="16"/>
        </w:rPr>
        <w:t>NSW-VIC</w:t>
      </w:r>
      <w:r>
        <w:rPr>
          <w:sz w:val="20"/>
          <w:szCs w:val="16"/>
        </w:rPr>
        <w:t> </w:t>
      </w:r>
      <w:proofErr w:type="gramStart"/>
      <w:r>
        <w:rPr>
          <w:sz w:val="20"/>
          <w:szCs w:val="16"/>
        </w:rPr>
        <w:t>interconnect</w:t>
      </w:r>
      <w:proofErr w:type="gramEnd"/>
      <w:r>
        <w:rPr>
          <w:sz w:val="20"/>
          <w:szCs w:val="16"/>
        </w:rPr>
        <w:t>’</w:t>
      </w:r>
      <w:r w:rsidRPr="00552F68">
        <w:rPr>
          <w:sz w:val="20"/>
          <w:szCs w:val="16"/>
        </w:rPr>
        <w:t>)</w:t>
      </w:r>
      <w:r>
        <w:rPr>
          <w:sz w:val="20"/>
          <w:szCs w:val="16"/>
        </w:rPr>
        <w:t>;</w:t>
      </w:r>
      <w:r w:rsidRPr="00552F68">
        <w:rPr>
          <w:sz w:val="20"/>
          <w:szCs w:val="16"/>
        </w:rPr>
        <w:t xml:space="preserve"> </w:t>
      </w:r>
      <w:r w:rsidRPr="00552F68">
        <w:rPr>
          <w:b/>
          <w:sz w:val="20"/>
          <w:szCs w:val="16"/>
        </w:rPr>
        <w:t>NSW/ACT</w:t>
      </w:r>
      <w:r w:rsidRPr="00552F68">
        <w:rPr>
          <w:sz w:val="20"/>
          <w:szCs w:val="16"/>
        </w:rPr>
        <w:t xml:space="preserve"> = EGP + MSP</w:t>
      </w:r>
      <w:r>
        <w:rPr>
          <w:sz w:val="20"/>
          <w:szCs w:val="16"/>
        </w:rPr>
        <w:t>;</w:t>
      </w:r>
      <w:r w:rsidRPr="00552F68">
        <w:rPr>
          <w:sz w:val="20"/>
          <w:szCs w:val="16"/>
        </w:rPr>
        <w:t xml:space="preserve"> </w:t>
      </w:r>
      <w:r w:rsidRPr="00552F68">
        <w:rPr>
          <w:b/>
          <w:sz w:val="20"/>
          <w:szCs w:val="16"/>
        </w:rPr>
        <w:t>TAS</w:t>
      </w:r>
      <w:r w:rsidRPr="00552F68">
        <w:rPr>
          <w:sz w:val="20"/>
          <w:szCs w:val="16"/>
        </w:rPr>
        <w:t xml:space="preserve"> = TGP</w:t>
      </w:r>
      <w:r>
        <w:rPr>
          <w:sz w:val="20"/>
          <w:szCs w:val="16"/>
        </w:rPr>
        <w:t>;</w:t>
      </w:r>
      <w:r w:rsidRPr="00552F68">
        <w:rPr>
          <w:sz w:val="20"/>
          <w:szCs w:val="16"/>
        </w:rPr>
        <w:t xml:space="preserve"> </w:t>
      </w:r>
      <w:r w:rsidRPr="00552F68">
        <w:rPr>
          <w:b/>
          <w:sz w:val="20"/>
          <w:szCs w:val="16"/>
        </w:rPr>
        <w:t>QLD (Brisbane)</w:t>
      </w:r>
      <w:r w:rsidRPr="00552F68">
        <w:rPr>
          <w:sz w:val="20"/>
          <w:szCs w:val="16"/>
        </w:rPr>
        <w:t xml:space="preserve"> = RBP</w:t>
      </w:r>
      <w:r>
        <w:rPr>
          <w:sz w:val="20"/>
          <w:szCs w:val="16"/>
        </w:rPr>
        <w:t>;</w:t>
      </w:r>
      <w:r w:rsidRPr="00552F68">
        <w:rPr>
          <w:sz w:val="20"/>
          <w:szCs w:val="16"/>
        </w:rPr>
        <w:t xml:space="preserve"> </w:t>
      </w:r>
      <w:r w:rsidRPr="00552F68">
        <w:rPr>
          <w:b/>
          <w:sz w:val="20"/>
          <w:szCs w:val="16"/>
        </w:rPr>
        <w:t>QLD (Mt Isa)</w:t>
      </w:r>
      <w:r w:rsidRPr="00552F68">
        <w:rPr>
          <w:sz w:val="20"/>
          <w:szCs w:val="16"/>
        </w:rPr>
        <w:t xml:space="preserve"> = CGP</w:t>
      </w:r>
      <w:r>
        <w:rPr>
          <w:sz w:val="20"/>
          <w:szCs w:val="16"/>
        </w:rPr>
        <w:t>;</w:t>
      </w:r>
      <w:r w:rsidRPr="00552F68">
        <w:rPr>
          <w:sz w:val="20"/>
          <w:szCs w:val="16"/>
        </w:rPr>
        <w:t xml:space="preserve"> </w:t>
      </w:r>
      <w:r>
        <w:rPr>
          <w:sz w:val="20"/>
          <w:szCs w:val="16"/>
        </w:rPr>
        <w:t xml:space="preserve">and </w:t>
      </w:r>
      <w:r w:rsidRPr="00552F68">
        <w:rPr>
          <w:b/>
          <w:sz w:val="20"/>
          <w:szCs w:val="16"/>
        </w:rPr>
        <w:t>QLD (Gladstone)</w:t>
      </w:r>
      <w:r w:rsidRPr="00552F68">
        <w:rPr>
          <w:sz w:val="20"/>
          <w:szCs w:val="16"/>
        </w:rPr>
        <w:t xml:space="preserve"> = QGP. </w:t>
      </w:r>
    </w:p>
    <w:p w:rsidR="00F50BD1" w:rsidRPr="00552F68" w:rsidRDefault="00F50BD1" w:rsidP="003D30EE">
      <w:pPr>
        <w:pStyle w:val="FootnoteText"/>
        <w:spacing w:before="0"/>
        <w:ind w:left="709"/>
        <w:jc w:val="both"/>
        <w:rPr>
          <w:sz w:val="20"/>
          <w:szCs w:val="16"/>
        </w:rPr>
      </w:pPr>
      <w:r w:rsidRPr="00552F68">
        <w:rPr>
          <w:b/>
          <w:sz w:val="20"/>
          <w:szCs w:val="16"/>
        </w:rPr>
        <w:t xml:space="preserve">Export gas flows </w:t>
      </w:r>
      <w:r w:rsidRPr="00552F68">
        <w:rPr>
          <w:sz w:val="20"/>
          <w:szCs w:val="16"/>
        </w:rPr>
        <w:t xml:space="preserve">are calculated as the total of: </w:t>
      </w:r>
      <w:r>
        <w:rPr>
          <w:sz w:val="20"/>
          <w:szCs w:val="16"/>
        </w:rPr>
        <w:t xml:space="preserve">the </w:t>
      </w:r>
      <w:r w:rsidRPr="00552F68">
        <w:rPr>
          <w:sz w:val="20"/>
          <w:szCs w:val="16"/>
        </w:rPr>
        <w:t>APLNG pipeline</w:t>
      </w:r>
      <w:r>
        <w:rPr>
          <w:sz w:val="20"/>
          <w:szCs w:val="16"/>
        </w:rPr>
        <w:t>;</w:t>
      </w:r>
      <w:r w:rsidRPr="00552F68">
        <w:rPr>
          <w:sz w:val="20"/>
          <w:szCs w:val="16"/>
        </w:rPr>
        <w:t xml:space="preserve"> </w:t>
      </w:r>
      <w:r>
        <w:rPr>
          <w:sz w:val="20"/>
          <w:szCs w:val="16"/>
        </w:rPr>
        <w:t xml:space="preserve">the </w:t>
      </w:r>
      <w:r w:rsidRPr="00552F68">
        <w:rPr>
          <w:sz w:val="20"/>
          <w:szCs w:val="16"/>
        </w:rPr>
        <w:t>GLNG pipeline</w:t>
      </w:r>
      <w:r>
        <w:rPr>
          <w:sz w:val="20"/>
          <w:szCs w:val="16"/>
        </w:rPr>
        <w:t>;</w:t>
      </w:r>
      <w:r w:rsidRPr="00552F68">
        <w:rPr>
          <w:sz w:val="20"/>
          <w:szCs w:val="16"/>
        </w:rPr>
        <w:t xml:space="preserve"> </w:t>
      </w:r>
      <w:r>
        <w:rPr>
          <w:sz w:val="20"/>
          <w:szCs w:val="16"/>
        </w:rPr>
        <w:t xml:space="preserve">and the </w:t>
      </w:r>
      <w:r w:rsidRPr="00552F68">
        <w:rPr>
          <w:sz w:val="20"/>
          <w:szCs w:val="16"/>
        </w:rPr>
        <w:t>Wallumbilla to Gladstone pipeline.</w:t>
      </w:r>
    </w:p>
    <w:p w:rsidR="00F50BD1" w:rsidRPr="00552F68" w:rsidRDefault="00F50BD1" w:rsidP="00551D6B">
      <w:pPr>
        <w:pStyle w:val="FootnoteText"/>
        <w:spacing w:before="0"/>
        <w:ind w:left="709"/>
        <w:jc w:val="both"/>
        <w:rPr>
          <w:sz w:val="20"/>
          <w:szCs w:val="16"/>
        </w:rPr>
      </w:pPr>
      <w:r w:rsidRPr="00552F68">
        <w:rPr>
          <w:b/>
          <w:sz w:val="20"/>
          <w:szCs w:val="16"/>
        </w:rPr>
        <w:t>GPG volumes</w:t>
      </w:r>
      <w:r w:rsidRPr="00552F68">
        <w:rPr>
          <w:sz w:val="20"/>
          <w:szCs w:val="16"/>
        </w:rPr>
        <w:t xml:space="preserve"> may include gas usage that does not show up on Bulletin Board pipeline flows.</w:t>
      </w:r>
    </w:p>
  </w:footnote>
  <w:footnote w:id="17">
    <w:p w:rsidR="00F50BD1" w:rsidRPr="003C7B5B" w:rsidRDefault="00F50BD1" w:rsidP="001C3452">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t>GSH supply is the average daily volume of gas ‘traded’, while price is a volume weighted</w:t>
      </w:r>
      <w:r w:rsidRPr="003C7B5B">
        <w:rPr>
          <w:sz w:val="20"/>
          <w:szCs w:val="16"/>
        </w:rPr>
        <w:t xml:space="preserve"> average.</w:t>
      </w:r>
    </w:p>
  </w:footnote>
  <w:footnote w:id="18">
    <w:p w:rsidR="00F50BD1" w:rsidRPr="001C3452" w:rsidRDefault="00F50BD1" w:rsidP="001C3452">
      <w:pPr>
        <w:pStyle w:val="FootnoteText"/>
        <w:spacing w:before="0"/>
        <w:ind w:left="709" w:hanging="709"/>
        <w:jc w:val="both"/>
        <w:rPr>
          <w:szCs w:val="16"/>
        </w:rPr>
      </w:pPr>
      <w:r w:rsidRPr="001C3452">
        <w:rPr>
          <w:rStyle w:val="FootnoteReference"/>
          <w:szCs w:val="16"/>
        </w:rPr>
        <w:footnoteRef/>
      </w:r>
      <w:r w:rsidRPr="001C3452">
        <w:rPr>
          <w:szCs w:val="16"/>
        </w:rPr>
        <w:t xml:space="preserve"> </w:t>
      </w:r>
      <w:r w:rsidRPr="001C3452">
        <w:rPr>
          <w:szCs w:val="16"/>
        </w:rPr>
        <w:tab/>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9">
    <w:p w:rsidR="00F50BD1" w:rsidRDefault="00F50BD1" w:rsidP="006E0523">
      <w:pPr>
        <w:pStyle w:val="FootnoteText"/>
        <w:ind w:left="709" w:hanging="709"/>
        <w:jc w:val="both"/>
      </w:pPr>
      <w:r>
        <w:rPr>
          <w:rStyle w:val="FootnoteReference"/>
        </w:rPr>
        <w:footnoteRef/>
      </w:r>
      <w:r>
        <w:t xml:space="preserve"> </w:t>
      </w:r>
      <w:r>
        <w:tab/>
        <w:t>Volume weighted average prices and traded quantities provided in this report may include off-market trades, which are not included in AEMO’s reference price calculations.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2D66C03"/>
    <w:multiLevelType w:val="hybridMultilevel"/>
    <w:tmpl w:val="EE8AB846"/>
    <w:lvl w:ilvl="0" w:tplc="D44AAACC">
      <w:start w:val="1"/>
      <w:numFmt w:val="bullet"/>
      <w:lvlText w:val="•"/>
      <w:lvlJc w:val="left"/>
      <w:pPr>
        <w:tabs>
          <w:tab w:val="num" w:pos="720"/>
        </w:tabs>
        <w:ind w:left="720" w:hanging="360"/>
      </w:pPr>
      <w:rPr>
        <w:rFonts w:ascii="Arial" w:hAnsi="Arial" w:hint="default"/>
      </w:rPr>
    </w:lvl>
    <w:lvl w:ilvl="1" w:tplc="CF1AA674">
      <w:start w:val="1"/>
      <w:numFmt w:val="bullet"/>
      <w:lvlText w:val="•"/>
      <w:lvlJc w:val="left"/>
      <w:pPr>
        <w:tabs>
          <w:tab w:val="num" w:pos="1440"/>
        </w:tabs>
        <w:ind w:left="1440" w:hanging="360"/>
      </w:pPr>
      <w:rPr>
        <w:rFonts w:ascii="Arial" w:hAnsi="Arial" w:hint="default"/>
      </w:rPr>
    </w:lvl>
    <w:lvl w:ilvl="2" w:tplc="3774CDAA" w:tentative="1">
      <w:start w:val="1"/>
      <w:numFmt w:val="bullet"/>
      <w:lvlText w:val="•"/>
      <w:lvlJc w:val="left"/>
      <w:pPr>
        <w:tabs>
          <w:tab w:val="num" w:pos="2160"/>
        </w:tabs>
        <w:ind w:left="2160" w:hanging="360"/>
      </w:pPr>
      <w:rPr>
        <w:rFonts w:ascii="Arial" w:hAnsi="Arial" w:hint="default"/>
      </w:rPr>
    </w:lvl>
    <w:lvl w:ilvl="3" w:tplc="A1DAD322" w:tentative="1">
      <w:start w:val="1"/>
      <w:numFmt w:val="bullet"/>
      <w:lvlText w:val="•"/>
      <w:lvlJc w:val="left"/>
      <w:pPr>
        <w:tabs>
          <w:tab w:val="num" w:pos="2880"/>
        </w:tabs>
        <w:ind w:left="2880" w:hanging="360"/>
      </w:pPr>
      <w:rPr>
        <w:rFonts w:ascii="Arial" w:hAnsi="Arial" w:hint="default"/>
      </w:rPr>
    </w:lvl>
    <w:lvl w:ilvl="4" w:tplc="54F810A2" w:tentative="1">
      <w:start w:val="1"/>
      <w:numFmt w:val="bullet"/>
      <w:lvlText w:val="•"/>
      <w:lvlJc w:val="left"/>
      <w:pPr>
        <w:tabs>
          <w:tab w:val="num" w:pos="3600"/>
        </w:tabs>
        <w:ind w:left="3600" w:hanging="360"/>
      </w:pPr>
      <w:rPr>
        <w:rFonts w:ascii="Arial" w:hAnsi="Arial" w:hint="default"/>
      </w:rPr>
    </w:lvl>
    <w:lvl w:ilvl="5" w:tplc="54328DB0" w:tentative="1">
      <w:start w:val="1"/>
      <w:numFmt w:val="bullet"/>
      <w:lvlText w:val="•"/>
      <w:lvlJc w:val="left"/>
      <w:pPr>
        <w:tabs>
          <w:tab w:val="num" w:pos="4320"/>
        </w:tabs>
        <w:ind w:left="4320" w:hanging="360"/>
      </w:pPr>
      <w:rPr>
        <w:rFonts w:ascii="Arial" w:hAnsi="Arial" w:hint="default"/>
      </w:rPr>
    </w:lvl>
    <w:lvl w:ilvl="6" w:tplc="176CFFC0" w:tentative="1">
      <w:start w:val="1"/>
      <w:numFmt w:val="bullet"/>
      <w:lvlText w:val="•"/>
      <w:lvlJc w:val="left"/>
      <w:pPr>
        <w:tabs>
          <w:tab w:val="num" w:pos="5040"/>
        </w:tabs>
        <w:ind w:left="5040" w:hanging="360"/>
      </w:pPr>
      <w:rPr>
        <w:rFonts w:ascii="Arial" w:hAnsi="Arial" w:hint="default"/>
      </w:rPr>
    </w:lvl>
    <w:lvl w:ilvl="7" w:tplc="2BFAA4D8" w:tentative="1">
      <w:start w:val="1"/>
      <w:numFmt w:val="bullet"/>
      <w:lvlText w:val="•"/>
      <w:lvlJc w:val="left"/>
      <w:pPr>
        <w:tabs>
          <w:tab w:val="num" w:pos="5760"/>
        </w:tabs>
        <w:ind w:left="5760" w:hanging="360"/>
      </w:pPr>
      <w:rPr>
        <w:rFonts w:ascii="Arial" w:hAnsi="Arial" w:hint="default"/>
      </w:rPr>
    </w:lvl>
    <w:lvl w:ilvl="8" w:tplc="7402EAE0" w:tentative="1">
      <w:start w:val="1"/>
      <w:numFmt w:val="bullet"/>
      <w:lvlText w:val="•"/>
      <w:lvlJc w:val="left"/>
      <w:pPr>
        <w:tabs>
          <w:tab w:val="num" w:pos="6480"/>
        </w:tabs>
        <w:ind w:left="6480" w:hanging="360"/>
      </w:pPr>
      <w:rPr>
        <w:rFonts w:ascii="Arial" w:hAnsi="Arial" w:hint="default"/>
      </w:rPr>
    </w:lvl>
  </w:abstractNum>
  <w:abstractNum w:abstractNumId="22">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C3A18E4"/>
    <w:multiLevelType w:val="hybridMultilevel"/>
    <w:tmpl w:val="4058D7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9">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30">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5">
    <w:nsid w:val="7BBE0588"/>
    <w:multiLevelType w:val="hybridMultilevel"/>
    <w:tmpl w:val="B4083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9"/>
  </w:num>
  <w:num w:numId="13">
    <w:abstractNumId w:val="22"/>
  </w:num>
  <w:num w:numId="14">
    <w:abstractNumId w:val="11"/>
  </w:num>
  <w:num w:numId="15">
    <w:abstractNumId w:val="16"/>
  </w:num>
  <w:num w:numId="16">
    <w:abstractNumId w:val="24"/>
  </w:num>
  <w:num w:numId="17">
    <w:abstractNumId w:val="19"/>
  </w:num>
  <w:num w:numId="18">
    <w:abstractNumId w:val="25"/>
  </w:num>
  <w:num w:numId="19">
    <w:abstractNumId w:val="33"/>
  </w:num>
  <w:num w:numId="20">
    <w:abstractNumId w:val="28"/>
  </w:num>
  <w:num w:numId="21">
    <w:abstractNumId w:val="15"/>
  </w:num>
  <w:num w:numId="22">
    <w:abstractNumId w:val="18"/>
  </w:num>
  <w:num w:numId="23">
    <w:abstractNumId w:val="23"/>
  </w:num>
  <w:num w:numId="24">
    <w:abstractNumId w:val="17"/>
  </w:num>
  <w:num w:numId="25">
    <w:abstractNumId w:val="34"/>
  </w:num>
  <w:num w:numId="26">
    <w:abstractNumId w:val="20"/>
  </w:num>
  <w:num w:numId="27">
    <w:abstractNumId w:val="9"/>
  </w:num>
  <w:num w:numId="28">
    <w:abstractNumId w:val="12"/>
  </w:num>
  <w:num w:numId="29">
    <w:abstractNumId w:val="14"/>
  </w:num>
  <w:num w:numId="30">
    <w:abstractNumId w:val="30"/>
  </w:num>
  <w:num w:numId="31">
    <w:abstractNumId w:val="31"/>
  </w:num>
  <w:num w:numId="32">
    <w:abstractNumId w:val="27"/>
  </w:num>
  <w:num w:numId="33">
    <w:abstractNumId w:val="32"/>
  </w:num>
  <w:num w:numId="34">
    <w:abstractNumId w:val="10"/>
  </w:num>
  <w:num w:numId="35">
    <w:abstractNumId w:val="35"/>
  </w:num>
  <w:num w:numId="36">
    <w:abstractNumId w:val="35"/>
  </w:num>
  <w:num w:numId="37">
    <w:abstractNumId w:val="26"/>
  </w:num>
  <w:num w:numId="38">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48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adrae\Desktop\AER gas weekly report - 10 – 16 July 2016.docx"/>
  </w:docVars>
  <w:rsids>
    <w:rsidRoot w:val="00275002"/>
    <w:rsid w:val="0000023B"/>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2742A"/>
    <w:rsid w:val="00030794"/>
    <w:rsid w:val="000308B1"/>
    <w:rsid w:val="000312E6"/>
    <w:rsid w:val="000316E7"/>
    <w:rsid w:val="0003244F"/>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2191"/>
    <w:rsid w:val="000835F4"/>
    <w:rsid w:val="00085663"/>
    <w:rsid w:val="00085EBF"/>
    <w:rsid w:val="00086CF3"/>
    <w:rsid w:val="00087C4A"/>
    <w:rsid w:val="00087CDC"/>
    <w:rsid w:val="00091FB4"/>
    <w:rsid w:val="0009584C"/>
    <w:rsid w:val="000961FA"/>
    <w:rsid w:val="0009653D"/>
    <w:rsid w:val="000A0B6F"/>
    <w:rsid w:val="000A241B"/>
    <w:rsid w:val="000A29ED"/>
    <w:rsid w:val="000A4529"/>
    <w:rsid w:val="000A5D43"/>
    <w:rsid w:val="000A62B4"/>
    <w:rsid w:val="000A62D6"/>
    <w:rsid w:val="000A6F14"/>
    <w:rsid w:val="000B0311"/>
    <w:rsid w:val="000B364C"/>
    <w:rsid w:val="000B3C8A"/>
    <w:rsid w:val="000B685D"/>
    <w:rsid w:val="000C0472"/>
    <w:rsid w:val="000C1A94"/>
    <w:rsid w:val="000D122C"/>
    <w:rsid w:val="000D355E"/>
    <w:rsid w:val="000D3C77"/>
    <w:rsid w:val="000D4350"/>
    <w:rsid w:val="000D51BD"/>
    <w:rsid w:val="000D5ADE"/>
    <w:rsid w:val="000D68C5"/>
    <w:rsid w:val="000D7E00"/>
    <w:rsid w:val="000E1819"/>
    <w:rsid w:val="000E1A1B"/>
    <w:rsid w:val="000E2946"/>
    <w:rsid w:val="000E4F81"/>
    <w:rsid w:val="000E54D6"/>
    <w:rsid w:val="000E55C7"/>
    <w:rsid w:val="000E5B55"/>
    <w:rsid w:val="000E6C72"/>
    <w:rsid w:val="000E77BB"/>
    <w:rsid w:val="000E7D8C"/>
    <w:rsid w:val="000E7E24"/>
    <w:rsid w:val="000F093C"/>
    <w:rsid w:val="000F189E"/>
    <w:rsid w:val="000F1956"/>
    <w:rsid w:val="000F1D61"/>
    <w:rsid w:val="000F56F6"/>
    <w:rsid w:val="000F5855"/>
    <w:rsid w:val="000F6FA7"/>
    <w:rsid w:val="000F7778"/>
    <w:rsid w:val="000F77D6"/>
    <w:rsid w:val="00100142"/>
    <w:rsid w:val="00102B64"/>
    <w:rsid w:val="00105281"/>
    <w:rsid w:val="00105AF3"/>
    <w:rsid w:val="001107FF"/>
    <w:rsid w:val="00113430"/>
    <w:rsid w:val="00113AE0"/>
    <w:rsid w:val="001158FE"/>
    <w:rsid w:val="00115C39"/>
    <w:rsid w:val="00115CCB"/>
    <w:rsid w:val="00116EB2"/>
    <w:rsid w:val="00117195"/>
    <w:rsid w:val="0012092C"/>
    <w:rsid w:val="00122831"/>
    <w:rsid w:val="001235DD"/>
    <w:rsid w:val="00124609"/>
    <w:rsid w:val="00125326"/>
    <w:rsid w:val="00125F4F"/>
    <w:rsid w:val="001270EB"/>
    <w:rsid w:val="00127CAB"/>
    <w:rsid w:val="00130196"/>
    <w:rsid w:val="0013057E"/>
    <w:rsid w:val="001337EF"/>
    <w:rsid w:val="00133FC8"/>
    <w:rsid w:val="00134BD7"/>
    <w:rsid w:val="00135D73"/>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8757F"/>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B74BE"/>
    <w:rsid w:val="001C027D"/>
    <w:rsid w:val="001C13CD"/>
    <w:rsid w:val="001C17B3"/>
    <w:rsid w:val="001C1BC0"/>
    <w:rsid w:val="001C2EE8"/>
    <w:rsid w:val="001C3452"/>
    <w:rsid w:val="001C370E"/>
    <w:rsid w:val="001C443B"/>
    <w:rsid w:val="001C5079"/>
    <w:rsid w:val="001C5EF2"/>
    <w:rsid w:val="001C5F6B"/>
    <w:rsid w:val="001C6748"/>
    <w:rsid w:val="001D055E"/>
    <w:rsid w:val="001D0C65"/>
    <w:rsid w:val="001D0CE3"/>
    <w:rsid w:val="001D3A5B"/>
    <w:rsid w:val="001D55A3"/>
    <w:rsid w:val="001D5BEB"/>
    <w:rsid w:val="001D60FF"/>
    <w:rsid w:val="001D6FD4"/>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5FED"/>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246"/>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0D29"/>
    <w:rsid w:val="00281748"/>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1D06"/>
    <w:rsid w:val="002E29A0"/>
    <w:rsid w:val="002E3BD4"/>
    <w:rsid w:val="002E5E33"/>
    <w:rsid w:val="002E6254"/>
    <w:rsid w:val="002E64AB"/>
    <w:rsid w:val="002F02A4"/>
    <w:rsid w:val="002F22FD"/>
    <w:rsid w:val="002F2481"/>
    <w:rsid w:val="002F3D02"/>
    <w:rsid w:val="002F4F34"/>
    <w:rsid w:val="002F7986"/>
    <w:rsid w:val="00300C0B"/>
    <w:rsid w:val="00301B4D"/>
    <w:rsid w:val="00302D83"/>
    <w:rsid w:val="003061FA"/>
    <w:rsid w:val="003062C2"/>
    <w:rsid w:val="00306DD8"/>
    <w:rsid w:val="00307F6D"/>
    <w:rsid w:val="003105F5"/>
    <w:rsid w:val="003106BC"/>
    <w:rsid w:val="00312AEB"/>
    <w:rsid w:val="00312D15"/>
    <w:rsid w:val="0031318F"/>
    <w:rsid w:val="003152BD"/>
    <w:rsid w:val="003153EB"/>
    <w:rsid w:val="003163B7"/>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51"/>
    <w:rsid w:val="00342870"/>
    <w:rsid w:val="00343BF7"/>
    <w:rsid w:val="00346F05"/>
    <w:rsid w:val="0035089F"/>
    <w:rsid w:val="003518B3"/>
    <w:rsid w:val="00351FDC"/>
    <w:rsid w:val="00352DA8"/>
    <w:rsid w:val="00354887"/>
    <w:rsid w:val="00354A9E"/>
    <w:rsid w:val="0035522A"/>
    <w:rsid w:val="003553DC"/>
    <w:rsid w:val="00355CDD"/>
    <w:rsid w:val="00355D1A"/>
    <w:rsid w:val="00355D2F"/>
    <w:rsid w:val="00356706"/>
    <w:rsid w:val="00356E72"/>
    <w:rsid w:val="00361D84"/>
    <w:rsid w:val="00362ABA"/>
    <w:rsid w:val="003642AD"/>
    <w:rsid w:val="00366515"/>
    <w:rsid w:val="003715C8"/>
    <w:rsid w:val="00371F3A"/>
    <w:rsid w:val="003749F7"/>
    <w:rsid w:val="00375E24"/>
    <w:rsid w:val="00376373"/>
    <w:rsid w:val="00376C85"/>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5D4F"/>
    <w:rsid w:val="003A7DC0"/>
    <w:rsid w:val="003B0D0E"/>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0D1C"/>
    <w:rsid w:val="003D30EE"/>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47DF"/>
    <w:rsid w:val="00405B42"/>
    <w:rsid w:val="00407337"/>
    <w:rsid w:val="00410584"/>
    <w:rsid w:val="00411897"/>
    <w:rsid w:val="00412176"/>
    <w:rsid w:val="00414488"/>
    <w:rsid w:val="004146E3"/>
    <w:rsid w:val="00414EA6"/>
    <w:rsid w:val="00415788"/>
    <w:rsid w:val="004157C0"/>
    <w:rsid w:val="00416641"/>
    <w:rsid w:val="004176E8"/>
    <w:rsid w:val="00417EFB"/>
    <w:rsid w:val="00421154"/>
    <w:rsid w:val="004226D4"/>
    <w:rsid w:val="0042429B"/>
    <w:rsid w:val="00424809"/>
    <w:rsid w:val="004253D6"/>
    <w:rsid w:val="004303EE"/>
    <w:rsid w:val="00436323"/>
    <w:rsid w:val="00436F76"/>
    <w:rsid w:val="00440D85"/>
    <w:rsid w:val="00441A99"/>
    <w:rsid w:val="00441CD3"/>
    <w:rsid w:val="00442767"/>
    <w:rsid w:val="00442A92"/>
    <w:rsid w:val="00444A48"/>
    <w:rsid w:val="00450611"/>
    <w:rsid w:val="004507A1"/>
    <w:rsid w:val="0045129B"/>
    <w:rsid w:val="004518EA"/>
    <w:rsid w:val="00453327"/>
    <w:rsid w:val="00456C20"/>
    <w:rsid w:val="00457B65"/>
    <w:rsid w:val="00462CFF"/>
    <w:rsid w:val="00465210"/>
    <w:rsid w:val="00470AF4"/>
    <w:rsid w:val="00470EE9"/>
    <w:rsid w:val="0047130B"/>
    <w:rsid w:val="00471992"/>
    <w:rsid w:val="00471E68"/>
    <w:rsid w:val="0047346C"/>
    <w:rsid w:val="00477821"/>
    <w:rsid w:val="0048018F"/>
    <w:rsid w:val="00480B4B"/>
    <w:rsid w:val="00480DA9"/>
    <w:rsid w:val="00482BFD"/>
    <w:rsid w:val="004831F8"/>
    <w:rsid w:val="00485752"/>
    <w:rsid w:val="00485DC4"/>
    <w:rsid w:val="00487C10"/>
    <w:rsid w:val="00491B2B"/>
    <w:rsid w:val="004923CD"/>
    <w:rsid w:val="00492A06"/>
    <w:rsid w:val="00493B02"/>
    <w:rsid w:val="00494036"/>
    <w:rsid w:val="00495574"/>
    <w:rsid w:val="00496099"/>
    <w:rsid w:val="0049751C"/>
    <w:rsid w:val="004A0AB5"/>
    <w:rsid w:val="004A1061"/>
    <w:rsid w:val="004A10FB"/>
    <w:rsid w:val="004A1184"/>
    <w:rsid w:val="004A13A6"/>
    <w:rsid w:val="004A2770"/>
    <w:rsid w:val="004A364A"/>
    <w:rsid w:val="004B0610"/>
    <w:rsid w:val="004B104F"/>
    <w:rsid w:val="004B1708"/>
    <w:rsid w:val="004B231C"/>
    <w:rsid w:val="004B42A7"/>
    <w:rsid w:val="004B4412"/>
    <w:rsid w:val="004B5B3F"/>
    <w:rsid w:val="004C28B2"/>
    <w:rsid w:val="004C348C"/>
    <w:rsid w:val="004C3724"/>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51F4"/>
    <w:rsid w:val="004E6AFC"/>
    <w:rsid w:val="004E755C"/>
    <w:rsid w:val="004E7D10"/>
    <w:rsid w:val="004F171D"/>
    <w:rsid w:val="004F18F3"/>
    <w:rsid w:val="004F421F"/>
    <w:rsid w:val="004F54CC"/>
    <w:rsid w:val="004F6D0A"/>
    <w:rsid w:val="004F6ED0"/>
    <w:rsid w:val="00501B85"/>
    <w:rsid w:val="0050244E"/>
    <w:rsid w:val="00502843"/>
    <w:rsid w:val="0050295B"/>
    <w:rsid w:val="00502D42"/>
    <w:rsid w:val="005033F6"/>
    <w:rsid w:val="005037C1"/>
    <w:rsid w:val="005047F1"/>
    <w:rsid w:val="00505B5E"/>
    <w:rsid w:val="00506624"/>
    <w:rsid w:val="00510A43"/>
    <w:rsid w:val="00510DF8"/>
    <w:rsid w:val="00514A35"/>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5A0"/>
    <w:rsid w:val="005656E2"/>
    <w:rsid w:val="00565F50"/>
    <w:rsid w:val="0056783F"/>
    <w:rsid w:val="005703C9"/>
    <w:rsid w:val="005707D4"/>
    <w:rsid w:val="00571680"/>
    <w:rsid w:val="00571B35"/>
    <w:rsid w:val="005722FF"/>
    <w:rsid w:val="00572D20"/>
    <w:rsid w:val="00573042"/>
    <w:rsid w:val="00574241"/>
    <w:rsid w:val="00575C43"/>
    <w:rsid w:val="00577641"/>
    <w:rsid w:val="00577A09"/>
    <w:rsid w:val="00577F68"/>
    <w:rsid w:val="00580E72"/>
    <w:rsid w:val="005810AE"/>
    <w:rsid w:val="005819F3"/>
    <w:rsid w:val="00582446"/>
    <w:rsid w:val="005839B3"/>
    <w:rsid w:val="00584D8F"/>
    <w:rsid w:val="00585D42"/>
    <w:rsid w:val="00587CFB"/>
    <w:rsid w:val="005923CD"/>
    <w:rsid w:val="0059539A"/>
    <w:rsid w:val="00595613"/>
    <w:rsid w:val="00595ED0"/>
    <w:rsid w:val="00596275"/>
    <w:rsid w:val="005A1287"/>
    <w:rsid w:val="005A1339"/>
    <w:rsid w:val="005A1B38"/>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3F8D"/>
    <w:rsid w:val="005C4E3D"/>
    <w:rsid w:val="005C4F80"/>
    <w:rsid w:val="005C53C0"/>
    <w:rsid w:val="005C546A"/>
    <w:rsid w:val="005C553B"/>
    <w:rsid w:val="005C592F"/>
    <w:rsid w:val="005C5D2E"/>
    <w:rsid w:val="005C5E72"/>
    <w:rsid w:val="005D24A9"/>
    <w:rsid w:val="005D2FBD"/>
    <w:rsid w:val="005D365C"/>
    <w:rsid w:val="005D5ECD"/>
    <w:rsid w:val="005D69AF"/>
    <w:rsid w:val="005E0B7E"/>
    <w:rsid w:val="005E2086"/>
    <w:rsid w:val="005E6FFA"/>
    <w:rsid w:val="005E7718"/>
    <w:rsid w:val="005F0661"/>
    <w:rsid w:val="005F0CD5"/>
    <w:rsid w:val="005F2D79"/>
    <w:rsid w:val="005F69C4"/>
    <w:rsid w:val="005F6ADE"/>
    <w:rsid w:val="005F702C"/>
    <w:rsid w:val="005F7247"/>
    <w:rsid w:val="00600B2D"/>
    <w:rsid w:val="00602A58"/>
    <w:rsid w:val="0060355F"/>
    <w:rsid w:val="00603914"/>
    <w:rsid w:val="00603A61"/>
    <w:rsid w:val="00604DB6"/>
    <w:rsid w:val="006057DD"/>
    <w:rsid w:val="00606C19"/>
    <w:rsid w:val="00607BA0"/>
    <w:rsid w:val="00610304"/>
    <w:rsid w:val="00612006"/>
    <w:rsid w:val="00613324"/>
    <w:rsid w:val="00613DEC"/>
    <w:rsid w:val="0061550A"/>
    <w:rsid w:val="00615619"/>
    <w:rsid w:val="00615C6B"/>
    <w:rsid w:val="00616CEC"/>
    <w:rsid w:val="00620B1B"/>
    <w:rsid w:val="00621545"/>
    <w:rsid w:val="00621EFD"/>
    <w:rsid w:val="0062525D"/>
    <w:rsid w:val="00626A3A"/>
    <w:rsid w:val="00626E1A"/>
    <w:rsid w:val="00627B2D"/>
    <w:rsid w:val="0063066D"/>
    <w:rsid w:val="006309A2"/>
    <w:rsid w:val="00630A15"/>
    <w:rsid w:val="00631560"/>
    <w:rsid w:val="006319C1"/>
    <w:rsid w:val="00632D6D"/>
    <w:rsid w:val="00634D01"/>
    <w:rsid w:val="00635538"/>
    <w:rsid w:val="0063567F"/>
    <w:rsid w:val="00636936"/>
    <w:rsid w:val="006400EE"/>
    <w:rsid w:val="006411E6"/>
    <w:rsid w:val="00642C3E"/>
    <w:rsid w:val="00644F6E"/>
    <w:rsid w:val="006471D4"/>
    <w:rsid w:val="00647804"/>
    <w:rsid w:val="0065049E"/>
    <w:rsid w:val="00651005"/>
    <w:rsid w:val="0065226B"/>
    <w:rsid w:val="0065567D"/>
    <w:rsid w:val="006556AA"/>
    <w:rsid w:val="00656515"/>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14"/>
    <w:rsid w:val="006741D4"/>
    <w:rsid w:val="00675E21"/>
    <w:rsid w:val="00676679"/>
    <w:rsid w:val="00677233"/>
    <w:rsid w:val="006777D7"/>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C7898"/>
    <w:rsid w:val="006D0C1E"/>
    <w:rsid w:val="006D1D94"/>
    <w:rsid w:val="006D3561"/>
    <w:rsid w:val="006D38CE"/>
    <w:rsid w:val="006D550F"/>
    <w:rsid w:val="006D5B9F"/>
    <w:rsid w:val="006D6001"/>
    <w:rsid w:val="006D6AE2"/>
    <w:rsid w:val="006D7923"/>
    <w:rsid w:val="006E0523"/>
    <w:rsid w:val="006E1E7D"/>
    <w:rsid w:val="006E218F"/>
    <w:rsid w:val="006E244A"/>
    <w:rsid w:val="006E28D5"/>
    <w:rsid w:val="006E5F3E"/>
    <w:rsid w:val="006E78CF"/>
    <w:rsid w:val="006F0601"/>
    <w:rsid w:val="006F0B74"/>
    <w:rsid w:val="006F0D76"/>
    <w:rsid w:val="006F1044"/>
    <w:rsid w:val="006F3750"/>
    <w:rsid w:val="006F393C"/>
    <w:rsid w:val="006F3FCB"/>
    <w:rsid w:val="006F48AA"/>
    <w:rsid w:val="006F4C38"/>
    <w:rsid w:val="006F6C2D"/>
    <w:rsid w:val="006F775B"/>
    <w:rsid w:val="00700DAB"/>
    <w:rsid w:val="00701CAB"/>
    <w:rsid w:val="007037F6"/>
    <w:rsid w:val="00704518"/>
    <w:rsid w:val="00704CA4"/>
    <w:rsid w:val="00707011"/>
    <w:rsid w:val="00707563"/>
    <w:rsid w:val="00711BF6"/>
    <w:rsid w:val="00712670"/>
    <w:rsid w:val="00712724"/>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31AF"/>
    <w:rsid w:val="00734639"/>
    <w:rsid w:val="0073561F"/>
    <w:rsid w:val="007356A7"/>
    <w:rsid w:val="00740622"/>
    <w:rsid w:val="00741247"/>
    <w:rsid w:val="00741D03"/>
    <w:rsid w:val="007426D5"/>
    <w:rsid w:val="007429BE"/>
    <w:rsid w:val="00743223"/>
    <w:rsid w:val="00746063"/>
    <w:rsid w:val="00746E01"/>
    <w:rsid w:val="00747D2F"/>
    <w:rsid w:val="00751821"/>
    <w:rsid w:val="007532DD"/>
    <w:rsid w:val="00753ADA"/>
    <w:rsid w:val="00760FD8"/>
    <w:rsid w:val="007618A3"/>
    <w:rsid w:val="00762D41"/>
    <w:rsid w:val="00763E5D"/>
    <w:rsid w:val="00764C7F"/>
    <w:rsid w:val="00767740"/>
    <w:rsid w:val="00771822"/>
    <w:rsid w:val="00772A95"/>
    <w:rsid w:val="00776492"/>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0728"/>
    <w:rsid w:val="007B1732"/>
    <w:rsid w:val="007B2C72"/>
    <w:rsid w:val="007B3F68"/>
    <w:rsid w:val="007B497F"/>
    <w:rsid w:val="007B57F8"/>
    <w:rsid w:val="007B742A"/>
    <w:rsid w:val="007B78AB"/>
    <w:rsid w:val="007C1C53"/>
    <w:rsid w:val="007C1EFF"/>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094E"/>
    <w:rsid w:val="008011F4"/>
    <w:rsid w:val="008033C4"/>
    <w:rsid w:val="00805582"/>
    <w:rsid w:val="00806C88"/>
    <w:rsid w:val="00807112"/>
    <w:rsid w:val="00807A5C"/>
    <w:rsid w:val="0081034E"/>
    <w:rsid w:val="0081253D"/>
    <w:rsid w:val="00812E7B"/>
    <w:rsid w:val="0081351D"/>
    <w:rsid w:val="00813CE4"/>
    <w:rsid w:val="0081592A"/>
    <w:rsid w:val="00817724"/>
    <w:rsid w:val="008217AB"/>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5816"/>
    <w:rsid w:val="00847D0F"/>
    <w:rsid w:val="00847ED9"/>
    <w:rsid w:val="00851209"/>
    <w:rsid w:val="0085188E"/>
    <w:rsid w:val="00851B46"/>
    <w:rsid w:val="00852B3D"/>
    <w:rsid w:val="00853438"/>
    <w:rsid w:val="008556A5"/>
    <w:rsid w:val="00855B85"/>
    <w:rsid w:val="008564E2"/>
    <w:rsid w:val="00856965"/>
    <w:rsid w:val="00857917"/>
    <w:rsid w:val="00861AED"/>
    <w:rsid w:val="00864A9F"/>
    <w:rsid w:val="00867506"/>
    <w:rsid w:val="008707C1"/>
    <w:rsid w:val="00870903"/>
    <w:rsid w:val="0087280A"/>
    <w:rsid w:val="0087308C"/>
    <w:rsid w:val="00873B1F"/>
    <w:rsid w:val="0087479D"/>
    <w:rsid w:val="008837AC"/>
    <w:rsid w:val="00884D30"/>
    <w:rsid w:val="0088604D"/>
    <w:rsid w:val="00886662"/>
    <w:rsid w:val="00886BAB"/>
    <w:rsid w:val="00886CEC"/>
    <w:rsid w:val="00886FA8"/>
    <w:rsid w:val="00887EBF"/>
    <w:rsid w:val="008909FD"/>
    <w:rsid w:val="008934F4"/>
    <w:rsid w:val="00894A83"/>
    <w:rsid w:val="00895878"/>
    <w:rsid w:val="00896C79"/>
    <w:rsid w:val="00896FA7"/>
    <w:rsid w:val="00897DA6"/>
    <w:rsid w:val="008A147B"/>
    <w:rsid w:val="008A157D"/>
    <w:rsid w:val="008A34FC"/>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30FB"/>
    <w:rsid w:val="008D4820"/>
    <w:rsid w:val="008D4E23"/>
    <w:rsid w:val="008D6AC3"/>
    <w:rsid w:val="008E1E8E"/>
    <w:rsid w:val="008E2C54"/>
    <w:rsid w:val="008E535A"/>
    <w:rsid w:val="008E6CAE"/>
    <w:rsid w:val="008E7031"/>
    <w:rsid w:val="008F05DF"/>
    <w:rsid w:val="008F14C9"/>
    <w:rsid w:val="008F1E10"/>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C6"/>
    <w:rsid w:val="009064FC"/>
    <w:rsid w:val="0091130F"/>
    <w:rsid w:val="00913C7D"/>
    <w:rsid w:val="00914872"/>
    <w:rsid w:val="00914975"/>
    <w:rsid w:val="00914A87"/>
    <w:rsid w:val="00915BFF"/>
    <w:rsid w:val="00915D05"/>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8734A"/>
    <w:rsid w:val="009920D2"/>
    <w:rsid w:val="009928BC"/>
    <w:rsid w:val="009937B4"/>
    <w:rsid w:val="0099572C"/>
    <w:rsid w:val="00997D3F"/>
    <w:rsid w:val="009A090B"/>
    <w:rsid w:val="009A0A73"/>
    <w:rsid w:val="009A0EDF"/>
    <w:rsid w:val="009A14D0"/>
    <w:rsid w:val="009A1E24"/>
    <w:rsid w:val="009A3D22"/>
    <w:rsid w:val="009A4B08"/>
    <w:rsid w:val="009A574C"/>
    <w:rsid w:val="009A64BE"/>
    <w:rsid w:val="009A6D69"/>
    <w:rsid w:val="009B0884"/>
    <w:rsid w:val="009B0FBF"/>
    <w:rsid w:val="009B1174"/>
    <w:rsid w:val="009B21F2"/>
    <w:rsid w:val="009B4E65"/>
    <w:rsid w:val="009B533B"/>
    <w:rsid w:val="009B5478"/>
    <w:rsid w:val="009B5D28"/>
    <w:rsid w:val="009B615C"/>
    <w:rsid w:val="009B69AA"/>
    <w:rsid w:val="009B74B0"/>
    <w:rsid w:val="009C01D7"/>
    <w:rsid w:val="009C05B5"/>
    <w:rsid w:val="009C1BE3"/>
    <w:rsid w:val="009C2AFC"/>
    <w:rsid w:val="009C381D"/>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6ED7"/>
    <w:rsid w:val="009E7749"/>
    <w:rsid w:val="009E7AC6"/>
    <w:rsid w:val="009E7D2D"/>
    <w:rsid w:val="009F0A79"/>
    <w:rsid w:val="009F11E6"/>
    <w:rsid w:val="009F1D03"/>
    <w:rsid w:val="009F1E42"/>
    <w:rsid w:val="009F2CAC"/>
    <w:rsid w:val="009F4806"/>
    <w:rsid w:val="009F4940"/>
    <w:rsid w:val="00A023BB"/>
    <w:rsid w:val="00A041F4"/>
    <w:rsid w:val="00A04451"/>
    <w:rsid w:val="00A04F9F"/>
    <w:rsid w:val="00A057D1"/>
    <w:rsid w:val="00A05BED"/>
    <w:rsid w:val="00A06AD1"/>
    <w:rsid w:val="00A06E0E"/>
    <w:rsid w:val="00A1210E"/>
    <w:rsid w:val="00A159BF"/>
    <w:rsid w:val="00A15E40"/>
    <w:rsid w:val="00A16975"/>
    <w:rsid w:val="00A16DAF"/>
    <w:rsid w:val="00A16F26"/>
    <w:rsid w:val="00A204F9"/>
    <w:rsid w:val="00A208DD"/>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1E0A"/>
    <w:rsid w:val="00A645F9"/>
    <w:rsid w:val="00A64EBB"/>
    <w:rsid w:val="00A672B8"/>
    <w:rsid w:val="00A6730F"/>
    <w:rsid w:val="00A679F2"/>
    <w:rsid w:val="00A70908"/>
    <w:rsid w:val="00A710C9"/>
    <w:rsid w:val="00A71AA6"/>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11A8"/>
    <w:rsid w:val="00AB1A7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E40E2"/>
    <w:rsid w:val="00AF0CA1"/>
    <w:rsid w:val="00AF0DD2"/>
    <w:rsid w:val="00AF0ED5"/>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5B13"/>
    <w:rsid w:val="00B162BD"/>
    <w:rsid w:val="00B16A28"/>
    <w:rsid w:val="00B1716D"/>
    <w:rsid w:val="00B17367"/>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083B"/>
    <w:rsid w:val="00B6278D"/>
    <w:rsid w:val="00B629E3"/>
    <w:rsid w:val="00B62BB5"/>
    <w:rsid w:val="00B63E2C"/>
    <w:rsid w:val="00B64DF7"/>
    <w:rsid w:val="00B652AF"/>
    <w:rsid w:val="00B65CAC"/>
    <w:rsid w:val="00B66E74"/>
    <w:rsid w:val="00B673A4"/>
    <w:rsid w:val="00B70648"/>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2117"/>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596"/>
    <w:rsid w:val="00BD6CD4"/>
    <w:rsid w:val="00BD7176"/>
    <w:rsid w:val="00BD71BD"/>
    <w:rsid w:val="00BE1F1B"/>
    <w:rsid w:val="00BE2075"/>
    <w:rsid w:val="00BE2DB8"/>
    <w:rsid w:val="00BE2F8A"/>
    <w:rsid w:val="00BE377D"/>
    <w:rsid w:val="00BE3F55"/>
    <w:rsid w:val="00BE40E3"/>
    <w:rsid w:val="00BE47B5"/>
    <w:rsid w:val="00BE5AC5"/>
    <w:rsid w:val="00BE6087"/>
    <w:rsid w:val="00BE7DBC"/>
    <w:rsid w:val="00BF02CB"/>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97"/>
    <w:rsid w:val="00C17CB8"/>
    <w:rsid w:val="00C17EB4"/>
    <w:rsid w:val="00C17F0D"/>
    <w:rsid w:val="00C17FC7"/>
    <w:rsid w:val="00C21CBD"/>
    <w:rsid w:val="00C23054"/>
    <w:rsid w:val="00C238EB"/>
    <w:rsid w:val="00C24398"/>
    <w:rsid w:val="00C248B1"/>
    <w:rsid w:val="00C25A9A"/>
    <w:rsid w:val="00C273A6"/>
    <w:rsid w:val="00C30BBE"/>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7B2"/>
    <w:rsid w:val="00C618D3"/>
    <w:rsid w:val="00C6191E"/>
    <w:rsid w:val="00C62797"/>
    <w:rsid w:val="00C6290C"/>
    <w:rsid w:val="00C63A42"/>
    <w:rsid w:val="00C672E0"/>
    <w:rsid w:val="00C70205"/>
    <w:rsid w:val="00C71806"/>
    <w:rsid w:val="00C729B4"/>
    <w:rsid w:val="00C73A47"/>
    <w:rsid w:val="00C73C83"/>
    <w:rsid w:val="00C74A11"/>
    <w:rsid w:val="00C80612"/>
    <w:rsid w:val="00C81324"/>
    <w:rsid w:val="00C81890"/>
    <w:rsid w:val="00C81A67"/>
    <w:rsid w:val="00C829B8"/>
    <w:rsid w:val="00C8473D"/>
    <w:rsid w:val="00C86679"/>
    <w:rsid w:val="00C86919"/>
    <w:rsid w:val="00C872DB"/>
    <w:rsid w:val="00C87867"/>
    <w:rsid w:val="00C90E2E"/>
    <w:rsid w:val="00C91830"/>
    <w:rsid w:val="00C92095"/>
    <w:rsid w:val="00C9478B"/>
    <w:rsid w:val="00C950AF"/>
    <w:rsid w:val="00C9660A"/>
    <w:rsid w:val="00C96A92"/>
    <w:rsid w:val="00CA04F2"/>
    <w:rsid w:val="00CA0ECB"/>
    <w:rsid w:val="00CA4EE0"/>
    <w:rsid w:val="00CA51FE"/>
    <w:rsid w:val="00CA6B3A"/>
    <w:rsid w:val="00CA771A"/>
    <w:rsid w:val="00CA7D3F"/>
    <w:rsid w:val="00CB0FA5"/>
    <w:rsid w:val="00CB1666"/>
    <w:rsid w:val="00CB45EC"/>
    <w:rsid w:val="00CB666B"/>
    <w:rsid w:val="00CB695E"/>
    <w:rsid w:val="00CC1AC0"/>
    <w:rsid w:val="00CC1D64"/>
    <w:rsid w:val="00CC2B94"/>
    <w:rsid w:val="00CC2C03"/>
    <w:rsid w:val="00CC2CA1"/>
    <w:rsid w:val="00CC3B19"/>
    <w:rsid w:val="00CC6516"/>
    <w:rsid w:val="00CC656F"/>
    <w:rsid w:val="00CC66D6"/>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11"/>
    <w:rsid w:val="00D01CF0"/>
    <w:rsid w:val="00D0442A"/>
    <w:rsid w:val="00D04D56"/>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767"/>
    <w:rsid w:val="00D33489"/>
    <w:rsid w:val="00D35611"/>
    <w:rsid w:val="00D372FA"/>
    <w:rsid w:val="00D3783C"/>
    <w:rsid w:val="00D40B44"/>
    <w:rsid w:val="00D43663"/>
    <w:rsid w:val="00D44037"/>
    <w:rsid w:val="00D4594F"/>
    <w:rsid w:val="00D4681D"/>
    <w:rsid w:val="00D5111E"/>
    <w:rsid w:val="00D5124C"/>
    <w:rsid w:val="00D53F55"/>
    <w:rsid w:val="00D5465E"/>
    <w:rsid w:val="00D61388"/>
    <w:rsid w:val="00D613F3"/>
    <w:rsid w:val="00D615F9"/>
    <w:rsid w:val="00D61A54"/>
    <w:rsid w:val="00D62BAD"/>
    <w:rsid w:val="00D64DEA"/>
    <w:rsid w:val="00D657E7"/>
    <w:rsid w:val="00D65E49"/>
    <w:rsid w:val="00D67D07"/>
    <w:rsid w:val="00D70F71"/>
    <w:rsid w:val="00D71771"/>
    <w:rsid w:val="00D725C2"/>
    <w:rsid w:val="00D73D17"/>
    <w:rsid w:val="00D74261"/>
    <w:rsid w:val="00D74971"/>
    <w:rsid w:val="00D77622"/>
    <w:rsid w:val="00D80893"/>
    <w:rsid w:val="00D839A7"/>
    <w:rsid w:val="00D86899"/>
    <w:rsid w:val="00D87097"/>
    <w:rsid w:val="00D907E0"/>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08E"/>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BAE"/>
    <w:rsid w:val="00E00EC9"/>
    <w:rsid w:val="00E03069"/>
    <w:rsid w:val="00E034A6"/>
    <w:rsid w:val="00E03725"/>
    <w:rsid w:val="00E04818"/>
    <w:rsid w:val="00E06442"/>
    <w:rsid w:val="00E06937"/>
    <w:rsid w:val="00E1045B"/>
    <w:rsid w:val="00E113E2"/>
    <w:rsid w:val="00E115DE"/>
    <w:rsid w:val="00E13056"/>
    <w:rsid w:val="00E135DB"/>
    <w:rsid w:val="00E13C85"/>
    <w:rsid w:val="00E15B15"/>
    <w:rsid w:val="00E15F74"/>
    <w:rsid w:val="00E16EDC"/>
    <w:rsid w:val="00E2257E"/>
    <w:rsid w:val="00E227A4"/>
    <w:rsid w:val="00E2374E"/>
    <w:rsid w:val="00E23993"/>
    <w:rsid w:val="00E23BF0"/>
    <w:rsid w:val="00E24D12"/>
    <w:rsid w:val="00E2504E"/>
    <w:rsid w:val="00E25B8C"/>
    <w:rsid w:val="00E25F40"/>
    <w:rsid w:val="00E3279F"/>
    <w:rsid w:val="00E32A8C"/>
    <w:rsid w:val="00E333EF"/>
    <w:rsid w:val="00E334A4"/>
    <w:rsid w:val="00E337D9"/>
    <w:rsid w:val="00E35AE8"/>
    <w:rsid w:val="00E3678B"/>
    <w:rsid w:val="00E3724C"/>
    <w:rsid w:val="00E37999"/>
    <w:rsid w:val="00E37F0B"/>
    <w:rsid w:val="00E40426"/>
    <w:rsid w:val="00E40B9C"/>
    <w:rsid w:val="00E42976"/>
    <w:rsid w:val="00E42DF3"/>
    <w:rsid w:val="00E43848"/>
    <w:rsid w:val="00E438D4"/>
    <w:rsid w:val="00E43BBA"/>
    <w:rsid w:val="00E4482C"/>
    <w:rsid w:val="00E4680F"/>
    <w:rsid w:val="00E46D48"/>
    <w:rsid w:val="00E47EAD"/>
    <w:rsid w:val="00E511B6"/>
    <w:rsid w:val="00E5181B"/>
    <w:rsid w:val="00E52107"/>
    <w:rsid w:val="00E52216"/>
    <w:rsid w:val="00E52A27"/>
    <w:rsid w:val="00E54461"/>
    <w:rsid w:val="00E55C3C"/>
    <w:rsid w:val="00E56018"/>
    <w:rsid w:val="00E6018A"/>
    <w:rsid w:val="00E605DA"/>
    <w:rsid w:val="00E65839"/>
    <w:rsid w:val="00E65C85"/>
    <w:rsid w:val="00E65CF4"/>
    <w:rsid w:val="00E66199"/>
    <w:rsid w:val="00E675DF"/>
    <w:rsid w:val="00E70B1C"/>
    <w:rsid w:val="00E715D5"/>
    <w:rsid w:val="00E7180D"/>
    <w:rsid w:val="00E71901"/>
    <w:rsid w:val="00E7213B"/>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456D"/>
    <w:rsid w:val="00EB540F"/>
    <w:rsid w:val="00EB7D7F"/>
    <w:rsid w:val="00EC05BF"/>
    <w:rsid w:val="00EC06DF"/>
    <w:rsid w:val="00EC0D58"/>
    <w:rsid w:val="00EC10A1"/>
    <w:rsid w:val="00EC137F"/>
    <w:rsid w:val="00EC24B0"/>
    <w:rsid w:val="00EC2912"/>
    <w:rsid w:val="00EC2CB1"/>
    <w:rsid w:val="00EC317E"/>
    <w:rsid w:val="00EC3568"/>
    <w:rsid w:val="00EC67D4"/>
    <w:rsid w:val="00EC7EB1"/>
    <w:rsid w:val="00ED3C5B"/>
    <w:rsid w:val="00ED4749"/>
    <w:rsid w:val="00ED4A25"/>
    <w:rsid w:val="00ED6E24"/>
    <w:rsid w:val="00EE164B"/>
    <w:rsid w:val="00EE1DEF"/>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4B98"/>
    <w:rsid w:val="00F3590E"/>
    <w:rsid w:val="00F36430"/>
    <w:rsid w:val="00F373A5"/>
    <w:rsid w:val="00F376D3"/>
    <w:rsid w:val="00F42DB4"/>
    <w:rsid w:val="00F44FC5"/>
    <w:rsid w:val="00F45B2F"/>
    <w:rsid w:val="00F47559"/>
    <w:rsid w:val="00F50BD1"/>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1D36"/>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7CC"/>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5890619">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121845305">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387803351">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727416084">
      <w:bodyDiv w:val="1"/>
      <w:marLeft w:val="0"/>
      <w:marRight w:val="0"/>
      <w:marTop w:val="0"/>
      <w:marBottom w:val="0"/>
      <w:divBdr>
        <w:top w:val="none" w:sz="0" w:space="0" w:color="auto"/>
        <w:left w:val="none" w:sz="0" w:space="0" w:color="auto"/>
        <w:bottom w:val="none" w:sz="0" w:space="0" w:color="auto"/>
        <w:right w:val="none" w:sz="0" w:space="0" w:color="auto"/>
      </w:divBdr>
      <w:divsChild>
        <w:div w:id="63842980">
          <w:marLeft w:val="274"/>
          <w:marRight w:val="0"/>
          <w:marTop w:val="0"/>
          <w:marBottom w:val="0"/>
          <w:divBdr>
            <w:top w:val="none" w:sz="0" w:space="0" w:color="auto"/>
            <w:left w:val="none" w:sz="0" w:space="0" w:color="auto"/>
            <w:bottom w:val="none" w:sz="0" w:space="0" w:color="auto"/>
            <w:right w:val="none" w:sz="0" w:space="0" w:color="auto"/>
          </w:divBdr>
        </w:div>
      </w:divsChild>
    </w:div>
    <w:div w:id="1806772397">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186419">
      <w:bodyDiv w:val="1"/>
      <w:marLeft w:val="0"/>
      <w:marRight w:val="0"/>
      <w:marTop w:val="0"/>
      <w:marBottom w:val="0"/>
      <w:divBdr>
        <w:top w:val="none" w:sz="0" w:space="0" w:color="auto"/>
        <w:left w:val="none" w:sz="0" w:space="0" w:color="auto"/>
        <w:bottom w:val="none" w:sz="0" w:space="0" w:color="auto"/>
        <w:right w:val="none" w:sz="0" w:space="0" w:color="auto"/>
      </w:divBdr>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gasbb.com.au/Reports/Medium%20Term%20Capacity.aspx" TargetMode="External"/><Relationship Id="rId2" Type="http://schemas.openxmlformats.org/officeDocument/2006/relationships/hyperlink" Target="https://www.agl.com.au/about-agl/media-centre/article-list/2016/july/agl-update-on-%20fy17-gas%20%20%20portfolio-margins" TargetMode="External"/><Relationship Id="rId1" Type="http://schemas.openxmlformats.org/officeDocument/2006/relationships/hyperlink" Target="http://www.aer.gov.au/wholesale-markets/market-performance/gas-report-26-june-2-july-2016"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4B451A-ECB5-41A8-983E-364F29275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415D1320.dotm</Template>
  <TotalTime>0</TotalTime>
  <Pages>13</Pages>
  <Words>2175</Words>
  <Characters>12399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2016-07-29T05:50:00Z</dcterms:created>
  <dcterms:modified xsi:type="dcterms:W3CDTF">2016-07-29T05:52:00Z</dcterms:modified>
</cp:coreProperties>
</file>