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B127FD" w:rsidP="00286866">
      <w:pPr>
        <w:pStyle w:val="Heading2"/>
        <w:rPr>
          <w:i/>
        </w:rPr>
      </w:pPr>
      <w:r w:rsidRPr="00B127FD">
        <w:rPr>
          <w:sz w:val="36"/>
          <w:szCs w:val="36"/>
        </w:rPr>
        <w:t>16 – 22 October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FA253C" w:rsidRDefault="006851C6" w:rsidP="00F26128">
      <w:pPr>
        <w:jc w:val="both"/>
      </w:pPr>
      <w:r w:rsidRPr="00FA253C">
        <w:t>Figure</w:t>
      </w:r>
      <w:r w:rsidR="005E79D3">
        <w:t xml:space="preserve"> 1 </w:t>
      </w:r>
      <w:r w:rsidR="005E50AF">
        <w:t xml:space="preserve">shows that average daily </w:t>
      </w:r>
      <w:r w:rsidRPr="00FA253C">
        <w:t xml:space="preserve">prices </w:t>
      </w:r>
      <w:r w:rsidR="005E50AF">
        <w:t xml:space="preserve">were slightly lower than last week for all markets except the Victorian Gas Market, which was slightly higher, driven by a weather-related increase in demand (and consequently prices) on </w:t>
      </w:r>
      <w:r w:rsidR="005E50AF" w:rsidRPr="00FA253C">
        <w:t>22</w:t>
      </w:r>
      <w:r w:rsidR="005E50AF">
        <w:t> </w:t>
      </w:r>
      <w:r w:rsidR="005E50AF" w:rsidRPr="00FA253C">
        <w:t>October</w:t>
      </w:r>
      <w:r w:rsidR="005E50AF">
        <w:t xml:space="preserve">. </w:t>
      </w:r>
    </w:p>
    <w:p w:rsidR="006851C6" w:rsidRPr="00FA253C" w:rsidRDefault="006851C6" w:rsidP="006851C6">
      <w:pPr>
        <w:jc w:val="both"/>
      </w:pPr>
      <w:r w:rsidRPr="00FA253C">
        <w:t>Figure</w:t>
      </w:r>
      <w:r w:rsidR="005E79D3">
        <w:t> </w:t>
      </w:r>
      <w:r w:rsidRPr="00FA253C">
        <w:t xml:space="preserve">6.1 </w:t>
      </w:r>
      <w:r w:rsidR="00D76CA0">
        <w:t>(page 12) shows only 21 </w:t>
      </w:r>
      <w:r w:rsidR="00D76CA0" w:rsidRPr="00976596">
        <w:t>TJ</w:t>
      </w:r>
      <w:r w:rsidR="00D76CA0">
        <w:t xml:space="preserve"> of gas was traded </w:t>
      </w:r>
      <w:r w:rsidR="00E32A19" w:rsidRPr="00FA253C">
        <w:t xml:space="preserve">in </w:t>
      </w:r>
      <w:r w:rsidR="00E32A19">
        <w:t xml:space="preserve">the </w:t>
      </w:r>
      <w:r w:rsidR="00E32A19" w:rsidRPr="00FA253C">
        <w:t xml:space="preserve">Gas Supply Hub (GSH) </w:t>
      </w:r>
      <w:r w:rsidR="00D76CA0">
        <w:t xml:space="preserve">this week.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w:t>
      </w:r>
      <w:proofErr w:type="gramStart"/>
      <w:r w:rsidRPr="00EC137F">
        <w:t xml:space="preserve">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w:t>
      </w:r>
      <w:proofErr w:type="gramEnd"/>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F251BC">
        <w:fldChar w:fldCharType="begin"/>
      </w:r>
      <w:r w:rsidR="00F251BC">
        <w:instrText xml:space="preserve"> SEQ Figure \* ARABIC </w:instrText>
      </w:r>
      <w:r w:rsidR="00F251BC">
        <w:fldChar w:fldCharType="separate"/>
      </w:r>
      <w:r w:rsidR="001521CB">
        <w:rPr>
          <w:noProof/>
        </w:rPr>
        <w:t>1</w:t>
      </w:r>
      <w:r w:rsidR="00F251BC">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7E2C7F" w:rsidRPr="006A7228" w:rsidTr="00534DD9">
        <w:trPr>
          <w:trHeight w:val="510"/>
        </w:trPr>
        <w:tc>
          <w:tcPr>
            <w:tcW w:w="749" w:type="pct"/>
            <w:tcBorders>
              <w:top w:val="nil"/>
              <w:bottom w:val="nil"/>
            </w:tcBorders>
            <w:vAlign w:val="center"/>
          </w:tcPr>
          <w:p w:rsidR="007E2C7F" w:rsidRDefault="007E2C7F">
            <w:pPr>
              <w:rPr>
                <w:rFonts w:cs="Arial"/>
                <w:sz w:val="16"/>
                <w:szCs w:val="16"/>
              </w:rPr>
            </w:pPr>
            <w:r>
              <w:rPr>
                <w:rFonts w:cs="Arial"/>
                <w:sz w:val="16"/>
                <w:szCs w:val="16"/>
              </w:rPr>
              <w:t>16 Oct - 22 Oct 2016</w:t>
            </w:r>
          </w:p>
        </w:tc>
        <w:tc>
          <w:tcPr>
            <w:tcW w:w="329" w:type="pct"/>
            <w:tcBorders>
              <w:top w:val="nil"/>
              <w:bottom w:val="nil"/>
            </w:tcBorders>
            <w:vAlign w:val="center"/>
          </w:tcPr>
          <w:p w:rsidR="007E2C7F" w:rsidRDefault="007E2C7F">
            <w:pPr>
              <w:jc w:val="center"/>
              <w:rPr>
                <w:rFonts w:cs="Arial"/>
                <w:sz w:val="20"/>
                <w:szCs w:val="20"/>
              </w:rPr>
            </w:pPr>
            <w:r>
              <w:rPr>
                <w:rFonts w:cs="Arial"/>
                <w:sz w:val="20"/>
                <w:szCs w:val="20"/>
              </w:rPr>
              <w:t>6.69</w:t>
            </w:r>
          </w:p>
        </w:tc>
        <w:tc>
          <w:tcPr>
            <w:tcW w:w="441" w:type="pct"/>
            <w:tcBorders>
              <w:top w:val="nil"/>
              <w:bottom w:val="nil"/>
            </w:tcBorders>
            <w:vAlign w:val="center"/>
          </w:tcPr>
          <w:p w:rsidR="007E2C7F" w:rsidRDefault="007E2C7F">
            <w:pPr>
              <w:jc w:val="center"/>
              <w:rPr>
                <w:rFonts w:cs="Arial"/>
                <w:sz w:val="20"/>
                <w:szCs w:val="20"/>
              </w:rPr>
            </w:pPr>
            <w:r>
              <w:rPr>
                <w:rFonts w:cs="Arial"/>
                <w:sz w:val="20"/>
                <w:szCs w:val="20"/>
              </w:rPr>
              <w:t>584</w:t>
            </w:r>
          </w:p>
        </w:tc>
        <w:tc>
          <w:tcPr>
            <w:tcW w:w="329" w:type="pct"/>
            <w:tcBorders>
              <w:top w:val="nil"/>
              <w:bottom w:val="nil"/>
            </w:tcBorders>
            <w:vAlign w:val="center"/>
          </w:tcPr>
          <w:p w:rsidR="007E2C7F" w:rsidRDefault="007E2C7F">
            <w:pPr>
              <w:jc w:val="center"/>
              <w:rPr>
                <w:rFonts w:cs="Arial"/>
                <w:sz w:val="20"/>
                <w:szCs w:val="20"/>
              </w:rPr>
            </w:pPr>
            <w:r>
              <w:rPr>
                <w:rFonts w:cs="Arial"/>
                <w:sz w:val="20"/>
                <w:szCs w:val="20"/>
              </w:rPr>
              <w:t>6.40</w:t>
            </w:r>
          </w:p>
        </w:tc>
        <w:tc>
          <w:tcPr>
            <w:tcW w:w="417" w:type="pct"/>
            <w:tcBorders>
              <w:top w:val="nil"/>
              <w:bottom w:val="nil"/>
            </w:tcBorders>
            <w:vAlign w:val="center"/>
          </w:tcPr>
          <w:p w:rsidR="007E2C7F" w:rsidRDefault="007E2C7F">
            <w:pPr>
              <w:jc w:val="center"/>
              <w:rPr>
                <w:rFonts w:cs="Arial"/>
                <w:sz w:val="20"/>
                <w:szCs w:val="20"/>
              </w:rPr>
            </w:pPr>
            <w:r>
              <w:rPr>
                <w:rFonts w:cs="Arial"/>
                <w:sz w:val="20"/>
                <w:szCs w:val="20"/>
              </w:rPr>
              <w:t>235</w:t>
            </w:r>
          </w:p>
        </w:tc>
        <w:tc>
          <w:tcPr>
            <w:tcW w:w="329" w:type="pct"/>
            <w:tcBorders>
              <w:top w:val="nil"/>
              <w:bottom w:val="nil"/>
            </w:tcBorders>
            <w:vAlign w:val="center"/>
          </w:tcPr>
          <w:p w:rsidR="007E2C7F" w:rsidRDefault="007E2C7F">
            <w:pPr>
              <w:jc w:val="center"/>
              <w:rPr>
                <w:rFonts w:cs="Arial"/>
                <w:sz w:val="20"/>
                <w:szCs w:val="20"/>
              </w:rPr>
            </w:pPr>
            <w:r>
              <w:rPr>
                <w:rFonts w:cs="Arial"/>
                <w:sz w:val="20"/>
                <w:szCs w:val="20"/>
              </w:rPr>
              <w:t>6.27</w:t>
            </w:r>
          </w:p>
        </w:tc>
        <w:tc>
          <w:tcPr>
            <w:tcW w:w="310" w:type="pct"/>
            <w:tcBorders>
              <w:top w:val="nil"/>
              <w:bottom w:val="nil"/>
            </w:tcBorders>
            <w:vAlign w:val="center"/>
          </w:tcPr>
          <w:p w:rsidR="007E2C7F" w:rsidRDefault="007E2C7F">
            <w:pPr>
              <w:jc w:val="center"/>
              <w:rPr>
                <w:rFonts w:cs="Arial"/>
                <w:sz w:val="20"/>
                <w:szCs w:val="20"/>
              </w:rPr>
            </w:pPr>
            <w:r>
              <w:rPr>
                <w:rFonts w:cs="Arial"/>
                <w:sz w:val="20"/>
                <w:szCs w:val="20"/>
              </w:rPr>
              <w:t>68</w:t>
            </w:r>
          </w:p>
        </w:tc>
        <w:tc>
          <w:tcPr>
            <w:tcW w:w="329" w:type="pct"/>
            <w:tcBorders>
              <w:top w:val="nil"/>
              <w:bottom w:val="nil"/>
            </w:tcBorders>
            <w:vAlign w:val="center"/>
          </w:tcPr>
          <w:p w:rsidR="007E2C7F" w:rsidRDefault="007E2C7F">
            <w:pPr>
              <w:jc w:val="center"/>
              <w:rPr>
                <w:rFonts w:cs="Arial"/>
                <w:sz w:val="20"/>
                <w:szCs w:val="20"/>
              </w:rPr>
            </w:pPr>
            <w:r>
              <w:rPr>
                <w:rFonts w:cs="Arial"/>
                <w:sz w:val="20"/>
                <w:szCs w:val="20"/>
              </w:rPr>
              <w:t>6.10</w:t>
            </w:r>
          </w:p>
        </w:tc>
        <w:tc>
          <w:tcPr>
            <w:tcW w:w="363" w:type="pct"/>
            <w:tcBorders>
              <w:top w:val="nil"/>
              <w:bottom w:val="nil"/>
            </w:tcBorders>
            <w:vAlign w:val="center"/>
          </w:tcPr>
          <w:p w:rsidR="007E2C7F" w:rsidRDefault="007E2C7F">
            <w:pPr>
              <w:jc w:val="center"/>
              <w:rPr>
                <w:rFonts w:cs="Arial"/>
                <w:sz w:val="20"/>
                <w:szCs w:val="20"/>
              </w:rPr>
            </w:pPr>
            <w:r>
              <w:rPr>
                <w:rFonts w:cs="Arial"/>
                <w:sz w:val="20"/>
                <w:szCs w:val="20"/>
              </w:rPr>
              <w:t>66</w:t>
            </w:r>
          </w:p>
        </w:tc>
        <w:tc>
          <w:tcPr>
            <w:tcW w:w="330" w:type="pct"/>
            <w:tcBorders>
              <w:top w:val="nil"/>
              <w:bottom w:val="nil"/>
            </w:tcBorders>
            <w:vAlign w:val="center"/>
          </w:tcPr>
          <w:p w:rsidR="007E2C7F" w:rsidRDefault="007E2C7F">
            <w:pPr>
              <w:jc w:val="center"/>
              <w:rPr>
                <w:rFonts w:cs="Arial"/>
                <w:sz w:val="20"/>
                <w:szCs w:val="20"/>
              </w:rPr>
            </w:pPr>
            <w:r>
              <w:rPr>
                <w:rFonts w:cs="Arial"/>
                <w:sz w:val="20"/>
                <w:szCs w:val="20"/>
              </w:rPr>
              <w:t>5.49</w:t>
            </w:r>
          </w:p>
        </w:tc>
        <w:tc>
          <w:tcPr>
            <w:tcW w:w="359" w:type="pct"/>
            <w:tcBorders>
              <w:top w:val="nil"/>
              <w:bottom w:val="nil"/>
            </w:tcBorders>
            <w:vAlign w:val="center"/>
          </w:tcPr>
          <w:p w:rsidR="007E2C7F" w:rsidRDefault="007E2C7F">
            <w:pPr>
              <w:jc w:val="center"/>
              <w:rPr>
                <w:rFonts w:cs="Arial"/>
                <w:sz w:val="20"/>
                <w:szCs w:val="20"/>
              </w:rPr>
            </w:pPr>
            <w:r>
              <w:rPr>
                <w:rFonts w:cs="Arial"/>
                <w:sz w:val="20"/>
                <w:szCs w:val="20"/>
              </w:rPr>
              <w:t>21</w:t>
            </w:r>
          </w:p>
        </w:tc>
        <w:tc>
          <w:tcPr>
            <w:tcW w:w="303" w:type="pct"/>
            <w:gridSpan w:val="2"/>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12" w:type="pct"/>
            <w:tcBorders>
              <w:top w:val="nil"/>
              <w:bottom w:val="nil"/>
            </w:tcBorders>
            <w:vAlign w:val="center"/>
          </w:tcPr>
          <w:p w:rsidR="007E2C7F" w:rsidRDefault="007E2C7F">
            <w:pPr>
              <w:jc w:val="center"/>
              <w:rPr>
                <w:rFonts w:cs="Arial"/>
                <w:sz w:val="20"/>
                <w:szCs w:val="20"/>
              </w:rPr>
            </w:pPr>
            <w:r>
              <w:rPr>
                <w:rFonts w:cs="Arial"/>
                <w:sz w:val="20"/>
                <w:szCs w:val="20"/>
              </w:rPr>
              <w:t>-</w:t>
            </w:r>
          </w:p>
        </w:tc>
      </w:tr>
      <w:tr w:rsidR="007E2C7F"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7E2C7F" w:rsidRDefault="007E2C7F">
            <w:pPr>
              <w:rPr>
                <w:rFonts w:cs="Arial"/>
                <w:sz w:val="16"/>
                <w:szCs w:val="16"/>
              </w:rPr>
            </w:pPr>
            <w:r>
              <w:rPr>
                <w:rFonts w:cs="Arial"/>
                <w:sz w:val="16"/>
                <w:szCs w:val="16"/>
              </w:rPr>
              <w:t>% change from previous week</w:t>
            </w:r>
          </w:p>
        </w:tc>
        <w:tc>
          <w:tcPr>
            <w:tcW w:w="329" w:type="pct"/>
            <w:tcBorders>
              <w:top w:val="nil"/>
              <w:bottom w:val="nil"/>
            </w:tcBorders>
            <w:vAlign w:val="center"/>
          </w:tcPr>
          <w:p w:rsidR="007E2C7F" w:rsidRDefault="007E2C7F">
            <w:pPr>
              <w:jc w:val="center"/>
              <w:rPr>
                <w:rFonts w:cs="Arial"/>
                <w:szCs w:val="20"/>
              </w:rPr>
            </w:pPr>
            <w:r>
              <w:rPr>
                <w:rFonts w:cs="Arial"/>
                <w:szCs w:val="20"/>
              </w:rPr>
              <w:t>7</w:t>
            </w:r>
          </w:p>
        </w:tc>
        <w:tc>
          <w:tcPr>
            <w:tcW w:w="441" w:type="pct"/>
            <w:tcBorders>
              <w:top w:val="nil"/>
              <w:bottom w:val="nil"/>
            </w:tcBorders>
            <w:vAlign w:val="center"/>
          </w:tcPr>
          <w:p w:rsidR="007E2C7F" w:rsidRDefault="007E2C7F">
            <w:pPr>
              <w:jc w:val="center"/>
              <w:rPr>
                <w:rFonts w:cs="Arial"/>
                <w:szCs w:val="20"/>
              </w:rPr>
            </w:pPr>
            <w:r>
              <w:rPr>
                <w:rFonts w:cs="Arial"/>
                <w:szCs w:val="20"/>
              </w:rPr>
              <w:t>2</w:t>
            </w:r>
          </w:p>
        </w:tc>
        <w:tc>
          <w:tcPr>
            <w:tcW w:w="329" w:type="pct"/>
            <w:tcBorders>
              <w:top w:val="nil"/>
              <w:bottom w:val="nil"/>
            </w:tcBorders>
            <w:vAlign w:val="center"/>
          </w:tcPr>
          <w:p w:rsidR="007E2C7F" w:rsidRDefault="007E2C7F">
            <w:pPr>
              <w:jc w:val="center"/>
              <w:rPr>
                <w:rFonts w:cs="Arial"/>
                <w:szCs w:val="20"/>
              </w:rPr>
            </w:pPr>
            <w:r>
              <w:rPr>
                <w:rFonts w:cs="Arial"/>
                <w:szCs w:val="20"/>
              </w:rPr>
              <w:t>-3</w:t>
            </w:r>
          </w:p>
        </w:tc>
        <w:tc>
          <w:tcPr>
            <w:tcW w:w="417" w:type="pct"/>
            <w:tcBorders>
              <w:top w:val="nil"/>
              <w:bottom w:val="nil"/>
            </w:tcBorders>
            <w:vAlign w:val="center"/>
          </w:tcPr>
          <w:p w:rsidR="007E2C7F" w:rsidRDefault="007E2C7F">
            <w:pPr>
              <w:jc w:val="center"/>
              <w:rPr>
                <w:rFonts w:cs="Arial"/>
                <w:szCs w:val="20"/>
              </w:rPr>
            </w:pPr>
            <w:r>
              <w:rPr>
                <w:rFonts w:cs="Arial"/>
                <w:szCs w:val="20"/>
              </w:rPr>
              <w:t>-6</w:t>
            </w:r>
          </w:p>
        </w:tc>
        <w:tc>
          <w:tcPr>
            <w:tcW w:w="329" w:type="pct"/>
            <w:tcBorders>
              <w:top w:val="nil"/>
              <w:bottom w:val="nil"/>
            </w:tcBorders>
            <w:vAlign w:val="center"/>
          </w:tcPr>
          <w:p w:rsidR="007E2C7F" w:rsidRDefault="007E2C7F">
            <w:pPr>
              <w:jc w:val="center"/>
              <w:rPr>
                <w:rFonts w:cs="Arial"/>
                <w:szCs w:val="20"/>
              </w:rPr>
            </w:pPr>
            <w:r>
              <w:rPr>
                <w:rFonts w:cs="Arial"/>
                <w:szCs w:val="20"/>
              </w:rPr>
              <w:t>-4</w:t>
            </w:r>
          </w:p>
        </w:tc>
        <w:tc>
          <w:tcPr>
            <w:tcW w:w="310" w:type="pct"/>
            <w:tcBorders>
              <w:top w:val="nil"/>
              <w:bottom w:val="nil"/>
            </w:tcBorders>
            <w:vAlign w:val="center"/>
          </w:tcPr>
          <w:p w:rsidR="007E2C7F" w:rsidRDefault="007E2C7F">
            <w:pPr>
              <w:jc w:val="center"/>
              <w:rPr>
                <w:rFonts w:cs="Arial"/>
                <w:szCs w:val="20"/>
              </w:rPr>
            </w:pPr>
            <w:r>
              <w:rPr>
                <w:rFonts w:cs="Arial"/>
                <w:szCs w:val="20"/>
              </w:rPr>
              <w:t>19</w:t>
            </w:r>
          </w:p>
        </w:tc>
        <w:tc>
          <w:tcPr>
            <w:tcW w:w="329" w:type="pct"/>
            <w:tcBorders>
              <w:top w:val="nil"/>
              <w:bottom w:val="nil"/>
            </w:tcBorders>
            <w:vAlign w:val="center"/>
          </w:tcPr>
          <w:p w:rsidR="007E2C7F" w:rsidRDefault="007E2C7F">
            <w:pPr>
              <w:jc w:val="center"/>
              <w:rPr>
                <w:rFonts w:cs="Arial"/>
                <w:szCs w:val="20"/>
              </w:rPr>
            </w:pPr>
            <w:r>
              <w:rPr>
                <w:rFonts w:cs="Arial"/>
                <w:szCs w:val="20"/>
              </w:rPr>
              <w:t>0</w:t>
            </w:r>
          </w:p>
        </w:tc>
        <w:tc>
          <w:tcPr>
            <w:tcW w:w="363" w:type="pct"/>
            <w:tcBorders>
              <w:top w:val="nil"/>
              <w:bottom w:val="nil"/>
            </w:tcBorders>
            <w:vAlign w:val="center"/>
          </w:tcPr>
          <w:p w:rsidR="007E2C7F" w:rsidRDefault="007E2C7F">
            <w:pPr>
              <w:jc w:val="center"/>
              <w:rPr>
                <w:rFonts w:cs="Arial"/>
                <w:szCs w:val="20"/>
              </w:rPr>
            </w:pPr>
            <w:r>
              <w:rPr>
                <w:rFonts w:cs="Arial"/>
                <w:szCs w:val="20"/>
              </w:rPr>
              <w:t>-2</w:t>
            </w:r>
          </w:p>
        </w:tc>
        <w:tc>
          <w:tcPr>
            <w:tcW w:w="330" w:type="pct"/>
            <w:tcBorders>
              <w:top w:val="nil"/>
              <w:bottom w:val="nil"/>
            </w:tcBorders>
            <w:vAlign w:val="center"/>
          </w:tcPr>
          <w:p w:rsidR="007E2C7F" w:rsidRDefault="007E2C7F">
            <w:pPr>
              <w:jc w:val="center"/>
              <w:rPr>
                <w:rFonts w:cs="Arial"/>
                <w:szCs w:val="20"/>
              </w:rPr>
            </w:pPr>
            <w:r>
              <w:rPr>
                <w:rFonts w:cs="Arial"/>
                <w:szCs w:val="20"/>
              </w:rPr>
              <w:t>-5</w:t>
            </w:r>
          </w:p>
        </w:tc>
        <w:tc>
          <w:tcPr>
            <w:tcW w:w="359" w:type="pct"/>
            <w:tcBorders>
              <w:top w:val="nil"/>
              <w:bottom w:val="nil"/>
            </w:tcBorders>
            <w:vAlign w:val="center"/>
          </w:tcPr>
          <w:p w:rsidR="007E2C7F" w:rsidRDefault="007E2C7F">
            <w:pPr>
              <w:jc w:val="center"/>
              <w:rPr>
                <w:rFonts w:cs="Arial"/>
                <w:szCs w:val="20"/>
              </w:rPr>
            </w:pPr>
            <w:r>
              <w:rPr>
                <w:rFonts w:cs="Arial"/>
                <w:szCs w:val="20"/>
              </w:rPr>
              <w:t>-59</w:t>
            </w:r>
          </w:p>
        </w:tc>
        <w:tc>
          <w:tcPr>
            <w:tcW w:w="303" w:type="pct"/>
            <w:gridSpan w:val="2"/>
            <w:tcBorders>
              <w:top w:val="nil"/>
              <w:bottom w:val="nil"/>
            </w:tcBorders>
            <w:vAlign w:val="center"/>
          </w:tcPr>
          <w:p w:rsidR="007E2C7F" w:rsidRDefault="007E2C7F">
            <w:pPr>
              <w:jc w:val="center"/>
              <w:rPr>
                <w:rFonts w:cs="Arial"/>
                <w:szCs w:val="20"/>
              </w:rPr>
            </w:pPr>
            <w:r>
              <w:rPr>
                <w:rFonts w:cs="Arial"/>
                <w:szCs w:val="20"/>
              </w:rPr>
              <w:t>-</w:t>
            </w:r>
          </w:p>
        </w:tc>
        <w:tc>
          <w:tcPr>
            <w:tcW w:w="412" w:type="pct"/>
            <w:tcBorders>
              <w:top w:val="nil"/>
              <w:bottom w:val="nil"/>
            </w:tcBorders>
            <w:vAlign w:val="center"/>
          </w:tcPr>
          <w:p w:rsidR="007E2C7F" w:rsidRDefault="007E2C7F">
            <w:pPr>
              <w:jc w:val="center"/>
              <w:rPr>
                <w:rFonts w:cs="Arial"/>
                <w:szCs w:val="20"/>
              </w:rPr>
            </w:pPr>
            <w:r>
              <w:rPr>
                <w:rFonts w:cs="Arial"/>
                <w:szCs w:val="20"/>
              </w:rPr>
              <w:t>-</w:t>
            </w:r>
          </w:p>
        </w:tc>
      </w:tr>
      <w:tr w:rsidR="007E2C7F" w:rsidRPr="006A7228" w:rsidTr="00534DD9">
        <w:trPr>
          <w:trHeight w:val="510"/>
        </w:trPr>
        <w:tc>
          <w:tcPr>
            <w:tcW w:w="749" w:type="pct"/>
            <w:tcBorders>
              <w:top w:val="nil"/>
              <w:bottom w:val="nil"/>
            </w:tcBorders>
            <w:vAlign w:val="center"/>
          </w:tcPr>
          <w:p w:rsidR="007E2C7F" w:rsidRDefault="007E2C7F">
            <w:pPr>
              <w:rPr>
                <w:rFonts w:cs="Arial"/>
                <w:sz w:val="16"/>
                <w:szCs w:val="16"/>
              </w:rPr>
            </w:pPr>
            <w:r>
              <w:rPr>
                <w:rFonts w:cs="Arial"/>
                <w:sz w:val="16"/>
                <w:szCs w:val="16"/>
              </w:rPr>
              <w:t>16-17 financial YTD</w:t>
            </w:r>
          </w:p>
        </w:tc>
        <w:tc>
          <w:tcPr>
            <w:tcW w:w="329" w:type="pct"/>
            <w:tcBorders>
              <w:top w:val="nil"/>
              <w:bottom w:val="nil"/>
            </w:tcBorders>
            <w:vAlign w:val="center"/>
          </w:tcPr>
          <w:p w:rsidR="007E2C7F" w:rsidRDefault="007E2C7F">
            <w:pPr>
              <w:jc w:val="center"/>
              <w:rPr>
                <w:rFonts w:cs="Arial"/>
                <w:sz w:val="20"/>
                <w:szCs w:val="20"/>
              </w:rPr>
            </w:pPr>
            <w:r>
              <w:rPr>
                <w:rFonts w:cs="Arial"/>
                <w:sz w:val="20"/>
                <w:szCs w:val="20"/>
              </w:rPr>
              <w:t>8.42</w:t>
            </w:r>
          </w:p>
        </w:tc>
        <w:tc>
          <w:tcPr>
            <w:tcW w:w="441" w:type="pct"/>
            <w:tcBorders>
              <w:top w:val="nil"/>
              <w:bottom w:val="nil"/>
            </w:tcBorders>
            <w:vAlign w:val="center"/>
          </w:tcPr>
          <w:p w:rsidR="007E2C7F" w:rsidRDefault="007E2C7F">
            <w:pPr>
              <w:jc w:val="center"/>
              <w:rPr>
                <w:rFonts w:cs="Arial"/>
                <w:sz w:val="20"/>
                <w:szCs w:val="20"/>
              </w:rPr>
            </w:pPr>
            <w:r>
              <w:rPr>
                <w:rFonts w:cs="Arial"/>
                <w:sz w:val="20"/>
                <w:szCs w:val="20"/>
              </w:rPr>
              <w:t>753</w:t>
            </w:r>
          </w:p>
        </w:tc>
        <w:tc>
          <w:tcPr>
            <w:tcW w:w="329" w:type="pct"/>
            <w:tcBorders>
              <w:top w:val="nil"/>
              <w:bottom w:val="nil"/>
            </w:tcBorders>
            <w:vAlign w:val="center"/>
          </w:tcPr>
          <w:p w:rsidR="007E2C7F" w:rsidRDefault="007E2C7F">
            <w:pPr>
              <w:jc w:val="center"/>
              <w:rPr>
                <w:rFonts w:cs="Arial"/>
                <w:sz w:val="20"/>
                <w:szCs w:val="20"/>
              </w:rPr>
            </w:pPr>
            <w:r>
              <w:rPr>
                <w:rFonts w:cs="Arial"/>
                <w:sz w:val="20"/>
                <w:szCs w:val="20"/>
              </w:rPr>
              <w:t>7.54</w:t>
            </w:r>
          </w:p>
        </w:tc>
        <w:tc>
          <w:tcPr>
            <w:tcW w:w="417" w:type="pct"/>
            <w:tcBorders>
              <w:top w:val="nil"/>
              <w:bottom w:val="nil"/>
            </w:tcBorders>
            <w:vAlign w:val="center"/>
          </w:tcPr>
          <w:p w:rsidR="007E2C7F" w:rsidRDefault="007E2C7F">
            <w:pPr>
              <w:jc w:val="center"/>
              <w:rPr>
                <w:rFonts w:cs="Arial"/>
                <w:sz w:val="20"/>
                <w:szCs w:val="20"/>
              </w:rPr>
            </w:pPr>
            <w:r>
              <w:rPr>
                <w:rFonts w:cs="Arial"/>
                <w:sz w:val="20"/>
                <w:szCs w:val="20"/>
              </w:rPr>
              <w:t>269</w:t>
            </w:r>
          </w:p>
        </w:tc>
        <w:tc>
          <w:tcPr>
            <w:tcW w:w="329" w:type="pct"/>
            <w:tcBorders>
              <w:top w:val="nil"/>
              <w:bottom w:val="nil"/>
            </w:tcBorders>
            <w:vAlign w:val="center"/>
          </w:tcPr>
          <w:p w:rsidR="007E2C7F" w:rsidRDefault="007E2C7F">
            <w:pPr>
              <w:jc w:val="center"/>
              <w:rPr>
                <w:rFonts w:cs="Arial"/>
                <w:sz w:val="20"/>
                <w:szCs w:val="20"/>
              </w:rPr>
            </w:pPr>
            <w:r>
              <w:rPr>
                <w:rFonts w:cs="Arial"/>
                <w:sz w:val="20"/>
                <w:szCs w:val="20"/>
              </w:rPr>
              <w:t>8.94</w:t>
            </w:r>
          </w:p>
        </w:tc>
        <w:tc>
          <w:tcPr>
            <w:tcW w:w="310" w:type="pct"/>
            <w:tcBorders>
              <w:top w:val="nil"/>
              <w:bottom w:val="nil"/>
            </w:tcBorders>
            <w:vAlign w:val="center"/>
          </w:tcPr>
          <w:p w:rsidR="007E2C7F" w:rsidRDefault="007E2C7F">
            <w:pPr>
              <w:jc w:val="center"/>
              <w:rPr>
                <w:rFonts w:cs="Arial"/>
                <w:sz w:val="20"/>
                <w:szCs w:val="20"/>
              </w:rPr>
            </w:pPr>
            <w:r>
              <w:rPr>
                <w:rFonts w:cs="Arial"/>
                <w:sz w:val="20"/>
                <w:szCs w:val="20"/>
              </w:rPr>
              <w:t>78</w:t>
            </w:r>
          </w:p>
        </w:tc>
        <w:tc>
          <w:tcPr>
            <w:tcW w:w="329" w:type="pct"/>
            <w:tcBorders>
              <w:top w:val="nil"/>
              <w:bottom w:val="nil"/>
            </w:tcBorders>
            <w:vAlign w:val="center"/>
          </w:tcPr>
          <w:p w:rsidR="007E2C7F" w:rsidRDefault="007E2C7F">
            <w:pPr>
              <w:jc w:val="center"/>
              <w:rPr>
                <w:rFonts w:cs="Arial"/>
                <w:sz w:val="20"/>
                <w:szCs w:val="20"/>
              </w:rPr>
            </w:pPr>
            <w:r>
              <w:rPr>
                <w:rFonts w:cs="Arial"/>
                <w:sz w:val="20"/>
                <w:szCs w:val="20"/>
              </w:rPr>
              <w:t>6.98</w:t>
            </w:r>
          </w:p>
        </w:tc>
        <w:tc>
          <w:tcPr>
            <w:tcW w:w="363" w:type="pct"/>
            <w:tcBorders>
              <w:top w:val="nil"/>
              <w:bottom w:val="nil"/>
            </w:tcBorders>
            <w:vAlign w:val="center"/>
          </w:tcPr>
          <w:p w:rsidR="007E2C7F" w:rsidRDefault="007E2C7F">
            <w:pPr>
              <w:jc w:val="center"/>
              <w:rPr>
                <w:rFonts w:cs="Arial"/>
                <w:sz w:val="20"/>
                <w:szCs w:val="20"/>
              </w:rPr>
            </w:pPr>
            <w:r>
              <w:rPr>
                <w:rFonts w:cs="Arial"/>
                <w:sz w:val="20"/>
                <w:szCs w:val="20"/>
              </w:rPr>
              <w:t>88</w:t>
            </w:r>
          </w:p>
        </w:tc>
        <w:tc>
          <w:tcPr>
            <w:tcW w:w="330" w:type="pct"/>
            <w:tcBorders>
              <w:top w:val="nil"/>
              <w:bottom w:val="nil"/>
            </w:tcBorders>
            <w:vAlign w:val="center"/>
          </w:tcPr>
          <w:p w:rsidR="007E2C7F" w:rsidRDefault="007E2C7F">
            <w:pPr>
              <w:jc w:val="center"/>
              <w:rPr>
                <w:rFonts w:cs="Arial"/>
                <w:sz w:val="20"/>
                <w:szCs w:val="20"/>
              </w:rPr>
            </w:pPr>
            <w:r>
              <w:rPr>
                <w:rFonts w:cs="Arial"/>
                <w:sz w:val="20"/>
                <w:szCs w:val="20"/>
              </w:rPr>
              <w:t>7.91</w:t>
            </w:r>
          </w:p>
        </w:tc>
        <w:tc>
          <w:tcPr>
            <w:tcW w:w="359" w:type="pct"/>
            <w:tcBorders>
              <w:top w:val="nil"/>
              <w:bottom w:val="nil"/>
            </w:tcBorders>
            <w:vAlign w:val="center"/>
          </w:tcPr>
          <w:p w:rsidR="007E2C7F" w:rsidRDefault="007E2C7F">
            <w:pPr>
              <w:jc w:val="center"/>
              <w:rPr>
                <w:rFonts w:cs="Arial"/>
                <w:sz w:val="20"/>
                <w:szCs w:val="20"/>
              </w:rPr>
            </w:pPr>
            <w:r>
              <w:rPr>
                <w:rFonts w:cs="Arial"/>
                <w:sz w:val="20"/>
                <w:szCs w:val="20"/>
              </w:rPr>
              <w:t>4237</w:t>
            </w:r>
          </w:p>
        </w:tc>
        <w:tc>
          <w:tcPr>
            <w:tcW w:w="303" w:type="pct"/>
            <w:gridSpan w:val="2"/>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12" w:type="pct"/>
            <w:tcBorders>
              <w:top w:val="nil"/>
              <w:bottom w:val="nil"/>
            </w:tcBorders>
            <w:vAlign w:val="center"/>
          </w:tcPr>
          <w:p w:rsidR="007E2C7F" w:rsidRDefault="007E2C7F">
            <w:pPr>
              <w:jc w:val="center"/>
              <w:rPr>
                <w:rFonts w:cs="Arial"/>
                <w:sz w:val="20"/>
                <w:szCs w:val="20"/>
              </w:rPr>
            </w:pPr>
            <w:r>
              <w:rPr>
                <w:rFonts w:cs="Arial"/>
                <w:sz w:val="20"/>
                <w:szCs w:val="20"/>
              </w:rPr>
              <w:t>-</w:t>
            </w:r>
          </w:p>
        </w:tc>
      </w:tr>
      <w:tr w:rsidR="007E2C7F"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7E2C7F" w:rsidRDefault="007E2C7F">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7E2C7F" w:rsidRDefault="007E2C7F">
            <w:pPr>
              <w:jc w:val="center"/>
              <w:rPr>
                <w:rFonts w:cs="Arial"/>
                <w:szCs w:val="20"/>
              </w:rPr>
            </w:pPr>
            <w:r>
              <w:rPr>
                <w:rFonts w:cs="Arial"/>
                <w:szCs w:val="20"/>
              </w:rPr>
              <w:t>88</w:t>
            </w:r>
          </w:p>
        </w:tc>
        <w:tc>
          <w:tcPr>
            <w:tcW w:w="441" w:type="pct"/>
            <w:tcBorders>
              <w:top w:val="nil"/>
              <w:bottom w:val="single" w:sz="4" w:space="0" w:color="auto"/>
            </w:tcBorders>
            <w:vAlign w:val="center"/>
          </w:tcPr>
          <w:p w:rsidR="007E2C7F" w:rsidRDefault="007E2C7F">
            <w:pPr>
              <w:jc w:val="center"/>
              <w:rPr>
                <w:rFonts w:cs="Arial"/>
                <w:szCs w:val="20"/>
              </w:rPr>
            </w:pPr>
            <w:r>
              <w:rPr>
                <w:rFonts w:cs="Arial"/>
                <w:szCs w:val="20"/>
              </w:rPr>
              <w:t>-5</w:t>
            </w:r>
          </w:p>
        </w:tc>
        <w:tc>
          <w:tcPr>
            <w:tcW w:w="329" w:type="pct"/>
            <w:tcBorders>
              <w:top w:val="nil"/>
              <w:bottom w:val="single" w:sz="4" w:space="0" w:color="auto"/>
            </w:tcBorders>
            <w:vAlign w:val="center"/>
          </w:tcPr>
          <w:p w:rsidR="007E2C7F" w:rsidRDefault="007E2C7F">
            <w:pPr>
              <w:jc w:val="center"/>
              <w:rPr>
                <w:rFonts w:cs="Arial"/>
                <w:szCs w:val="20"/>
              </w:rPr>
            </w:pPr>
            <w:r>
              <w:rPr>
                <w:rFonts w:cs="Arial"/>
                <w:szCs w:val="20"/>
              </w:rPr>
              <w:t>55</w:t>
            </w:r>
          </w:p>
        </w:tc>
        <w:tc>
          <w:tcPr>
            <w:tcW w:w="417" w:type="pct"/>
            <w:tcBorders>
              <w:top w:val="nil"/>
              <w:bottom w:val="single" w:sz="4" w:space="0" w:color="auto"/>
            </w:tcBorders>
            <w:vAlign w:val="center"/>
          </w:tcPr>
          <w:p w:rsidR="007E2C7F" w:rsidRDefault="007E2C7F">
            <w:pPr>
              <w:jc w:val="center"/>
              <w:rPr>
                <w:rFonts w:cs="Arial"/>
                <w:szCs w:val="20"/>
              </w:rPr>
            </w:pPr>
            <w:r>
              <w:rPr>
                <w:rFonts w:cs="Arial"/>
                <w:szCs w:val="20"/>
              </w:rPr>
              <w:t>2</w:t>
            </w:r>
          </w:p>
        </w:tc>
        <w:tc>
          <w:tcPr>
            <w:tcW w:w="329" w:type="pct"/>
            <w:tcBorders>
              <w:top w:val="nil"/>
              <w:bottom w:val="single" w:sz="4" w:space="0" w:color="auto"/>
            </w:tcBorders>
            <w:vAlign w:val="center"/>
          </w:tcPr>
          <w:p w:rsidR="007E2C7F" w:rsidRDefault="007E2C7F">
            <w:pPr>
              <w:jc w:val="center"/>
              <w:rPr>
                <w:rFonts w:cs="Arial"/>
                <w:szCs w:val="20"/>
              </w:rPr>
            </w:pPr>
            <w:r>
              <w:rPr>
                <w:rFonts w:cs="Arial"/>
                <w:szCs w:val="20"/>
              </w:rPr>
              <w:t>68</w:t>
            </w:r>
          </w:p>
        </w:tc>
        <w:tc>
          <w:tcPr>
            <w:tcW w:w="310" w:type="pct"/>
            <w:tcBorders>
              <w:top w:val="nil"/>
              <w:bottom w:val="single" w:sz="4" w:space="0" w:color="auto"/>
            </w:tcBorders>
            <w:vAlign w:val="center"/>
          </w:tcPr>
          <w:p w:rsidR="007E2C7F" w:rsidRDefault="007E2C7F">
            <w:pPr>
              <w:jc w:val="center"/>
              <w:rPr>
                <w:rFonts w:cs="Arial"/>
                <w:szCs w:val="20"/>
              </w:rPr>
            </w:pPr>
            <w:r>
              <w:rPr>
                <w:rFonts w:cs="Arial"/>
                <w:szCs w:val="20"/>
              </w:rPr>
              <w:t>0</w:t>
            </w:r>
          </w:p>
        </w:tc>
        <w:tc>
          <w:tcPr>
            <w:tcW w:w="329" w:type="pct"/>
            <w:tcBorders>
              <w:top w:val="nil"/>
              <w:bottom w:val="single" w:sz="4" w:space="0" w:color="auto"/>
            </w:tcBorders>
            <w:vAlign w:val="center"/>
          </w:tcPr>
          <w:p w:rsidR="007E2C7F" w:rsidRDefault="007E2C7F">
            <w:pPr>
              <w:jc w:val="center"/>
              <w:rPr>
                <w:rFonts w:cs="Arial"/>
                <w:szCs w:val="20"/>
              </w:rPr>
            </w:pPr>
            <w:r>
              <w:rPr>
                <w:rFonts w:cs="Arial"/>
                <w:szCs w:val="20"/>
              </w:rPr>
              <w:t>75</w:t>
            </w:r>
          </w:p>
        </w:tc>
        <w:tc>
          <w:tcPr>
            <w:tcW w:w="363" w:type="pct"/>
            <w:tcBorders>
              <w:top w:val="nil"/>
              <w:bottom w:val="single" w:sz="4" w:space="0" w:color="auto"/>
            </w:tcBorders>
            <w:vAlign w:val="center"/>
          </w:tcPr>
          <w:p w:rsidR="007E2C7F" w:rsidRDefault="007E2C7F">
            <w:pPr>
              <w:jc w:val="center"/>
              <w:rPr>
                <w:rFonts w:cs="Arial"/>
                <w:szCs w:val="20"/>
              </w:rPr>
            </w:pPr>
            <w:r>
              <w:rPr>
                <w:rFonts w:cs="Arial"/>
                <w:szCs w:val="20"/>
              </w:rPr>
              <w:t>-6</w:t>
            </w:r>
          </w:p>
        </w:tc>
        <w:tc>
          <w:tcPr>
            <w:tcW w:w="330" w:type="pct"/>
            <w:tcBorders>
              <w:top w:val="nil"/>
              <w:bottom w:val="single" w:sz="4" w:space="0" w:color="auto"/>
            </w:tcBorders>
            <w:vAlign w:val="center"/>
          </w:tcPr>
          <w:p w:rsidR="007E2C7F" w:rsidRDefault="007E2C7F">
            <w:pPr>
              <w:jc w:val="center"/>
              <w:rPr>
                <w:rFonts w:cs="Arial"/>
                <w:szCs w:val="20"/>
              </w:rPr>
            </w:pPr>
            <w:r>
              <w:rPr>
                <w:rFonts w:cs="Arial"/>
                <w:szCs w:val="20"/>
              </w:rPr>
              <w:t>110</w:t>
            </w:r>
          </w:p>
        </w:tc>
        <w:tc>
          <w:tcPr>
            <w:tcW w:w="359" w:type="pct"/>
            <w:tcBorders>
              <w:top w:val="nil"/>
              <w:bottom w:val="single" w:sz="4" w:space="0" w:color="auto"/>
            </w:tcBorders>
            <w:vAlign w:val="center"/>
          </w:tcPr>
          <w:p w:rsidR="007E2C7F" w:rsidRDefault="007E2C7F">
            <w:pPr>
              <w:jc w:val="center"/>
              <w:rPr>
                <w:rFonts w:cs="Arial"/>
                <w:szCs w:val="20"/>
              </w:rPr>
            </w:pPr>
            <w:r>
              <w:rPr>
                <w:rFonts w:cs="Arial"/>
                <w:szCs w:val="20"/>
              </w:rPr>
              <w:t>32</w:t>
            </w:r>
          </w:p>
        </w:tc>
        <w:tc>
          <w:tcPr>
            <w:tcW w:w="303" w:type="pct"/>
            <w:gridSpan w:val="2"/>
            <w:tcBorders>
              <w:top w:val="nil"/>
              <w:bottom w:val="single" w:sz="4" w:space="0" w:color="auto"/>
            </w:tcBorders>
            <w:vAlign w:val="center"/>
          </w:tcPr>
          <w:p w:rsidR="007E2C7F" w:rsidRDefault="007E2C7F">
            <w:pPr>
              <w:jc w:val="center"/>
              <w:rPr>
                <w:rFonts w:cs="Arial"/>
                <w:szCs w:val="20"/>
              </w:rPr>
            </w:pPr>
            <w:r>
              <w:rPr>
                <w:rFonts w:cs="Arial"/>
                <w:szCs w:val="20"/>
              </w:rPr>
              <w:t>-</w:t>
            </w:r>
          </w:p>
        </w:tc>
        <w:tc>
          <w:tcPr>
            <w:tcW w:w="412" w:type="pct"/>
            <w:tcBorders>
              <w:top w:val="nil"/>
              <w:bottom w:val="single" w:sz="4" w:space="0" w:color="auto"/>
            </w:tcBorders>
            <w:vAlign w:val="center"/>
          </w:tcPr>
          <w:p w:rsidR="007E2C7F" w:rsidRDefault="007E2C7F">
            <w:pPr>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F251BC">
        <w:fldChar w:fldCharType="begin"/>
      </w:r>
      <w:r w:rsidR="00F251BC">
        <w:instrText xml:space="preserve"> SEQ Figure \* ARABIC </w:instrText>
      </w:r>
      <w:r w:rsidR="00F251BC">
        <w:fldChar w:fldCharType="separate"/>
      </w:r>
      <w:r>
        <w:rPr>
          <w:noProof/>
        </w:rPr>
        <w:t>2</w:t>
      </w:r>
      <w:r w:rsidR="00F251BC">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7E2C7F" w:rsidP="001521CB">
      <w:r w:rsidRPr="007E2C7F">
        <w:rPr>
          <w:noProof/>
          <w:lang w:eastAsia="en-AU"/>
        </w:rPr>
        <w:drawing>
          <wp:inline distT="0" distB="0" distL="0" distR="0" wp14:anchorId="2E90F100" wp14:editId="097A4AD2">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976596" w:rsidRDefault="00976596" w:rsidP="00F26128">
      <w:pPr>
        <w:pStyle w:val="AERbodytext"/>
      </w:pP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F251BC">
        <w:fldChar w:fldCharType="begin"/>
      </w:r>
      <w:r w:rsidR="00F251BC">
        <w:instrText xml:space="preserve"> SEQ Figure \* ARABIC </w:instrText>
      </w:r>
      <w:r w:rsidR="00F251BC">
        <w:fldChar w:fldCharType="separate"/>
      </w:r>
      <w:r>
        <w:rPr>
          <w:noProof/>
        </w:rPr>
        <w:t>3</w:t>
      </w:r>
      <w:r w:rsidR="00F251BC">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7E2C7F" w:rsidRPr="00405CDE" w:rsidTr="00534DD9">
        <w:trPr>
          <w:trHeight w:val="510"/>
        </w:trPr>
        <w:tc>
          <w:tcPr>
            <w:tcW w:w="1585" w:type="pct"/>
            <w:tcBorders>
              <w:top w:val="nil"/>
              <w:bottom w:val="nil"/>
            </w:tcBorders>
            <w:vAlign w:val="center"/>
          </w:tcPr>
          <w:p w:rsidR="007E2C7F" w:rsidRDefault="007E2C7F">
            <w:pPr>
              <w:rPr>
                <w:rFonts w:cs="Arial"/>
                <w:sz w:val="16"/>
                <w:szCs w:val="16"/>
              </w:rPr>
            </w:pPr>
            <w:r>
              <w:rPr>
                <w:rFonts w:cs="Arial"/>
                <w:sz w:val="16"/>
                <w:szCs w:val="16"/>
              </w:rPr>
              <w:t>16 Oct - 22 Oct 2016</w:t>
            </w:r>
          </w:p>
        </w:tc>
        <w:tc>
          <w:tcPr>
            <w:tcW w:w="993"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758" w:type="pct"/>
            <w:tcBorders>
              <w:top w:val="nil"/>
              <w:bottom w:val="nil"/>
            </w:tcBorders>
            <w:vAlign w:val="center"/>
          </w:tcPr>
          <w:p w:rsidR="007E2C7F" w:rsidRDefault="007E2C7F">
            <w:pPr>
              <w:jc w:val="center"/>
              <w:rPr>
                <w:rFonts w:cs="Arial"/>
                <w:sz w:val="20"/>
                <w:szCs w:val="20"/>
              </w:rPr>
            </w:pPr>
            <w:r>
              <w:rPr>
                <w:rFonts w:cs="Arial"/>
                <w:sz w:val="20"/>
                <w:szCs w:val="20"/>
              </w:rPr>
              <w:t>32.05</w:t>
            </w:r>
          </w:p>
        </w:tc>
        <w:tc>
          <w:tcPr>
            <w:tcW w:w="831" w:type="pct"/>
            <w:tcBorders>
              <w:top w:val="nil"/>
              <w:bottom w:val="nil"/>
            </w:tcBorders>
            <w:vAlign w:val="center"/>
          </w:tcPr>
          <w:p w:rsidR="007E2C7F" w:rsidRDefault="007E2C7F">
            <w:pPr>
              <w:jc w:val="center"/>
              <w:rPr>
                <w:rFonts w:cs="Arial"/>
                <w:sz w:val="20"/>
                <w:szCs w:val="20"/>
              </w:rPr>
            </w:pPr>
            <w:r>
              <w:rPr>
                <w:rFonts w:cs="Arial"/>
                <w:sz w:val="20"/>
                <w:szCs w:val="20"/>
              </w:rPr>
              <w:t>8.23</w:t>
            </w:r>
          </w:p>
        </w:tc>
        <w:tc>
          <w:tcPr>
            <w:tcW w:w="833" w:type="pct"/>
            <w:tcBorders>
              <w:top w:val="nil"/>
              <w:bottom w:val="nil"/>
            </w:tcBorders>
            <w:vAlign w:val="center"/>
          </w:tcPr>
          <w:p w:rsidR="007E2C7F" w:rsidRDefault="007E2C7F">
            <w:pPr>
              <w:jc w:val="center"/>
              <w:rPr>
                <w:rFonts w:cs="Arial"/>
                <w:sz w:val="20"/>
                <w:szCs w:val="20"/>
              </w:rPr>
            </w:pPr>
            <w:r>
              <w:rPr>
                <w:rFonts w:cs="Arial"/>
                <w:sz w:val="20"/>
                <w:szCs w:val="20"/>
              </w:rPr>
              <w:t>1.38</w:t>
            </w:r>
          </w:p>
        </w:tc>
      </w:tr>
      <w:tr w:rsidR="007E2C7F"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7E2C7F" w:rsidRDefault="007E2C7F">
            <w:pPr>
              <w:rPr>
                <w:rFonts w:cs="Arial"/>
                <w:sz w:val="16"/>
                <w:szCs w:val="16"/>
              </w:rPr>
            </w:pPr>
            <w:r>
              <w:rPr>
                <w:rFonts w:cs="Arial"/>
                <w:sz w:val="16"/>
                <w:szCs w:val="16"/>
              </w:rPr>
              <w:t>% change from previous week</w:t>
            </w:r>
          </w:p>
        </w:tc>
        <w:tc>
          <w:tcPr>
            <w:tcW w:w="993" w:type="pct"/>
            <w:tcBorders>
              <w:top w:val="nil"/>
              <w:bottom w:val="nil"/>
            </w:tcBorders>
            <w:vAlign w:val="center"/>
          </w:tcPr>
          <w:p w:rsidR="007E2C7F" w:rsidRDefault="007E2C7F">
            <w:pPr>
              <w:jc w:val="center"/>
              <w:rPr>
                <w:rFonts w:cs="Arial"/>
                <w:szCs w:val="20"/>
              </w:rPr>
            </w:pPr>
            <w:r>
              <w:rPr>
                <w:rFonts w:cs="Arial"/>
                <w:szCs w:val="20"/>
              </w:rPr>
              <w:t>-</w:t>
            </w:r>
          </w:p>
        </w:tc>
        <w:tc>
          <w:tcPr>
            <w:tcW w:w="758" w:type="pct"/>
            <w:tcBorders>
              <w:top w:val="nil"/>
              <w:bottom w:val="nil"/>
            </w:tcBorders>
            <w:vAlign w:val="center"/>
          </w:tcPr>
          <w:p w:rsidR="007E2C7F" w:rsidRDefault="007E2C7F">
            <w:pPr>
              <w:jc w:val="center"/>
              <w:rPr>
                <w:rFonts w:cs="Arial"/>
                <w:szCs w:val="20"/>
              </w:rPr>
            </w:pPr>
            <w:r>
              <w:rPr>
                <w:rFonts w:cs="Arial"/>
                <w:szCs w:val="20"/>
              </w:rPr>
              <w:t>-54</w:t>
            </w:r>
          </w:p>
        </w:tc>
        <w:tc>
          <w:tcPr>
            <w:tcW w:w="831" w:type="pct"/>
            <w:tcBorders>
              <w:top w:val="nil"/>
              <w:bottom w:val="nil"/>
            </w:tcBorders>
            <w:vAlign w:val="center"/>
          </w:tcPr>
          <w:p w:rsidR="007E2C7F" w:rsidRDefault="007E2C7F">
            <w:pPr>
              <w:jc w:val="center"/>
              <w:rPr>
                <w:rFonts w:cs="Arial"/>
                <w:szCs w:val="20"/>
              </w:rPr>
            </w:pPr>
            <w:r>
              <w:rPr>
                <w:rFonts w:cs="Arial"/>
                <w:szCs w:val="20"/>
              </w:rPr>
              <w:t>-57</w:t>
            </w:r>
          </w:p>
        </w:tc>
        <w:tc>
          <w:tcPr>
            <w:tcW w:w="833" w:type="pct"/>
            <w:tcBorders>
              <w:top w:val="nil"/>
              <w:bottom w:val="nil"/>
            </w:tcBorders>
            <w:vAlign w:val="center"/>
          </w:tcPr>
          <w:p w:rsidR="007E2C7F" w:rsidRDefault="007E2C7F">
            <w:pPr>
              <w:jc w:val="center"/>
              <w:rPr>
                <w:rFonts w:cs="Arial"/>
                <w:szCs w:val="20"/>
              </w:rPr>
            </w:pPr>
            <w:r>
              <w:rPr>
                <w:rFonts w:cs="Arial"/>
                <w:szCs w:val="20"/>
              </w:rPr>
              <w:t>-15</w:t>
            </w:r>
          </w:p>
        </w:tc>
      </w:tr>
      <w:tr w:rsidR="007E2C7F" w:rsidRPr="00405CDE" w:rsidTr="00534DD9">
        <w:trPr>
          <w:trHeight w:val="510"/>
        </w:trPr>
        <w:tc>
          <w:tcPr>
            <w:tcW w:w="1585" w:type="pct"/>
            <w:tcBorders>
              <w:top w:val="nil"/>
              <w:bottom w:val="nil"/>
            </w:tcBorders>
            <w:vAlign w:val="center"/>
          </w:tcPr>
          <w:p w:rsidR="007E2C7F" w:rsidRDefault="007E2C7F">
            <w:pPr>
              <w:rPr>
                <w:rFonts w:cs="Arial"/>
                <w:sz w:val="16"/>
                <w:szCs w:val="16"/>
              </w:rPr>
            </w:pPr>
            <w:r>
              <w:rPr>
                <w:rFonts w:cs="Arial"/>
                <w:sz w:val="16"/>
                <w:szCs w:val="16"/>
              </w:rPr>
              <w:t>16-17 financial YTD</w:t>
            </w:r>
          </w:p>
        </w:tc>
        <w:tc>
          <w:tcPr>
            <w:tcW w:w="993" w:type="pct"/>
            <w:tcBorders>
              <w:top w:val="nil"/>
              <w:bottom w:val="nil"/>
            </w:tcBorders>
            <w:vAlign w:val="center"/>
          </w:tcPr>
          <w:p w:rsidR="007E2C7F" w:rsidRDefault="007E2C7F">
            <w:pPr>
              <w:jc w:val="center"/>
              <w:rPr>
                <w:rFonts w:cs="Arial"/>
                <w:sz w:val="20"/>
                <w:szCs w:val="20"/>
              </w:rPr>
            </w:pPr>
            <w:r>
              <w:rPr>
                <w:rFonts w:cs="Arial"/>
                <w:sz w:val="20"/>
                <w:szCs w:val="20"/>
              </w:rPr>
              <w:t> </w:t>
            </w:r>
          </w:p>
        </w:tc>
        <w:tc>
          <w:tcPr>
            <w:tcW w:w="758" w:type="pct"/>
            <w:tcBorders>
              <w:top w:val="nil"/>
              <w:bottom w:val="nil"/>
            </w:tcBorders>
            <w:vAlign w:val="center"/>
          </w:tcPr>
          <w:p w:rsidR="007E2C7F" w:rsidRDefault="007E2C7F">
            <w:pPr>
              <w:jc w:val="center"/>
              <w:rPr>
                <w:rFonts w:cs="Arial"/>
                <w:sz w:val="20"/>
                <w:szCs w:val="20"/>
              </w:rPr>
            </w:pPr>
            <w:r>
              <w:rPr>
                <w:rFonts w:cs="Arial"/>
                <w:sz w:val="20"/>
                <w:szCs w:val="20"/>
              </w:rPr>
              <w:t>64.27</w:t>
            </w:r>
          </w:p>
        </w:tc>
        <w:tc>
          <w:tcPr>
            <w:tcW w:w="831" w:type="pct"/>
            <w:tcBorders>
              <w:top w:val="nil"/>
              <w:bottom w:val="nil"/>
            </w:tcBorders>
            <w:vAlign w:val="center"/>
          </w:tcPr>
          <w:p w:rsidR="007E2C7F" w:rsidRDefault="007E2C7F">
            <w:pPr>
              <w:jc w:val="center"/>
              <w:rPr>
                <w:rFonts w:cs="Arial"/>
                <w:sz w:val="20"/>
                <w:szCs w:val="20"/>
              </w:rPr>
            </w:pPr>
            <w:r>
              <w:rPr>
                <w:rFonts w:cs="Arial"/>
                <w:sz w:val="20"/>
                <w:szCs w:val="20"/>
              </w:rPr>
              <w:t>26.66</w:t>
            </w:r>
          </w:p>
        </w:tc>
        <w:tc>
          <w:tcPr>
            <w:tcW w:w="833" w:type="pct"/>
            <w:tcBorders>
              <w:top w:val="nil"/>
              <w:bottom w:val="nil"/>
            </w:tcBorders>
            <w:vAlign w:val="center"/>
          </w:tcPr>
          <w:p w:rsidR="007E2C7F" w:rsidRDefault="007E2C7F">
            <w:pPr>
              <w:jc w:val="center"/>
              <w:rPr>
                <w:rFonts w:cs="Arial"/>
                <w:sz w:val="20"/>
                <w:szCs w:val="20"/>
              </w:rPr>
            </w:pPr>
            <w:r>
              <w:rPr>
                <w:rFonts w:cs="Arial"/>
                <w:sz w:val="20"/>
                <w:szCs w:val="20"/>
              </w:rPr>
              <w:t>1.40</w:t>
            </w:r>
          </w:p>
        </w:tc>
      </w:tr>
      <w:tr w:rsidR="007E2C7F"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7E2C7F" w:rsidRDefault="007E2C7F">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7E2C7F" w:rsidRDefault="007E2C7F">
            <w:pPr>
              <w:jc w:val="center"/>
              <w:rPr>
                <w:rFonts w:cs="Arial"/>
                <w:szCs w:val="20"/>
              </w:rPr>
            </w:pPr>
            <w:r>
              <w:rPr>
                <w:rFonts w:cs="Arial"/>
                <w:szCs w:val="20"/>
              </w:rPr>
              <w:t> </w:t>
            </w:r>
          </w:p>
        </w:tc>
        <w:tc>
          <w:tcPr>
            <w:tcW w:w="758" w:type="pct"/>
            <w:tcBorders>
              <w:top w:val="nil"/>
              <w:bottom w:val="single" w:sz="4" w:space="0" w:color="auto"/>
            </w:tcBorders>
            <w:vAlign w:val="center"/>
          </w:tcPr>
          <w:p w:rsidR="007E2C7F" w:rsidRDefault="007E2C7F">
            <w:pPr>
              <w:jc w:val="center"/>
              <w:rPr>
                <w:rFonts w:cs="Arial"/>
                <w:szCs w:val="20"/>
              </w:rPr>
            </w:pPr>
            <w:r>
              <w:rPr>
                <w:rFonts w:cs="Arial"/>
                <w:szCs w:val="20"/>
              </w:rPr>
              <w:t>161</w:t>
            </w:r>
          </w:p>
        </w:tc>
        <w:tc>
          <w:tcPr>
            <w:tcW w:w="831" w:type="pct"/>
            <w:tcBorders>
              <w:top w:val="nil"/>
              <w:bottom w:val="single" w:sz="4" w:space="0" w:color="auto"/>
            </w:tcBorders>
            <w:vAlign w:val="center"/>
          </w:tcPr>
          <w:p w:rsidR="007E2C7F" w:rsidRDefault="007E2C7F">
            <w:pPr>
              <w:jc w:val="center"/>
              <w:rPr>
                <w:rFonts w:cs="Arial"/>
                <w:szCs w:val="20"/>
              </w:rPr>
            </w:pPr>
            <w:r>
              <w:rPr>
                <w:rFonts w:cs="Arial"/>
                <w:szCs w:val="20"/>
              </w:rPr>
              <w:t>127</w:t>
            </w:r>
          </w:p>
        </w:tc>
        <w:tc>
          <w:tcPr>
            <w:tcW w:w="833" w:type="pct"/>
            <w:tcBorders>
              <w:top w:val="nil"/>
              <w:bottom w:val="single" w:sz="4" w:space="0" w:color="auto"/>
            </w:tcBorders>
            <w:vAlign w:val="center"/>
          </w:tcPr>
          <w:p w:rsidR="007E2C7F" w:rsidRDefault="007E2C7F">
            <w:pPr>
              <w:jc w:val="center"/>
              <w:rPr>
                <w:rFonts w:cs="Arial"/>
                <w:szCs w:val="20"/>
              </w:rPr>
            </w:pPr>
            <w:r>
              <w:rPr>
                <w:rFonts w:cs="Arial"/>
                <w:szCs w:val="20"/>
              </w:rPr>
              <w:t>1</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F251BC">
        <w:fldChar w:fldCharType="begin"/>
      </w:r>
      <w:r w:rsidR="00F251BC">
        <w:instrText xml:space="preserve"> SEQ Figure \* ARABIC </w:instrText>
      </w:r>
      <w:r w:rsidR="00F251BC">
        <w:fldChar w:fldCharType="separate"/>
      </w:r>
      <w:r w:rsidR="00587CFB" w:rsidRPr="00552F68">
        <w:rPr>
          <w:noProof/>
        </w:rPr>
        <w:t>4</w:t>
      </w:r>
      <w:r w:rsidR="00F251BC">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C91604">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C91604">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C91604">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C91604">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C91604">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C91604">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C91604">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C91604">
            <w:pPr>
              <w:jc w:val="center"/>
              <w:rPr>
                <w:rFonts w:cs="Arial"/>
                <w:bCs/>
                <w:color w:val="FFFFFF"/>
                <w:sz w:val="14"/>
                <w:szCs w:val="20"/>
                <w:highlight w:val="cyan"/>
              </w:rPr>
            </w:pPr>
            <w:r>
              <w:rPr>
                <w:rFonts w:cs="Arial"/>
                <w:bCs/>
                <w:color w:val="FFFFFF"/>
                <w:sz w:val="14"/>
                <w:szCs w:val="20"/>
              </w:rPr>
              <w:t>Quantity</w:t>
            </w:r>
          </w:p>
        </w:tc>
      </w:tr>
      <w:tr w:rsidR="007E2C7F" w:rsidRPr="006A7228" w:rsidTr="00B302BF">
        <w:trPr>
          <w:trHeight w:val="510"/>
        </w:trPr>
        <w:tc>
          <w:tcPr>
            <w:tcW w:w="932" w:type="pct"/>
            <w:tcBorders>
              <w:top w:val="nil"/>
              <w:bottom w:val="nil"/>
            </w:tcBorders>
            <w:vAlign w:val="center"/>
          </w:tcPr>
          <w:p w:rsidR="007E2C7F" w:rsidRDefault="007E2C7F">
            <w:pPr>
              <w:rPr>
                <w:rFonts w:cs="Arial"/>
                <w:b/>
                <w:bCs/>
                <w:sz w:val="20"/>
                <w:szCs w:val="20"/>
              </w:rPr>
            </w:pPr>
            <w:r>
              <w:rPr>
                <w:rFonts w:cs="Arial"/>
                <w:b/>
                <w:bCs/>
                <w:sz w:val="20"/>
                <w:szCs w:val="20"/>
              </w:rPr>
              <w:t>Balance of day</w:t>
            </w:r>
          </w:p>
        </w:tc>
        <w:tc>
          <w:tcPr>
            <w:tcW w:w="350"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5"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00"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1"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355"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2"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05"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1"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349"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0" w:type="pct"/>
            <w:tcBorders>
              <w:top w:val="nil"/>
              <w:bottom w:val="nil"/>
            </w:tcBorders>
            <w:vAlign w:val="center"/>
          </w:tcPr>
          <w:p w:rsidR="007E2C7F" w:rsidRDefault="007E2C7F">
            <w:pPr>
              <w:jc w:val="center"/>
              <w:rPr>
                <w:rFonts w:cs="Arial"/>
                <w:sz w:val="20"/>
                <w:szCs w:val="20"/>
              </w:rPr>
            </w:pPr>
            <w:r>
              <w:rPr>
                <w:rFonts w:cs="Arial"/>
                <w:sz w:val="20"/>
                <w:szCs w:val="20"/>
              </w:rPr>
              <w:t>-</w:t>
            </w:r>
          </w:p>
        </w:tc>
      </w:tr>
      <w:tr w:rsidR="007E2C7F"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7E2C7F" w:rsidRDefault="007E2C7F">
            <w:pPr>
              <w:rPr>
                <w:rFonts w:cs="Arial"/>
                <w:b/>
                <w:bCs/>
                <w:szCs w:val="20"/>
              </w:rPr>
            </w:pPr>
            <w:r>
              <w:rPr>
                <w:rFonts w:cs="Arial"/>
                <w:b/>
                <w:bCs/>
                <w:szCs w:val="20"/>
              </w:rPr>
              <w:t>Daily</w:t>
            </w:r>
          </w:p>
        </w:tc>
        <w:tc>
          <w:tcPr>
            <w:tcW w:w="350" w:type="pct"/>
            <w:tcBorders>
              <w:top w:val="nil"/>
              <w:bottom w:val="nil"/>
            </w:tcBorders>
            <w:vAlign w:val="center"/>
          </w:tcPr>
          <w:p w:rsidR="007E2C7F" w:rsidRDefault="007E2C7F">
            <w:pPr>
              <w:jc w:val="center"/>
              <w:rPr>
                <w:rFonts w:cs="Arial"/>
                <w:szCs w:val="20"/>
              </w:rPr>
            </w:pPr>
            <w:r>
              <w:rPr>
                <w:rFonts w:cs="Arial"/>
                <w:szCs w:val="20"/>
              </w:rPr>
              <w:t>-</w:t>
            </w:r>
          </w:p>
        </w:tc>
        <w:tc>
          <w:tcPr>
            <w:tcW w:w="445" w:type="pct"/>
            <w:tcBorders>
              <w:top w:val="nil"/>
              <w:bottom w:val="nil"/>
            </w:tcBorders>
            <w:vAlign w:val="center"/>
          </w:tcPr>
          <w:p w:rsidR="007E2C7F" w:rsidRDefault="007E2C7F">
            <w:pPr>
              <w:jc w:val="center"/>
              <w:rPr>
                <w:rFonts w:cs="Arial"/>
                <w:szCs w:val="20"/>
              </w:rPr>
            </w:pPr>
            <w:r>
              <w:rPr>
                <w:rFonts w:cs="Arial"/>
                <w:szCs w:val="20"/>
              </w:rPr>
              <w:t>-</w:t>
            </w:r>
          </w:p>
        </w:tc>
        <w:tc>
          <w:tcPr>
            <w:tcW w:w="400" w:type="pct"/>
            <w:tcBorders>
              <w:top w:val="nil"/>
              <w:bottom w:val="nil"/>
            </w:tcBorders>
            <w:vAlign w:val="center"/>
          </w:tcPr>
          <w:p w:rsidR="007E2C7F" w:rsidRDefault="007E2C7F">
            <w:pPr>
              <w:jc w:val="center"/>
              <w:rPr>
                <w:rFonts w:cs="Arial"/>
                <w:szCs w:val="20"/>
              </w:rPr>
            </w:pPr>
            <w:r>
              <w:rPr>
                <w:rFonts w:cs="Arial"/>
                <w:szCs w:val="20"/>
              </w:rPr>
              <w:t>5.50</w:t>
            </w:r>
          </w:p>
        </w:tc>
        <w:tc>
          <w:tcPr>
            <w:tcW w:w="441" w:type="pct"/>
            <w:tcBorders>
              <w:top w:val="nil"/>
              <w:bottom w:val="nil"/>
            </w:tcBorders>
            <w:vAlign w:val="center"/>
          </w:tcPr>
          <w:p w:rsidR="007E2C7F" w:rsidRDefault="007E2C7F">
            <w:pPr>
              <w:jc w:val="center"/>
              <w:rPr>
                <w:rFonts w:cs="Arial"/>
                <w:szCs w:val="20"/>
              </w:rPr>
            </w:pPr>
            <w:r>
              <w:rPr>
                <w:rFonts w:cs="Arial"/>
                <w:szCs w:val="20"/>
              </w:rPr>
              <w:t>20.0</w:t>
            </w:r>
          </w:p>
        </w:tc>
        <w:tc>
          <w:tcPr>
            <w:tcW w:w="355" w:type="pct"/>
            <w:tcBorders>
              <w:top w:val="nil"/>
              <w:bottom w:val="nil"/>
            </w:tcBorders>
            <w:vAlign w:val="center"/>
          </w:tcPr>
          <w:p w:rsidR="007E2C7F" w:rsidRDefault="007E2C7F">
            <w:pPr>
              <w:jc w:val="center"/>
              <w:rPr>
                <w:rFonts w:cs="Arial"/>
                <w:szCs w:val="20"/>
              </w:rPr>
            </w:pPr>
            <w:r>
              <w:rPr>
                <w:rFonts w:cs="Arial"/>
                <w:szCs w:val="20"/>
              </w:rPr>
              <w:t>-</w:t>
            </w:r>
          </w:p>
        </w:tc>
        <w:tc>
          <w:tcPr>
            <w:tcW w:w="442" w:type="pct"/>
            <w:tcBorders>
              <w:top w:val="nil"/>
              <w:bottom w:val="nil"/>
            </w:tcBorders>
            <w:vAlign w:val="center"/>
          </w:tcPr>
          <w:p w:rsidR="007E2C7F" w:rsidRDefault="007E2C7F">
            <w:pPr>
              <w:jc w:val="center"/>
              <w:rPr>
                <w:rFonts w:cs="Arial"/>
                <w:szCs w:val="20"/>
              </w:rPr>
            </w:pPr>
            <w:r>
              <w:rPr>
                <w:rFonts w:cs="Arial"/>
                <w:szCs w:val="20"/>
              </w:rPr>
              <w:t>-</w:t>
            </w:r>
          </w:p>
        </w:tc>
        <w:tc>
          <w:tcPr>
            <w:tcW w:w="405" w:type="pct"/>
            <w:tcBorders>
              <w:top w:val="nil"/>
              <w:bottom w:val="nil"/>
            </w:tcBorders>
            <w:vAlign w:val="center"/>
          </w:tcPr>
          <w:p w:rsidR="007E2C7F" w:rsidRDefault="007E2C7F">
            <w:pPr>
              <w:jc w:val="center"/>
              <w:rPr>
                <w:rFonts w:cs="Arial"/>
                <w:szCs w:val="20"/>
              </w:rPr>
            </w:pPr>
            <w:r>
              <w:rPr>
                <w:rFonts w:cs="Arial"/>
                <w:szCs w:val="20"/>
              </w:rPr>
              <w:t>-</w:t>
            </w:r>
          </w:p>
        </w:tc>
        <w:tc>
          <w:tcPr>
            <w:tcW w:w="441" w:type="pct"/>
            <w:tcBorders>
              <w:top w:val="nil"/>
              <w:bottom w:val="nil"/>
            </w:tcBorders>
            <w:vAlign w:val="center"/>
          </w:tcPr>
          <w:p w:rsidR="007E2C7F" w:rsidRDefault="007E2C7F">
            <w:pPr>
              <w:jc w:val="center"/>
              <w:rPr>
                <w:rFonts w:cs="Arial"/>
                <w:szCs w:val="20"/>
              </w:rPr>
            </w:pPr>
            <w:r>
              <w:rPr>
                <w:rFonts w:cs="Arial"/>
                <w:szCs w:val="20"/>
              </w:rPr>
              <w:t>-</w:t>
            </w:r>
          </w:p>
        </w:tc>
        <w:tc>
          <w:tcPr>
            <w:tcW w:w="349" w:type="pct"/>
            <w:tcBorders>
              <w:top w:val="nil"/>
              <w:bottom w:val="nil"/>
            </w:tcBorders>
            <w:vAlign w:val="center"/>
          </w:tcPr>
          <w:p w:rsidR="007E2C7F" w:rsidRDefault="007E2C7F">
            <w:pPr>
              <w:jc w:val="center"/>
              <w:rPr>
                <w:rFonts w:cs="Arial"/>
                <w:szCs w:val="20"/>
              </w:rPr>
            </w:pPr>
            <w:r>
              <w:rPr>
                <w:rFonts w:cs="Arial"/>
                <w:szCs w:val="20"/>
              </w:rPr>
              <w:t>-</w:t>
            </w:r>
          </w:p>
        </w:tc>
        <w:tc>
          <w:tcPr>
            <w:tcW w:w="440" w:type="pct"/>
            <w:tcBorders>
              <w:top w:val="nil"/>
              <w:bottom w:val="nil"/>
            </w:tcBorders>
            <w:vAlign w:val="center"/>
          </w:tcPr>
          <w:p w:rsidR="007E2C7F" w:rsidRDefault="007E2C7F">
            <w:pPr>
              <w:jc w:val="center"/>
              <w:rPr>
                <w:rFonts w:cs="Arial"/>
                <w:szCs w:val="20"/>
              </w:rPr>
            </w:pPr>
            <w:r>
              <w:rPr>
                <w:rFonts w:cs="Arial"/>
                <w:szCs w:val="20"/>
              </w:rPr>
              <w:t>-</w:t>
            </w:r>
          </w:p>
        </w:tc>
      </w:tr>
      <w:tr w:rsidR="007E2C7F" w:rsidRPr="006A7228" w:rsidTr="00B302BF">
        <w:trPr>
          <w:trHeight w:val="510"/>
        </w:trPr>
        <w:tc>
          <w:tcPr>
            <w:tcW w:w="932" w:type="pct"/>
            <w:tcBorders>
              <w:top w:val="nil"/>
              <w:bottom w:val="nil"/>
            </w:tcBorders>
            <w:vAlign w:val="center"/>
          </w:tcPr>
          <w:p w:rsidR="007E2C7F" w:rsidRDefault="007E2C7F">
            <w:pPr>
              <w:rPr>
                <w:rFonts w:cs="Arial"/>
                <w:b/>
                <w:bCs/>
                <w:sz w:val="20"/>
                <w:szCs w:val="20"/>
              </w:rPr>
            </w:pPr>
            <w:r>
              <w:rPr>
                <w:rFonts w:cs="Arial"/>
                <w:b/>
                <w:bCs/>
                <w:sz w:val="20"/>
                <w:szCs w:val="20"/>
              </w:rPr>
              <w:t>Day ahead</w:t>
            </w:r>
          </w:p>
        </w:tc>
        <w:tc>
          <w:tcPr>
            <w:tcW w:w="350" w:type="pct"/>
            <w:tcBorders>
              <w:top w:val="nil"/>
              <w:bottom w:val="nil"/>
            </w:tcBorders>
            <w:vAlign w:val="center"/>
          </w:tcPr>
          <w:p w:rsidR="007E2C7F" w:rsidRDefault="007E2C7F">
            <w:pPr>
              <w:jc w:val="center"/>
              <w:rPr>
                <w:rFonts w:cs="Arial"/>
                <w:sz w:val="20"/>
                <w:szCs w:val="20"/>
              </w:rPr>
            </w:pPr>
            <w:r>
              <w:rPr>
                <w:rFonts w:cs="Arial"/>
                <w:sz w:val="20"/>
                <w:szCs w:val="20"/>
              </w:rPr>
              <w:t>5.30</w:t>
            </w:r>
          </w:p>
        </w:tc>
        <w:tc>
          <w:tcPr>
            <w:tcW w:w="445" w:type="pct"/>
            <w:tcBorders>
              <w:top w:val="nil"/>
              <w:bottom w:val="nil"/>
            </w:tcBorders>
            <w:vAlign w:val="center"/>
          </w:tcPr>
          <w:p w:rsidR="007E2C7F" w:rsidRDefault="007E2C7F">
            <w:pPr>
              <w:jc w:val="center"/>
              <w:rPr>
                <w:rFonts w:cs="Arial"/>
                <w:sz w:val="20"/>
                <w:szCs w:val="20"/>
              </w:rPr>
            </w:pPr>
            <w:r>
              <w:rPr>
                <w:rFonts w:cs="Arial"/>
                <w:sz w:val="20"/>
                <w:szCs w:val="20"/>
              </w:rPr>
              <w:t>1.0</w:t>
            </w:r>
          </w:p>
        </w:tc>
        <w:tc>
          <w:tcPr>
            <w:tcW w:w="400"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1"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355"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2"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05"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1"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349" w:type="pct"/>
            <w:tcBorders>
              <w:top w:val="nil"/>
              <w:bottom w:val="nil"/>
            </w:tcBorders>
            <w:vAlign w:val="center"/>
          </w:tcPr>
          <w:p w:rsidR="007E2C7F" w:rsidRDefault="007E2C7F">
            <w:pPr>
              <w:jc w:val="center"/>
              <w:rPr>
                <w:rFonts w:cs="Arial"/>
                <w:sz w:val="20"/>
                <w:szCs w:val="20"/>
              </w:rPr>
            </w:pPr>
            <w:r>
              <w:rPr>
                <w:rFonts w:cs="Arial"/>
                <w:sz w:val="20"/>
                <w:szCs w:val="20"/>
              </w:rPr>
              <w:t>-</w:t>
            </w:r>
          </w:p>
        </w:tc>
        <w:tc>
          <w:tcPr>
            <w:tcW w:w="440" w:type="pct"/>
            <w:tcBorders>
              <w:top w:val="nil"/>
              <w:bottom w:val="nil"/>
            </w:tcBorders>
            <w:vAlign w:val="center"/>
          </w:tcPr>
          <w:p w:rsidR="007E2C7F" w:rsidRDefault="007E2C7F">
            <w:pPr>
              <w:jc w:val="center"/>
              <w:rPr>
                <w:rFonts w:cs="Arial"/>
                <w:sz w:val="20"/>
                <w:szCs w:val="20"/>
              </w:rPr>
            </w:pPr>
            <w:r>
              <w:rPr>
                <w:rFonts w:cs="Arial"/>
                <w:sz w:val="20"/>
                <w:szCs w:val="20"/>
              </w:rPr>
              <w:t>-</w:t>
            </w:r>
          </w:p>
        </w:tc>
      </w:tr>
      <w:tr w:rsidR="007E2C7F"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7E2C7F" w:rsidRDefault="007E2C7F">
            <w:pPr>
              <w:rPr>
                <w:rFonts w:cs="Arial"/>
                <w:b/>
                <w:bCs/>
                <w:szCs w:val="20"/>
              </w:rPr>
            </w:pPr>
            <w:r>
              <w:rPr>
                <w:rFonts w:cs="Arial"/>
                <w:b/>
                <w:bCs/>
                <w:szCs w:val="20"/>
              </w:rPr>
              <w:t>Weekly</w:t>
            </w:r>
          </w:p>
        </w:tc>
        <w:tc>
          <w:tcPr>
            <w:tcW w:w="350" w:type="pct"/>
            <w:tcBorders>
              <w:top w:val="nil"/>
              <w:bottom w:val="nil"/>
            </w:tcBorders>
            <w:vAlign w:val="center"/>
          </w:tcPr>
          <w:p w:rsidR="007E2C7F" w:rsidRDefault="007E2C7F">
            <w:pPr>
              <w:jc w:val="center"/>
              <w:rPr>
                <w:rFonts w:cs="Arial"/>
                <w:szCs w:val="20"/>
              </w:rPr>
            </w:pPr>
            <w:r>
              <w:rPr>
                <w:rFonts w:cs="Arial"/>
                <w:szCs w:val="20"/>
              </w:rPr>
              <w:t>-</w:t>
            </w:r>
          </w:p>
        </w:tc>
        <w:tc>
          <w:tcPr>
            <w:tcW w:w="445" w:type="pct"/>
            <w:tcBorders>
              <w:top w:val="nil"/>
              <w:bottom w:val="nil"/>
            </w:tcBorders>
            <w:vAlign w:val="center"/>
          </w:tcPr>
          <w:p w:rsidR="007E2C7F" w:rsidRDefault="007E2C7F">
            <w:pPr>
              <w:jc w:val="center"/>
              <w:rPr>
                <w:rFonts w:cs="Arial"/>
                <w:szCs w:val="20"/>
              </w:rPr>
            </w:pPr>
            <w:r>
              <w:rPr>
                <w:rFonts w:cs="Arial"/>
                <w:szCs w:val="20"/>
              </w:rPr>
              <w:t>-</w:t>
            </w:r>
          </w:p>
        </w:tc>
        <w:tc>
          <w:tcPr>
            <w:tcW w:w="400" w:type="pct"/>
            <w:tcBorders>
              <w:top w:val="nil"/>
              <w:bottom w:val="nil"/>
            </w:tcBorders>
            <w:vAlign w:val="center"/>
          </w:tcPr>
          <w:p w:rsidR="007E2C7F" w:rsidRDefault="007E2C7F">
            <w:pPr>
              <w:jc w:val="center"/>
              <w:rPr>
                <w:rFonts w:cs="Arial"/>
                <w:szCs w:val="20"/>
              </w:rPr>
            </w:pPr>
            <w:r>
              <w:rPr>
                <w:rFonts w:cs="Arial"/>
                <w:szCs w:val="20"/>
              </w:rPr>
              <w:t>-</w:t>
            </w:r>
          </w:p>
        </w:tc>
        <w:tc>
          <w:tcPr>
            <w:tcW w:w="441" w:type="pct"/>
            <w:tcBorders>
              <w:top w:val="nil"/>
              <w:bottom w:val="nil"/>
            </w:tcBorders>
            <w:vAlign w:val="center"/>
          </w:tcPr>
          <w:p w:rsidR="007E2C7F" w:rsidRDefault="007E2C7F">
            <w:pPr>
              <w:jc w:val="center"/>
              <w:rPr>
                <w:rFonts w:cs="Arial"/>
                <w:szCs w:val="20"/>
              </w:rPr>
            </w:pPr>
            <w:r>
              <w:rPr>
                <w:rFonts w:cs="Arial"/>
                <w:szCs w:val="20"/>
              </w:rPr>
              <w:t>-</w:t>
            </w:r>
          </w:p>
        </w:tc>
        <w:tc>
          <w:tcPr>
            <w:tcW w:w="355" w:type="pct"/>
            <w:tcBorders>
              <w:top w:val="nil"/>
              <w:bottom w:val="nil"/>
            </w:tcBorders>
            <w:vAlign w:val="center"/>
          </w:tcPr>
          <w:p w:rsidR="007E2C7F" w:rsidRDefault="007E2C7F">
            <w:pPr>
              <w:jc w:val="center"/>
              <w:rPr>
                <w:rFonts w:cs="Arial"/>
                <w:szCs w:val="20"/>
              </w:rPr>
            </w:pPr>
            <w:r>
              <w:rPr>
                <w:rFonts w:cs="Arial"/>
                <w:szCs w:val="20"/>
              </w:rPr>
              <w:t>-</w:t>
            </w:r>
          </w:p>
        </w:tc>
        <w:tc>
          <w:tcPr>
            <w:tcW w:w="442" w:type="pct"/>
            <w:tcBorders>
              <w:top w:val="nil"/>
              <w:bottom w:val="nil"/>
            </w:tcBorders>
            <w:vAlign w:val="center"/>
          </w:tcPr>
          <w:p w:rsidR="007E2C7F" w:rsidRDefault="007E2C7F">
            <w:pPr>
              <w:jc w:val="center"/>
              <w:rPr>
                <w:rFonts w:cs="Arial"/>
                <w:szCs w:val="20"/>
              </w:rPr>
            </w:pPr>
            <w:r>
              <w:rPr>
                <w:rFonts w:cs="Arial"/>
                <w:szCs w:val="20"/>
              </w:rPr>
              <w:t>-</w:t>
            </w:r>
          </w:p>
        </w:tc>
        <w:tc>
          <w:tcPr>
            <w:tcW w:w="405" w:type="pct"/>
            <w:tcBorders>
              <w:top w:val="nil"/>
              <w:bottom w:val="nil"/>
            </w:tcBorders>
            <w:vAlign w:val="center"/>
          </w:tcPr>
          <w:p w:rsidR="007E2C7F" w:rsidRDefault="007E2C7F">
            <w:pPr>
              <w:jc w:val="center"/>
              <w:rPr>
                <w:rFonts w:cs="Arial"/>
                <w:szCs w:val="20"/>
              </w:rPr>
            </w:pPr>
            <w:r>
              <w:rPr>
                <w:rFonts w:cs="Arial"/>
                <w:szCs w:val="20"/>
              </w:rPr>
              <w:t>-</w:t>
            </w:r>
          </w:p>
        </w:tc>
        <w:tc>
          <w:tcPr>
            <w:tcW w:w="441" w:type="pct"/>
            <w:tcBorders>
              <w:top w:val="nil"/>
              <w:bottom w:val="nil"/>
            </w:tcBorders>
            <w:vAlign w:val="center"/>
          </w:tcPr>
          <w:p w:rsidR="007E2C7F" w:rsidRDefault="007E2C7F">
            <w:pPr>
              <w:jc w:val="center"/>
              <w:rPr>
                <w:rFonts w:cs="Arial"/>
                <w:szCs w:val="20"/>
              </w:rPr>
            </w:pPr>
            <w:r>
              <w:rPr>
                <w:rFonts w:cs="Arial"/>
                <w:szCs w:val="20"/>
              </w:rPr>
              <w:t>-</w:t>
            </w:r>
          </w:p>
        </w:tc>
        <w:tc>
          <w:tcPr>
            <w:tcW w:w="349" w:type="pct"/>
            <w:tcBorders>
              <w:top w:val="nil"/>
              <w:bottom w:val="nil"/>
            </w:tcBorders>
            <w:vAlign w:val="center"/>
          </w:tcPr>
          <w:p w:rsidR="007E2C7F" w:rsidRDefault="007E2C7F">
            <w:pPr>
              <w:jc w:val="center"/>
              <w:rPr>
                <w:rFonts w:cs="Arial"/>
                <w:szCs w:val="20"/>
              </w:rPr>
            </w:pPr>
            <w:r>
              <w:rPr>
                <w:rFonts w:cs="Arial"/>
                <w:szCs w:val="20"/>
              </w:rPr>
              <w:t>-</w:t>
            </w:r>
          </w:p>
        </w:tc>
        <w:tc>
          <w:tcPr>
            <w:tcW w:w="440" w:type="pct"/>
            <w:tcBorders>
              <w:top w:val="nil"/>
              <w:bottom w:val="nil"/>
            </w:tcBorders>
            <w:vAlign w:val="center"/>
          </w:tcPr>
          <w:p w:rsidR="007E2C7F" w:rsidRDefault="007E2C7F">
            <w:pPr>
              <w:jc w:val="center"/>
              <w:rPr>
                <w:rFonts w:cs="Arial"/>
                <w:szCs w:val="20"/>
              </w:rPr>
            </w:pPr>
            <w:r>
              <w:rPr>
                <w:rFonts w:cs="Arial"/>
                <w:szCs w:val="20"/>
              </w:rPr>
              <w:t>-</w:t>
            </w:r>
          </w:p>
        </w:tc>
      </w:tr>
      <w:tr w:rsidR="007E2C7F" w:rsidRPr="006A7228" w:rsidTr="00B302BF">
        <w:trPr>
          <w:trHeight w:val="510"/>
        </w:trPr>
        <w:tc>
          <w:tcPr>
            <w:tcW w:w="932" w:type="pct"/>
            <w:tcBorders>
              <w:top w:val="nil"/>
              <w:bottom w:val="single" w:sz="4" w:space="0" w:color="auto"/>
            </w:tcBorders>
            <w:vAlign w:val="center"/>
          </w:tcPr>
          <w:p w:rsidR="007E2C7F" w:rsidRDefault="007E2C7F">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7E2C7F" w:rsidRDefault="007E2C7F">
            <w:pPr>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976596" w:rsidRDefault="00976596" w:rsidP="00A226E9">
      <w:pPr>
        <w:keepNext/>
      </w:pP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F251BC">
        <w:fldChar w:fldCharType="begin"/>
      </w:r>
      <w:r w:rsidR="00F251BC">
        <w:instrText xml:space="preserve"> SEQ Figure \* ARABIC </w:instrText>
      </w:r>
      <w:r w:rsidR="00F251BC">
        <w:fldChar w:fldCharType="separate"/>
      </w:r>
      <w:r w:rsidR="00587CFB">
        <w:rPr>
          <w:noProof/>
        </w:rPr>
        <w:t>5</w:t>
      </w:r>
      <w:r w:rsidR="00F251BC">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7E2C7F" w:rsidP="00E16EDC">
      <w:r w:rsidRPr="007E2C7F">
        <w:rPr>
          <w:noProof/>
          <w:lang w:eastAsia="en-AU"/>
        </w:rPr>
        <w:drawing>
          <wp:inline distT="0" distB="0" distL="0" distR="0" wp14:anchorId="6686745C" wp14:editId="4F2ADBF1">
            <wp:extent cx="5731510" cy="3179062"/>
            <wp:effectExtent l="0" t="0" r="2540" b="254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2E2C7B" w:rsidRDefault="002E2C7B">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C91604" w:rsidRDefault="00882FE8" w:rsidP="00863D89">
      <w:pPr>
        <w:jc w:val="both"/>
      </w:pPr>
      <w:r>
        <w:t>T</w:t>
      </w:r>
      <w:r w:rsidR="00863D89">
        <w:t xml:space="preserve">he majority of schedule prices </w:t>
      </w:r>
      <w:r>
        <w:t xml:space="preserve">in Victoria </w:t>
      </w:r>
      <w:r w:rsidR="00863D89">
        <w:t xml:space="preserve">fluctuated between around $5-$7/GJ throughout the week. </w:t>
      </w:r>
      <w:r w:rsidR="00863D89" w:rsidRPr="00FA253C">
        <w:t xml:space="preserve">A number of gas days began with </w:t>
      </w:r>
      <w:proofErr w:type="spellStart"/>
      <w:r w:rsidR="00863D89" w:rsidRPr="00FA253C">
        <w:t>linepack</w:t>
      </w:r>
      <w:proofErr w:type="spellEnd"/>
      <w:r w:rsidR="00863D89" w:rsidRPr="00FA253C">
        <w:t xml:space="preserve"> levels below the </w:t>
      </w:r>
      <w:r w:rsidR="00863D89">
        <w:t>b</w:t>
      </w:r>
      <w:r w:rsidR="00863D89" w:rsidRPr="00FA253C">
        <w:t xml:space="preserve">eginning of </w:t>
      </w:r>
      <w:r w:rsidR="00863D89">
        <w:t>d</w:t>
      </w:r>
      <w:r w:rsidR="00863D89" w:rsidRPr="00FA253C">
        <w:t xml:space="preserve">ay target </w:t>
      </w:r>
      <w:r w:rsidR="00863D89">
        <w:t>as</w:t>
      </w:r>
      <w:r w:rsidR="00863D89" w:rsidRPr="00FA253C">
        <w:t xml:space="preserve"> participants under</w:t>
      </w:r>
      <w:r w:rsidR="00863D89">
        <w:t xml:space="preserve"> </w:t>
      </w:r>
      <w:r w:rsidR="00863D89" w:rsidRPr="00FA253C">
        <w:t>forecast overnight demand.</w:t>
      </w:r>
      <w:r w:rsidR="00C91604">
        <w:rPr>
          <w:rStyle w:val="FootnoteReference"/>
        </w:rPr>
        <w:footnoteReference w:id="2"/>
      </w:r>
      <w:r w:rsidR="00FA253C" w:rsidRPr="00FA253C">
        <w:t xml:space="preserve"> </w:t>
      </w:r>
    </w:p>
    <w:p w:rsidR="00E864BB" w:rsidRDefault="00D40B00" w:rsidP="0017607A">
      <w:pPr>
        <w:jc w:val="both"/>
      </w:pPr>
      <w:r>
        <w:t xml:space="preserve">Temperatures </w:t>
      </w:r>
      <w:r w:rsidR="00A824D1">
        <w:t xml:space="preserve">were unusually low in Melbourne </w:t>
      </w:r>
      <w:r>
        <w:t>on Fr</w:t>
      </w:r>
      <w:r w:rsidR="00A824D1">
        <w:t xml:space="preserve">iday 21 and Saturday 22 October. The maximum temperature reached </w:t>
      </w:r>
      <w:r w:rsidR="00C979D7">
        <w:t xml:space="preserve">only </w:t>
      </w:r>
      <w:r w:rsidR="00A824D1">
        <w:t>13.2 degrees on Saturday</w:t>
      </w:r>
      <w:r w:rsidR="00C979D7">
        <w:t xml:space="preserve">, resulting in demand above the 1 in 2 peak demand probability for an October weekday (weekday demand is typically higher than weekend demand due to industrial load). </w:t>
      </w:r>
      <w:r w:rsidR="003A2F69">
        <w:t xml:space="preserve">Figures 1.2 and 1.5 show demand was </w:t>
      </w:r>
      <w:r w:rsidR="00976596">
        <w:t>un</w:t>
      </w:r>
      <w:r w:rsidR="003A2F69">
        <w:t xml:space="preserve">usually high on Saturday 22 October. </w:t>
      </w:r>
      <w:r w:rsidR="00C91604">
        <w:t>Figure 1.1 shows</w:t>
      </w:r>
      <w:r w:rsidR="00264B7C">
        <w:t xml:space="preserve"> prices exceeded $9/GJ for five schedules </w:t>
      </w:r>
      <w:r w:rsidR="00976596">
        <w:t xml:space="preserve">on these </w:t>
      </w:r>
      <w:r w:rsidR="00C91604">
        <w:t>gas days</w:t>
      </w:r>
      <w:r w:rsidR="00DD6E70">
        <w:t xml:space="preserve"> in light of the high demand conditions</w:t>
      </w:r>
      <w:r w:rsidR="003A2F69">
        <w:t xml:space="preserve">. </w:t>
      </w:r>
    </w:p>
    <w:p w:rsidR="00204AE2" w:rsidRPr="00FA253C" w:rsidRDefault="00FD411B" w:rsidP="00863D89">
      <w:pPr>
        <w:jc w:val="both"/>
      </w:pPr>
      <w:r>
        <w:t>Fig</w:t>
      </w:r>
      <w:r w:rsidR="008243F8">
        <w:t>ure </w:t>
      </w:r>
      <w:r>
        <w:t xml:space="preserve">2.4 shows </w:t>
      </w:r>
      <w:r w:rsidR="008243F8">
        <w:t xml:space="preserve">MOS service payments in Sydney exceeded </w:t>
      </w:r>
      <w:r>
        <w:t xml:space="preserve">$50 000 </w:t>
      </w:r>
      <w:r w:rsidR="008243F8">
        <w:t xml:space="preserve">on </w:t>
      </w:r>
      <w:r>
        <w:t>Wed</w:t>
      </w:r>
      <w:r w:rsidR="008243F8">
        <w:t>nesday</w:t>
      </w:r>
      <w:r>
        <w:t xml:space="preserve"> 19</w:t>
      </w:r>
      <w:r w:rsidR="008243F8">
        <w:t> </w:t>
      </w:r>
      <w:r>
        <w:t>Oct</w:t>
      </w:r>
      <w:r w:rsidR="008243F8">
        <w:t>ober. Figure </w:t>
      </w:r>
      <w:r>
        <w:t xml:space="preserve">3 shows </w:t>
      </w:r>
      <w:r w:rsidR="008243F8">
        <w:t xml:space="preserve">the average cost for balancing gas services </w:t>
      </w:r>
      <w:r w:rsidR="00DD6E70">
        <w:t xml:space="preserve">this week in Sydney was lower than for the previous week. </w:t>
      </w:r>
    </w:p>
    <w:p w:rsidR="001521CB" w:rsidRDefault="00656179" w:rsidP="00863D89">
      <w:pPr>
        <w:jc w:val="both"/>
      </w:pPr>
      <w:r>
        <w:t>Figure 5 shows an increase in APLNG flows indicating a ramp up towards full production on its 2</w:t>
      </w:r>
      <w:r w:rsidRPr="00656179">
        <w:rPr>
          <w:vertAlign w:val="superscript"/>
        </w:rPr>
        <w:t>nd</w:t>
      </w:r>
      <w:r>
        <w:t xml:space="preserve"> LNG train at Curtis Island. </w:t>
      </w:r>
      <w:r w:rsidR="00D114EE">
        <w:t>The</w:t>
      </w:r>
      <w:r w:rsidR="00D114EE" w:rsidRPr="00FA253C">
        <w:t xml:space="preserve"> </w:t>
      </w:r>
      <w:r w:rsidR="00FA253C" w:rsidRPr="00FA253C">
        <w:t>p</w:t>
      </w:r>
      <w:r w:rsidR="00F30306" w:rsidRPr="00FA253C">
        <w:t xml:space="preserve">lanned outage </w:t>
      </w:r>
      <w:r w:rsidR="00D114EE" w:rsidRPr="00FA253C">
        <w:t xml:space="preserve">at </w:t>
      </w:r>
      <w:r w:rsidR="00D114EE">
        <w:t xml:space="preserve">the </w:t>
      </w:r>
      <w:r w:rsidR="00D114EE" w:rsidRPr="00FA253C">
        <w:t xml:space="preserve">GLNG facility </w:t>
      </w:r>
      <w:r w:rsidR="00D114EE">
        <w:t xml:space="preserve">from </w:t>
      </w:r>
      <w:r w:rsidRPr="00FA253C">
        <w:t>4 to 22 October</w:t>
      </w:r>
      <w:r>
        <w:t xml:space="preserve"> </w:t>
      </w:r>
      <w:r w:rsidR="00D114EE">
        <w:t>concluded on Saturday. G</w:t>
      </w:r>
      <w:r>
        <w:t xml:space="preserve">as deliveries </w:t>
      </w:r>
      <w:r w:rsidR="00D114EE">
        <w:t xml:space="preserve">can now </w:t>
      </w:r>
      <w:r>
        <w:t>be shipped on all six trains simultaneously across the three LNG projects</w:t>
      </w:r>
      <w:r w:rsidR="00EF26F4">
        <w:t xml:space="preserve">, which </w:t>
      </w:r>
      <w:r w:rsidR="00D114EE">
        <w:t xml:space="preserve">should see </w:t>
      </w:r>
      <w:r w:rsidR="00EF26F4">
        <w:t xml:space="preserve">an increase in export quantities </w:t>
      </w:r>
      <w:r w:rsidR="00D114EE">
        <w:t xml:space="preserve">(up from the </w:t>
      </w:r>
      <w:r w:rsidR="00EF26F4">
        <w:t>3 521</w:t>
      </w:r>
      <w:r w:rsidR="00D114EE">
        <w:t> </w:t>
      </w:r>
      <w:r w:rsidR="00EF26F4">
        <w:t xml:space="preserve">TJ </w:t>
      </w:r>
      <w:r w:rsidR="00D114EE">
        <w:t xml:space="preserve">reached on </w:t>
      </w:r>
      <w:r w:rsidR="00EF26F4">
        <w:t>6 October 2016).</w:t>
      </w:r>
      <w:r>
        <w:t xml:space="preserve"> </w:t>
      </w:r>
    </w:p>
    <w:p w:rsidR="00D86F04" w:rsidRDefault="00D86F04" w:rsidP="00863D89">
      <w:pPr>
        <w:jc w:val="both"/>
      </w:pPr>
    </w:p>
    <w:p w:rsidR="00D86F04" w:rsidRDefault="00D86F04" w:rsidP="00863D89">
      <w:pPr>
        <w:jc w:val="both"/>
      </w:pPr>
    </w:p>
    <w:p w:rsidR="00D86F04" w:rsidRPr="00FA253C" w:rsidRDefault="00D86F04" w:rsidP="00863D89">
      <w:pPr>
        <w:jc w:val="both"/>
      </w:pPr>
    </w:p>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7E2C7F" w:rsidP="003171C6">
      <w:r w:rsidRPr="007E2C7F">
        <w:rPr>
          <w:noProof/>
          <w:lang w:eastAsia="en-AU"/>
        </w:rPr>
        <w:drawing>
          <wp:inline distT="0" distB="0" distL="0" distR="0" wp14:anchorId="007217A2" wp14:editId="340140F3">
            <wp:extent cx="5731510" cy="1650203"/>
            <wp:effectExtent l="0" t="0" r="2540" b="7620"/>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7E2C7F" w:rsidP="003171C6">
      <w:r w:rsidRPr="007E2C7F">
        <w:rPr>
          <w:noProof/>
          <w:lang w:eastAsia="en-AU"/>
        </w:rPr>
        <w:drawing>
          <wp:inline distT="0" distB="0" distL="0" distR="0" wp14:anchorId="00FD6119" wp14:editId="1382A3A6">
            <wp:extent cx="5731510" cy="2132322"/>
            <wp:effectExtent l="0" t="0" r="2540" b="1905"/>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7E2C7F" w:rsidP="003171C6">
      <w:r w:rsidRPr="007E2C7F">
        <w:rPr>
          <w:noProof/>
          <w:lang w:eastAsia="en-AU"/>
        </w:rPr>
        <w:drawing>
          <wp:inline distT="0" distB="0" distL="0" distR="0" wp14:anchorId="490341A5" wp14:editId="1CFA45B0">
            <wp:extent cx="5731510" cy="2486687"/>
            <wp:effectExtent l="0" t="0" r="2540" b="8890"/>
            <wp:docPr id="9" name="Picture 9"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7E2C7F" w:rsidP="003171C6">
      <w:r w:rsidRPr="007E2C7F">
        <w:rPr>
          <w:noProof/>
          <w:lang w:eastAsia="en-AU"/>
        </w:rPr>
        <w:drawing>
          <wp:inline distT="0" distB="0" distL="0" distR="0" wp14:anchorId="7A1839EF" wp14:editId="0E7383EF">
            <wp:extent cx="5731510" cy="1958582"/>
            <wp:effectExtent l="0" t="0" r="2540" b="3810"/>
            <wp:docPr id="10" name="Picture 10"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7E2C7F" w:rsidP="003171C6">
      <w:r w:rsidRPr="007E2C7F">
        <w:rPr>
          <w:noProof/>
          <w:lang w:eastAsia="en-AU"/>
        </w:rPr>
        <w:drawing>
          <wp:inline distT="0" distB="0" distL="0" distR="0" wp14:anchorId="5AD72212" wp14:editId="0A42EFAC">
            <wp:extent cx="5731510" cy="2142691"/>
            <wp:effectExtent l="0" t="0" r="2540" b="0"/>
            <wp:docPr id="11" name="Picture 11"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FC6B9B" w:rsidRPr="00405CDE" w:rsidTr="00A226E9">
        <w:trPr>
          <w:trHeight w:val="510"/>
        </w:trPr>
        <w:tc>
          <w:tcPr>
            <w:tcW w:w="1211" w:type="pct"/>
            <w:tcBorders>
              <w:top w:val="nil"/>
              <w:bottom w:val="nil"/>
            </w:tcBorders>
            <w:vAlign w:val="center"/>
          </w:tcPr>
          <w:p w:rsidR="00FC6B9B" w:rsidRDefault="00FC6B9B">
            <w:pPr>
              <w:rPr>
                <w:rFonts w:cs="Arial"/>
                <w:sz w:val="20"/>
                <w:szCs w:val="20"/>
              </w:rPr>
            </w:pPr>
            <w:r>
              <w:rPr>
                <w:rFonts w:cs="Arial"/>
                <w:sz w:val="20"/>
                <w:szCs w:val="20"/>
              </w:rPr>
              <w:t>Ex ante price ($/GJ)</w:t>
            </w:r>
          </w:p>
        </w:tc>
        <w:tc>
          <w:tcPr>
            <w:tcW w:w="580" w:type="pct"/>
            <w:tcBorders>
              <w:top w:val="nil"/>
              <w:bottom w:val="nil"/>
            </w:tcBorders>
            <w:vAlign w:val="center"/>
          </w:tcPr>
          <w:p w:rsidR="00FC6B9B" w:rsidRDefault="00FC6B9B">
            <w:pPr>
              <w:jc w:val="center"/>
              <w:rPr>
                <w:rFonts w:cs="Arial"/>
                <w:sz w:val="20"/>
                <w:szCs w:val="20"/>
              </w:rPr>
            </w:pPr>
            <w:r>
              <w:rPr>
                <w:rFonts w:cs="Arial"/>
                <w:sz w:val="20"/>
                <w:szCs w:val="20"/>
              </w:rPr>
              <w:t>5.71</w:t>
            </w:r>
          </w:p>
        </w:tc>
        <w:tc>
          <w:tcPr>
            <w:tcW w:w="508" w:type="pct"/>
            <w:tcBorders>
              <w:top w:val="nil"/>
              <w:bottom w:val="nil"/>
            </w:tcBorders>
            <w:vAlign w:val="center"/>
          </w:tcPr>
          <w:p w:rsidR="00FC6B9B" w:rsidRDefault="00FC6B9B">
            <w:pPr>
              <w:jc w:val="center"/>
              <w:rPr>
                <w:rFonts w:cs="Arial"/>
                <w:sz w:val="20"/>
                <w:szCs w:val="20"/>
              </w:rPr>
            </w:pPr>
            <w:r>
              <w:rPr>
                <w:rFonts w:cs="Arial"/>
                <w:sz w:val="20"/>
                <w:szCs w:val="20"/>
              </w:rPr>
              <w:t>6.50</w:t>
            </w:r>
          </w:p>
        </w:tc>
        <w:tc>
          <w:tcPr>
            <w:tcW w:w="589" w:type="pct"/>
            <w:tcBorders>
              <w:top w:val="nil"/>
              <w:bottom w:val="nil"/>
            </w:tcBorders>
            <w:vAlign w:val="center"/>
          </w:tcPr>
          <w:p w:rsidR="00FC6B9B" w:rsidRDefault="00FC6B9B">
            <w:pPr>
              <w:jc w:val="center"/>
              <w:rPr>
                <w:rFonts w:cs="Arial"/>
                <w:sz w:val="20"/>
                <w:szCs w:val="20"/>
              </w:rPr>
            </w:pPr>
            <w:r>
              <w:rPr>
                <w:rFonts w:cs="Arial"/>
                <w:sz w:val="20"/>
                <w:szCs w:val="20"/>
              </w:rPr>
              <w:t>6.95</w:t>
            </w:r>
          </w:p>
        </w:tc>
        <w:tc>
          <w:tcPr>
            <w:tcW w:w="517" w:type="pct"/>
            <w:tcBorders>
              <w:top w:val="nil"/>
              <w:bottom w:val="nil"/>
            </w:tcBorders>
            <w:vAlign w:val="center"/>
          </w:tcPr>
          <w:p w:rsidR="00FC6B9B" w:rsidRDefault="00FC6B9B">
            <w:pPr>
              <w:jc w:val="center"/>
              <w:rPr>
                <w:rFonts w:cs="Arial"/>
                <w:sz w:val="20"/>
                <w:szCs w:val="20"/>
              </w:rPr>
            </w:pPr>
            <w:r>
              <w:rPr>
                <w:rFonts w:cs="Arial"/>
                <w:sz w:val="20"/>
                <w:szCs w:val="20"/>
              </w:rPr>
              <w:t>6.65</w:t>
            </w:r>
          </w:p>
        </w:tc>
        <w:tc>
          <w:tcPr>
            <w:tcW w:w="510" w:type="pct"/>
            <w:tcBorders>
              <w:top w:val="nil"/>
              <w:bottom w:val="nil"/>
            </w:tcBorders>
            <w:vAlign w:val="center"/>
          </w:tcPr>
          <w:p w:rsidR="00FC6B9B" w:rsidRDefault="00FC6B9B">
            <w:pPr>
              <w:jc w:val="center"/>
              <w:rPr>
                <w:rFonts w:cs="Arial"/>
                <w:sz w:val="20"/>
                <w:szCs w:val="20"/>
              </w:rPr>
            </w:pPr>
            <w:r>
              <w:rPr>
                <w:rFonts w:cs="Arial"/>
                <w:sz w:val="20"/>
                <w:szCs w:val="20"/>
              </w:rPr>
              <w:t>6.49</w:t>
            </w:r>
          </w:p>
        </w:tc>
        <w:tc>
          <w:tcPr>
            <w:tcW w:w="507" w:type="pct"/>
            <w:tcBorders>
              <w:top w:val="nil"/>
              <w:bottom w:val="nil"/>
            </w:tcBorders>
            <w:vAlign w:val="center"/>
          </w:tcPr>
          <w:p w:rsidR="00FC6B9B" w:rsidRDefault="00FC6B9B">
            <w:pPr>
              <w:jc w:val="center"/>
              <w:rPr>
                <w:rFonts w:cs="Arial"/>
                <w:sz w:val="20"/>
                <w:szCs w:val="20"/>
              </w:rPr>
            </w:pPr>
            <w:r>
              <w:rPr>
                <w:rFonts w:cs="Arial"/>
                <w:sz w:val="20"/>
                <w:szCs w:val="20"/>
              </w:rPr>
              <w:t>6.29</w:t>
            </w:r>
          </w:p>
        </w:tc>
        <w:tc>
          <w:tcPr>
            <w:tcW w:w="578" w:type="pct"/>
            <w:tcBorders>
              <w:top w:val="nil"/>
              <w:bottom w:val="nil"/>
            </w:tcBorders>
            <w:vAlign w:val="center"/>
          </w:tcPr>
          <w:p w:rsidR="00FC6B9B" w:rsidRDefault="00FC6B9B">
            <w:pPr>
              <w:jc w:val="center"/>
              <w:rPr>
                <w:rFonts w:cs="Arial"/>
                <w:sz w:val="20"/>
                <w:szCs w:val="20"/>
              </w:rPr>
            </w:pPr>
            <w:r>
              <w:rPr>
                <w:rFonts w:cs="Arial"/>
                <w:sz w:val="20"/>
                <w:szCs w:val="20"/>
              </w:rPr>
              <w:t>6.22</w:t>
            </w:r>
          </w:p>
        </w:tc>
      </w:tr>
      <w:tr w:rsidR="00FC6B9B"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FC6B9B" w:rsidRDefault="00FC6B9B">
            <w:pPr>
              <w:rPr>
                <w:rFonts w:cs="Arial"/>
                <w:szCs w:val="20"/>
              </w:rPr>
            </w:pPr>
            <w:r>
              <w:rPr>
                <w:rFonts w:cs="Arial"/>
                <w:szCs w:val="20"/>
              </w:rPr>
              <w:t>Ex ante quantity (TJ)</w:t>
            </w:r>
          </w:p>
        </w:tc>
        <w:tc>
          <w:tcPr>
            <w:tcW w:w="580" w:type="pct"/>
            <w:tcBorders>
              <w:top w:val="nil"/>
              <w:bottom w:val="nil"/>
            </w:tcBorders>
            <w:vAlign w:val="center"/>
          </w:tcPr>
          <w:p w:rsidR="00FC6B9B" w:rsidRDefault="00FC6B9B">
            <w:pPr>
              <w:jc w:val="center"/>
              <w:rPr>
                <w:rFonts w:cs="Arial"/>
                <w:szCs w:val="20"/>
              </w:rPr>
            </w:pPr>
            <w:r>
              <w:rPr>
                <w:rFonts w:cs="Arial"/>
                <w:szCs w:val="20"/>
              </w:rPr>
              <w:t>199</w:t>
            </w:r>
          </w:p>
        </w:tc>
        <w:tc>
          <w:tcPr>
            <w:tcW w:w="508" w:type="pct"/>
            <w:tcBorders>
              <w:top w:val="nil"/>
              <w:bottom w:val="nil"/>
            </w:tcBorders>
            <w:vAlign w:val="center"/>
          </w:tcPr>
          <w:p w:rsidR="00FC6B9B" w:rsidRDefault="00FC6B9B">
            <w:pPr>
              <w:jc w:val="center"/>
              <w:rPr>
                <w:rFonts w:cs="Arial"/>
                <w:szCs w:val="20"/>
              </w:rPr>
            </w:pPr>
            <w:r>
              <w:rPr>
                <w:rFonts w:cs="Arial"/>
                <w:szCs w:val="20"/>
              </w:rPr>
              <w:t>239</w:t>
            </w:r>
          </w:p>
        </w:tc>
        <w:tc>
          <w:tcPr>
            <w:tcW w:w="589" w:type="pct"/>
            <w:tcBorders>
              <w:top w:val="nil"/>
              <w:bottom w:val="nil"/>
            </w:tcBorders>
            <w:vAlign w:val="center"/>
          </w:tcPr>
          <w:p w:rsidR="00FC6B9B" w:rsidRDefault="00FC6B9B">
            <w:pPr>
              <w:jc w:val="center"/>
              <w:rPr>
                <w:rFonts w:cs="Arial"/>
                <w:szCs w:val="20"/>
              </w:rPr>
            </w:pPr>
            <w:r>
              <w:rPr>
                <w:rFonts w:cs="Arial"/>
                <w:szCs w:val="20"/>
              </w:rPr>
              <w:t>247</w:t>
            </w:r>
          </w:p>
        </w:tc>
        <w:tc>
          <w:tcPr>
            <w:tcW w:w="517" w:type="pct"/>
            <w:tcBorders>
              <w:top w:val="nil"/>
              <w:bottom w:val="nil"/>
            </w:tcBorders>
            <w:vAlign w:val="center"/>
          </w:tcPr>
          <w:p w:rsidR="00FC6B9B" w:rsidRDefault="00FC6B9B">
            <w:pPr>
              <w:jc w:val="center"/>
              <w:rPr>
                <w:rFonts w:cs="Arial"/>
                <w:szCs w:val="20"/>
              </w:rPr>
            </w:pPr>
            <w:r>
              <w:rPr>
                <w:rFonts w:cs="Arial"/>
                <w:szCs w:val="20"/>
              </w:rPr>
              <w:t>253</w:t>
            </w:r>
          </w:p>
        </w:tc>
        <w:tc>
          <w:tcPr>
            <w:tcW w:w="510" w:type="pct"/>
            <w:tcBorders>
              <w:top w:val="nil"/>
              <w:bottom w:val="nil"/>
            </w:tcBorders>
            <w:vAlign w:val="center"/>
          </w:tcPr>
          <w:p w:rsidR="00FC6B9B" w:rsidRDefault="00FC6B9B">
            <w:pPr>
              <w:jc w:val="center"/>
              <w:rPr>
                <w:rFonts w:cs="Arial"/>
                <w:szCs w:val="20"/>
              </w:rPr>
            </w:pPr>
            <w:r>
              <w:rPr>
                <w:rFonts w:cs="Arial"/>
                <w:szCs w:val="20"/>
              </w:rPr>
              <w:t>242</w:t>
            </w:r>
          </w:p>
        </w:tc>
        <w:tc>
          <w:tcPr>
            <w:tcW w:w="507" w:type="pct"/>
            <w:tcBorders>
              <w:top w:val="nil"/>
              <w:bottom w:val="nil"/>
            </w:tcBorders>
            <w:vAlign w:val="center"/>
          </w:tcPr>
          <w:p w:rsidR="00FC6B9B" w:rsidRDefault="00FC6B9B">
            <w:pPr>
              <w:jc w:val="center"/>
              <w:rPr>
                <w:rFonts w:cs="Arial"/>
                <w:szCs w:val="20"/>
              </w:rPr>
            </w:pPr>
            <w:r>
              <w:rPr>
                <w:rFonts w:cs="Arial"/>
                <w:szCs w:val="20"/>
              </w:rPr>
              <w:t>238</w:t>
            </w:r>
          </w:p>
        </w:tc>
        <w:tc>
          <w:tcPr>
            <w:tcW w:w="578" w:type="pct"/>
            <w:tcBorders>
              <w:top w:val="nil"/>
              <w:bottom w:val="nil"/>
            </w:tcBorders>
            <w:vAlign w:val="center"/>
          </w:tcPr>
          <w:p w:rsidR="00FC6B9B" w:rsidRDefault="00FC6B9B">
            <w:pPr>
              <w:jc w:val="center"/>
              <w:rPr>
                <w:rFonts w:cs="Arial"/>
                <w:szCs w:val="20"/>
              </w:rPr>
            </w:pPr>
            <w:r>
              <w:rPr>
                <w:rFonts w:cs="Arial"/>
                <w:szCs w:val="20"/>
              </w:rPr>
              <w:t>226</w:t>
            </w:r>
          </w:p>
        </w:tc>
      </w:tr>
      <w:tr w:rsidR="00FC6B9B" w:rsidRPr="00405CDE" w:rsidTr="00A226E9">
        <w:trPr>
          <w:trHeight w:val="510"/>
        </w:trPr>
        <w:tc>
          <w:tcPr>
            <w:tcW w:w="1211" w:type="pct"/>
            <w:tcBorders>
              <w:top w:val="nil"/>
              <w:bottom w:val="nil"/>
            </w:tcBorders>
            <w:vAlign w:val="center"/>
          </w:tcPr>
          <w:p w:rsidR="00FC6B9B" w:rsidRDefault="00FC6B9B">
            <w:pPr>
              <w:rPr>
                <w:rFonts w:cs="Arial"/>
                <w:sz w:val="20"/>
                <w:szCs w:val="20"/>
              </w:rPr>
            </w:pPr>
            <w:r>
              <w:rPr>
                <w:rFonts w:cs="Arial"/>
                <w:sz w:val="20"/>
                <w:szCs w:val="20"/>
              </w:rPr>
              <w:t>Ex post price ($/GJ)</w:t>
            </w:r>
          </w:p>
        </w:tc>
        <w:tc>
          <w:tcPr>
            <w:tcW w:w="580" w:type="pct"/>
            <w:tcBorders>
              <w:top w:val="nil"/>
              <w:bottom w:val="nil"/>
            </w:tcBorders>
            <w:vAlign w:val="center"/>
          </w:tcPr>
          <w:p w:rsidR="00FC6B9B" w:rsidRDefault="00FC6B9B">
            <w:pPr>
              <w:jc w:val="center"/>
              <w:rPr>
                <w:rFonts w:cs="Arial"/>
                <w:sz w:val="20"/>
                <w:szCs w:val="20"/>
              </w:rPr>
            </w:pPr>
            <w:r>
              <w:rPr>
                <w:rFonts w:cs="Arial"/>
                <w:sz w:val="20"/>
                <w:szCs w:val="20"/>
              </w:rPr>
              <w:t>5.71</w:t>
            </w:r>
          </w:p>
        </w:tc>
        <w:tc>
          <w:tcPr>
            <w:tcW w:w="508" w:type="pct"/>
            <w:tcBorders>
              <w:top w:val="nil"/>
              <w:bottom w:val="nil"/>
            </w:tcBorders>
            <w:vAlign w:val="center"/>
          </w:tcPr>
          <w:p w:rsidR="00FC6B9B" w:rsidRDefault="00FC6B9B">
            <w:pPr>
              <w:jc w:val="center"/>
              <w:rPr>
                <w:rFonts w:cs="Arial"/>
                <w:sz w:val="20"/>
                <w:szCs w:val="20"/>
              </w:rPr>
            </w:pPr>
            <w:r>
              <w:rPr>
                <w:rFonts w:cs="Arial"/>
                <w:sz w:val="20"/>
                <w:szCs w:val="20"/>
              </w:rPr>
              <w:t>6.50</w:t>
            </w:r>
          </w:p>
        </w:tc>
        <w:tc>
          <w:tcPr>
            <w:tcW w:w="589" w:type="pct"/>
            <w:tcBorders>
              <w:top w:val="nil"/>
              <w:bottom w:val="nil"/>
            </w:tcBorders>
            <w:vAlign w:val="center"/>
          </w:tcPr>
          <w:p w:rsidR="00FC6B9B" w:rsidRDefault="00FC6B9B">
            <w:pPr>
              <w:jc w:val="center"/>
              <w:rPr>
                <w:rFonts w:cs="Arial"/>
                <w:sz w:val="20"/>
                <w:szCs w:val="20"/>
              </w:rPr>
            </w:pPr>
            <w:r>
              <w:rPr>
                <w:rFonts w:cs="Arial"/>
                <w:sz w:val="20"/>
                <w:szCs w:val="20"/>
              </w:rPr>
              <w:t>6.48</w:t>
            </w:r>
          </w:p>
        </w:tc>
        <w:tc>
          <w:tcPr>
            <w:tcW w:w="517" w:type="pct"/>
            <w:tcBorders>
              <w:top w:val="nil"/>
              <w:bottom w:val="nil"/>
            </w:tcBorders>
            <w:vAlign w:val="center"/>
          </w:tcPr>
          <w:p w:rsidR="00FC6B9B" w:rsidRDefault="00FC6B9B">
            <w:pPr>
              <w:jc w:val="center"/>
              <w:rPr>
                <w:rFonts w:cs="Arial"/>
                <w:sz w:val="20"/>
                <w:szCs w:val="20"/>
              </w:rPr>
            </w:pPr>
            <w:r>
              <w:rPr>
                <w:rFonts w:cs="Arial"/>
                <w:sz w:val="20"/>
                <w:szCs w:val="20"/>
              </w:rPr>
              <w:t>6.48</w:t>
            </w:r>
          </w:p>
        </w:tc>
        <w:tc>
          <w:tcPr>
            <w:tcW w:w="510" w:type="pct"/>
            <w:tcBorders>
              <w:top w:val="nil"/>
              <w:bottom w:val="nil"/>
            </w:tcBorders>
            <w:vAlign w:val="center"/>
          </w:tcPr>
          <w:p w:rsidR="00FC6B9B" w:rsidRDefault="00FC6B9B">
            <w:pPr>
              <w:jc w:val="center"/>
              <w:rPr>
                <w:rFonts w:cs="Arial"/>
                <w:sz w:val="20"/>
                <w:szCs w:val="20"/>
              </w:rPr>
            </w:pPr>
            <w:r>
              <w:rPr>
                <w:rFonts w:cs="Arial"/>
                <w:sz w:val="20"/>
                <w:szCs w:val="20"/>
              </w:rPr>
              <w:t>6.49</w:t>
            </w:r>
          </w:p>
        </w:tc>
        <w:tc>
          <w:tcPr>
            <w:tcW w:w="507" w:type="pct"/>
            <w:tcBorders>
              <w:top w:val="nil"/>
              <w:bottom w:val="nil"/>
            </w:tcBorders>
            <w:vAlign w:val="center"/>
          </w:tcPr>
          <w:p w:rsidR="00FC6B9B" w:rsidRDefault="00FC6B9B">
            <w:pPr>
              <w:jc w:val="center"/>
              <w:rPr>
                <w:rFonts w:cs="Arial"/>
                <w:sz w:val="20"/>
                <w:szCs w:val="20"/>
              </w:rPr>
            </w:pPr>
            <w:r>
              <w:rPr>
                <w:rFonts w:cs="Arial"/>
                <w:sz w:val="20"/>
                <w:szCs w:val="20"/>
              </w:rPr>
              <w:t>6.29</w:t>
            </w:r>
          </w:p>
        </w:tc>
        <w:tc>
          <w:tcPr>
            <w:tcW w:w="578" w:type="pct"/>
            <w:tcBorders>
              <w:top w:val="nil"/>
              <w:bottom w:val="nil"/>
            </w:tcBorders>
            <w:vAlign w:val="center"/>
          </w:tcPr>
          <w:p w:rsidR="00FC6B9B" w:rsidRDefault="00FC6B9B">
            <w:pPr>
              <w:jc w:val="center"/>
              <w:rPr>
                <w:rFonts w:cs="Arial"/>
                <w:sz w:val="20"/>
                <w:szCs w:val="20"/>
              </w:rPr>
            </w:pPr>
            <w:r>
              <w:rPr>
                <w:rFonts w:cs="Arial"/>
                <w:sz w:val="20"/>
                <w:szCs w:val="20"/>
              </w:rPr>
              <w:t>6.22</w:t>
            </w:r>
          </w:p>
        </w:tc>
      </w:tr>
      <w:tr w:rsidR="00FC6B9B"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FC6B9B" w:rsidRDefault="00FC6B9B">
            <w:pPr>
              <w:rPr>
                <w:rFonts w:cs="Arial"/>
                <w:szCs w:val="20"/>
              </w:rPr>
            </w:pPr>
            <w:r>
              <w:rPr>
                <w:rFonts w:cs="Arial"/>
                <w:szCs w:val="20"/>
              </w:rPr>
              <w:t>Ex post quantity (TJ)</w:t>
            </w:r>
          </w:p>
        </w:tc>
        <w:tc>
          <w:tcPr>
            <w:tcW w:w="580" w:type="pct"/>
            <w:tcBorders>
              <w:top w:val="nil"/>
              <w:bottom w:val="single" w:sz="4" w:space="0" w:color="auto"/>
            </w:tcBorders>
            <w:vAlign w:val="center"/>
          </w:tcPr>
          <w:p w:rsidR="00FC6B9B" w:rsidRDefault="00FC6B9B">
            <w:pPr>
              <w:jc w:val="center"/>
              <w:rPr>
                <w:rFonts w:cs="Arial"/>
                <w:szCs w:val="20"/>
              </w:rPr>
            </w:pPr>
            <w:r>
              <w:rPr>
                <w:rFonts w:cs="Arial"/>
                <w:szCs w:val="20"/>
              </w:rPr>
              <w:t>201</w:t>
            </w:r>
          </w:p>
        </w:tc>
        <w:tc>
          <w:tcPr>
            <w:tcW w:w="508" w:type="pct"/>
            <w:tcBorders>
              <w:top w:val="nil"/>
              <w:bottom w:val="single" w:sz="4" w:space="0" w:color="auto"/>
            </w:tcBorders>
            <w:vAlign w:val="center"/>
          </w:tcPr>
          <w:p w:rsidR="00FC6B9B" w:rsidRDefault="00FC6B9B">
            <w:pPr>
              <w:jc w:val="center"/>
              <w:rPr>
                <w:rFonts w:cs="Arial"/>
                <w:szCs w:val="20"/>
              </w:rPr>
            </w:pPr>
            <w:r>
              <w:rPr>
                <w:rFonts w:cs="Arial"/>
                <w:szCs w:val="20"/>
              </w:rPr>
              <w:t>240</w:t>
            </w:r>
          </w:p>
        </w:tc>
        <w:tc>
          <w:tcPr>
            <w:tcW w:w="589" w:type="pct"/>
            <w:tcBorders>
              <w:top w:val="nil"/>
              <w:bottom w:val="single" w:sz="4" w:space="0" w:color="auto"/>
            </w:tcBorders>
            <w:vAlign w:val="center"/>
          </w:tcPr>
          <w:p w:rsidR="00FC6B9B" w:rsidRDefault="00FC6B9B">
            <w:pPr>
              <w:jc w:val="center"/>
              <w:rPr>
                <w:rFonts w:cs="Arial"/>
                <w:szCs w:val="20"/>
              </w:rPr>
            </w:pPr>
            <w:r>
              <w:rPr>
                <w:rFonts w:cs="Arial"/>
                <w:szCs w:val="20"/>
              </w:rPr>
              <w:t>243</w:t>
            </w:r>
          </w:p>
        </w:tc>
        <w:tc>
          <w:tcPr>
            <w:tcW w:w="517" w:type="pct"/>
            <w:tcBorders>
              <w:top w:val="nil"/>
              <w:bottom w:val="single" w:sz="4" w:space="0" w:color="auto"/>
            </w:tcBorders>
            <w:vAlign w:val="center"/>
          </w:tcPr>
          <w:p w:rsidR="00FC6B9B" w:rsidRDefault="00FC6B9B">
            <w:pPr>
              <w:jc w:val="center"/>
              <w:rPr>
                <w:rFonts w:cs="Arial"/>
                <w:szCs w:val="20"/>
              </w:rPr>
            </w:pPr>
            <w:r>
              <w:rPr>
                <w:rFonts w:cs="Arial"/>
                <w:szCs w:val="20"/>
              </w:rPr>
              <w:t>243</w:t>
            </w:r>
          </w:p>
        </w:tc>
        <w:tc>
          <w:tcPr>
            <w:tcW w:w="510" w:type="pct"/>
            <w:tcBorders>
              <w:top w:val="nil"/>
              <w:bottom w:val="single" w:sz="4" w:space="0" w:color="auto"/>
            </w:tcBorders>
            <w:vAlign w:val="center"/>
          </w:tcPr>
          <w:p w:rsidR="00FC6B9B" w:rsidRDefault="00FC6B9B">
            <w:pPr>
              <w:jc w:val="center"/>
              <w:rPr>
                <w:rFonts w:cs="Arial"/>
                <w:szCs w:val="20"/>
              </w:rPr>
            </w:pPr>
            <w:r>
              <w:rPr>
                <w:rFonts w:cs="Arial"/>
                <w:szCs w:val="20"/>
              </w:rPr>
              <w:t>246</w:t>
            </w:r>
          </w:p>
        </w:tc>
        <w:tc>
          <w:tcPr>
            <w:tcW w:w="507" w:type="pct"/>
            <w:tcBorders>
              <w:top w:val="nil"/>
              <w:bottom w:val="single" w:sz="4" w:space="0" w:color="auto"/>
            </w:tcBorders>
            <w:vAlign w:val="center"/>
          </w:tcPr>
          <w:p w:rsidR="00FC6B9B" w:rsidRDefault="00FC6B9B">
            <w:pPr>
              <w:jc w:val="center"/>
              <w:rPr>
                <w:rFonts w:cs="Arial"/>
                <w:szCs w:val="20"/>
              </w:rPr>
            </w:pPr>
            <w:r>
              <w:rPr>
                <w:rFonts w:cs="Arial"/>
                <w:szCs w:val="20"/>
              </w:rPr>
              <w:t>234</w:t>
            </w:r>
          </w:p>
        </w:tc>
        <w:tc>
          <w:tcPr>
            <w:tcW w:w="578" w:type="pct"/>
            <w:tcBorders>
              <w:top w:val="nil"/>
              <w:bottom w:val="single" w:sz="4" w:space="0" w:color="auto"/>
            </w:tcBorders>
            <w:vAlign w:val="center"/>
          </w:tcPr>
          <w:p w:rsidR="00FC6B9B" w:rsidRDefault="00FC6B9B">
            <w:pPr>
              <w:jc w:val="center"/>
              <w:rPr>
                <w:rFonts w:cs="Arial"/>
                <w:szCs w:val="20"/>
              </w:rPr>
            </w:pPr>
            <w:r>
              <w:rPr>
                <w:rFonts w:cs="Arial"/>
                <w:szCs w:val="20"/>
              </w:rPr>
              <w:t>230</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FC6B9B" w:rsidP="00EC2CB1">
      <w:r w:rsidRPr="00FC6B9B">
        <w:rPr>
          <w:noProof/>
          <w:lang w:eastAsia="en-AU"/>
        </w:rPr>
        <w:drawing>
          <wp:inline distT="0" distB="0" distL="0" distR="0" wp14:anchorId="6A17CDD3" wp14:editId="2E4013E3">
            <wp:extent cx="5731510" cy="2046203"/>
            <wp:effectExtent l="0" t="0" r="0" b="0"/>
            <wp:docPr id="12" name="Picture 12"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FC6B9B" w:rsidP="00EC2CB1">
      <w:r w:rsidRPr="00FC6B9B">
        <w:rPr>
          <w:noProof/>
          <w:lang w:eastAsia="en-AU"/>
        </w:rPr>
        <w:drawing>
          <wp:inline distT="0" distB="0" distL="0" distR="0" wp14:anchorId="7C86910D" wp14:editId="51779416">
            <wp:extent cx="5731510" cy="2555336"/>
            <wp:effectExtent l="0" t="0" r="2540" b="0"/>
            <wp:docPr id="17" name="Picture 17"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FC6B9B" w:rsidP="00EC2CB1">
      <w:r w:rsidRPr="00FC6B9B">
        <w:rPr>
          <w:noProof/>
          <w:lang w:eastAsia="en-AU"/>
        </w:rPr>
        <w:drawing>
          <wp:inline distT="0" distB="0" distL="0" distR="0" wp14:anchorId="43000B77" wp14:editId="73C4B902">
            <wp:extent cx="5731510" cy="2175613"/>
            <wp:effectExtent l="0" t="0" r="2540" b="0"/>
            <wp:docPr id="19" name="Picture 19"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83300" w:rsidRPr="00405CDE" w:rsidTr="00A226E9">
        <w:trPr>
          <w:trHeight w:val="389"/>
        </w:trPr>
        <w:tc>
          <w:tcPr>
            <w:tcW w:w="1152" w:type="pct"/>
            <w:tcBorders>
              <w:top w:val="nil"/>
              <w:bottom w:val="nil"/>
            </w:tcBorders>
            <w:vAlign w:val="center"/>
          </w:tcPr>
          <w:p w:rsidR="00A83300" w:rsidRDefault="00A83300">
            <w:pPr>
              <w:rPr>
                <w:rFonts w:cs="Arial"/>
                <w:sz w:val="20"/>
                <w:szCs w:val="20"/>
              </w:rPr>
            </w:pPr>
            <w:r>
              <w:rPr>
                <w:rFonts w:cs="Arial"/>
                <w:sz w:val="20"/>
                <w:szCs w:val="20"/>
              </w:rPr>
              <w:t>Ex ante price ($/GJ)</w:t>
            </w:r>
          </w:p>
        </w:tc>
        <w:tc>
          <w:tcPr>
            <w:tcW w:w="589" w:type="pct"/>
            <w:tcBorders>
              <w:top w:val="nil"/>
              <w:bottom w:val="nil"/>
            </w:tcBorders>
            <w:vAlign w:val="center"/>
          </w:tcPr>
          <w:p w:rsidR="00A83300" w:rsidRDefault="00A83300">
            <w:pPr>
              <w:jc w:val="center"/>
              <w:rPr>
                <w:rFonts w:cs="Arial"/>
                <w:sz w:val="20"/>
                <w:szCs w:val="20"/>
              </w:rPr>
            </w:pPr>
            <w:r>
              <w:rPr>
                <w:rFonts w:cs="Arial"/>
                <w:sz w:val="20"/>
                <w:szCs w:val="20"/>
              </w:rPr>
              <w:t>5.80</w:t>
            </w:r>
          </w:p>
        </w:tc>
        <w:tc>
          <w:tcPr>
            <w:tcW w:w="516" w:type="pct"/>
            <w:tcBorders>
              <w:top w:val="nil"/>
              <w:bottom w:val="nil"/>
            </w:tcBorders>
            <w:vAlign w:val="center"/>
          </w:tcPr>
          <w:p w:rsidR="00A83300" w:rsidRDefault="00A83300">
            <w:pPr>
              <w:jc w:val="center"/>
              <w:rPr>
                <w:rFonts w:cs="Arial"/>
                <w:sz w:val="20"/>
                <w:szCs w:val="20"/>
              </w:rPr>
            </w:pPr>
            <w:r>
              <w:rPr>
                <w:rFonts w:cs="Arial"/>
                <w:sz w:val="20"/>
                <w:szCs w:val="20"/>
              </w:rPr>
              <w:t>6.46</w:t>
            </w:r>
          </w:p>
        </w:tc>
        <w:tc>
          <w:tcPr>
            <w:tcW w:w="598" w:type="pct"/>
            <w:tcBorders>
              <w:top w:val="nil"/>
              <w:bottom w:val="nil"/>
            </w:tcBorders>
            <w:vAlign w:val="center"/>
          </w:tcPr>
          <w:p w:rsidR="00A83300" w:rsidRDefault="00A83300">
            <w:pPr>
              <w:jc w:val="center"/>
              <w:rPr>
                <w:rFonts w:cs="Arial"/>
                <w:sz w:val="20"/>
                <w:szCs w:val="20"/>
              </w:rPr>
            </w:pPr>
            <w:r>
              <w:rPr>
                <w:rFonts w:cs="Arial"/>
                <w:sz w:val="20"/>
                <w:szCs w:val="20"/>
              </w:rPr>
              <w:t>6.85</w:t>
            </w:r>
          </w:p>
        </w:tc>
        <w:tc>
          <w:tcPr>
            <w:tcW w:w="525" w:type="pct"/>
            <w:tcBorders>
              <w:top w:val="nil"/>
              <w:bottom w:val="nil"/>
            </w:tcBorders>
            <w:vAlign w:val="center"/>
          </w:tcPr>
          <w:p w:rsidR="00A83300" w:rsidRDefault="00A83300">
            <w:pPr>
              <w:jc w:val="center"/>
              <w:rPr>
                <w:rFonts w:cs="Arial"/>
                <w:sz w:val="20"/>
                <w:szCs w:val="20"/>
              </w:rPr>
            </w:pPr>
            <w:r>
              <w:rPr>
                <w:rFonts w:cs="Arial"/>
                <w:sz w:val="20"/>
                <w:szCs w:val="20"/>
              </w:rPr>
              <w:t>6.36</w:t>
            </w:r>
          </w:p>
        </w:tc>
        <w:tc>
          <w:tcPr>
            <w:tcW w:w="518" w:type="pct"/>
            <w:tcBorders>
              <w:top w:val="nil"/>
              <w:bottom w:val="nil"/>
            </w:tcBorders>
            <w:vAlign w:val="center"/>
          </w:tcPr>
          <w:p w:rsidR="00A83300" w:rsidRDefault="00A83300">
            <w:pPr>
              <w:jc w:val="center"/>
              <w:rPr>
                <w:rFonts w:cs="Arial"/>
                <w:sz w:val="20"/>
                <w:szCs w:val="20"/>
              </w:rPr>
            </w:pPr>
            <w:r>
              <w:rPr>
                <w:rFonts w:cs="Arial"/>
                <w:sz w:val="20"/>
                <w:szCs w:val="20"/>
              </w:rPr>
              <w:t>6.23</w:t>
            </w:r>
          </w:p>
        </w:tc>
        <w:tc>
          <w:tcPr>
            <w:tcW w:w="515" w:type="pct"/>
            <w:tcBorders>
              <w:top w:val="nil"/>
              <w:bottom w:val="nil"/>
            </w:tcBorders>
            <w:vAlign w:val="center"/>
          </w:tcPr>
          <w:p w:rsidR="00A83300" w:rsidRDefault="00A83300">
            <w:pPr>
              <w:jc w:val="center"/>
              <w:rPr>
                <w:rFonts w:cs="Arial"/>
                <w:sz w:val="20"/>
                <w:szCs w:val="20"/>
              </w:rPr>
            </w:pPr>
            <w:r>
              <w:rPr>
                <w:rFonts w:cs="Arial"/>
                <w:sz w:val="20"/>
                <w:szCs w:val="20"/>
              </w:rPr>
              <w:t>6.09</w:t>
            </w:r>
          </w:p>
        </w:tc>
        <w:tc>
          <w:tcPr>
            <w:tcW w:w="587" w:type="pct"/>
            <w:tcBorders>
              <w:top w:val="nil"/>
              <w:bottom w:val="nil"/>
            </w:tcBorders>
            <w:vAlign w:val="center"/>
          </w:tcPr>
          <w:p w:rsidR="00A83300" w:rsidRDefault="00A83300">
            <w:pPr>
              <w:jc w:val="center"/>
              <w:rPr>
                <w:rFonts w:cs="Arial"/>
                <w:sz w:val="20"/>
                <w:szCs w:val="20"/>
              </w:rPr>
            </w:pPr>
            <w:r>
              <w:rPr>
                <w:rFonts w:cs="Arial"/>
                <w:sz w:val="20"/>
                <w:szCs w:val="20"/>
              </w:rPr>
              <w:t>6.07</w:t>
            </w:r>
          </w:p>
        </w:tc>
      </w:tr>
      <w:tr w:rsidR="00A83300"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A83300" w:rsidRDefault="00A83300">
            <w:pPr>
              <w:rPr>
                <w:rFonts w:cs="Arial"/>
                <w:szCs w:val="20"/>
              </w:rPr>
            </w:pPr>
            <w:r>
              <w:rPr>
                <w:rFonts w:cs="Arial"/>
                <w:szCs w:val="20"/>
              </w:rPr>
              <w:t>Ex ante quantity (TJ)</w:t>
            </w:r>
          </w:p>
        </w:tc>
        <w:tc>
          <w:tcPr>
            <w:tcW w:w="589" w:type="pct"/>
            <w:tcBorders>
              <w:top w:val="nil"/>
              <w:bottom w:val="nil"/>
            </w:tcBorders>
            <w:vAlign w:val="center"/>
          </w:tcPr>
          <w:p w:rsidR="00A83300" w:rsidRDefault="00A83300">
            <w:pPr>
              <w:jc w:val="center"/>
              <w:rPr>
                <w:rFonts w:cs="Arial"/>
                <w:szCs w:val="20"/>
              </w:rPr>
            </w:pPr>
            <w:r>
              <w:rPr>
                <w:rFonts w:cs="Arial"/>
                <w:szCs w:val="20"/>
              </w:rPr>
              <w:t>58</w:t>
            </w:r>
          </w:p>
        </w:tc>
        <w:tc>
          <w:tcPr>
            <w:tcW w:w="516" w:type="pct"/>
            <w:tcBorders>
              <w:top w:val="nil"/>
              <w:bottom w:val="nil"/>
            </w:tcBorders>
            <w:vAlign w:val="center"/>
          </w:tcPr>
          <w:p w:rsidR="00A83300" w:rsidRDefault="00A83300">
            <w:pPr>
              <w:jc w:val="center"/>
              <w:rPr>
                <w:rFonts w:cs="Arial"/>
                <w:szCs w:val="20"/>
              </w:rPr>
            </w:pPr>
            <w:r>
              <w:rPr>
                <w:rFonts w:cs="Arial"/>
                <w:szCs w:val="20"/>
              </w:rPr>
              <w:t>72</w:t>
            </w:r>
          </w:p>
        </w:tc>
        <w:tc>
          <w:tcPr>
            <w:tcW w:w="598" w:type="pct"/>
            <w:tcBorders>
              <w:top w:val="nil"/>
              <w:bottom w:val="nil"/>
            </w:tcBorders>
            <w:vAlign w:val="center"/>
          </w:tcPr>
          <w:p w:rsidR="00A83300" w:rsidRDefault="00A83300">
            <w:pPr>
              <w:jc w:val="center"/>
              <w:rPr>
                <w:rFonts w:cs="Arial"/>
                <w:szCs w:val="20"/>
              </w:rPr>
            </w:pPr>
            <w:r>
              <w:rPr>
                <w:rFonts w:cs="Arial"/>
                <w:szCs w:val="20"/>
              </w:rPr>
              <w:t>78</w:t>
            </w:r>
          </w:p>
        </w:tc>
        <w:tc>
          <w:tcPr>
            <w:tcW w:w="525" w:type="pct"/>
            <w:tcBorders>
              <w:top w:val="nil"/>
              <w:bottom w:val="nil"/>
            </w:tcBorders>
            <w:vAlign w:val="center"/>
          </w:tcPr>
          <w:p w:rsidR="00A83300" w:rsidRDefault="00A83300">
            <w:pPr>
              <w:jc w:val="center"/>
              <w:rPr>
                <w:rFonts w:cs="Arial"/>
                <w:szCs w:val="20"/>
              </w:rPr>
            </w:pPr>
            <w:r>
              <w:rPr>
                <w:rFonts w:cs="Arial"/>
                <w:szCs w:val="20"/>
              </w:rPr>
              <w:t>75</w:t>
            </w:r>
          </w:p>
        </w:tc>
        <w:tc>
          <w:tcPr>
            <w:tcW w:w="518" w:type="pct"/>
            <w:tcBorders>
              <w:top w:val="nil"/>
              <w:bottom w:val="nil"/>
            </w:tcBorders>
            <w:vAlign w:val="center"/>
          </w:tcPr>
          <w:p w:rsidR="00A83300" w:rsidRDefault="00A83300">
            <w:pPr>
              <w:jc w:val="center"/>
              <w:rPr>
                <w:rFonts w:cs="Arial"/>
                <w:szCs w:val="20"/>
              </w:rPr>
            </w:pPr>
            <w:r>
              <w:rPr>
                <w:rFonts w:cs="Arial"/>
                <w:szCs w:val="20"/>
              </w:rPr>
              <w:t>61</w:t>
            </w:r>
          </w:p>
        </w:tc>
        <w:tc>
          <w:tcPr>
            <w:tcW w:w="515" w:type="pct"/>
            <w:tcBorders>
              <w:top w:val="nil"/>
              <w:bottom w:val="nil"/>
            </w:tcBorders>
            <w:vAlign w:val="center"/>
          </w:tcPr>
          <w:p w:rsidR="00A83300" w:rsidRDefault="00A83300">
            <w:pPr>
              <w:jc w:val="center"/>
              <w:rPr>
                <w:rFonts w:cs="Arial"/>
                <w:szCs w:val="20"/>
              </w:rPr>
            </w:pPr>
            <w:r>
              <w:rPr>
                <w:rFonts w:cs="Arial"/>
                <w:szCs w:val="20"/>
              </w:rPr>
              <w:t>69</w:t>
            </w:r>
          </w:p>
        </w:tc>
        <w:tc>
          <w:tcPr>
            <w:tcW w:w="587" w:type="pct"/>
            <w:tcBorders>
              <w:top w:val="nil"/>
              <w:bottom w:val="nil"/>
            </w:tcBorders>
            <w:vAlign w:val="center"/>
          </w:tcPr>
          <w:p w:rsidR="00A83300" w:rsidRDefault="00A83300">
            <w:pPr>
              <w:jc w:val="center"/>
              <w:rPr>
                <w:rFonts w:cs="Arial"/>
                <w:szCs w:val="20"/>
              </w:rPr>
            </w:pPr>
            <w:r>
              <w:rPr>
                <w:rFonts w:cs="Arial"/>
                <w:szCs w:val="20"/>
              </w:rPr>
              <w:t>65</w:t>
            </w:r>
          </w:p>
        </w:tc>
      </w:tr>
      <w:tr w:rsidR="00A83300" w:rsidRPr="00405CDE" w:rsidTr="00A226E9">
        <w:trPr>
          <w:trHeight w:val="87"/>
        </w:trPr>
        <w:tc>
          <w:tcPr>
            <w:tcW w:w="1152" w:type="pct"/>
            <w:tcBorders>
              <w:top w:val="nil"/>
              <w:bottom w:val="nil"/>
            </w:tcBorders>
            <w:vAlign w:val="center"/>
          </w:tcPr>
          <w:p w:rsidR="00A83300" w:rsidRDefault="00A83300">
            <w:pPr>
              <w:rPr>
                <w:rFonts w:cs="Arial"/>
                <w:sz w:val="20"/>
                <w:szCs w:val="20"/>
              </w:rPr>
            </w:pPr>
            <w:r>
              <w:rPr>
                <w:rFonts w:cs="Arial"/>
                <w:sz w:val="20"/>
                <w:szCs w:val="20"/>
              </w:rPr>
              <w:t>Ex post price ($/GJ)</w:t>
            </w:r>
          </w:p>
        </w:tc>
        <w:tc>
          <w:tcPr>
            <w:tcW w:w="589" w:type="pct"/>
            <w:tcBorders>
              <w:top w:val="nil"/>
              <w:bottom w:val="nil"/>
            </w:tcBorders>
            <w:vAlign w:val="center"/>
          </w:tcPr>
          <w:p w:rsidR="00A83300" w:rsidRDefault="00A83300">
            <w:pPr>
              <w:jc w:val="center"/>
              <w:rPr>
                <w:rFonts w:cs="Arial"/>
                <w:sz w:val="20"/>
                <w:szCs w:val="20"/>
              </w:rPr>
            </w:pPr>
            <w:r>
              <w:rPr>
                <w:rFonts w:cs="Arial"/>
                <w:sz w:val="20"/>
                <w:szCs w:val="20"/>
              </w:rPr>
              <w:t>5.80</w:t>
            </w:r>
          </w:p>
        </w:tc>
        <w:tc>
          <w:tcPr>
            <w:tcW w:w="516" w:type="pct"/>
            <w:tcBorders>
              <w:top w:val="nil"/>
              <w:bottom w:val="nil"/>
            </w:tcBorders>
            <w:vAlign w:val="center"/>
          </w:tcPr>
          <w:p w:rsidR="00A83300" w:rsidRDefault="00A83300">
            <w:pPr>
              <w:jc w:val="center"/>
              <w:rPr>
                <w:rFonts w:cs="Arial"/>
                <w:sz w:val="20"/>
                <w:szCs w:val="20"/>
              </w:rPr>
            </w:pPr>
            <w:r>
              <w:rPr>
                <w:rFonts w:cs="Arial"/>
                <w:sz w:val="20"/>
                <w:szCs w:val="20"/>
              </w:rPr>
              <w:t>6.46</w:t>
            </w:r>
          </w:p>
        </w:tc>
        <w:tc>
          <w:tcPr>
            <w:tcW w:w="598" w:type="pct"/>
            <w:tcBorders>
              <w:top w:val="nil"/>
              <w:bottom w:val="nil"/>
            </w:tcBorders>
            <w:vAlign w:val="center"/>
          </w:tcPr>
          <w:p w:rsidR="00A83300" w:rsidRDefault="00A83300">
            <w:pPr>
              <w:jc w:val="center"/>
              <w:rPr>
                <w:rFonts w:cs="Arial"/>
                <w:sz w:val="20"/>
                <w:szCs w:val="20"/>
              </w:rPr>
            </w:pPr>
            <w:r>
              <w:rPr>
                <w:rFonts w:cs="Arial"/>
                <w:sz w:val="20"/>
                <w:szCs w:val="20"/>
              </w:rPr>
              <w:t>6.85</w:t>
            </w:r>
          </w:p>
        </w:tc>
        <w:tc>
          <w:tcPr>
            <w:tcW w:w="525" w:type="pct"/>
            <w:tcBorders>
              <w:top w:val="nil"/>
              <w:bottom w:val="nil"/>
            </w:tcBorders>
            <w:vAlign w:val="center"/>
          </w:tcPr>
          <w:p w:rsidR="00A83300" w:rsidRDefault="00A83300">
            <w:pPr>
              <w:jc w:val="center"/>
              <w:rPr>
                <w:rFonts w:cs="Arial"/>
                <w:sz w:val="20"/>
                <w:szCs w:val="20"/>
              </w:rPr>
            </w:pPr>
            <w:r>
              <w:rPr>
                <w:rFonts w:cs="Arial"/>
                <w:sz w:val="20"/>
                <w:szCs w:val="20"/>
              </w:rPr>
              <w:t>6.35</w:t>
            </w:r>
          </w:p>
        </w:tc>
        <w:tc>
          <w:tcPr>
            <w:tcW w:w="518" w:type="pct"/>
            <w:tcBorders>
              <w:top w:val="nil"/>
              <w:bottom w:val="nil"/>
            </w:tcBorders>
            <w:vAlign w:val="center"/>
          </w:tcPr>
          <w:p w:rsidR="00A83300" w:rsidRDefault="00A83300">
            <w:pPr>
              <w:jc w:val="center"/>
              <w:rPr>
                <w:rFonts w:cs="Arial"/>
                <w:sz w:val="20"/>
                <w:szCs w:val="20"/>
              </w:rPr>
            </w:pPr>
            <w:r>
              <w:rPr>
                <w:rFonts w:cs="Arial"/>
                <w:sz w:val="20"/>
                <w:szCs w:val="20"/>
              </w:rPr>
              <w:t>6.23</w:t>
            </w:r>
          </w:p>
        </w:tc>
        <w:tc>
          <w:tcPr>
            <w:tcW w:w="515" w:type="pct"/>
            <w:tcBorders>
              <w:top w:val="nil"/>
              <w:bottom w:val="nil"/>
            </w:tcBorders>
            <w:vAlign w:val="center"/>
          </w:tcPr>
          <w:p w:rsidR="00A83300" w:rsidRDefault="00A83300">
            <w:pPr>
              <w:jc w:val="center"/>
              <w:rPr>
                <w:rFonts w:cs="Arial"/>
                <w:sz w:val="20"/>
                <w:szCs w:val="20"/>
              </w:rPr>
            </w:pPr>
            <w:r>
              <w:rPr>
                <w:rFonts w:cs="Arial"/>
                <w:sz w:val="20"/>
                <w:szCs w:val="20"/>
              </w:rPr>
              <w:t>6.09</w:t>
            </w:r>
          </w:p>
        </w:tc>
        <w:tc>
          <w:tcPr>
            <w:tcW w:w="587" w:type="pct"/>
            <w:tcBorders>
              <w:top w:val="nil"/>
              <w:bottom w:val="nil"/>
            </w:tcBorders>
            <w:vAlign w:val="center"/>
          </w:tcPr>
          <w:p w:rsidR="00A83300" w:rsidRDefault="00A83300">
            <w:pPr>
              <w:jc w:val="center"/>
              <w:rPr>
                <w:rFonts w:cs="Arial"/>
                <w:sz w:val="20"/>
                <w:szCs w:val="20"/>
              </w:rPr>
            </w:pPr>
            <w:r>
              <w:rPr>
                <w:rFonts w:cs="Arial"/>
                <w:sz w:val="20"/>
                <w:szCs w:val="20"/>
              </w:rPr>
              <w:t>6.33</w:t>
            </w:r>
          </w:p>
        </w:tc>
      </w:tr>
      <w:tr w:rsidR="00A83300"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A83300" w:rsidRDefault="00A83300">
            <w:pPr>
              <w:rPr>
                <w:rFonts w:cs="Arial"/>
                <w:szCs w:val="20"/>
              </w:rPr>
            </w:pPr>
            <w:r>
              <w:rPr>
                <w:rFonts w:cs="Arial"/>
                <w:szCs w:val="20"/>
              </w:rPr>
              <w:t>Ex post quantity (TJ)</w:t>
            </w:r>
          </w:p>
        </w:tc>
        <w:tc>
          <w:tcPr>
            <w:tcW w:w="589" w:type="pct"/>
            <w:tcBorders>
              <w:top w:val="nil"/>
              <w:bottom w:val="single" w:sz="4" w:space="0" w:color="auto"/>
            </w:tcBorders>
            <w:vAlign w:val="center"/>
          </w:tcPr>
          <w:p w:rsidR="00A83300" w:rsidRDefault="00A83300">
            <w:pPr>
              <w:jc w:val="center"/>
              <w:rPr>
                <w:rFonts w:cs="Arial"/>
                <w:szCs w:val="20"/>
              </w:rPr>
            </w:pPr>
            <w:r>
              <w:rPr>
                <w:rFonts w:cs="Arial"/>
                <w:szCs w:val="20"/>
              </w:rPr>
              <w:t>60</w:t>
            </w:r>
          </w:p>
        </w:tc>
        <w:tc>
          <w:tcPr>
            <w:tcW w:w="516" w:type="pct"/>
            <w:tcBorders>
              <w:top w:val="nil"/>
              <w:bottom w:val="single" w:sz="4" w:space="0" w:color="auto"/>
            </w:tcBorders>
            <w:vAlign w:val="center"/>
          </w:tcPr>
          <w:p w:rsidR="00A83300" w:rsidRDefault="00A83300">
            <w:pPr>
              <w:jc w:val="center"/>
              <w:rPr>
                <w:rFonts w:cs="Arial"/>
                <w:szCs w:val="20"/>
              </w:rPr>
            </w:pPr>
            <w:r>
              <w:rPr>
                <w:rFonts w:cs="Arial"/>
                <w:szCs w:val="20"/>
              </w:rPr>
              <w:t>74</w:t>
            </w:r>
          </w:p>
        </w:tc>
        <w:tc>
          <w:tcPr>
            <w:tcW w:w="598" w:type="pct"/>
            <w:tcBorders>
              <w:top w:val="nil"/>
              <w:bottom w:val="single" w:sz="4" w:space="0" w:color="auto"/>
            </w:tcBorders>
            <w:vAlign w:val="center"/>
          </w:tcPr>
          <w:p w:rsidR="00A83300" w:rsidRDefault="00A83300">
            <w:pPr>
              <w:jc w:val="center"/>
              <w:rPr>
                <w:rFonts w:cs="Arial"/>
                <w:szCs w:val="20"/>
              </w:rPr>
            </w:pPr>
            <w:r>
              <w:rPr>
                <w:rFonts w:cs="Arial"/>
                <w:szCs w:val="20"/>
              </w:rPr>
              <w:t>78</w:t>
            </w:r>
          </w:p>
        </w:tc>
        <w:tc>
          <w:tcPr>
            <w:tcW w:w="525" w:type="pct"/>
            <w:tcBorders>
              <w:top w:val="nil"/>
              <w:bottom w:val="single" w:sz="4" w:space="0" w:color="auto"/>
            </w:tcBorders>
            <w:vAlign w:val="center"/>
          </w:tcPr>
          <w:p w:rsidR="00A83300" w:rsidRDefault="00A83300">
            <w:pPr>
              <w:jc w:val="center"/>
              <w:rPr>
                <w:rFonts w:cs="Arial"/>
                <w:szCs w:val="20"/>
              </w:rPr>
            </w:pPr>
            <w:r>
              <w:rPr>
                <w:rFonts w:cs="Arial"/>
                <w:szCs w:val="20"/>
              </w:rPr>
              <w:t>73</w:t>
            </w:r>
          </w:p>
        </w:tc>
        <w:tc>
          <w:tcPr>
            <w:tcW w:w="518" w:type="pct"/>
            <w:tcBorders>
              <w:top w:val="nil"/>
              <w:bottom w:val="single" w:sz="4" w:space="0" w:color="auto"/>
            </w:tcBorders>
            <w:vAlign w:val="center"/>
          </w:tcPr>
          <w:p w:rsidR="00A83300" w:rsidRDefault="00A83300">
            <w:pPr>
              <w:jc w:val="center"/>
              <w:rPr>
                <w:rFonts w:cs="Arial"/>
                <w:szCs w:val="20"/>
              </w:rPr>
            </w:pPr>
            <w:r>
              <w:rPr>
                <w:rFonts w:cs="Arial"/>
                <w:szCs w:val="20"/>
              </w:rPr>
              <w:t>59</w:t>
            </w:r>
          </w:p>
        </w:tc>
        <w:tc>
          <w:tcPr>
            <w:tcW w:w="515" w:type="pct"/>
            <w:tcBorders>
              <w:top w:val="nil"/>
              <w:bottom w:val="single" w:sz="4" w:space="0" w:color="auto"/>
            </w:tcBorders>
            <w:vAlign w:val="center"/>
          </w:tcPr>
          <w:p w:rsidR="00A83300" w:rsidRDefault="00A83300">
            <w:pPr>
              <w:jc w:val="center"/>
              <w:rPr>
                <w:rFonts w:cs="Arial"/>
                <w:szCs w:val="20"/>
              </w:rPr>
            </w:pPr>
            <w:r>
              <w:rPr>
                <w:rFonts w:cs="Arial"/>
                <w:szCs w:val="20"/>
              </w:rPr>
              <w:t>69</w:t>
            </w:r>
          </w:p>
        </w:tc>
        <w:tc>
          <w:tcPr>
            <w:tcW w:w="587" w:type="pct"/>
            <w:tcBorders>
              <w:top w:val="nil"/>
              <w:bottom w:val="single" w:sz="4" w:space="0" w:color="auto"/>
            </w:tcBorders>
            <w:vAlign w:val="center"/>
          </w:tcPr>
          <w:p w:rsidR="00A83300" w:rsidRDefault="00A83300">
            <w:pPr>
              <w:jc w:val="center"/>
              <w:rPr>
                <w:rFonts w:cs="Arial"/>
                <w:szCs w:val="20"/>
              </w:rPr>
            </w:pPr>
            <w:r>
              <w:rPr>
                <w:rFonts w:cs="Arial"/>
                <w:szCs w:val="20"/>
              </w:rPr>
              <w:t>68</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A83300" w:rsidP="00EC2CB1">
      <w:r w:rsidRPr="00A83300">
        <w:rPr>
          <w:noProof/>
          <w:lang w:eastAsia="en-AU"/>
        </w:rPr>
        <w:drawing>
          <wp:inline distT="0" distB="0" distL="0" distR="0" wp14:anchorId="6CB0270D" wp14:editId="3CD6FC95">
            <wp:extent cx="5731510" cy="1739923"/>
            <wp:effectExtent l="0" t="0" r="2540" b="0"/>
            <wp:docPr id="21" name="Picture 21"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1610F7" w:rsidP="00EC2CB1">
      <w:r w:rsidRPr="001610F7">
        <w:rPr>
          <w:noProof/>
          <w:lang w:eastAsia="en-AU"/>
        </w:rPr>
        <w:drawing>
          <wp:inline distT="0" distB="0" distL="0" distR="0" wp14:anchorId="13E02575" wp14:editId="1909B0A7">
            <wp:extent cx="5731510" cy="1511607"/>
            <wp:effectExtent l="0" t="0" r="2540" b="0"/>
            <wp:docPr id="8" name="Picture 8"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A83300" w:rsidP="00A226E9">
      <w:r w:rsidRPr="00A83300">
        <w:rPr>
          <w:noProof/>
          <w:lang w:eastAsia="en-AU"/>
        </w:rPr>
        <w:drawing>
          <wp:inline distT="0" distB="0" distL="0" distR="0" wp14:anchorId="635AC8F5" wp14:editId="2CDC4DAD">
            <wp:extent cx="5731510" cy="1802652"/>
            <wp:effectExtent l="0" t="0" r="2540" b="7620"/>
            <wp:docPr id="23" name="Picture 23"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40491" w:rsidRPr="00405CDE" w:rsidTr="00A226E9">
        <w:trPr>
          <w:trHeight w:val="510"/>
        </w:trPr>
        <w:tc>
          <w:tcPr>
            <w:tcW w:w="1152" w:type="pct"/>
            <w:tcBorders>
              <w:top w:val="nil"/>
              <w:bottom w:val="nil"/>
            </w:tcBorders>
            <w:vAlign w:val="center"/>
          </w:tcPr>
          <w:p w:rsidR="00440491" w:rsidRDefault="00440491">
            <w:pPr>
              <w:rPr>
                <w:rFonts w:cs="Arial"/>
                <w:sz w:val="20"/>
                <w:szCs w:val="20"/>
              </w:rPr>
            </w:pPr>
            <w:r>
              <w:rPr>
                <w:rFonts w:cs="Arial"/>
                <w:sz w:val="20"/>
                <w:szCs w:val="20"/>
              </w:rPr>
              <w:t>Ex ante price ($/GJ)</w:t>
            </w:r>
          </w:p>
        </w:tc>
        <w:tc>
          <w:tcPr>
            <w:tcW w:w="589" w:type="pct"/>
            <w:tcBorders>
              <w:top w:val="nil"/>
              <w:bottom w:val="nil"/>
            </w:tcBorders>
            <w:vAlign w:val="center"/>
          </w:tcPr>
          <w:p w:rsidR="00440491" w:rsidRDefault="00440491">
            <w:pPr>
              <w:jc w:val="center"/>
              <w:rPr>
                <w:rFonts w:cs="Arial"/>
                <w:sz w:val="20"/>
                <w:szCs w:val="20"/>
              </w:rPr>
            </w:pPr>
            <w:r>
              <w:rPr>
                <w:rFonts w:cs="Arial"/>
                <w:sz w:val="20"/>
                <w:szCs w:val="20"/>
              </w:rPr>
              <w:t>6.29</w:t>
            </w:r>
          </w:p>
        </w:tc>
        <w:tc>
          <w:tcPr>
            <w:tcW w:w="516" w:type="pct"/>
            <w:tcBorders>
              <w:top w:val="nil"/>
              <w:bottom w:val="nil"/>
            </w:tcBorders>
            <w:vAlign w:val="center"/>
          </w:tcPr>
          <w:p w:rsidR="00440491" w:rsidRDefault="00440491">
            <w:pPr>
              <w:jc w:val="center"/>
              <w:rPr>
                <w:rFonts w:cs="Arial"/>
                <w:sz w:val="20"/>
                <w:szCs w:val="20"/>
              </w:rPr>
            </w:pPr>
            <w:r>
              <w:rPr>
                <w:rFonts w:cs="Arial"/>
                <w:sz w:val="20"/>
                <w:szCs w:val="20"/>
              </w:rPr>
              <w:t>6.99</w:t>
            </w:r>
          </w:p>
        </w:tc>
        <w:tc>
          <w:tcPr>
            <w:tcW w:w="598" w:type="pct"/>
            <w:tcBorders>
              <w:top w:val="nil"/>
              <w:bottom w:val="nil"/>
            </w:tcBorders>
            <w:vAlign w:val="center"/>
          </w:tcPr>
          <w:p w:rsidR="00440491" w:rsidRDefault="00440491">
            <w:pPr>
              <w:jc w:val="center"/>
              <w:rPr>
                <w:rFonts w:cs="Arial"/>
                <w:sz w:val="20"/>
                <w:szCs w:val="20"/>
              </w:rPr>
            </w:pPr>
            <w:r>
              <w:rPr>
                <w:rFonts w:cs="Arial"/>
                <w:sz w:val="20"/>
                <w:szCs w:val="20"/>
              </w:rPr>
              <w:t>6.28</w:t>
            </w:r>
          </w:p>
        </w:tc>
        <w:tc>
          <w:tcPr>
            <w:tcW w:w="525" w:type="pct"/>
            <w:tcBorders>
              <w:top w:val="nil"/>
              <w:bottom w:val="nil"/>
            </w:tcBorders>
            <w:vAlign w:val="center"/>
          </w:tcPr>
          <w:p w:rsidR="00440491" w:rsidRDefault="00440491">
            <w:pPr>
              <w:jc w:val="center"/>
              <w:rPr>
                <w:rFonts w:cs="Arial"/>
                <w:sz w:val="20"/>
                <w:szCs w:val="20"/>
              </w:rPr>
            </w:pPr>
            <w:r>
              <w:rPr>
                <w:rFonts w:cs="Arial"/>
                <w:sz w:val="20"/>
                <w:szCs w:val="20"/>
              </w:rPr>
              <w:t>5.69</w:t>
            </w:r>
          </w:p>
        </w:tc>
        <w:tc>
          <w:tcPr>
            <w:tcW w:w="518" w:type="pct"/>
            <w:tcBorders>
              <w:top w:val="nil"/>
              <w:bottom w:val="nil"/>
            </w:tcBorders>
            <w:vAlign w:val="center"/>
          </w:tcPr>
          <w:p w:rsidR="00440491" w:rsidRDefault="00440491">
            <w:pPr>
              <w:jc w:val="center"/>
              <w:rPr>
                <w:rFonts w:cs="Arial"/>
                <w:sz w:val="20"/>
                <w:szCs w:val="20"/>
              </w:rPr>
            </w:pPr>
            <w:r>
              <w:rPr>
                <w:rFonts w:cs="Arial"/>
                <w:sz w:val="20"/>
                <w:szCs w:val="20"/>
              </w:rPr>
              <w:t>5.76</w:t>
            </w:r>
          </w:p>
        </w:tc>
        <w:tc>
          <w:tcPr>
            <w:tcW w:w="515" w:type="pct"/>
            <w:tcBorders>
              <w:top w:val="nil"/>
              <w:bottom w:val="nil"/>
            </w:tcBorders>
            <w:vAlign w:val="center"/>
          </w:tcPr>
          <w:p w:rsidR="00440491" w:rsidRDefault="00440491">
            <w:pPr>
              <w:jc w:val="center"/>
              <w:rPr>
                <w:rFonts w:cs="Arial"/>
                <w:sz w:val="20"/>
                <w:szCs w:val="20"/>
              </w:rPr>
            </w:pPr>
            <w:r>
              <w:rPr>
                <w:rFonts w:cs="Arial"/>
                <w:sz w:val="20"/>
                <w:szCs w:val="20"/>
              </w:rPr>
              <w:t>6.00</w:t>
            </w:r>
          </w:p>
        </w:tc>
        <w:tc>
          <w:tcPr>
            <w:tcW w:w="587" w:type="pct"/>
            <w:tcBorders>
              <w:top w:val="nil"/>
              <w:bottom w:val="nil"/>
            </w:tcBorders>
            <w:vAlign w:val="center"/>
          </w:tcPr>
          <w:p w:rsidR="00440491" w:rsidRDefault="00440491">
            <w:pPr>
              <w:jc w:val="center"/>
              <w:rPr>
                <w:rFonts w:cs="Arial"/>
                <w:sz w:val="20"/>
                <w:szCs w:val="20"/>
              </w:rPr>
            </w:pPr>
            <w:r>
              <w:rPr>
                <w:rFonts w:cs="Arial"/>
                <w:sz w:val="20"/>
                <w:szCs w:val="20"/>
              </w:rPr>
              <w:t>5.72</w:t>
            </w:r>
          </w:p>
        </w:tc>
      </w:tr>
      <w:tr w:rsidR="00440491"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440491" w:rsidRDefault="00440491">
            <w:pPr>
              <w:rPr>
                <w:rFonts w:cs="Arial"/>
                <w:szCs w:val="20"/>
              </w:rPr>
            </w:pPr>
            <w:r>
              <w:rPr>
                <w:rFonts w:cs="Arial"/>
                <w:szCs w:val="20"/>
              </w:rPr>
              <w:t>Ex ante quantity (TJ)</w:t>
            </w:r>
          </w:p>
        </w:tc>
        <w:tc>
          <w:tcPr>
            <w:tcW w:w="589" w:type="pct"/>
            <w:tcBorders>
              <w:top w:val="nil"/>
              <w:bottom w:val="nil"/>
            </w:tcBorders>
            <w:vAlign w:val="center"/>
          </w:tcPr>
          <w:p w:rsidR="00440491" w:rsidRDefault="00440491">
            <w:pPr>
              <w:jc w:val="center"/>
              <w:rPr>
                <w:rFonts w:cs="Arial"/>
                <w:szCs w:val="20"/>
              </w:rPr>
            </w:pPr>
            <w:r>
              <w:rPr>
                <w:rFonts w:cs="Arial"/>
                <w:szCs w:val="20"/>
              </w:rPr>
              <w:t>55</w:t>
            </w:r>
          </w:p>
        </w:tc>
        <w:tc>
          <w:tcPr>
            <w:tcW w:w="516" w:type="pct"/>
            <w:tcBorders>
              <w:top w:val="nil"/>
              <w:bottom w:val="nil"/>
            </w:tcBorders>
            <w:vAlign w:val="center"/>
          </w:tcPr>
          <w:p w:rsidR="00440491" w:rsidRDefault="00440491">
            <w:pPr>
              <w:jc w:val="center"/>
              <w:rPr>
                <w:rFonts w:cs="Arial"/>
                <w:szCs w:val="20"/>
              </w:rPr>
            </w:pPr>
            <w:r>
              <w:rPr>
                <w:rFonts w:cs="Arial"/>
                <w:szCs w:val="20"/>
              </w:rPr>
              <w:t>70</w:t>
            </w:r>
          </w:p>
        </w:tc>
        <w:tc>
          <w:tcPr>
            <w:tcW w:w="598" w:type="pct"/>
            <w:tcBorders>
              <w:top w:val="nil"/>
              <w:bottom w:val="nil"/>
            </w:tcBorders>
            <w:vAlign w:val="center"/>
          </w:tcPr>
          <w:p w:rsidR="00440491" w:rsidRDefault="00440491">
            <w:pPr>
              <w:jc w:val="center"/>
              <w:rPr>
                <w:rFonts w:cs="Arial"/>
                <w:szCs w:val="20"/>
              </w:rPr>
            </w:pPr>
            <w:r>
              <w:rPr>
                <w:rFonts w:cs="Arial"/>
                <w:szCs w:val="20"/>
              </w:rPr>
              <w:t>71</w:t>
            </w:r>
          </w:p>
        </w:tc>
        <w:tc>
          <w:tcPr>
            <w:tcW w:w="525" w:type="pct"/>
            <w:tcBorders>
              <w:top w:val="nil"/>
              <w:bottom w:val="nil"/>
            </w:tcBorders>
            <w:vAlign w:val="center"/>
          </w:tcPr>
          <w:p w:rsidR="00440491" w:rsidRDefault="00440491">
            <w:pPr>
              <w:jc w:val="center"/>
              <w:rPr>
                <w:rFonts w:cs="Arial"/>
                <w:szCs w:val="20"/>
              </w:rPr>
            </w:pPr>
            <w:r>
              <w:rPr>
                <w:rFonts w:cs="Arial"/>
                <w:szCs w:val="20"/>
              </w:rPr>
              <w:t>70</w:t>
            </w:r>
          </w:p>
        </w:tc>
        <w:tc>
          <w:tcPr>
            <w:tcW w:w="518" w:type="pct"/>
            <w:tcBorders>
              <w:top w:val="nil"/>
              <w:bottom w:val="nil"/>
            </w:tcBorders>
            <w:vAlign w:val="center"/>
          </w:tcPr>
          <w:p w:rsidR="00440491" w:rsidRDefault="00440491">
            <w:pPr>
              <w:jc w:val="center"/>
              <w:rPr>
                <w:rFonts w:cs="Arial"/>
                <w:szCs w:val="20"/>
              </w:rPr>
            </w:pPr>
            <w:r>
              <w:rPr>
                <w:rFonts w:cs="Arial"/>
                <w:szCs w:val="20"/>
              </w:rPr>
              <w:t>73</w:t>
            </w:r>
          </w:p>
        </w:tc>
        <w:tc>
          <w:tcPr>
            <w:tcW w:w="515" w:type="pct"/>
            <w:tcBorders>
              <w:top w:val="nil"/>
              <w:bottom w:val="nil"/>
            </w:tcBorders>
            <w:vAlign w:val="center"/>
          </w:tcPr>
          <w:p w:rsidR="00440491" w:rsidRDefault="00440491">
            <w:pPr>
              <w:jc w:val="center"/>
              <w:rPr>
                <w:rFonts w:cs="Arial"/>
                <w:szCs w:val="20"/>
              </w:rPr>
            </w:pPr>
            <w:r>
              <w:rPr>
                <w:rFonts w:cs="Arial"/>
                <w:szCs w:val="20"/>
              </w:rPr>
              <w:t>68</w:t>
            </w:r>
          </w:p>
        </w:tc>
        <w:tc>
          <w:tcPr>
            <w:tcW w:w="587" w:type="pct"/>
            <w:tcBorders>
              <w:top w:val="nil"/>
              <w:bottom w:val="nil"/>
            </w:tcBorders>
            <w:vAlign w:val="center"/>
          </w:tcPr>
          <w:p w:rsidR="00440491" w:rsidRDefault="00440491">
            <w:pPr>
              <w:jc w:val="center"/>
              <w:rPr>
                <w:rFonts w:cs="Arial"/>
                <w:szCs w:val="20"/>
              </w:rPr>
            </w:pPr>
            <w:r>
              <w:rPr>
                <w:rFonts w:cs="Arial"/>
                <w:szCs w:val="20"/>
              </w:rPr>
              <w:t>54</w:t>
            </w:r>
          </w:p>
        </w:tc>
      </w:tr>
      <w:tr w:rsidR="00440491" w:rsidRPr="00405CDE" w:rsidTr="00A226E9">
        <w:trPr>
          <w:trHeight w:val="510"/>
        </w:trPr>
        <w:tc>
          <w:tcPr>
            <w:tcW w:w="1152" w:type="pct"/>
            <w:tcBorders>
              <w:top w:val="nil"/>
              <w:bottom w:val="nil"/>
            </w:tcBorders>
            <w:vAlign w:val="center"/>
          </w:tcPr>
          <w:p w:rsidR="00440491" w:rsidRDefault="00440491">
            <w:pPr>
              <w:rPr>
                <w:rFonts w:cs="Arial"/>
                <w:sz w:val="20"/>
                <w:szCs w:val="20"/>
              </w:rPr>
            </w:pPr>
            <w:r>
              <w:rPr>
                <w:rFonts w:cs="Arial"/>
                <w:sz w:val="20"/>
                <w:szCs w:val="20"/>
              </w:rPr>
              <w:t>Ex post price ($/GJ)</w:t>
            </w:r>
          </w:p>
        </w:tc>
        <w:tc>
          <w:tcPr>
            <w:tcW w:w="589" w:type="pct"/>
            <w:tcBorders>
              <w:top w:val="nil"/>
              <w:bottom w:val="nil"/>
            </w:tcBorders>
            <w:vAlign w:val="center"/>
          </w:tcPr>
          <w:p w:rsidR="00440491" w:rsidRDefault="00440491">
            <w:pPr>
              <w:jc w:val="center"/>
              <w:rPr>
                <w:rFonts w:cs="Arial"/>
                <w:sz w:val="20"/>
                <w:szCs w:val="20"/>
              </w:rPr>
            </w:pPr>
            <w:r>
              <w:rPr>
                <w:rFonts w:cs="Arial"/>
                <w:sz w:val="20"/>
                <w:szCs w:val="20"/>
              </w:rPr>
              <w:t>5.75</w:t>
            </w:r>
          </w:p>
        </w:tc>
        <w:tc>
          <w:tcPr>
            <w:tcW w:w="516" w:type="pct"/>
            <w:tcBorders>
              <w:top w:val="nil"/>
              <w:bottom w:val="nil"/>
            </w:tcBorders>
            <w:vAlign w:val="center"/>
          </w:tcPr>
          <w:p w:rsidR="00440491" w:rsidRDefault="00440491">
            <w:pPr>
              <w:jc w:val="center"/>
              <w:rPr>
                <w:rFonts w:cs="Arial"/>
                <w:sz w:val="20"/>
                <w:szCs w:val="20"/>
              </w:rPr>
            </w:pPr>
            <w:r>
              <w:rPr>
                <w:rFonts w:cs="Arial"/>
                <w:sz w:val="20"/>
                <w:szCs w:val="20"/>
              </w:rPr>
              <w:t>5.75</w:t>
            </w:r>
          </w:p>
        </w:tc>
        <w:tc>
          <w:tcPr>
            <w:tcW w:w="598" w:type="pct"/>
            <w:tcBorders>
              <w:top w:val="nil"/>
              <w:bottom w:val="nil"/>
            </w:tcBorders>
            <w:vAlign w:val="center"/>
          </w:tcPr>
          <w:p w:rsidR="00440491" w:rsidRDefault="00440491">
            <w:pPr>
              <w:jc w:val="center"/>
              <w:rPr>
                <w:rFonts w:cs="Arial"/>
                <w:sz w:val="20"/>
                <w:szCs w:val="20"/>
              </w:rPr>
            </w:pPr>
            <w:r>
              <w:rPr>
                <w:rFonts w:cs="Arial"/>
                <w:sz w:val="20"/>
                <w:szCs w:val="20"/>
              </w:rPr>
              <w:t>5.87</w:t>
            </w:r>
          </w:p>
        </w:tc>
        <w:tc>
          <w:tcPr>
            <w:tcW w:w="525" w:type="pct"/>
            <w:tcBorders>
              <w:top w:val="nil"/>
              <w:bottom w:val="nil"/>
            </w:tcBorders>
            <w:vAlign w:val="center"/>
          </w:tcPr>
          <w:p w:rsidR="00440491" w:rsidRDefault="00440491">
            <w:pPr>
              <w:jc w:val="center"/>
              <w:rPr>
                <w:rFonts w:cs="Arial"/>
                <w:sz w:val="20"/>
                <w:szCs w:val="20"/>
              </w:rPr>
            </w:pPr>
            <w:r>
              <w:rPr>
                <w:rFonts w:cs="Arial"/>
                <w:sz w:val="20"/>
                <w:szCs w:val="20"/>
              </w:rPr>
              <w:t>5.69</w:t>
            </w:r>
          </w:p>
        </w:tc>
        <w:tc>
          <w:tcPr>
            <w:tcW w:w="518" w:type="pct"/>
            <w:tcBorders>
              <w:top w:val="nil"/>
              <w:bottom w:val="nil"/>
            </w:tcBorders>
            <w:vAlign w:val="center"/>
          </w:tcPr>
          <w:p w:rsidR="00440491" w:rsidRDefault="00440491">
            <w:pPr>
              <w:jc w:val="center"/>
              <w:rPr>
                <w:rFonts w:cs="Arial"/>
                <w:sz w:val="20"/>
                <w:szCs w:val="20"/>
              </w:rPr>
            </w:pPr>
            <w:r>
              <w:rPr>
                <w:rFonts w:cs="Arial"/>
                <w:sz w:val="20"/>
                <w:szCs w:val="20"/>
              </w:rPr>
              <w:t>5.76</w:t>
            </w:r>
          </w:p>
        </w:tc>
        <w:tc>
          <w:tcPr>
            <w:tcW w:w="515" w:type="pct"/>
            <w:tcBorders>
              <w:top w:val="nil"/>
              <w:bottom w:val="nil"/>
            </w:tcBorders>
            <w:vAlign w:val="center"/>
          </w:tcPr>
          <w:p w:rsidR="00440491" w:rsidRDefault="00440491">
            <w:pPr>
              <w:jc w:val="center"/>
              <w:rPr>
                <w:rFonts w:cs="Arial"/>
                <w:sz w:val="20"/>
                <w:szCs w:val="20"/>
              </w:rPr>
            </w:pPr>
            <w:r>
              <w:rPr>
                <w:rFonts w:cs="Arial"/>
                <w:sz w:val="20"/>
                <w:szCs w:val="20"/>
              </w:rPr>
              <w:t>3.98</w:t>
            </w:r>
          </w:p>
        </w:tc>
        <w:tc>
          <w:tcPr>
            <w:tcW w:w="587" w:type="pct"/>
            <w:tcBorders>
              <w:top w:val="nil"/>
              <w:bottom w:val="nil"/>
            </w:tcBorders>
            <w:vAlign w:val="center"/>
          </w:tcPr>
          <w:p w:rsidR="00440491" w:rsidRDefault="00440491">
            <w:pPr>
              <w:jc w:val="center"/>
              <w:rPr>
                <w:rFonts w:cs="Arial"/>
                <w:sz w:val="20"/>
                <w:szCs w:val="20"/>
              </w:rPr>
            </w:pPr>
            <w:r>
              <w:rPr>
                <w:rFonts w:cs="Arial"/>
                <w:sz w:val="20"/>
                <w:szCs w:val="20"/>
              </w:rPr>
              <w:t>4.72</w:t>
            </w:r>
          </w:p>
        </w:tc>
      </w:tr>
      <w:tr w:rsidR="00440491"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440491" w:rsidRDefault="00440491">
            <w:pPr>
              <w:rPr>
                <w:rFonts w:cs="Arial"/>
                <w:szCs w:val="20"/>
              </w:rPr>
            </w:pPr>
            <w:r>
              <w:rPr>
                <w:rFonts w:cs="Arial"/>
                <w:szCs w:val="20"/>
              </w:rPr>
              <w:t>Ex post quantity (TJ)</w:t>
            </w:r>
          </w:p>
        </w:tc>
        <w:tc>
          <w:tcPr>
            <w:tcW w:w="589" w:type="pct"/>
            <w:tcBorders>
              <w:top w:val="nil"/>
              <w:bottom w:val="single" w:sz="4" w:space="0" w:color="auto"/>
            </w:tcBorders>
            <w:vAlign w:val="center"/>
          </w:tcPr>
          <w:p w:rsidR="00440491" w:rsidRDefault="00440491">
            <w:pPr>
              <w:jc w:val="center"/>
              <w:rPr>
                <w:rFonts w:cs="Arial"/>
                <w:szCs w:val="20"/>
              </w:rPr>
            </w:pPr>
            <w:r>
              <w:rPr>
                <w:rFonts w:cs="Arial"/>
                <w:szCs w:val="20"/>
              </w:rPr>
              <w:t>50</w:t>
            </w:r>
          </w:p>
        </w:tc>
        <w:tc>
          <w:tcPr>
            <w:tcW w:w="516" w:type="pct"/>
            <w:tcBorders>
              <w:top w:val="nil"/>
              <w:bottom w:val="single" w:sz="4" w:space="0" w:color="auto"/>
            </w:tcBorders>
            <w:vAlign w:val="center"/>
          </w:tcPr>
          <w:p w:rsidR="00440491" w:rsidRDefault="00440491">
            <w:pPr>
              <w:jc w:val="center"/>
              <w:rPr>
                <w:rFonts w:cs="Arial"/>
                <w:szCs w:val="20"/>
              </w:rPr>
            </w:pPr>
            <w:r>
              <w:rPr>
                <w:rFonts w:cs="Arial"/>
                <w:szCs w:val="20"/>
              </w:rPr>
              <w:t>68</w:t>
            </w:r>
          </w:p>
        </w:tc>
        <w:tc>
          <w:tcPr>
            <w:tcW w:w="598" w:type="pct"/>
            <w:tcBorders>
              <w:top w:val="nil"/>
              <w:bottom w:val="single" w:sz="4" w:space="0" w:color="auto"/>
            </w:tcBorders>
            <w:vAlign w:val="center"/>
          </w:tcPr>
          <w:p w:rsidR="00440491" w:rsidRDefault="00440491">
            <w:pPr>
              <w:jc w:val="center"/>
              <w:rPr>
                <w:rFonts w:cs="Arial"/>
                <w:szCs w:val="20"/>
              </w:rPr>
            </w:pPr>
            <w:r>
              <w:rPr>
                <w:rFonts w:cs="Arial"/>
                <w:szCs w:val="20"/>
              </w:rPr>
              <w:t>66</w:t>
            </w:r>
          </w:p>
        </w:tc>
        <w:tc>
          <w:tcPr>
            <w:tcW w:w="525" w:type="pct"/>
            <w:tcBorders>
              <w:top w:val="nil"/>
              <w:bottom w:val="single" w:sz="4" w:space="0" w:color="auto"/>
            </w:tcBorders>
            <w:vAlign w:val="center"/>
          </w:tcPr>
          <w:p w:rsidR="00440491" w:rsidRDefault="00440491">
            <w:pPr>
              <w:jc w:val="center"/>
              <w:rPr>
                <w:rFonts w:cs="Arial"/>
                <w:szCs w:val="20"/>
              </w:rPr>
            </w:pPr>
            <w:r>
              <w:rPr>
                <w:rFonts w:cs="Arial"/>
                <w:szCs w:val="20"/>
              </w:rPr>
              <w:t>67</w:t>
            </w:r>
          </w:p>
        </w:tc>
        <w:tc>
          <w:tcPr>
            <w:tcW w:w="518" w:type="pct"/>
            <w:tcBorders>
              <w:top w:val="nil"/>
              <w:bottom w:val="single" w:sz="4" w:space="0" w:color="auto"/>
            </w:tcBorders>
            <w:vAlign w:val="center"/>
          </w:tcPr>
          <w:p w:rsidR="00440491" w:rsidRDefault="00440491">
            <w:pPr>
              <w:jc w:val="center"/>
              <w:rPr>
                <w:rFonts w:cs="Arial"/>
                <w:szCs w:val="20"/>
              </w:rPr>
            </w:pPr>
            <w:r>
              <w:rPr>
                <w:rFonts w:cs="Arial"/>
                <w:szCs w:val="20"/>
              </w:rPr>
              <w:t>74</w:t>
            </w:r>
          </w:p>
        </w:tc>
        <w:tc>
          <w:tcPr>
            <w:tcW w:w="515" w:type="pct"/>
            <w:tcBorders>
              <w:top w:val="nil"/>
              <w:bottom w:val="single" w:sz="4" w:space="0" w:color="auto"/>
            </w:tcBorders>
            <w:vAlign w:val="center"/>
          </w:tcPr>
          <w:p w:rsidR="00440491" w:rsidRDefault="00440491">
            <w:pPr>
              <w:jc w:val="center"/>
              <w:rPr>
                <w:rFonts w:cs="Arial"/>
                <w:szCs w:val="20"/>
              </w:rPr>
            </w:pPr>
            <w:r>
              <w:rPr>
                <w:rFonts w:cs="Arial"/>
                <w:szCs w:val="20"/>
              </w:rPr>
              <w:t>60</w:t>
            </w:r>
          </w:p>
        </w:tc>
        <w:tc>
          <w:tcPr>
            <w:tcW w:w="587" w:type="pct"/>
            <w:tcBorders>
              <w:top w:val="nil"/>
              <w:bottom w:val="single" w:sz="4" w:space="0" w:color="auto"/>
            </w:tcBorders>
            <w:vAlign w:val="center"/>
          </w:tcPr>
          <w:p w:rsidR="00440491" w:rsidRDefault="00440491">
            <w:pPr>
              <w:jc w:val="center"/>
              <w:rPr>
                <w:rFonts w:cs="Arial"/>
                <w:szCs w:val="20"/>
              </w:rPr>
            </w:pPr>
            <w:r>
              <w:rPr>
                <w:rFonts w:cs="Arial"/>
                <w:szCs w:val="20"/>
              </w:rPr>
              <w:t>48</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440491" w:rsidP="00EC2CB1">
      <w:r w:rsidRPr="00440491">
        <w:rPr>
          <w:noProof/>
          <w:lang w:eastAsia="en-AU"/>
        </w:rPr>
        <w:drawing>
          <wp:inline distT="0" distB="0" distL="0" distR="0" wp14:anchorId="655BF790" wp14:editId="1435342B">
            <wp:extent cx="5731510" cy="1725905"/>
            <wp:effectExtent l="0" t="0" r="2540" b="0"/>
            <wp:docPr id="24" name="Picture 24"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440491" w:rsidP="00EC2CB1">
      <w:r w:rsidRPr="00440491">
        <w:rPr>
          <w:noProof/>
          <w:lang w:eastAsia="en-AU"/>
        </w:rPr>
        <w:drawing>
          <wp:inline distT="0" distB="0" distL="0" distR="0" wp14:anchorId="732DEFD1" wp14:editId="445626A0">
            <wp:extent cx="5731510" cy="1475616"/>
            <wp:effectExtent l="0" t="0" r="2540" b="0"/>
            <wp:docPr id="27" name="Picture 27"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440491" w:rsidP="00A226E9">
      <w:r w:rsidRPr="00440491">
        <w:rPr>
          <w:noProof/>
          <w:lang w:eastAsia="en-AU"/>
        </w:rPr>
        <w:drawing>
          <wp:inline distT="0" distB="0" distL="0" distR="0" wp14:anchorId="5165CC90" wp14:editId="49658BF3">
            <wp:extent cx="5731510" cy="1883137"/>
            <wp:effectExtent l="0" t="0" r="2540" b="3175"/>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r w:rsidR="00133C93">
        <w:rPr>
          <w:rStyle w:val="FootnoteReference"/>
          <w:color w:val="2272A3"/>
          <w:szCs w:val="24"/>
        </w:rPr>
        <w:footnoteReference w:id="11"/>
      </w:r>
    </w:p>
    <w:p w:rsidR="00665C0C" w:rsidRDefault="00BD1022">
      <w:pPr>
        <w:spacing w:line="240" w:lineRule="auto"/>
      </w:pPr>
      <w:r>
        <w:rPr>
          <w:b/>
          <w:bCs/>
          <w:noProof/>
          <w:lang w:eastAsia="en-AU"/>
        </w:rPr>
        <w:drawing>
          <wp:inline distT="0" distB="0" distL="0" distR="0" wp14:anchorId="6DED12A5" wp14:editId="3AF13C47">
            <wp:extent cx="5731510" cy="6141720"/>
            <wp:effectExtent l="0" t="0" r="2540" b="0"/>
            <wp:docPr id="13" name="Picture 13"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172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2"/>
      </w:r>
      <w:r w:rsidRPr="00552F68">
        <w:t xml:space="preserve"> for the supply of gas traded</w:t>
      </w:r>
      <w:r w:rsidR="006A1226">
        <w:rPr>
          <w:rStyle w:val="FootnoteReference"/>
        </w:rPr>
        <w:footnoteReference w:id="13"/>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BD1022" w:rsidRDefault="00033455" w:rsidP="00551D6B">
      <w:pPr>
        <w:jc w:val="both"/>
      </w:pPr>
      <w:r>
        <w:t>T</w:t>
      </w:r>
      <w:r w:rsidRPr="005F77E2">
        <w:t xml:space="preserve">his week in the Wallumbilla hub </w:t>
      </w:r>
      <w:r>
        <w:t>t</w:t>
      </w:r>
      <w:r w:rsidRPr="005F77E2">
        <w:t xml:space="preserve">here </w:t>
      </w:r>
      <w:r w:rsidR="00C85F5F" w:rsidRPr="005F77E2">
        <w:t xml:space="preserve">were </w:t>
      </w:r>
      <w:r w:rsidR="00E657A8">
        <w:t>3</w:t>
      </w:r>
      <w:r w:rsidR="00C85F5F" w:rsidRPr="005F77E2">
        <w:t xml:space="preserve"> trades for </w:t>
      </w:r>
      <w:r>
        <w:t xml:space="preserve">a total of </w:t>
      </w:r>
      <w:r w:rsidR="00E657A8">
        <w:t>21</w:t>
      </w:r>
      <w:r w:rsidR="00C85F5F">
        <w:t> </w:t>
      </w:r>
      <w:r w:rsidR="00C85F5F" w:rsidRPr="005F77E2">
        <w:t>TJ at a volume weighted price of $</w:t>
      </w:r>
      <w:r w:rsidR="00E657A8">
        <w:t>5.49</w:t>
      </w:r>
      <w:r w:rsidR="00C85F5F" w:rsidRPr="005F77E2">
        <w:t xml:space="preserve">/GJ. </w:t>
      </w:r>
      <w:r>
        <w:t>The three t</w:t>
      </w:r>
      <w:r w:rsidR="00C85F5F" w:rsidRPr="005F77E2">
        <w:t xml:space="preserve">rades </w:t>
      </w:r>
      <w:r w:rsidR="005E79D3" w:rsidRPr="005F77E2">
        <w:t xml:space="preserve">consisted of </w:t>
      </w:r>
      <w:r w:rsidR="00E657A8">
        <w:t>one</w:t>
      </w:r>
      <w:r w:rsidR="00C85F5F" w:rsidRPr="005F77E2">
        <w:t xml:space="preserve"> day-ahead product</w:t>
      </w:r>
      <w:r w:rsidR="00C85F5F">
        <w:t xml:space="preserve"> </w:t>
      </w:r>
      <w:r w:rsidR="005E79D3" w:rsidRPr="005F77E2">
        <w:t>on the RBP</w:t>
      </w:r>
      <w:r w:rsidR="005E79D3">
        <w:t xml:space="preserve"> </w:t>
      </w:r>
      <w:r w:rsidR="00C85F5F">
        <w:t>(1 TJ at $</w:t>
      </w:r>
      <w:r w:rsidR="00E657A8">
        <w:t>5.30</w:t>
      </w:r>
      <w:r w:rsidR="00C85F5F">
        <w:t>/GJ)</w:t>
      </w:r>
      <w:r w:rsidR="00E657A8">
        <w:t xml:space="preserve"> and two daily</w:t>
      </w:r>
      <w:r w:rsidR="00C85F5F" w:rsidRPr="005F77E2">
        <w:t xml:space="preserve"> products on the SWQP</w:t>
      </w:r>
      <w:r w:rsidR="00C85F5F">
        <w:t xml:space="preserve"> (</w:t>
      </w:r>
      <w:r w:rsidR="00E657A8">
        <w:t>20</w:t>
      </w:r>
      <w:r w:rsidR="00C85F5F">
        <w:t> TJ at $</w:t>
      </w:r>
      <w:r w:rsidR="00E657A8">
        <w:t>5.50</w:t>
      </w:r>
      <w:r w:rsidR="00C85F5F">
        <w:t>/GJ)</w:t>
      </w:r>
      <w:r w:rsidR="00C85F5F" w:rsidRPr="005F77E2">
        <w:t>.</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5E79D3" w:rsidP="00E16EDC">
      <w:r w:rsidRPr="005E79D3">
        <w:rPr>
          <w:noProof/>
          <w:lang w:eastAsia="en-AU"/>
        </w:rPr>
        <w:drawing>
          <wp:inline distT="0" distB="0" distL="0" distR="0" wp14:anchorId="3442F957" wp14:editId="08644EEF">
            <wp:extent cx="5731510" cy="3126794"/>
            <wp:effectExtent l="0" t="0" r="2540" b="0"/>
            <wp:docPr id="3" name="Picture 3"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5E79D3">
        <w:t>November</w:t>
      </w:r>
      <w:r w:rsidR="00C85F5F">
        <w:t xml:space="preserve"> 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4D1" w:rsidRDefault="00A824D1" w:rsidP="004B4412">
      <w:pPr>
        <w:spacing w:before="0"/>
      </w:pPr>
      <w:r>
        <w:separator/>
      </w:r>
    </w:p>
  </w:endnote>
  <w:endnote w:type="continuationSeparator" w:id="0">
    <w:p w:rsidR="00A824D1" w:rsidRDefault="00A824D1"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4D1" w:rsidRPr="00A91A9E" w:rsidRDefault="00A824D1"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A824D1" w:rsidRDefault="00A824D1"/>
  <w:p w:rsidR="00A824D1" w:rsidRDefault="00A824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4D1" w:rsidRPr="00A94D89" w:rsidRDefault="00A824D1"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F251BC">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4D1" w:rsidRPr="00A94D89" w:rsidRDefault="00A824D1"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F251BC">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148830</w:t>
    </w:r>
  </w:p>
  <w:p w:rsidR="00A824D1" w:rsidRDefault="00A824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4D1" w:rsidRDefault="00A824D1" w:rsidP="004B4412">
      <w:pPr>
        <w:spacing w:before="0"/>
      </w:pPr>
      <w:r>
        <w:separator/>
      </w:r>
    </w:p>
  </w:footnote>
  <w:footnote w:type="continuationSeparator" w:id="0">
    <w:p w:rsidR="00A824D1" w:rsidRDefault="00A824D1" w:rsidP="004B4412">
      <w:pPr>
        <w:spacing w:before="0"/>
      </w:pPr>
      <w:r>
        <w:continuationSeparator/>
      </w:r>
    </w:p>
  </w:footnote>
  <w:footnote w:id="1">
    <w:p w:rsidR="00A824D1" w:rsidRPr="000835F4" w:rsidRDefault="00A824D1"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A824D1" w:rsidRDefault="00A824D1" w:rsidP="00C91604">
      <w:pPr>
        <w:pStyle w:val="FootnoteText"/>
        <w:ind w:left="709" w:hanging="709"/>
        <w:jc w:val="both"/>
      </w:pPr>
      <w:r>
        <w:rPr>
          <w:rStyle w:val="FootnoteReference"/>
        </w:rPr>
        <w:footnoteRef/>
      </w:r>
      <w:r>
        <w:t xml:space="preserve"> </w:t>
      </w:r>
      <w:r>
        <w:tab/>
        <w:t xml:space="preserve">Continuing from the previous week, the VNIE project led to the end of day </w:t>
      </w:r>
      <w:proofErr w:type="spellStart"/>
      <w:r>
        <w:t>linepack</w:t>
      </w:r>
      <w:proofErr w:type="spellEnd"/>
      <w:r>
        <w:t xml:space="preserve"> target increasing from 390 TJ to 400 TJ per day on 16 October. This reflects the additional gas stored on the expanded Wangaratta North to </w:t>
      </w:r>
      <w:proofErr w:type="spellStart"/>
      <w:r>
        <w:t>Barnawatha</w:t>
      </w:r>
      <w:proofErr w:type="spellEnd"/>
      <w:r>
        <w:t xml:space="preserve"> Pipeline following commissioning.</w:t>
      </w:r>
    </w:p>
  </w:footnote>
  <w:footnote w:id="3">
    <w:p w:rsidR="00A824D1" w:rsidRPr="00EC2CB1" w:rsidRDefault="00A824D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A824D1" w:rsidRPr="00EC2CB1" w:rsidRDefault="00A824D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A824D1" w:rsidRPr="00EC2CB1" w:rsidRDefault="00A824D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A824D1" w:rsidRPr="00551D6B" w:rsidRDefault="00A824D1"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A824D1" w:rsidRPr="00551D6B" w:rsidRDefault="00A824D1"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A824D1" w:rsidRPr="00552F68" w:rsidRDefault="00A824D1"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A824D1" w:rsidRPr="00133C93" w:rsidRDefault="00A824D1" w:rsidP="00034A40">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133C93">
        <w:rPr>
          <w:b/>
          <w:szCs w:val="16"/>
        </w:rPr>
        <w:t>Domestic gas flows</w:t>
      </w:r>
      <w:r w:rsidRPr="00133C93">
        <w:rPr>
          <w:szCs w:val="16"/>
        </w:rPr>
        <w:t xml:space="preserve"> are calculated as the total of:  </w:t>
      </w:r>
      <w:r w:rsidRPr="00133C93">
        <w:rPr>
          <w:b/>
          <w:szCs w:val="16"/>
        </w:rPr>
        <w:t>SA</w:t>
      </w:r>
      <w:r w:rsidRPr="00133C93">
        <w:rPr>
          <w:szCs w:val="16"/>
        </w:rPr>
        <w:t xml:space="preserve"> = MAP + SEAGAS; </w:t>
      </w:r>
      <w:r w:rsidRPr="00133C93">
        <w:rPr>
          <w:b/>
          <w:szCs w:val="16"/>
        </w:rPr>
        <w:t>VIC</w:t>
      </w:r>
      <w:r w:rsidRPr="00133C93">
        <w:rPr>
          <w:szCs w:val="16"/>
        </w:rPr>
        <w:t xml:space="preserve"> = SWP + LMP + (absolute quantity of negative flows only on the ‘NSW-VIC </w:t>
      </w:r>
      <w:proofErr w:type="gramStart"/>
      <w:r w:rsidRPr="00133C93">
        <w:rPr>
          <w:szCs w:val="16"/>
        </w:rPr>
        <w:t>interconnect</w:t>
      </w:r>
      <w:proofErr w:type="gramEnd"/>
      <w:r w:rsidRPr="00133C93">
        <w:rPr>
          <w:szCs w:val="16"/>
        </w:rPr>
        <w:t xml:space="preserve">’); </w:t>
      </w:r>
      <w:r w:rsidRPr="00133C93">
        <w:rPr>
          <w:b/>
          <w:szCs w:val="16"/>
        </w:rPr>
        <w:t>NSW/ACT</w:t>
      </w:r>
      <w:r w:rsidRPr="00133C93">
        <w:rPr>
          <w:szCs w:val="16"/>
        </w:rPr>
        <w:t xml:space="preserve"> = EGP + MSP; </w:t>
      </w:r>
      <w:r w:rsidRPr="00133C93">
        <w:rPr>
          <w:b/>
          <w:szCs w:val="16"/>
        </w:rPr>
        <w:t>TAS</w:t>
      </w:r>
      <w:r w:rsidRPr="00133C93">
        <w:rPr>
          <w:szCs w:val="16"/>
        </w:rPr>
        <w:t xml:space="preserve"> = TGP; </w:t>
      </w:r>
      <w:r w:rsidRPr="00133C93">
        <w:rPr>
          <w:b/>
          <w:szCs w:val="16"/>
        </w:rPr>
        <w:t>QLD (Brisbane)</w:t>
      </w:r>
      <w:r w:rsidRPr="00133C93">
        <w:rPr>
          <w:szCs w:val="16"/>
        </w:rPr>
        <w:t xml:space="preserve"> = RBP; </w:t>
      </w:r>
      <w:r w:rsidRPr="00133C93">
        <w:rPr>
          <w:b/>
          <w:szCs w:val="16"/>
        </w:rPr>
        <w:t>QLD (Mt Isa)</w:t>
      </w:r>
      <w:r w:rsidRPr="00133C93">
        <w:rPr>
          <w:szCs w:val="16"/>
        </w:rPr>
        <w:t xml:space="preserve"> = CGP; and </w:t>
      </w:r>
      <w:r w:rsidRPr="00133C93">
        <w:rPr>
          <w:b/>
          <w:szCs w:val="16"/>
        </w:rPr>
        <w:t>QLD (Gladstone)</w:t>
      </w:r>
      <w:r w:rsidRPr="00133C93">
        <w:rPr>
          <w:szCs w:val="16"/>
        </w:rPr>
        <w:t xml:space="preserve"> = QGP. </w:t>
      </w:r>
    </w:p>
    <w:p w:rsidR="00A824D1" w:rsidRPr="00133C93" w:rsidRDefault="00A824D1" w:rsidP="003D30EE">
      <w:pPr>
        <w:pStyle w:val="FootnoteText"/>
        <w:spacing w:before="0"/>
        <w:ind w:left="709"/>
        <w:jc w:val="both"/>
        <w:rPr>
          <w:szCs w:val="16"/>
        </w:rPr>
      </w:pPr>
      <w:r w:rsidRPr="00133C93">
        <w:rPr>
          <w:b/>
          <w:szCs w:val="16"/>
        </w:rPr>
        <w:t xml:space="preserve">Export gas flows </w:t>
      </w:r>
      <w:r w:rsidRPr="00133C93">
        <w:rPr>
          <w:szCs w:val="16"/>
        </w:rPr>
        <w:t>are calculated as the total of: the APLNG pipeline; the GLNG pipeline; and the Wallumbilla to Gladstone pipeline.</w:t>
      </w:r>
    </w:p>
    <w:p w:rsidR="00A824D1" w:rsidRPr="00133C93" w:rsidRDefault="00A824D1" w:rsidP="00551D6B">
      <w:pPr>
        <w:pStyle w:val="FootnoteText"/>
        <w:spacing w:before="0"/>
        <w:ind w:left="709"/>
        <w:jc w:val="both"/>
        <w:rPr>
          <w:szCs w:val="16"/>
        </w:rPr>
      </w:pPr>
      <w:r w:rsidRPr="00133C93">
        <w:rPr>
          <w:b/>
          <w:szCs w:val="16"/>
        </w:rPr>
        <w:t>GPG volumes</w:t>
      </w:r>
      <w:r w:rsidRPr="00133C93">
        <w:rPr>
          <w:szCs w:val="16"/>
        </w:rPr>
        <w:t xml:space="preserve"> may include gas usage that does not show up on Bulletin Board pipeline flows.</w:t>
      </w:r>
    </w:p>
  </w:footnote>
  <w:footnote w:id="10">
    <w:p w:rsidR="00A824D1" w:rsidRPr="00133C93" w:rsidRDefault="00A824D1" w:rsidP="001C3452">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133C93">
        <w:rPr>
          <w:szCs w:val="16"/>
        </w:rPr>
        <w:t>GSH supply is the average daily volume of gas ‘traded’, while price is a volume weighted average.</w:t>
      </w:r>
    </w:p>
  </w:footnote>
  <w:footnote w:id="11">
    <w:p w:rsidR="00133C93" w:rsidRDefault="00133C93" w:rsidP="00133C93">
      <w:pPr>
        <w:pStyle w:val="FootnoteText"/>
        <w:spacing w:before="0"/>
        <w:ind w:left="709" w:hanging="709"/>
        <w:jc w:val="both"/>
      </w:pPr>
      <w:r w:rsidRPr="00133C93">
        <w:rPr>
          <w:rStyle w:val="FootnoteReference"/>
          <w:sz w:val="20"/>
        </w:rPr>
        <w:footnoteRef/>
      </w:r>
      <w:r>
        <w:t xml:space="preserve"> </w:t>
      </w:r>
      <w:r>
        <w:tab/>
      </w:r>
      <w:r w:rsidRPr="008C414B">
        <w:t>Numbers for QSN Link, Port Campbell (Otway basin) and Gippsland (Eastern Victoria) have been adjusted to account for changes to Bulletin Board flows which came into effect from 6 October</w:t>
      </w:r>
      <w:r>
        <w:t xml:space="preserve"> (see </w:t>
      </w:r>
      <w:hyperlink r:id="rId1" w:history="1">
        <w:r w:rsidRPr="00C7790E">
          <w:rPr>
            <w:rStyle w:val="Hyperlink"/>
            <w:sz w:val="16"/>
          </w:rPr>
          <w:t>gas</w:t>
        </w:r>
        <w:r>
          <w:rPr>
            <w:rStyle w:val="Hyperlink"/>
            <w:sz w:val="16"/>
          </w:rPr>
          <w:t xml:space="preserve"> </w:t>
        </w:r>
        <w:r w:rsidRPr="00C7790E">
          <w:rPr>
            <w:rStyle w:val="Hyperlink"/>
            <w:sz w:val="16"/>
          </w:rPr>
          <w:t>report</w:t>
        </w:r>
        <w:r>
          <w:rPr>
            <w:rStyle w:val="Hyperlink"/>
            <w:sz w:val="16"/>
          </w:rPr>
          <w:t xml:space="preserve"> </w:t>
        </w:r>
        <w:r w:rsidRPr="00C7790E">
          <w:rPr>
            <w:rStyle w:val="Hyperlink"/>
            <w:sz w:val="16"/>
          </w:rPr>
          <w:t>2-8</w:t>
        </w:r>
        <w:r>
          <w:rPr>
            <w:rStyle w:val="Hyperlink"/>
            <w:sz w:val="16"/>
          </w:rPr>
          <w:t xml:space="preserve"> O</w:t>
        </w:r>
        <w:r w:rsidRPr="00C7790E">
          <w:rPr>
            <w:rStyle w:val="Hyperlink"/>
            <w:sz w:val="16"/>
          </w:rPr>
          <w:t>ctober</w:t>
        </w:r>
        <w:r>
          <w:rPr>
            <w:rStyle w:val="Hyperlink"/>
            <w:sz w:val="16"/>
          </w:rPr>
          <w:t xml:space="preserve"> </w:t>
        </w:r>
        <w:r w:rsidRPr="00C7790E">
          <w:rPr>
            <w:rStyle w:val="Hyperlink"/>
            <w:sz w:val="16"/>
          </w:rPr>
          <w:t>2016</w:t>
        </w:r>
      </w:hyperlink>
      <w:r>
        <w:t>)</w:t>
      </w:r>
      <w:r w:rsidRPr="008C414B">
        <w:t>. Individual facilities are now required to report ‘receipts’ separate to ‘deliveries’, rather than net flows.</w:t>
      </w:r>
    </w:p>
  </w:footnote>
  <w:footnote w:id="12">
    <w:p w:rsidR="00A824D1" w:rsidRPr="001C3452" w:rsidRDefault="00A824D1"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3">
    <w:p w:rsidR="00A824D1" w:rsidRDefault="00A824D1"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2295C04"/>
    <w:multiLevelType w:val="hybridMultilevel"/>
    <w:tmpl w:val="8CFC0360"/>
    <w:lvl w:ilvl="0" w:tplc="C56EB67C">
      <w:start w:val="1"/>
      <w:numFmt w:val="bullet"/>
      <w:lvlText w:val="•"/>
      <w:lvlJc w:val="left"/>
      <w:pPr>
        <w:tabs>
          <w:tab w:val="num" w:pos="720"/>
        </w:tabs>
        <w:ind w:left="720" w:hanging="360"/>
      </w:pPr>
      <w:rPr>
        <w:rFonts w:ascii="Arial" w:hAnsi="Arial" w:hint="default"/>
      </w:rPr>
    </w:lvl>
    <w:lvl w:ilvl="1" w:tplc="43EAF8B6">
      <w:start w:val="1"/>
      <w:numFmt w:val="bullet"/>
      <w:lvlText w:val="•"/>
      <w:lvlJc w:val="left"/>
      <w:pPr>
        <w:tabs>
          <w:tab w:val="num" w:pos="1440"/>
        </w:tabs>
        <w:ind w:left="1440" w:hanging="360"/>
      </w:pPr>
      <w:rPr>
        <w:rFonts w:ascii="Arial" w:hAnsi="Arial" w:hint="default"/>
      </w:rPr>
    </w:lvl>
    <w:lvl w:ilvl="2" w:tplc="E788FEDA">
      <w:start w:val="1075"/>
      <w:numFmt w:val="bullet"/>
      <w:lvlText w:val="•"/>
      <w:lvlJc w:val="left"/>
      <w:pPr>
        <w:tabs>
          <w:tab w:val="num" w:pos="2160"/>
        </w:tabs>
        <w:ind w:left="2160" w:hanging="360"/>
      </w:pPr>
      <w:rPr>
        <w:rFonts w:ascii="Arial" w:hAnsi="Arial" w:hint="default"/>
      </w:rPr>
    </w:lvl>
    <w:lvl w:ilvl="3" w:tplc="A7EA2DD2" w:tentative="1">
      <w:start w:val="1"/>
      <w:numFmt w:val="bullet"/>
      <w:lvlText w:val="•"/>
      <w:lvlJc w:val="left"/>
      <w:pPr>
        <w:tabs>
          <w:tab w:val="num" w:pos="2880"/>
        </w:tabs>
        <w:ind w:left="2880" w:hanging="360"/>
      </w:pPr>
      <w:rPr>
        <w:rFonts w:ascii="Arial" w:hAnsi="Arial" w:hint="default"/>
      </w:rPr>
    </w:lvl>
    <w:lvl w:ilvl="4" w:tplc="3DC88654" w:tentative="1">
      <w:start w:val="1"/>
      <w:numFmt w:val="bullet"/>
      <w:lvlText w:val="•"/>
      <w:lvlJc w:val="left"/>
      <w:pPr>
        <w:tabs>
          <w:tab w:val="num" w:pos="3600"/>
        </w:tabs>
        <w:ind w:left="3600" w:hanging="360"/>
      </w:pPr>
      <w:rPr>
        <w:rFonts w:ascii="Arial" w:hAnsi="Arial" w:hint="default"/>
      </w:rPr>
    </w:lvl>
    <w:lvl w:ilvl="5" w:tplc="B8D09DD2" w:tentative="1">
      <w:start w:val="1"/>
      <w:numFmt w:val="bullet"/>
      <w:lvlText w:val="•"/>
      <w:lvlJc w:val="left"/>
      <w:pPr>
        <w:tabs>
          <w:tab w:val="num" w:pos="4320"/>
        </w:tabs>
        <w:ind w:left="4320" w:hanging="360"/>
      </w:pPr>
      <w:rPr>
        <w:rFonts w:ascii="Arial" w:hAnsi="Arial" w:hint="default"/>
      </w:rPr>
    </w:lvl>
    <w:lvl w:ilvl="6" w:tplc="0AB41C92" w:tentative="1">
      <w:start w:val="1"/>
      <w:numFmt w:val="bullet"/>
      <w:lvlText w:val="•"/>
      <w:lvlJc w:val="left"/>
      <w:pPr>
        <w:tabs>
          <w:tab w:val="num" w:pos="5040"/>
        </w:tabs>
        <w:ind w:left="5040" w:hanging="360"/>
      </w:pPr>
      <w:rPr>
        <w:rFonts w:ascii="Arial" w:hAnsi="Arial" w:hint="default"/>
      </w:rPr>
    </w:lvl>
    <w:lvl w:ilvl="7" w:tplc="9286B598" w:tentative="1">
      <w:start w:val="1"/>
      <w:numFmt w:val="bullet"/>
      <w:lvlText w:val="•"/>
      <w:lvlJc w:val="left"/>
      <w:pPr>
        <w:tabs>
          <w:tab w:val="num" w:pos="5760"/>
        </w:tabs>
        <w:ind w:left="5760" w:hanging="360"/>
      </w:pPr>
      <w:rPr>
        <w:rFonts w:ascii="Arial" w:hAnsi="Arial" w:hint="default"/>
      </w:rPr>
    </w:lvl>
    <w:lvl w:ilvl="8" w:tplc="2F368A18" w:tentative="1">
      <w:start w:val="1"/>
      <w:numFmt w:val="bullet"/>
      <w:lvlText w:val="•"/>
      <w:lvlJc w:val="left"/>
      <w:pPr>
        <w:tabs>
          <w:tab w:val="num" w:pos="6480"/>
        </w:tabs>
        <w:ind w:left="6480" w:hanging="360"/>
      </w:pPr>
      <w:rPr>
        <w:rFonts w:ascii="Arial" w:hAnsi="Arial" w:hint="default"/>
      </w:rPr>
    </w:lvl>
  </w:abstractNum>
  <w:abstractNum w:abstractNumId="33">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4">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3"/>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 w:numId="35">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16 – 22 October 2016.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455"/>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C93"/>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10F7"/>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607A"/>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A3F"/>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4AE2"/>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BC2"/>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4B7C"/>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2C7B"/>
    <w:rsid w:val="002E5E33"/>
    <w:rsid w:val="002E6254"/>
    <w:rsid w:val="002E64AB"/>
    <w:rsid w:val="002F02A4"/>
    <w:rsid w:val="002F22FD"/>
    <w:rsid w:val="002F2481"/>
    <w:rsid w:val="002F3D02"/>
    <w:rsid w:val="002F4F34"/>
    <w:rsid w:val="002F7986"/>
    <w:rsid w:val="00300C0B"/>
    <w:rsid w:val="00302D83"/>
    <w:rsid w:val="00303083"/>
    <w:rsid w:val="003061FA"/>
    <w:rsid w:val="003062C2"/>
    <w:rsid w:val="00306DD8"/>
    <w:rsid w:val="00307F6D"/>
    <w:rsid w:val="003105F5"/>
    <w:rsid w:val="003106BC"/>
    <w:rsid w:val="003110DE"/>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2F69"/>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491"/>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3417"/>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591"/>
    <w:rsid w:val="005177C0"/>
    <w:rsid w:val="00522360"/>
    <w:rsid w:val="00522486"/>
    <w:rsid w:val="00522668"/>
    <w:rsid w:val="00522A7C"/>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2E6"/>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183"/>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43C6"/>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50AF"/>
    <w:rsid w:val="005E6FFA"/>
    <w:rsid w:val="005E7718"/>
    <w:rsid w:val="005E79D3"/>
    <w:rsid w:val="005F0661"/>
    <w:rsid w:val="005F0CD5"/>
    <w:rsid w:val="005F617A"/>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3862"/>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179"/>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51C6"/>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9D0"/>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2C7F"/>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3F8"/>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3D89"/>
    <w:rsid w:val="00864A9F"/>
    <w:rsid w:val="00867506"/>
    <w:rsid w:val="008707C1"/>
    <w:rsid w:val="00870903"/>
    <w:rsid w:val="0087280A"/>
    <w:rsid w:val="0087308C"/>
    <w:rsid w:val="00873B1F"/>
    <w:rsid w:val="0087479D"/>
    <w:rsid w:val="00882FE8"/>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6E4C"/>
    <w:rsid w:val="00946FFF"/>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6596"/>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24D1"/>
    <w:rsid w:val="00A83300"/>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2A6D"/>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7FD"/>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599"/>
    <w:rsid w:val="00BB7780"/>
    <w:rsid w:val="00BC03BC"/>
    <w:rsid w:val="00BC1B6B"/>
    <w:rsid w:val="00BC4CD2"/>
    <w:rsid w:val="00BC614B"/>
    <w:rsid w:val="00BC6398"/>
    <w:rsid w:val="00BC675F"/>
    <w:rsid w:val="00BD0BD0"/>
    <w:rsid w:val="00BD1022"/>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69F0"/>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5F5F"/>
    <w:rsid w:val="00C86679"/>
    <w:rsid w:val="00C86919"/>
    <w:rsid w:val="00C872DB"/>
    <w:rsid w:val="00C87867"/>
    <w:rsid w:val="00C91604"/>
    <w:rsid w:val="00C91830"/>
    <w:rsid w:val="00C9478B"/>
    <w:rsid w:val="00C950AF"/>
    <w:rsid w:val="00C9660A"/>
    <w:rsid w:val="00C96A77"/>
    <w:rsid w:val="00C96A92"/>
    <w:rsid w:val="00C979D7"/>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148"/>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07D43"/>
    <w:rsid w:val="00D10120"/>
    <w:rsid w:val="00D10E76"/>
    <w:rsid w:val="00D114EE"/>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00"/>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76CA0"/>
    <w:rsid w:val="00D80893"/>
    <w:rsid w:val="00D839A7"/>
    <w:rsid w:val="00D86899"/>
    <w:rsid w:val="00D86F04"/>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570"/>
    <w:rsid w:val="00DC693A"/>
    <w:rsid w:val="00DC7981"/>
    <w:rsid w:val="00DC7B5A"/>
    <w:rsid w:val="00DD15C2"/>
    <w:rsid w:val="00DD27EA"/>
    <w:rsid w:val="00DD33DE"/>
    <w:rsid w:val="00DD6E70"/>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19"/>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1357"/>
    <w:rsid w:val="00E657A8"/>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4BB"/>
    <w:rsid w:val="00E86851"/>
    <w:rsid w:val="00E91678"/>
    <w:rsid w:val="00E91BED"/>
    <w:rsid w:val="00E926FC"/>
    <w:rsid w:val="00E95390"/>
    <w:rsid w:val="00E95CA7"/>
    <w:rsid w:val="00E96EFF"/>
    <w:rsid w:val="00E97DD9"/>
    <w:rsid w:val="00EA1DEE"/>
    <w:rsid w:val="00EA3D42"/>
    <w:rsid w:val="00EA4DD9"/>
    <w:rsid w:val="00EA6290"/>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26F4"/>
    <w:rsid w:val="00EF3FB8"/>
    <w:rsid w:val="00EF5110"/>
    <w:rsid w:val="00EF62CA"/>
    <w:rsid w:val="00EF69CB"/>
    <w:rsid w:val="00F00587"/>
    <w:rsid w:val="00F019C5"/>
    <w:rsid w:val="00F02D9B"/>
    <w:rsid w:val="00F031FE"/>
    <w:rsid w:val="00F05EAD"/>
    <w:rsid w:val="00F06B5B"/>
    <w:rsid w:val="00F072C7"/>
    <w:rsid w:val="00F10CDA"/>
    <w:rsid w:val="00F113FD"/>
    <w:rsid w:val="00F122EF"/>
    <w:rsid w:val="00F13B99"/>
    <w:rsid w:val="00F13EAA"/>
    <w:rsid w:val="00F1535C"/>
    <w:rsid w:val="00F15882"/>
    <w:rsid w:val="00F15AB9"/>
    <w:rsid w:val="00F167CF"/>
    <w:rsid w:val="00F16858"/>
    <w:rsid w:val="00F1785E"/>
    <w:rsid w:val="00F20BD3"/>
    <w:rsid w:val="00F248D0"/>
    <w:rsid w:val="00F251BC"/>
    <w:rsid w:val="00F26128"/>
    <w:rsid w:val="00F27967"/>
    <w:rsid w:val="00F30306"/>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3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6B9B"/>
    <w:rsid w:val="00FC7B0B"/>
    <w:rsid w:val="00FD0763"/>
    <w:rsid w:val="00FD166D"/>
    <w:rsid w:val="00FD22A2"/>
    <w:rsid w:val="00FD29EE"/>
    <w:rsid w:val="00FD2F97"/>
    <w:rsid w:val="00FD411B"/>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157307759">
      <w:bodyDiv w:val="1"/>
      <w:marLeft w:val="0"/>
      <w:marRight w:val="0"/>
      <w:marTop w:val="0"/>
      <w:marBottom w:val="0"/>
      <w:divBdr>
        <w:top w:val="none" w:sz="0" w:space="0" w:color="auto"/>
        <w:left w:val="none" w:sz="0" w:space="0" w:color="auto"/>
        <w:bottom w:val="none" w:sz="0" w:space="0" w:color="auto"/>
        <w:right w:val="none" w:sz="0" w:space="0" w:color="auto"/>
      </w:divBdr>
      <w:divsChild>
        <w:div w:id="480512077">
          <w:marLeft w:val="274"/>
          <w:marRight w:val="0"/>
          <w:marTop w:val="80"/>
          <w:marBottom w:val="0"/>
          <w:divBdr>
            <w:top w:val="none" w:sz="0" w:space="0" w:color="auto"/>
            <w:left w:val="none" w:sz="0" w:space="0" w:color="auto"/>
            <w:bottom w:val="none" w:sz="0" w:space="0" w:color="auto"/>
            <w:right w:val="none" w:sz="0" w:space="0" w:color="auto"/>
          </w:divBdr>
        </w:div>
        <w:div w:id="937441931">
          <w:marLeft w:val="994"/>
          <w:marRight w:val="0"/>
          <w:marTop w:val="40"/>
          <w:marBottom w:val="0"/>
          <w:divBdr>
            <w:top w:val="none" w:sz="0" w:space="0" w:color="auto"/>
            <w:left w:val="none" w:sz="0" w:space="0" w:color="auto"/>
            <w:bottom w:val="none" w:sz="0" w:space="0" w:color="auto"/>
            <w:right w:val="none" w:sz="0" w:space="0" w:color="auto"/>
          </w:divBdr>
        </w:div>
        <w:div w:id="424302720">
          <w:marLeft w:val="994"/>
          <w:marRight w:val="0"/>
          <w:marTop w:val="40"/>
          <w:marBottom w:val="40"/>
          <w:divBdr>
            <w:top w:val="none" w:sz="0" w:space="0" w:color="auto"/>
            <w:left w:val="none" w:sz="0" w:space="0" w:color="auto"/>
            <w:bottom w:val="none" w:sz="0" w:space="0" w:color="auto"/>
            <w:right w:val="none" w:sz="0" w:space="0" w:color="auto"/>
          </w:divBdr>
        </w:div>
      </w:divsChild>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wholesale-markets/market-performance/gas-report-2-8-october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7EE957-3470-40D5-86A2-6C32CAD11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7402AC75.dotm</Template>
  <TotalTime>0</TotalTime>
  <Pages>12</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2016-11-07T06:04:00Z</dcterms:created>
  <dcterms:modified xsi:type="dcterms:W3CDTF">2016-11-07T06:04:00Z</dcterms:modified>
</cp:coreProperties>
</file>