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29094169" wp14:editId="631F1396">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744DD0" w:rsidP="00286866">
      <w:pPr>
        <w:pStyle w:val="Heading2"/>
        <w:rPr>
          <w:i/>
        </w:rPr>
      </w:pPr>
      <w:r>
        <w:rPr>
          <w:sz w:val="36"/>
          <w:szCs w:val="36"/>
        </w:rPr>
        <w:t>18 – 24 June 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2D41DE" w:rsidRDefault="00573A15" w:rsidP="00F26128">
      <w:pPr>
        <w:jc w:val="both"/>
      </w:pPr>
      <w:r w:rsidRPr="002D41DE">
        <w:t>There was little change in demand from the previous week across the gas markets, with prices reducing slightly in all regions</w:t>
      </w:r>
      <w:r w:rsidR="002D41DE" w:rsidRPr="002D41DE">
        <w:t>.</w:t>
      </w:r>
    </w:p>
    <w:p w:rsidR="00ED0DB1" w:rsidRDefault="00ED0DB1" w:rsidP="00ED0DB1">
      <w:pPr>
        <w:jc w:val="both"/>
      </w:pPr>
      <w:r>
        <w:t>While trading quantities matched on the Wallumbilla exchange declined from the previous week, they still remained high at 173 TJ ($7.66/GJ).</w:t>
      </w:r>
    </w:p>
    <w:p w:rsidR="002D41DE" w:rsidRPr="00573A15" w:rsidRDefault="002D41DE" w:rsidP="002D41DE">
      <w:pPr>
        <w:jc w:val="both"/>
      </w:pPr>
      <w:r w:rsidRPr="00573A15">
        <w:t>In Sydney, Counteracting MOS contributed to higher MOS payments towards the end of the week. The main driver behind the higher service payments (up to $110,620) on 21 and 22 June was over forecast demand in the hub.</w:t>
      </w:r>
    </w:p>
    <w:p w:rsidR="00ED0DB1" w:rsidRPr="000835F4" w:rsidRDefault="00104547" w:rsidP="00F26128">
      <w:pPr>
        <w:jc w:val="both"/>
      </w:pPr>
      <w:r>
        <w:t>A further 3 spread product trades occurred following the first spread trade last week.</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0835F4" w:rsidRDefault="000835F4" w:rsidP="000835F4">
      <w:pPr>
        <w:pStyle w:val="Caption"/>
        <w:rPr>
          <w:color w:val="2272A3"/>
          <w:szCs w:val="24"/>
        </w:rPr>
      </w:pPr>
      <w:r w:rsidRPr="00BE2075">
        <w:t xml:space="preserve">Figure </w:t>
      </w:r>
      <w:r w:rsidR="00280703">
        <w:fldChar w:fldCharType="begin"/>
      </w:r>
      <w:r w:rsidR="00280703">
        <w:instrText xml:space="preserve"> SEQ Figure \* ARABIC </w:instrText>
      </w:r>
      <w:r w:rsidR="00280703">
        <w:fldChar w:fldCharType="separate"/>
      </w:r>
      <w:r w:rsidR="001521CB">
        <w:rPr>
          <w:noProof/>
        </w:rPr>
        <w:t>1</w:t>
      </w:r>
      <w:r w:rsidR="00280703">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E664C2">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E664C2">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E664C2" w:rsidRPr="006A7228" w:rsidTr="00E664C2">
        <w:trPr>
          <w:trHeight w:val="510"/>
        </w:trPr>
        <w:tc>
          <w:tcPr>
            <w:tcW w:w="1060" w:type="pct"/>
            <w:tcBorders>
              <w:top w:val="nil"/>
              <w:bottom w:val="nil"/>
            </w:tcBorders>
            <w:vAlign w:val="center"/>
          </w:tcPr>
          <w:p w:rsidR="00E664C2" w:rsidRDefault="00E664C2">
            <w:pPr>
              <w:rPr>
                <w:rFonts w:cs="Arial"/>
                <w:sz w:val="16"/>
                <w:szCs w:val="16"/>
              </w:rPr>
            </w:pPr>
            <w:r>
              <w:rPr>
                <w:rFonts w:cs="Arial"/>
                <w:sz w:val="16"/>
                <w:szCs w:val="16"/>
              </w:rPr>
              <w:t>18 Jun - 24 Jun 2017</w:t>
            </w:r>
          </w:p>
        </w:tc>
        <w:tc>
          <w:tcPr>
            <w:tcW w:w="556" w:type="pct"/>
            <w:tcBorders>
              <w:top w:val="nil"/>
              <w:bottom w:val="nil"/>
            </w:tcBorders>
            <w:vAlign w:val="center"/>
          </w:tcPr>
          <w:p w:rsidR="00E664C2" w:rsidRDefault="00E664C2">
            <w:pPr>
              <w:jc w:val="center"/>
              <w:rPr>
                <w:rFonts w:cs="Arial"/>
                <w:sz w:val="20"/>
                <w:szCs w:val="20"/>
              </w:rPr>
            </w:pPr>
            <w:r>
              <w:rPr>
                <w:rFonts w:cs="Arial"/>
                <w:sz w:val="20"/>
                <w:szCs w:val="20"/>
              </w:rPr>
              <w:t>8.50</w:t>
            </w:r>
          </w:p>
        </w:tc>
        <w:tc>
          <w:tcPr>
            <w:tcW w:w="468" w:type="pct"/>
            <w:tcBorders>
              <w:top w:val="nil"/>
              <w:bottom w:val="nil"/>
            </w:tcBorders>
            <w:vAlign w:val="center"/>
          </w:tcPr>
          <w:p w:rsidR="00E664C2" w:rsidRDefault="00E664C2">
            <w:pPr>
              <w:jc w:val="center"/>
              <w:rPr>
                <w:rFonts w:cs="Arial"/>
                <w:sz w:val="20"/>
                <w:szCs w:val="20"/>
              </w:rPr>
            </w:pPr>
            <w:r>
              <w:rPr>
                <w:rFonts w:cs="Arial"/>
                <w:sz w:val="20"/>
                <w:szCs w:val="20"/>
              </w:rPr>
              <w:t>901</w:t>
            </w:r>
          </w:p>
        </w:tc>
        <w:tc>
          <w:tcPr>
            <w:tcW w:w="476" w:type="pct"/>
            <w:tcBorders>
              <w:top w:val="nil"/>
              <w:bottom w:val="nil"/>
            </w:tcBorders>
            <w:vAlign w:val="center"/>
          </w:tcPr>
          <w:p w:rsidR="00E664C2" w:rsidRDefault="00E664C2">
            <w:pPr>
              <w:jc w:val="center"/>
              <w:rPr>
                <w:rFonts w:cs="Arial"/>
                <w:sz w:val="20"/>
                <w:szCs w:val="20"/>
              </w:rPr>
            </w:pPr>
            <w:r>
              <w:rPr>
                <w:rFonts w:cs="Arial"/>
                <w:sz w:val="20"/>
                <w:szCs w:val="20"/>
              </w:rPr>
              <w:t>9.26</w:t>
            </w:r>
          </w:p>
        </w:tc>
        <w:tc>
          <w:tcPr>
            <w:tcW w:w="469" w:type="pct"/>
            <w:tcBorders>
              <w:top w:val="nil"/>
              <w:bottom w:val="nil"/>
            </w:tcBorders>
            <w:vAlign w:val="center"/>
          </w:tcPr>
          <w:p w:rsidR="00E664C2" w:rsidRDefault="00E664C2">
            <w:pPr>
              <w:jc w:val="center"/>
              <w:rPr>
                <w:rFonts w:cs="Arial"/>
                <w:sz w:val="20"/>
                <w:szCs w:val="20"/>
              </w:rPr>
            </w:pPr>
            <w:r>
              <w:rPr>
                <w:rFonts w:cs="Arial"/>
                <w:sz w:val="20"/>
                <w:szCs w:val="20"/>
              </w:rPr>
              <w:t>282</w:t>
            </w:r>
          </w:p>
        </w:tc>
        <w:tc>
          <w:tcPr>
            <w:tcW w:w="500" w:type="pct"/>
            <w:tcBorders>
              <w:top w:val="nil"/>
              <w:bottom w:val="nil"/>
            </w:tcBorders>
            <w:vAlign w:val="center"/>
          </w:tcPr>
          <w:p w:rsidR="00E664C2" w:rsidRDefault="00E664C2">
            <w:pPr>
              <w:jc w:val="center"/>
              <w:rPr>
                <w:rFonts w:cs="Arial"/>
                <w:sz w:val="20"/>
                <w:szCs w:val="20"/>
              </w:rPr>
            </w:pPr>
            <w:r>
              <w:rPr>
                <w:rFonts w:cs="Arial"/>
                <w:sz w:val="20"/>
                <w:szCs w:val="20"/>
              </w:rPr>
              <w:t>8.91</w:t>
            </w:r>
          </w:p>
        </w:tc>
        <w:tc>
          <w:tcPr>
            <w:tcW w:w="468" w:type="pct"/>
            <w:tcBorders>
              <w:top w:val="nil"/>
              <w:bottom w:val="nil"/>
            </w:tcBorders>
            <w:vAlign w:val="center"/>
          </w:tcPr>
          <w:p w:rsidR="00E664C2" w:rsidRDefault="00E664C2">
            <w:pPr>
              <w:jc w:val="center"/>
              <w:rPr>
                <w:rFonts w:cs="Arial"/>
                <w:sz w:val="20"/>
                <w:szCs w:val="20"/>
              </w:rPr>
            </w:pPr>
            <w:r>
              <w:rPr>
                <w:rFonts w:cs="Arial"/>
                <w:sz w:val="20"/>
                <w:szCs w:val="20"/>
              </w:rPr>
              <w:t>84</w:t>
            </w:r>
          </w:p>
        </w:tc>
        <w:tc>
          <w:tcPr>
            <w:tcW w:w="466" w:type="pct"/>
            <w:tcBorders>
              <w:top w:val="nil"/>
              <w:bottom w:val="nil"/>
            </w:tcBorders>
            <w:vAlign w:val="center"/>
          </w:tcPr>
          <w:p w:rsidR="00E664C2" w:rsidRDefault="00E664C2">
            <w:pPr>
              <w:jc w:val="center"/>
              <w:rPr>
                <w:rFonts w:cs="Arial"/>
                <w:sz w:val="20"/>
                <w:szCs w:val="20"/>
              </w:rPr>
            </w:pPr>
            <w:r>
              <w:rPr>
                <w:rFonts w:cs="Arial"/>
                <w:sz w:val="20"/>
                <w:szCs w:val="20"/>
              </w:rPr>
              <w:t>6.85</w:t>
            </w:r>
          </w:p>
        </w:tc>
        <w:tc>
          <w:tcPr>
            <w:tcW w:w="538" w:type="pct"/>
            <w:tcBorders>
              <w:top w:val="nil"/>
              <w:bottom w:val="nil"/>
            </w:tcBorders>
            <w:vAlign w:val="center"/>
          </w:tcPr>
          <w:p w:rsidR="00E664C2" w:rsidRDefault="00E664C2">
            <w:pPr>
              <w:jc w:val="center"/>
              <w:rPr>
                <w:rFonts w:cs="Arial"/>
                <w:sz w:val="20"/>
                <w:szCs w:val="20"/>
              </w:rPr>
            </w:pPr>
            <w:r>
              <w:rPr>
                <w:rFonts w:cs="Arial"/>
                <w:sz w:val="20"/>
                <w:szCs w:val="20"/>
              </w:rPr>
              <w:t>91</w:t>
            </w:r>
          </w:p>
        </w:tc>
      </w:tr>
      <w:tr w:rsidR="00E664C2" w:rsidRPr="006A7228" w:rsidTr="00E664C2">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E664C2" w:rsidRDefault="00E664C2">
            <w:pPr>
              <w:rPr>
                <w:rFonts w:cs="Arial"/>
                <w:sz w:val="16"/>
                <w:szCs w:val="16"/>
              </w:rPr>
            </w:pPr>
            <w:r>
              <w:rPr>
                <w:rFonts w:cs="Arial"/>
                <w:sz w:val="16"/>
                <w:szCs w:val="16"/>
              </w:rPr>
              <w:t>% change from previous week</w:t>
            </w:r>
          </w:p>
        </w:tc>
        <w:tc>
          <w:tcPr>
            <w:tcW w:w="556" w:type="pct"/>
            <w:tcBorders>
              <w:top w:val="nil"/>
              <w:bottom w:val="nil"/>
            </w:tcBorders>
            <w:vAlign w:val="center"/>
          </w:tcPr>
          <w:p w:rsidR="00E664C2" w:rsidRDefault="00E664C2">
            <w:pPr>
              <w:jc w:val="center"/>
              <w:rPr>
                <w:rFonts w:cs="Arial"/>
                <w:szCs w:val="20"/>
              </w:rPr>
            </w:pPr>
            <w:r>
              <w:rPr>
                <w:rFonts w:cs="Arial"/>
                <w:szCs w:val="20"/>
              </w:rPr>
              <w:t>-16</w:t>
            </w:r>
          </w:p>
        </w:tc>
        <w:tc>
          <w:tcPr>
            <w:tcW w:w="468" w:type="pct"/>
            <w:tcBorders>
              <w:top w:val="nil"/>
              <w:bottom w:val="nil"/>
            </w:tcBorders>
            <w:vAlign w:val="center"/>
          </w:tcPr>
          <w:p w:rsidR="00E664C2" w:rsidRDefault="00E664C2">
            <w:pPr>
              <w:jc w:val="center"/>
              <w:rPr>
                <w:rFonts w:cs="Arial"/>
                <w:szCs w:val="20"/>
              </w:rPr>
            </w:pPr>
            <w:r>
              <w:rPr>
                <w:rFonts w:cs="Arial"/>
                <w:szCs w:val="20"/>
              </w:rPr>
              <w:t>5</w:t>
            </w:r>
          </w:p>
        </w:tc>
        <w:tc>
          <w:tcPr>
            <w:tcW w:w="476" w:type="pct"/>
            <w:tcBorders>
              <w:top w:val="nil"/>
              <w:bottom w:val="nil"/>
            </w:tcBorders>
            <w:vAlign w:val="center"/>
          </w:tcPr>
          <w:p w:rsidR="00E664C2" w:rsidRDefault="00E664C2">
            <w:pPr>
              <w:jc w:val="center"/>
              <w:rPr>
                <w:rFonts w:cs="Arial"/>
                <w:szCs w:val="20"/>
              </w:rPr>
            </w:pPr>
            <w:r>
              <w:rPr>
                <w:rFonts w:cs="Arial"/>
                <w:szCs w:val="20"/>
              </w:rPr>
              <w:t>-9</w:t>
            </w:r>
          </w:p>
        </w:tc>
        <w:tc>
          <w:tcPr>
            <w:tcW w:w="469" w:type="pct"/>
            <w:tcBorders>
              <w:top w:val="nil"/>
              <w:bottom w:val="nil"/>
            </w:tcBorders>
            <w:vAlign w:val="center"/>
          </w:tcPr>
          <w:p w:rsidR="00E664C2" w:rsidRDefault="00E664C2">
            <w:pPr>
              <w:jc w:val="center"/>
              <w:rPr>
                <w:rFonts w:cs="Arial"/>
                <w:szCs w:val="20"/>
              </w:rPr>
            </w:pPr>
            <w:r>
              <w:rPr>
                <w:rFonts w:cs="Arial"/>
                <w:szCs w:val="20"/>
              </w:rPr>
              <w:t>4</w:t>
            </w:r>
          </w:p>
        </w:tc>
        <w:tc>
          <w:tcPr>
            <w:tcW w:w="500" w:type="pct"/>
            <w:tcBorders>
              <w:top w:val="nil"/>
              <w:bottom w:val="nil"/>
            </w:tcBorders>
            <w:vAlign w:val="center"/>
          </w:tcPr>
          <w:p w:rsidR="00E664C2" w:rsidRDefault="00E664C2">
            <w:pPr>
              <w:jc w:val="center"/>
              <w:rPr>
                <w:rFonts w:cs="Arial"/>
                <w:szCs w:val="20"/>
              </w:rPr>
            </w:pPr>
            <w:r>
              <w:rPr>
                <w:rFonts w:cs="Arial"/>
                <w:szCs w:val="20"/>
              </w:rPr>
              <w:t>-4</w:t>
            </w:r>
          </w:p>
        </w:tc>
        <w:tc>
          <w:tcPr>
            <w:tcW w:w="468" w:type="pct"/>
            <w:tcBorders>
              <w:top w:val="nil"/>
              <w:bottom w:val="nil"/>
            </w:tcBorders>
            <w:vAlign w:val="center"/>
          </w:tcPr>
          <w:p w:rsidR="00E664C2" w:rsidRDefault="00E664C2">
            <w:pPr>
              <w:jc w:val="center"/>
              <w:rPr>
                <w:rFonts w:cs="Arial"/>
                <w:szCs w:val="20"/>
              </w:rPr>
            </w:pPr>
            <w:r>
              <w:rPr>
                <w:rFonts w:cs="Arial"/>
                <w:szCs w:val="20"/>
              </w:rPr>
              <w:t>1</w:t>
            </w:r>
          </w:p>
        </w:tc>
        <w:tc>
          <w:tcPr>
            <w:tcW w:w="466" w:type="pct"/>
            <w:tcBorders>
              <w:top w:val="nil"/>
              <w:bottom w:val="nil"/>
            </w:tcBorders>
            <w:vAlign w:val="center"/>
          </w:tcPr>
          <w:p w:rsidR="00E664C2" w:rsidRDefault="00E664C2">
            <w:pPr>
              <w:jc w:val="center"/>
              <w:rPr>
                <w:rFonts w:cs="Arial"/>
                <w:szCs w:val="20"/>
              </w:rPr>
            </w:pPr>
            <w:r>
              <w:rPr>
                <w:rFonts w:cs="Arial"/>
                <w:szCs w:val="20"/>
              </w:rPr>
              <w:t>-10</w:t>
            </w:r>
          </w:p>
        </w:tc>
        <w:tc>
          <w:tcPr>
            <w:tcW w:w="538" w:type="pct"/>
            <w:tcBorders>
              <w:top w:val="nil"/>
              <w:bottom w:val="nil"/>
            </w:tcBorders>
            <w:vAlign w:val="center"/>
          </w:tcPr>
          <w:p w:rsidR="00E664C2" w:rsidRDefault="00E664C2">
            <w:pPr>
              <w:jc w:val="center"/>
              <w:rPr>
                <w:rFonts w:cs="Arial"/>
                <w:szCs w:val="20"/>
              </w:rPr>
            </w:pPr>
            <w:r>
              <w:rPr>
                <w:rFonts w:cs="Arial"/>
                <w:szCs w:val="20"/>
              </w:rPr>
              <w:t>3</w:t>
            </w:r>
          </w:p>
        </w:tc>
      </w:tr>
      <w:tr w:rsidR="00E664C2" w:rsidRPr="006A7228" w:rsidTr="00E664C2">
        <w:trPr>
          <w:trHeight w:val="510"/>
        </w:trPr>
        <w:tc>
          <w:tcPr>
            <w:tcW w:w="1060" w:type="pct"/>
            <w:tcBorders>
              <w:top w:val="nil"/>
              <w:bottom w:val="nil"/>
            </w:tcBorders>
            <w:vAlign w:val="center"/>
          </w:tcPr>
          <w:p w:rsidR="00E664C2" w:rsidRDefault="00E664C2">
            <w:pPr>
              <w:rPr>
                <w:rFonts w:cs="Arial"/>
                <w:sz w:val="16"/>
                <w:szCs w:val="16"/>
              </w:rPr>
            </w:pPr>
            <w:r>
              <w:rPr>
                <w:rFonts w:cs="Arial"/>
                <w:sz w:val="16"/>
                <w:szCs w:val="16"/>
              </w:rPr>
              <w:t>16-17 financial YTD</w:t>
            </w:r>
          </w:p>
        </w:tc>
        <w:tc>
          <w:tcPr>
            <w:tcW w:w="556" w:type="pct"/>
            <w:tcBorders>
              <w:top w:val="nil"/>
              <w:bottom w:val="nil"/>
            </w:tcBorders>
            <w:vAlign w:val="center"/>
          </w:tcPr>
          <w:p w:rsidR="00E664C2" w:rsidRDefault="00E664C2">
            <w:pPr>
              <w:jc w:val="center"/>
              <w:rPr>
                <w:rFonts w:cs="Arial"/>
                <w:sz w:val="20"/>
                <w:szCs w:val="20"/>
              </w:rPr>
            </w:pPr>
            <w:r>
              <w:rPr>
                <w:rFonts w:cs="Arial"/>
                <w:sz w:val="20"/>
                <w:szCs w:val="20"/>
              </w:rPr>
              <w:t>8.57</w:t>
            </w:r>
          </w:p>
        </w:tc>
        <w:tc>
          <w:tcPr>
            <w:tcW w:w="468" w:type="pct"/>
            <w:tcBorders>
              <w:top w:val="nil"/>
              <w:bottom w:val="nil"/>
            </w:tcBorders>
            <w:vAlign w:val="center"/>
          </w:tcPr>
          <w:p w:rsidR="00E664C2" w:rsidRDefault="00E664C2">
            <w:pPr>
              <w:jc w:val="center"/>
              <w:rPr>
                <w:rFonts w:cs="Arial"/>
                <w:sz w:val="20"/>
                <w:szCs w:val="20"/>
              </w:rPr>
            </w:pPr>
            <w:r>
              <w:rPr>
                <w:rFonts w:cs="Arial"/>
                <w:sz w:val="20"/>
                <w:szCs w:val="20"/>
              </w:rPr>
              <w:t>557</w:t>
            </w:r>
          </w:p>
        </w:tc>
        <w:tc>
          <w:tcPr>
            <w:tcW w:w="476" w:type="pct"/>
            <w:tcBorders>
              <w:top w:val="nil"/>
              <w:bottom w:val="nil"/>
            </w:tcBorders>
            <w:vAlign w:val="center"/>
          </w:tcPr>
          <w:p w:rsidR="00E664C2" w:rsidRDefault="00E664C2">
            <w:pPr>
              <w:jc w:val="center"/>
              <w:rPr>
                <w:rFonts w:cs="Arial"/>
                <w:sz w:val="20"/>
                <w:szCs w:val="20"/>
              </w:rPr>
            </w:pPr>
            <w:r>
              <w:rPr>
                <w:rFonts w:cs="Arial"/>
                <w:sz w:val="20"/>
                <w:szCs w:val="20"/>
              </w:rPr>
              <w:t>8.80</w:t>
            </w:r>
          </w:p>
        </w:tc>
        <w:tc>
          <w:tcPr>
            <w:tcW w:w="469" w:type="pct"/>
            <w:tcBorders>
              <w:top w:val="nil"/>
              <w:bottom w:val="nil"/>
            </w:tcBorders>
            <w:vAlign w:val="center"/>
          </w:tcPr>
          <w:p w:rsidR="00E664C2" w:rsidRDefault="00E664C2">
            <w:pPr>
              <w:jc w:val="center"/>
              <w:rPr>
                <w:rFonts w:cs="Arial"/>
                <w:sz w:val="20"/>
                <w:szCs w:val="20"/>
              </w:rPr>
            </w:pPr>
            <w:r>
              <w:rPr>
                <w:rFonts w:cs="Arial"/>
                <w:sz w:val="20"/>
                <w:szCs w:val="20"/>
              </w:rPr>
              <w:t>243</w:t>
            </w:r>
          </w:p>
        </w:tc>
        <w:tc>
          <w:tcPr>
            <w:tcW w:w="500" w:type="pct"/>
            <w:tcBorders>
              <w:top w:val="nil"/>
              <w:bottom w:val="nil"/>
            </w:tcBorders>
            <w:vAlign w:val="center"/>
          </w:tcPr>
          <w:p w:rsidR="00E664C2" w:rsidRDefault="00E664C2">
            <w:pPr>
              <w:jc w:val="center"/>
              <w:rPr>
                <w:rFonts w:cs="Arial"/>
                <w:sz w:val="20"/>
                <w:szCs w:val="20"/>
              </w:rPr>
            </w:pPr>
            <w:r>
              <w:rPr>
                <w:rFonts w:cs="Arial"/>
                <w:sz w:val="20"/>
                <w:szCs w:val="20"/>
              </w:rPr>
              <w:t>8.82</w:t>
            </w:r>
          </w:p>
        </w:tc>
        <w:tc>
          <w:tcPr>
            <w:tcW w:w="468" w:type="pct"/>
            <w:tcBorders>
              <w:top w:val="nil"/>
              <w:bottom w:val="nil"/>
            </w:tcBorders>
            <w:vAlign w:val="center"/>
          </w:tcPr>
          <w:p w:rsidR="00E664C2" w:rsidRDefault="00E664C2">
            <w:pPr>
              <w:jc w:val="center"/>
              <w:rPr>
                <w:rFonts w:cs="Arial"/>
                <w:sz w:val="20"/>
                <w:szCs w:val="20"/>
              </w:rPr>
            </w:pPr>
            <w:r>
              <w:rPr>
                <w:rFonts w:cs="Arial"/>
                <w:sz w:val="20"/>
                <w:szCs w:val="20"/>
              </w:rPr>
              <w:t>62</w:t>
            </w:r>
          </w:p>
        </w:tc>
        <w:tc>
          <w:tcPr>
            <w:tcW w:w="466" w:type="pct"/>
            <w:tcBorders>
              <w:top w:val="nil"/>
              <w:bottom w:val="nil"/>
            </w:tcBorders>
            <w:vAlign w:val="center"/>
          </w:tcPr>
          <w:p w:rsidR="00E664C2" w:rsidRDefault="00E664C2">
            <w:pPr>
              <w:jc w:val="center"/>
              <w:rPr>
                <w:rFonts w:cs="Arial"/>
                <w:sz w:val="20"/>
                <w:szCs w:val="20"/>
              </w:rPr>
            </w:pPr>
            <w:r>
              <w:rPr>
                <w:rFonts w:cs="Arial"/>
                <w:sz w:val="20"/>
                <w:szCs w:val="20"/>
              </w:rPr>
              <w:t>8.22</w:t>
            </w:r>
          </w:p>
        </w:tc>
        <w:tc>
          <w:tcPr>
            <w:tcW w:w="538" w:type="pct"/>
            <w:tcBorders>
              <w:top w:val="nil"/>
              <w:bottom w:val="nil"/>
            </w:tcBorders>
            <w:vAlign w:val="center"/>
          </w:tcPr>
          <w:p w:rsidR="00E664C2" w:rsidRDefault="00E664C2">
            <w:pPr>
              <w:jc w:val="center"/>
              <w:rPr>
                <w:rFonts w:cs="Arial"/>
                <w:sz w:val="20"/>
                <w:szCs w:val="20"/>
              </w:rPr>
            </w:pPr>
            <w:r>
              <w:rPr>
                <w:rFonts w:cs="Arial"/>
                <w:sz w:val="20"/>
                <w:szCs w:val="20"/>
              </w:rPr>
              <w:t>84</w:t>
            </w:r>
          </w:p>
        </w:tc>
      </w:tr>
      <w:tr w:rsidR="00E664C2" w:rsidRPr="006A7228" w:rsidTr="00E664C2">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E664C2" w:rsidRDefault="00E664C2">
            <w:pPr>
              <w:rPr>
                <w:rFonts w:cs="Arial"/>
                <w:sz w:val="16"/>
                <w:szCs w:val="16"/>
              </w:rPr>
            </w:pPr>
            <w:r>
              <w:rPr>
                <w:rFonts w:cs="Arial"/>
                <w:sz w:val="16"/>
                <w:szCs w:val="16"/>
              </w:rPr>
              <w:t>% change from previous financial YTD</w:t>
            </w:r>
          </w:p>
        </w:tc>
        <w:tc>
          <w:tcPr>
            <w:tcW w:w="556" w:type="pct"/>
            <w:tcBorders>
              <w:top w:val="nil"/>
              <w:bottom w:val="single" w:sz="4" w:space="0" w:color="auto"/>
            </w:tcBorders>
            <w:vAlign w:val="center"/>
          </w:tcPr>
          <w:p w:rsidR="00E664C2" w:rsidRDefault="00E664C2">
            <w:pPr>
              <w:jc w:val="center"/>
              <w:rPr>
                <w:rFonts w:cs="Arial"/>
                <w:szCs w:val="20"/>
              </w:rPr>
            </w:pPr>
            <w:r>
              <w:rPr>
                <w:rFonts w:cs="Arial"/>
                <w:szCs w:val="20"/>
              </w:rPr>
              <w:t>79</w:t>
            </w:r>
          </w:p>
        </w:tc>
        <w:tc>
          <w:tcPr>
            <w:tcW w:w="468" w:type="pct"/>
            <w:tcBorders>
              <w:top w:val="nil"/>
              <w:bottom w:val="single" w:sz="4" w:space="0" w:color="auto"/>
            </w:tcBorders>
            <w:vAlign w:val="center"/>
          </w:tcPr>
          <w:p w:rsidR="00E664C2" w:rsidRDefault="00E664C2">
            <w:pPr>
              <w:jc w:val="center"/>
              <w:rPr>
                <w:rFonts w:cs="Arial"/>
                <w:szCs w:val="20"/>
              </w:rPr>
            </w:pPr>
            <w:r>
              <w:rPr>
                <w:rFonts w:cs="Arial"/>
                <w:szCs w:val="20"/>
              </w:rPr>
              <w:t>1</w:t>
            </w:r>
          </w:p>
        </w:tc>
        <w:tc>
          <w:tcPr>
            <w:tcW w:w="476" w:type="pct"/>
            <w:tcBorders>
              <w:top w:val="nil"/>
              <w:bottom w:val="single" w:sz="4" w:space="0" w:color="auto"/>
            </w:tcBorders>
            <w:vAlign w:val="center"/>
          </w:tcPr>
          <w:p w:rsidR="00E664C2" w:rsidRDefault="00E664C2">
            <w:pPr>
              <w:jc w:val="center"/>
              <w:rPr>
                <w:rFonts w:cs="Arial"/>
                <w:szCs w:val="20"/>
              </w:rPr>
            </w:pPr>
            <w:r>
              <w:rPr>
                <w:rFonts w:cs="Arial"/>
                <w:szCs w:val="20"/>
              </w:rPr>
              <w:t>80</w:t>
            </w:r>
          </w:p>
        </w:tc>
        <w:tc>
          <w:tcPr>
            <w:tcW w:w="469" w:type="pct"/>
            <w:tcBorders>
              <w:top w:val="nil"/>
              <w:bottom w:val="single" w:sz="4" w:space="0" w:color="auto"/>
            </w:tcBorders>
            <w:vAlign w:val="center"/>
          </w:tcPr>
          <w:p w:rsidR="00E664C2" w:rsidRDefault="00E664C2">
            <w:pPr>
              <w:jc w:val="center"/>
              <w:rPr>
                <w:rFonts w:cs="Arial"/>
                <w:szCs w:val="20"/>
              </w:rPr>
            </w:pPr>
            <w:r>
              <w:rPr>
                <w:rFonts w:cs="Arial"/>
                <w:szCs w:val="20"/>
              </w:rPr>
              <w:t>2</w:t>
            </w:r>
          </w:p>
        </w:tc>
        <w:tc>
          <w:tcPr>
            <w:tcW w:w="500" w:type="pct"/>
            <w:tcBorders>
              <w:top w:val="nil"/>
              <w:bottom w:val="single" w:sz="4" w:space="0" w:color="auto"/>
            </w:tcBorders>
            <w:vAlign w:val="center"/>
          </w:tcPr>
          <w:p w:rsidR="00E664C2" w:rsidRDefault="00E664C2">
            <w:pPr>
              <w:jc w:val="center"/>
              <w:rPr>
                <w:rFonts w:cs="Arial"/>
                <w:szCs w:val="20"/>
              </w:rPr>
            </w:pPr>
            <w:r>
              <w:rPr>
                <w:rFonts w:cs="Arial"/>
                <w:szCs w:val="20"/>
              </w:rPr>
              <w:t>57</w:t>
            </w:r>
          </w:p>
        </w:tc>
        <w:tc>
          <w:tcPr>
            <w:tcW w:w="468" w:type="pct"/>
            <w:tcBorders>
              <w:top w:val="nil"/>
              <w:bottom w:val="single" w:sz="4" w:space="0" w:color="auto"/>
            </w:tcBorders>
            <w:vAlign w:val="center"/>
          </w:tcPr>
          <w:p w:rsidR="00E664C2" w:rsidRDefault="00E664C2">
            <w:pPr>
              <w:jc w:val="center"/>
              <w:rPr>
                <w:rFonts w:cs="Arial"/>
                <w:szCs w:val="20"/>
              </w:rPr>
            </w:pPr>
            <w:r>
              <w:rPr>
                <w:rFonts w:cs="Arial"/>
                <w:szCs w:val="20"/>
              </w:rPr>
              <w:t>3</w:t>
            </w:r>
          </w:p>
        </w:tc>
        <w:tc>
          <w:tcPr>
            <w:tcW w:w="466" w:type="pct"/>
            <w:tcBorders>
              <w:top w:val="nil"/>
              <w:bottom w:val="single" w:sz="4" w:space="0" w:color="auto"/>
            </w:tcBorders>
            <w:vAlign w:val="center"/>
          </w:tcPr>
          <w:p w:rsidR="00E664C2" w:rsidRDefault="00E664C2">
            <w:pPr>
              <w:jc w:val="center"/>
              <w:rPr>
                <w:rFonts w:cs="Arial"/>
                <w:szCs w:val="20"/>
              </w:rPr>
            </w:pPr>
            <w:r>
              <w:rPr>
                <w:rFonts w:cs="Arial"/>
                <w:szCs w:val="20"/>
              </w:rPr>
              <w:t>80</w:t>
            </w:r>
          </w:p>
        </w:tc>
        <w:tc>
          <w:tcPr>
            <w:tcW w:w="538" w:type="pct"/>
            <w:tcBorders>
              <w:top w:val="nil"/>
              <w:bottom w:val="single" w:sz="4" w:space="0" w:color="auto"/>
            </w:tcBorders>
            <w:vAlign w:val="center"/>
          </w:tcPr>
          <w:p w:rsidR="00E664C2" w:rsidRDefault="00E664C2">
            <w:pPr>
              <w:jc w:val="center"/>
              <w:rPr>
                <w:rFonts w:cs="Arial"/>
                <w:szCs w:val="20"/>
              </w:rPr>
            </w:pPr>
            <w:r>
              <w:rPr>
                <w:rFonts w:cs="Arial"/>
                <w:szCs w:val="20"/>
              </w:rPr>
              <w:t>1</w:t>
            </w:r>
          </w:p>
        </w:tc>
      </w:tr>
    </w:tbl>
    <w:p w:rsidR="00674600" w:rsidRDefault="00674600" w:rsidP="00674600">
      <w:pPr>
        <w:jc w:val="both"/>
      </w:pPr>
      <w:r>
        <w:lastRenderedPageBreak/>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r w:rsidR="00280703">
        <w:fldChar w:fldCharType="begin"/>
      </w:r>
      <w:r w:rsidR="00280703">
        <w:instrText xml:space="preserve"> SEQ Figure \* ARABIC </w:instrText>
      </w:r>
      <w:r w:rsidR="00280703">
        <w:fldChar w:fldCharType="separate"/>
      </w:r>
      <w:r>
        <w:rPr>
          <w:noProof/>
        </w:rPr>
        <w:t>2</w:t>
      </w:r>
      <w:r w:rsidR="00280703">
        <w:rPr>
          <w:noProof/>
        </w:rPr>
        <w:fldChar w:fldCharType="end"/>
      </w:r>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2"/>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6D64BA">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6D64BA">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6D64BA">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6D64BA">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6D64BA">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6D64BA">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6D64BA">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6D64BA">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6D64BA">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6D64BA">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6D64BA">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6D64BA">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6D64BA">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E664C2" w:rsidRPr="006A7228" w:rsidTr="006D64BA">
        <w:trPr>
          <w:trHeight w:val="510"/>
        </w:trPr>
        <w:tc>
          <w:tcPr>
            <w:tcW w:w="1023" w:type="pct"/>
            <w:tcBorders>
              <w:top w:val="nil"/>
              <w:bottom w:val="nil"/>
            </w:tcBorders>
            <w:vAlign w:val="center"/>
          </w:tcPr>
          <w:p w:rsidR="00E664C2" w:rsidRDefault="00E664C2">
            <w:pPr>
              <w:rPr>
                <w:rFonts w:cs="Arial"/>
                <w:sz w:val="16"/>
                <w:szCs w:val="16"/>
              </w:rPr>
            </w:pPr>
            <w:r>
              <w:rPr>
                <w:rFonts w:cs="Arial"/>
                <w:sz w:val="16"/>
                <w:szCs w:val="16"/>
              </w:rPr>
              <w:t>18 Jun - 24 Jun 2017</w:t>
            </w:r>
          </w:p>
        </w:tc>
        <w:tc>
          <w:tcPr>
            <w:tcW w:w="723" w:type="pct"/>
            <w:tcBorders>
              <w:top w:val="nil"/>
              <w:bottom w:val="nil"/>
            </w:tcBorders>
            <w:vAlign w:val="center"/>
          </w:tcPr>
          <w:p w:rsidR="00E664C2" w:rsidRDefault="00E664C2">
            <w:pPr>
              <w:jc w:val="center"/>
              <w:rPr>
                <w:rFonts w:cs="Arial"/>
                <w:sz w:val="20"/>
                <w:szCs w:val="20"/>
              </w:rPr>
            </w:pPr>
            <w:r>
              <w:rPr>
                <w:rFonts w:cs="Arial"/>
                <w:sz w:val="20"/>
                <w:szCs w:val="20"/>
              </w:rPr>
              <w:t>-</w:t>
            </w:r>
          </w:p>
        </w:tc>
        <w:tc>
          <w:tcPr>
            <w:tcW w:w="635" w:type="pct"/>
            <w:tcBorders>
              <w:top w:val="nil"/>
              <w:bottom w:val="nil"/>
            </w:tcBorders>
            <w:vAlign w:val="center"/>
          </w:tcPr>
          <w:p w:rsidR="00E664C2" w:rsidRDefault="00E664C2">
            <w:pPr>
              <w:jc w:val="center"/>
              <w:rPr>
                <w:rFonts w:cs="Arial"/>
                <w:sz w:val="20"/>
                <w:szCs w:val="20"/>
              </w:rPr>
            </w:pPr>
            <w:r>
              <w:rPr>
                <w:rFonts w:cs="Arial"/>
                <w:sz w:val="20"/>
                <w:szCs w:val="20"/>
              </w:rPr>
              <w:t>-</w:t>
            </w:r>
          </w:p>
        </w:tc>
        <w:tc>
          <w:tcPr>
            <w:tcW w:w="669" w:type="pct"/>
            <w:tcBorders>
              <w:top w:val="nil"/>
              <w:bottom w:val="nil"/>
            </w:tcBorders>
            <w:vAlign w:val="center"/>
          </w:tcPr>
          <w:p w:rsidR="00E664C2" w:rsidRDefault="00E664C2">
            <w:pPr>
              <w:jc w:val="center"/>
              <w:rPr>
                <w:rFonts w:cs="Arial"/>
                <w:sz w:val="20"/>
                <w:szCs w:val="20"/>
              </w:rPr>
            </w:pPr>
            <w:r>
              <w:rPr>
                <w:rFonts w:cs="Arial"/>
                <w:sz w:val="20"/>
                <w:szCs w:val="20"/>
              </w:rPr>
              <w:t>6.91</w:t>
            </w:r>
          </w:p>
        </w:tc>
        <w:tc>
          <w:tcPr>
            <w:tcW w:w="678" w:type="pct"/>
            <w:tcBorders>
              <w:top w:val="nil"/>
              <w:bottom w:val="nil"/>
            </w:tcBorders>
            <w:vAlign w:val="center"/>
          </w:tcPr>
          <w:p w:rsidR="00E664C2" w:rsidRDefault="00E664C2">
            <w:pPr>
              <w:jc w:val="center"/>
              <w:rPr>
                <w:rFonts w:cs="Arial"/>
                <w:sz w:val="20"/>
                <w:szCs w:val="20"/>
              </w:rPr>
            </w:pPr>
            <w:r>
              <w:rPr>
                <w:rFonts w:cs="Arial"/>
                <w:sz w:val="20"/>
                <w:szCs w:val="20"/>
              </w:rPr>
              <w:t>72</w:t>
            </w:r>
          </w:p>
        </w:tc>
        <w:tc>
          <w:tcPr>
            <w:tcW w:w="625" w:type="pct"/>
            <w:tcBorders>
              <w:top w:val="nil"/>
              <w:bottom w:val="nil"/>
            </w:tcBorders>
            <w:vAlign w:val="center"/>
          </w:tcPr>
          <w:p w:rsidR="00E664C2" w:rsidRDefault="00E664C2">
            <w:pPr>
              <w:jc w:val="center"/>
              <w:rPr>
                <w:rFonts w:cs="Arial"/>
                <w:sz w:val="20"/>
                <w:szCs w:val="20"/>
              </w:rPr>
            </w:pPr>
            <w:r>
              <w:rPr>
                <w:rFonts w:cs="Arial"/>
                <w:sz w:val="20"/>
                <w:szCs w:val="20"/>
              </w:rPr>
              <w:t>7.97</w:t>
            </w:r>
          </w:p>
        </w:tc>
        <w:tc>
          <w:tcPr>
            <w:tcW w:w="647" w:type="pct"/>
            <w:tcBorders>
              <w:top w:val="nil"/>
              <w:bottom w:val="nil"/>
            </w:tcBorders>
            <w:vAlign w:val="center"/>
          </w:tcPr>
          <w:p w:rsidR="00E664C2" w:rsidRDefault="00E664C2">
            <w:pPr>
              <w:jc w:val="center"/>
              <w:rPr>
                <w:rFonts w:cs="Arial"/>
                <w:sz w:val="20"/>
                <w:szCs w:val="20"/>
              </w:rPr>
            </w:pPr>
            <w:r>
              <w:rPr>
                <w:rFonts w:cs="Arial"/>
                <w:sz w:val="20"/>
                <w:szCs w:val="20"/>
              </w:rPr>
              <w:t>676</w:t>
            </w:r>
          </w:p>
        </w:tc>
      </w:tr>
      <w:tr w:rsidR="00E664C2" w:rsidRPr="006A7228" w:rsidTr="006D64BA">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E664C2" w:rsidRDefault="00E664C2">
            <w:pPr>
              <w:rPr>
                <w:rFonts w:cs="Arial"/>
                <w:sz w:val="16"/>
                <w:szCs w:val="16"/>
              </w:rPr>
            </w:pPr>
            <w:r>
              <w:rPr>
                <w:rFonts w:cs="Arial"/>
                <w:sz w:val="16"/>
                <w:szCs w:val="16"/>
              </w:rPr>
              <w:t>% change from previous week</w:t>
            </w:r>
          </w:p>
        </w:tc>
        <w:tc>
          <w:tcPr>
            <w:tcW w:w="723" w:type="pct"/>
            <w:tcBorders>
              <w:top w:val="nil"/>
              <w:bottom w:val="nil"/>
            </w:tcBorders>
            <w:vAlign w:val="center"/>
          </w:tcPr>
          <w:p w:rsidR="00E664C2" w:rsidRDefault="00E664C2">
            <w:pPr>
              <w:jc w:val="center"/>
              <w:rPr>
                <w:rFonts w:cs="Arial"/>
                <w:szCs w:val="20"/>
              </w:rPr>
            </w:pPr>
            <w:r>
              <w:rPr>
                <w:rFonts w:cs="Arial"/>
                <w:szCs w:val="20"/>
              </w:rPr>
              <w:t>-</w:t>
            </w:r>
          </w:p>
        </w:tc>
        <w:tc>
          <w:tcPr>
            <w:tcW w:w="635" w:type="pct"/>
            <w:tcBorders>
              <w:top w:val="nil"/>
              <w:bottom w:val="nil"/>
            </w:tcBorders>
            <w:vAlign w:val="center"/>
          </w:tcPr>
          <w:p w:rsidR="00E664C2" w:rsidRDefault="00E664C2">
            <w:pPr>
              <w:jc w:val="center"/>
              <w:rPr>
                <w:rFonts w:cs="Arial"/>
                <w:szCs w:val="20"/>
              </w:rPr>
            </w:pPr>
            <w:r>
              <w:rPr>
                <w:rFonts w:cs="Arial"/>
                <w:szCs w:val="20"/>
              </w:rPr>
              <w:t>-</w:t>
            </w:r>
          </w:p>
        </w:tc>
        <w:tc>
          <w:tcPr>
            <w:tcW w:w="669" w:type="pct"/>
            <w:tcBorders>
              <w:top w:val="nil"/>
              <w:bottom w:val="nil"/>
            </w:tcBorders>
            <w:vAlign w:val="center"/>
          </w:tcPr>
          <w:p w:rsidR="00E664C2" w:rsidRDefault="00E664C2">
            <w:pPr>
              <w:jc w:val="center"/>
              <w:rPr>
                <w:rFonts w:cs="Arial"/>
                <w:szCs w:val="20"/>
              </w:rPr>
            </w:pPr>
            <w:r>
              <w:rPr>
                <w:rFonts w:cs="Arial"/>
                <w:szCs w:val="20"/>
              </w:rPr>
              <w:t>-7</w:t>
            </w:r>
          </w:p>
        </w:tc>
        <w:tc>
          <w:tcPr>
            <w:tcW w:w="678" w:type="pct"/>
            <w:tcBorders>
              <w:top w:val="nil"/>
              <w:bottom w:val="nil"/>
            </w:tcBorders>
            <w:vAlign w:val="center"/>
          </w:tcPr>
          <w:p w:rsidR="00E664C2" w:rsidRDefault="00E664C2">
            <w:pPr>
              <w:jc w:val="center"/>
              <w:rPr>
                <w:rFonts w:cs="Arial"/>
                <w:szCs w:val="20"/>
              </w:rPr>
            </w:pPr>
            <w:r>
              <w:rPr>
                <w:rFonts w:cs="Arial"/>
                <w:szCs w:val="20"/>
              </w:rPr>
              <w:t>-53</w:t>
            </w:r>
          </w:p>
        </w:tc>
        <w:tc>
          <w:tcPr>
            <w:tcW w:w="625" w:type="pct"/>
            <w:tcBorders>
              <w:top w:val="nil"/>
              <w:bottom w:val="nil"/>
            </w:tcBorders>
            <w:vAlign w:val="center"/>
          </w:tcPr>
          <w:p w:rsidR="00E664C2" w:rsidRDefault="00E664C2">
            <w:pPr>
              <w:jc w:val="center"/>
              <w:rPr>
                <w:rFonts w:cs="Arial"/>
                <w:szCs w:val="20"/>
              </w:rPr>
            </w:pPr>
            <w:r>
              <w:rPr>
                <w:rFonts w:cs="Arial"/>
                <w:szCs w:val="20"/>
              </w:rPr>
              <w:t>1</w:t>
            </w:r>
          </w:p>
        </w:tc>
        <w:tc>
          <w:tcPr>
            <w:tcW w:w="647" w:type="pct"/>
            <w:tcBorders>
              <w:top w:val="nil"/>
              <w:bottom w:val="nil"/>
            </w:tcBorders>
            <w:vAlign w:val="center"/>
          </w:tcPr>
          <w:p w:rsidR="00E664C2" w:rsidRDefault="00E664C2">
            <w:pPr>
              <w:jc w:val="center"/>
              <w:rPr>
                <w:rFonts w:cs="Arial"/>
                <w:szCs w:val="20"/>
              </w:rPr>
            </w:pPr>
            <w:r>
              <w:rPr>
                <w:rFonts w:cs="Arial"/>
                <w:szCs w:val="20"/>
              </w:rPr>
              <w:t>267</w:t>
            </w:r>
          </w:p>
        </w:tc>
      </w:tr>
      <w:tr w:rsidR="00E664C2" w:rsidRPr="006A7228" w:rsidTr="006D64BA">
        <w:trPr>
          <w:trHeight w:val="510"/>
        </w:trPr>
        <w:tc>
          <w:tcPr>
            <w:tcW w:w="1023" w:type="pct"/>
            <w:tcBorders>
              <w:top w:val="nil"/>
              <w:bottom w:val="nil"/>
            </w:tcBorders>
            <w:vAlign w:val="center"/>
          </w:tcPr>
          <w:p w:rsidR="00E664C2" w:rsidRDefault="00E664C2">
            <w:pPr>
              <w:rPr>
                <w:rFonts w:cs="Arial"/>
                <w:sz w:val="16"/>
                <w:szCs w:val="16"/>
              </w:rPr>
            </w:pPr>
            <w:r>
              <w:rPr>
                <w:rFonts w:cs="Arial"/>
                <w:sz w:val="16"/>
                <w:szCs w:val="16"/>
              </w:rPr>
              <w:t>16-17 financial YTD</w:t>
            </w:r>
          </w:p>
        </w:tc>
        <w:tc>
          <w:tcPr>
            <w:tcW w:w="723" w:type="pct"/>
            <w:tcBorders>
              <w:top w:val="nil"/>
              <w:bottom w:val="nil"/>
            </w:tcBorders>
            <w:vAlign w:val="center"/>
          </w:tcPr>
          <w:p w:rsidR="00E664C2" w:rsidRDefault="00E664C2">
            <w:pPr>
              <w:jc w:val="center"/>
              <w:rPr>
                <w:rFonts w:cs="Arial"/>
                <w:sz w:val="20"/>
                <w:szCs w:val="20"/>
              </w:rPr>
            </w:pPr>
            <w:r>
              <w:rPr>
                <w:rFonts w:cs="Arial"/>
                <w:sz w:val="20"/>
                <w:szCs w:val="20"/>
              </w:rPr>
              <w:t>-</w:t>
            </w:r>
          </w:p>
        </w:tc>
        <w:tc>
          <w:tcPr>
            <w:tcW w:w="635" w:type="pct"/>
            <w:tcBorders>
              <w:top w:val="nil"/>
              <w:bottom w:val="nil"/>
            </w:tcBorders>
            <w:vAlign w:val="center"/>
          </w:tcPr>
          <w:p w:rsidR="00E664C2" w:rsidRDefault="00E664C2">
            <w:pPr>
              <w:jc w:val="center"/>
              <w:rPr>
                <w:rFonts w:cs="Arial"/>
                <w:sz w:val="20"/>
                <w:szCs w:val="20"/>
              </w:rPr>
            </w:pPr>
            <w:r>
              <w:rPr>
                <w:rFonts w:cs="Arial"/>
                <w:sz w:val="20"/>
                <w:szCs w:val="20"/>
              </w:rPr>
              <w:t>-</w:t>
            </w:r>
          </w:p>
        </w:tc>
        <w:tc>
          <w:tcPr>
            <w:tcW w:w="669" w:type="pct"/>
            <w:tcBorders>
              <w:top w:val="nil"/>
              <w:bottom w:val="nil"/>
            </w:tcBorders>
            <w:vAlign w:val="center"/>
          </w:tcPr>
          <w:p w:rsidR="00E664C2" w:rsidRDefault="00E664C2">
            <w:pPr>
              <w:jc w:val="center"/>
              <w:rPr>
                <w:rFonts w:cs="Arial"/>
                <w:sz w:val="20"/>
                <w:szCs w:val="20"/>
              </w:rPr>
            </w:pPr>
            <w:r>
              <w:rPr>
                <w:rFonts w:cs="Arial"/>
                <w:sz w:val="20"/>
                <w:szCs w:val="20"/>
              </w:rPr>
              <w:t>7.30</w:t>
            </w:r>
          </w:p>
        </w:tc>
        <w:tc>
          <w:tcPr>
            <w:tcW w:w="678" w:type="pct"/>
            <w:tcBorders>
              <w:top w:val="nil"/>
              <w:bottom w:val="nil"/>
            </w:tcBorders>
            <w:vAlign w:val="center"/>
          </w:tcPr>
          <w:p w:rsidR="00E664C2" w:rsidRDefault="00E664C2">
            <w:pPr>
              <w:jc w:val="center"/>
              <w:rPr>
                <w:rFonts w:cs="Arial"/>
                <w:sz w:val="20"/>
                <w:szCs w:val="20"/>
              </w:rPr>
            </w:pPr>
            <w:r>
              <w:rPr>
                <w:rFonts w:cs="Arial"/>
                <w:sz w:val="20"/>
                <w:szCs w:val="20"/>
              </w:rPr>
              <w:t>893</w:t>
            </w:r>
          </w:p>
        </w:tc>
        <w:tc>
          <w:tcPr>
            <w:tcW w:w="625" w:type="pct"/>
            <w:tcBorders>
              <w:top w:val="nil"/>
              <w:bottom w:val="nil"/>
            </w:tcBorders>
            <w:vAlign w:val="center"/>
          </w:tcPr>
          <w:p w:rsidR="00E664C2" w:rsidRDefault="00E664C2">
            <w:pPr>
              <w:jc w:val="center"/>
              <w:rPr>
                <w:rFonts w:cs="Arial"/>
                <w:sz w:val="20"/>
                <w:szCs w:val="20"/>
              </w:rPr>
            </w:pPr>
            <w:r>
              <w:rPr>
                <w:rFonts w:cs="Arial"/>
                <w:sz w:val="20"/>
                <w:szCs w:val="20"/>
              </w:rPr>
              <w:t>8.28</w:t>
            </w:r>
          </w:p>
        </w:tc>
        <w:tc>
          <w:tcPr>
            <w:tcW w:w="647" w:type="pct"/>
            <w:tcBorders>
              <w:top w:val="nil"/>
              <w:bottom w:val="nil"/>
            </w:tcBorders>
            <w:vAlign w:val="center"/>
          </w:tcPr>
          <w:p w:rsidR="00E664C2" w:rsidRDefault="00E664C2">
            <w:pPr>
              <w:jc w:val="center"/>
              <w:rPr>
                <w:rFonts w:cs="Arial"/>
                <w:sz w:val="20"/>
                <w:szCs w:val="20"/>
              </w:rPr>
            </w:pPr>
            <w:r>
              <w:rPr>
                <w:rFonts w:cs="Arial"/>
                <w:sz w:val="20"/>
                <w:szCs w:val="20"/>
              </w:rPr>
              <w:t>8299</w:t>
            </w:r>
          </w:p>
        </w:tc>
      </w:tr>
      <w:tr w:rsidR="00E664C2" w:rsidRPr="006A7228" w:rsidTr="006D64BA">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E664C2" w:rsidRDefault="00E664C2">
            <w:pPr>
              <w:rPr>
                <w:rFonts w:cs="Arial"/>
                <w:sz w:val="16"/>
                <w:szCs w:val="16"/>
              </w:rPr>
            </w:pPr>
            <w:r>
              <w:rPr>
                <w:rFonts w:cs="Arial"/>
                <w:sz w:val="16"/>
                <w:szCs w:val="16"/>
              </w:rPr>
              <w:t>% change from previous financial YTD</w:t>
            </w:r>
          </w:p>
        </w:tc>
        <w:tc>
          <w:tcPr>
            <w:tcW w:w="723" w:type="pct"/>
            <w:tcBorders>
              <w:top w:val="nil"/>
              <w:bottom w:val="single" w:sz="4" w:space="0" w:color="auto"/>
            </w:tcBorders>
            <w:vAlign w:val="center"/>
          </w:tcPr>
          <w:p w:rsidR="00E664C2" w:rsidRDefault="00E664C2">
            <w:pPr>
              <w:jc w:val="center"/>
              <w:rPr>
                <w:rFonts w:cs="Arial"/>
                <w:szCs w:val="20"/>
              </w:rPr>
            </w:pPr>
            <w:r>
              <w:rPr>
                <w:rFonts w:cs="Arial"/>
                <w:szCs w:val="20"/>
              </w:rPr>
              <w:t>-</w:t>
            </w:r>
          </w:p>
        </w:tc>
        <w:tc>
          <w:tcPr>
            <w:tcW w:w="635" w:type="pct"/>
            <w:tcBorders>
              <w:top w:val="nil"/>
              <w:bottom w:val="single" w:sz="4" w:space="0" w:color="auto"/>
            </w:tcBorders>
            <w:vAlign w:val="center"/>
          </w:tcPr>
          <w:p w:rsidR="00E664C2" w:rsidRDefault="00E664C2">
            <w:pPr>
              <w:jc w:val="center"/>
              <w:rPr>
                <w:rFonts w:cs="Arial"/>
                <w:szCs w:val="20"/>
              </w:rPr>
            </w:pPr>
            <w:r>
              <w:rPr>
                <w:rFonts w:cs="Arial"/>
                <w:szCs w:val="20"/>
              </w:rPr>
              <w:t>-</w:t>
            </w:r>
          </w:p>
        </w:tc>
        <w:tc>
          <w:tcPr>
            <w:tcW w:w="669" w:type="pct"/>
            <w:tcBorders>
              <w:top w:val="nil"/>
              <w:bottom w:val="single" w:sz="4" w:space="0" w:color="auto"/>
            </w:tcBorders>
            <w:vAlign w:val="center"/>
          </w:tcPr>
          <w:p w:rsidR="00E664C2" w:rsidRDefault="00E664C2">
            <w:pPr>
              <w:jc w:val="center"/>
              <w:rPr>
                <w:rFonts w:cs="Arial"/>
                <w:szCs w:val="20"/>
              </w:rPr>
            </w:pPr>
            <w:r>
              <w:rPr>
                <w:rFonts w:cs="Arial"/>
                <w:szCs w:val="20"/>
              </w:rPr>
              <w:t>-</w:t>
            </w:r>
          </w:p>
        </w:tc>
        <w:tc>
          <w:tcPr>
            <w:tcW w:w="678" w:type="pct"/>
            <w:tcBorders>
              <w:top w:val="nil"/>
              <w:bottom w:val="single" w:sz="4" w:space="0" w:color="auto"/>
            </w:tcBorders>
            <w:vAlign w:val="center"/>
          </w:tcPr>
          <w:p w:rsidR="00E664C2" w:rsidRDefault="00E664C2">
            <w:pPr>
              <w:jc w:val="center"/>
              <w:rPr>
                <w:rFonts w:cs="Arial"/>
                <w:szCs w:val="20"/>
              </w:rPr>
            </w:pPr>
            <w:r>
              <w:rPr>
                <w:rFonts w:cs="Arial"/>
                <w:szCs w:val="20"/>
              </w:rPr>
              <w:t>-</w:t>
            </w:r>
          </w:p>
        </w:tc>
        <w:tc>
          <w:tcPr>
            <w:tcW w:w="625" w:type="pct"/>
            <w:tcBorders>
              <w:top w:val="nil"/>
              <w:bottom w:val="single" w:sz="4" w:space="0" w:color="auto"/>
            </w:tcBorders>
            <w:vAlign w:val="center"/>
          </w:tcPr>
          <w:p w:rsidR="00E664C2" w:rsidRDefault="00E664C2">
            <w:pPr>
              <w:jc w:val="center"/>
              <w:rPr>
                <w:rFonts w:cs="Arial"/>
                <w:szCs w:val="20"/>
              </w:rPr>
            </w:pPr>
            <w:r>
              <w:rPr>
                <w:rFonts w:cs="Arial"/>
                <w:szCs w:val="20"/>
              </w:rPr>
              <w:t>98</w:t>
            </w:r>
          </w:p>
        </w:tc>
        <w:tc>
          <w:tcPr>
            <w:tcW w:w="647" w:type="pct"/>
            <w:tcBorders>
              <w:top w:val="nil"/>
              <w:bottom w:val="single" w:sz="4" w:space="0" w:color="auto"/>
            </w:tcBorders>
            <w:vAlign w:val="center"/>
          </w:tcPr>
          <w:p w:rsidR="00E664C2" w:rsidRDefault="00E664C2">
            <w:pPr>
              <w:jc w:val="center"/>
              <w:rPr>
                <w:rFonts w:cs="Arial"/>
                <w:szCs w:val="20"/>
              </w:rPr>
            </w:pPr>
            <w:r>
              <w:rPr>
                <w:rFonts w:cs="Arial"/>
                <w:szCs w:val="20"/>
              </w:rPr>
              <w:t>13</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r w:rsidR="00280703">
        <w:fldChar w:fldCharType="begin"/>
      </w:r>
      <w:r w:rsidR="00280703">
        <w:instrText xml:space="preserve"> SEQ Figure \* ARABIC </w:instrText>
      </w:r>
      <w:r w:rsidR="00280703">
        <w:fldChar w:fldCharType="separate"/>
      </w:r>
      <w:r w:rsidR="00674600">
        <w:rPr>
          <w:noProof/>
        </w:rPr>
        <w:t>3</w:t>
      </w:r>
      <w:r w:rsidR="00280703">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E664C2" w:rsidP="001521CB">
      <w:r w:rsidRPr="00E664C2">
        <w:rPr>
          <w:noProof/>
          <w:lang w:eastAsia="en-AU"/>
        </w:rPr>
        <w:drawing>
          <wp:inline distT="0" distB="0" distL="0" distR="0" wp14:anchorId="3A3F5568" wp14:editId="2ABC508C">
            <wp:extent cx="5731510" cy="2107462"/>
            <wp:effectExtent l="0" t="0" r="2540" b="7620"/>
            <wp:docPr id="2" name="Picture 2"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07462"/>
                    </a:xfrm>
                    <a:prstGeom prst="rect">
                      <a:avLst/>
                    </a:prstGeom>
                    <a:noFill/>
                    <a:ln>
                      <a:noFill/>
                    </a:ln>
                  </pic:spPr>
                </pic:pic>
              </a:graphicData>
            </a:graphic>
          </wp:inline>
        </w:drawing>
      </w:r>
    </w:p>
    <w:p w:rsidR="001521CB" w:rsidRPr="008D4DAB" w:rsidRDefault="00674600" w:rsidP="00F26128">
      <w:pPr>
        <w:pStyle w:val="AERbodytext"/>
      </w:pPr>
      <w:r>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r w:rsidR="00280703">
        <w:fldChar w:fldCharType="begin"/>
      </w:r>
      <w:r w:rsidR="00280703">
        <w:instrText xml:space="preserve"> SEQ Figure \* ARABIC </w:instrText>
      </w:r>
      <w:r w:rsidR="00280703">
        <w:fldChar w:fldCharType="separate"/>
      </w:r>
      <w:r w:rsidR="00674600">
        <w:rPr>
          <w:noProof/>
        </w:rPr>
        <w:t>4</w:t>
      </w:r>
      <w:r w:rsidR="00280703">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E664C2" w:rsidRPr="00405CDE" w:rsidTr="00534DD9">
        <w:trPr>
          <w:trHeight w:val="510"/>
        </w:trPr>
        <w:tc>
          <w:tcPr>
            <w:tcW w:w="1585" w:type="pct"/>
            <w:tcBorders>
              <w:top w:val="nil"/>
              <w:bottom w:val="nil"/>
            </w:tcBorders>
            <w:vAlign w:val="center"/>
          </w:tcPr>
          <w:p w:rsidR="00E664C2" w:rsidRDefault="00E664C2">
            <w:pPr>
              <w:rPr>
                <w:rFonts w:cs="Arial"/>
                <w:sz w:val="16"/>
                <w:szCs w:val="16"/>
              </w:rPr>
            </w:pPr>
            <w:r>
              <w:rPr>
                <w:rFonts w:cs="Arial"/>
                <w:sz w:val="16"/>
                <w:szCs w:val="16"/>
              </w:rPr>
              <w:t>18 Jun - 24 Jun 2017</w:t>
            </w:r>
          </w:p>
        </w:tc>
        <w:tc>
          <w:tcPr>
            <w:tcW w:w="993" w:type="pct"/>
            <w:tcBorders>
              <w:top w:val="nil"/>
              <w:bottom w:val="nil"/>
            </w:tcBorders>
            <w:vAlign w:val="center"/>
          </w:tcPr>
          <w:p w:rsidR="00E664C2" w:rsidRDefault="00E664C2">
            <w:pPr>
              <w:jc w:val="center"/>
              <w:rPr>
                <w:rFonts w:cs="Arial"/>
                <w:sz w:val="20"/>
                <w:szCs w:val="20"/>
              </w:rPr>
            </w:pPr>
            <w:r>
              <w:rPr>
                <w:rFonts w:cs="Arial"/>
                <w:sz w:val="20"/>
                <w:szCs w:val="20"/>
              </w:rPr>
              <w:t>-</w:t>
            </w:r>
          </w:p>
        </w:tc>
        <w:tc>
          <w:tcPr>
            <w:tcW w:w="758" w:type="pct"/>
            <w:tcBorders>
              <w:top w:val="nil"/>
              <w:bottom w:val="nil"/>
            </w:tcBorders>
            <w:vAlign w:val="center"/>
          </w:tcPr>
          <w:p w:rsidR="00E664C2" w:rsidRDefault="00E664C2">
            <w:pPr>
              <w:jc w:val="center"/>
              <w:rPr>
                <w:rFonts w:cs="Arial"/>
                <w:sz w:val="20"/>
                <w:szCs w:val="20"/>
              </w:rPr>
            </w:pPr>
            <w:r>
              <w:rPr>
                <w:rFonts w:cs="Arial"/>
                <w:sz w:val="20"/>
                <w:szCs w:val="20"/>
              </w:rPr>
              <w:t>54.23</w:t>
            </w:r>
          </w:p>
        </w:tc>
        <w:tc>
          <w:tcPr>
            <w:tcW w:w="831" w:type="pct"/>
            <w:tcBorders>
              <w:top w:val="nil"/>
              <w:bottom w:val="nil"/>
            </w:tcBorders>
            <w:vAlign w:val="center"/>
          </w:tcPr>
          <w:p w:rsidR="00E664C2" w:rsidRDefault="00E664C2">
            <w:pPr>
              <w:jc w:val="center"/>
              <w:rPr>
                <w:rFonts w:cs="Arial"/>
                <w:sz w:val="20"/>
                <w:szCs w:val="20"/>
              </w:rPr>
            </w:pPr>
            <w:r>
              <w:rPr>
                <w:rFonts w:cs="Arial"/>
                <w:sz w:val="20"/>
                <w:szCs w:val="20"/>
              </w:rPr>
              <w:t>4.39</w:t>
            </w:r>
          </w:p>
        </w:tc>
        <w:tc>
          <w:tcPr>
            <w:tcW w:w="833" w:type="pct"/>
            <w:tcBorders>
              <w:top w:val="nil"/>
              <w:bottom w:val="nil"/>
            </w:tcBorders>
            <w:vAlign w:val="center"/>
          </w:tcPr>
          <w:p w:rsidR="00E664C2" w:rsidRDefault="00E664C2">
            <w:pPr>
              <w:jc w:val="center"/>
              <w:rPr>
                <w:rFonts w:cs="Arial"/>
                <w:sz w:val="20"/>
                <w:szCs w:val="20"/>
              </w:rPr>
            </w:pPr>
            <w:r>
              <w:rPr>
                <w:rFonts w:cs="Arial"/>
                <w:sz w:val="20"/>
                <w:szCs w:val="20"/>
              </w:rPr>
              <w:t>1.01</w:t>
            </w:r>
          </w:p>
        </w:tc>
      </w:tr>
      <w:tr w:rsidR="00E664C2"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E664C2" w:rsidRDefault="00E664C2">
            <w:pPr>
              <w:rPr>
                <w:rFonts w:cs="Arial"/>
                <w:sz w:val="16"/>
                <w:szCs w:val="16"/>
              </w:rPr>
            </w:pPr>
            <w:r>
              <w:rPr>
                <w:rFonts w:cs="Arial"/>
                <w:sz w:val="16"/>
                <w:szCs w:val="16"/>
              </w:rPr>
              <w:t>% change from previous week</w:t>
            </w:r>
          </w:p>
        </w:tc>
        <w:tc>
          <w:tcPr>
            <w:tcW w:w="993" w:type="pct"/>
            <w:tcBorders>
              <w:top w:val="nil"/>
              <w:bottom w:val="nil"/>
            </w:tcBorders>
            <w:vAlign w:val="center"/>
          </w:tcPr>
          <w:p w:rsidR="00E664C2" w:rsidRDefault="00E664C2">
            <w:pPr>
              <w:jc w:val="center"/>
              <w:rPr>
                <w:rFonts w:cs="Arial"/>
                <w:szCs w:val="20"/>
              </w:rPr>
            </w:pPr>
            <w:r>
              <w:rPr>
                <w:rFonts w:cs="Arial"/>
                <w:szCs w:val="20"/>
              </w:rPr>
              <w:t>-</w:t>
            </w:r>
          </w:p>
        </w:tc>
        <w:tc>
          <w:tcPr>
            <w:tcW w:w="758" w:type="pct"/>
            <w:tcBorders>
              <w:top w:val="nil"/>
              <w:bottom w:val="nil"/>
            </w:tcBorders>
            <w:vAlign w:val="center"/>
          </w:tcPr>
          <w:p w:rsidR="00E664C2" w:rsidRDefault="00E664C2">
            <w:pPr>
              <w:jc w:val="center"/>
              <w:rPr>
                <w:rFonts w:cs="Arial"/>
                <w:szCs w:val="20"/>
              </w:rPr>
            </w:pPr>
            <w:r>
              <w:rPr>
                <w:rFonts w:cs="Arial"/>
                <w:szCs w:val="20"/>
              </w:rPr>
              <w:t>0</w:t>
            </w:r>
          </w:p>
        </w:tc>
        <w:tc>
          <w:tcPr>
            <w:tcW w:w="831" w:type="pct"/>
            <w:tcBorders>
              <w:top w:val="nil"/>
              <w:bottom w:val="nil"/>
            </w:tcBorders>
            <w:vAlign w:val="center"/>
          </w:tcPr>
          <w:p w:rsidR="00E664C2" w:rsidRDefault="00E664C2">
            <w:pPr>
              <w:jc w:val="center"/>
              <w:rPr>
                <w:rFonts w:cs="Arial"/>
                <w:szCs w:val="20"/>
              </w:rPr>
            </w:pPr>
            <w:r>
              <w:rPr>
                <w:rFonts w:cs="Arial"/>
                <w:szCs w:val="20"/>
              </w:rPr>
              <w:t>-53</w:t>
            </w:r>
          </w:p>
        </w:tc>
        <w:tc>
          <w:tcPr>
            <w:tcW w:w="833" w:type="pct"/>
            <w:tcBorders>
              <w:top w:val="nil"/>
              <w:bottom w:val="nil"/>
            </w:tcBorders>
            <w:vAlign w:val="center"/>
          </w:tcPr>
          <w:p w:rsidR="00E664C2" w:rsidRDefault="00E664C2">
            <w:pPr>
              <w:jc w:val="center"/>
              <w:rPr>
                <w:rFonts w:cs="Arial"/>
                <w:szCs w:val="20"/>
              </w:rPr>
            </w:pPr>
            <w:r>
              <w:rPr>
                <w:rFonts w:cs="Arial"/>
                <w:szCs w:val="20"/>
              </w:rPr>
              <w:t>-44</w:t>
            </w:r>
          </w:p>
        </w:tc>
      </w:tr>
      <w:tr w:rsidR="00E664C2" w:rsidRPr="00405CDE" w:rsidTr="00534DD9">
        <w:trPr>
          <w:trHeight w:val="510"/>
        </w:trPr>
        <w:tc>
          <w:tcPr>
            <w:tcW w:w="1585" w:type="pct"/>
            <w:tcBorders>
              <w:top w:val="nil"/>
              <w:bottom w:val="nil"/>
            </w:tcBorders>
            <w:vAlign w:val="center"/>
          </w:tcPr>
          <w:p w:rsidR="00E664C2" w:rsidRDefault="00E664C2">
            <w:pPr>
              <w:rPr>
                <w:rFonts w:cs="Arial"/>
                <w:sz w:val="16"/>
                <w:szCs w:val="16"/>
              </w:rPr>
            </w:pPr>
            <w:r>
              <w:rPr>
                <w:rFonts w:cs="Arial"/>
                <w:sz w:val="16"/>
                <w:szCs w:val="16"/>
              </w:rPr>
              <w:t>16-17 financial YTD</w:t>
            </w:r>
          </w:p>
        </w:tc>
        <w:tc>
          <w:tcPr>
            <w:tcW w:w="993" w:type="pct"/>
            <w:tcBorders>
              <w:top w:val="nil"/>
              <w:bottom w:val="nil"/>
            </w:tcBorders>
            <w:vAlign w:val="center"/>
          </w:tcPr>
          <w:p w:rsidR="00E664C2" w:rsidRDefault="00E664C2">
            <w:pPr>
              <w:jc w:val="center"/>
              <w:rPr>
                <w:rFonts w:cs="Arial"/>
                <w:sz w:val="20"/>
                <w:szCs w:val="20"/>
              </w:rPr>
            </w:pPr>
            <w:r>
              <w:rPr>
                <w:rFonts w:cs="Arial"/>
                <w:sz w:val="20"/>
                <w:szCs w:val="20"/>
              </w:rPr>
              <w:t> </w:t>
            </w:r>
          </w:p>
        </w:tc>
        <w:tc>
          <w:tcPr>
            <w:tcW w:w="758" w:type="pct"/>
            <w:tcBorders>
              <w:top w:val="nil"/>
              <w:bottom w:val="nil"/>
            </w:tcBorders>
            <w:vAlign w:val="center"/>
          </w:tcPr>
          <w:p w:rsidR="00E664C2" w:rsidRDefault="00E664C2">
            <w:pPr>
              <w:jc w:val="center"/>
              <w:rPr>
                <w:rFonts w:cs="Arial"/>
                <w:sz w:val="20"/>
                <w:szCs w:val="20"/>
              </w:rPr>
            </w:pPr>
            <w:r>
              <w:rPr>
                <w:rFonts w:cs="Arial"/>
                <w:sz w:val="20"/>
                <w:szCs w:val="20"/>
              </w:rPr>
              <w:t>50.40</w:t>
            </w:r>
          </w:p>
        </w:tc>
        <w:tc>
          <w:tcPr>
            <w:tcW w:w="831" w:type="pct"/>
            <w:tcBorders>
              <w:top w:val="nil"/>
              <w:bottom w:val="nil"/>
            </w:tcBorders>
            <w:vAlign w:val="center"/>
          </w:tcPr>
          <w:p w:rsidR="00E664C2" w:rsidRDefault="00E664C2">
            <w:pPr>
              <w:jc w:val="center"/>
              <w:rPr>
                <w:rFonts w:cs="Arial"/>
                <w:sz w:val="20"/>
                <w:szCs w:val="20"/>
              </w:rPr>
            </w:pPr>
            <w:r>
              <w:rPr>
                <w:rFonts w:cs="Arial"/>
                <w:sz w:val="20"/>
                <w:szCs w:val="20"/>
              </w:rPr>
              <w:t>17.50</w:t>
            </w:r>
          </w:p>
        </w:tc>
        <w:tc>
          <w:tcPr>
            <w:tcW w:w="833" w:type="pct"/>
            <w:tcBorders>
              <w:top w:val="nil"/>
              <w:bottom w:val="nil"/>
            </w:tcBorders>
            <w:vAlign w:val="center"/>
          </w:tcPr>
          <w:p w:rsidR="00E664C2" w:rsidRDefault="00E664C2">
            <w:pPr>
              <w:jc w:val="center"/>
              <w:rPr>
                <w:rFonts w:cs="Arial"/>
                <w:sz w:val="20"/>
                <w:szCs w:val="20"/>
              </w:rPr>
            </w:pPr>
            <w:r>
              <w:rPr>
                <w:rFonts w:cs="Arial"/>
                <w:sz w:val="20"/>
                <w:szCs w:val="20"/>
              </w:rPr>
              <w:t>1.67</w:t>
            </w:r>
          </w:p>
        </w:tc>
      </w:tr>
      <w:tr w:rsidR="00E664C2"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E664C2" w:rsidRDefault="00E664C2">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E664C2" w:rsidRDefault="00E664C2">
            <w:pPr>
              <w:jc w:val="center"/>
              <w:rPr>
                <w:rFonts w:cs="Arial"/>
                <w:szCs w:val="20"/>
              </w:rPr>
            </w:pPr>
            <w:r>
              <w:rPr>
                <w:rFonts w:cs="Arial"/>
                <w:szCs w:val="20"/>
              </w:rPr>
              <w:t> </w:t>
            </w:r>
          </w:p>
        </w:tc>
        <w:tc>
          <w:tcPr>
            <w:tcW w:w="758" w:type="pct"/>
            <w:tcBorders>
              <w:top w:val="nil"/>
              <w:bottom w:val="single" w:sz="4" w:space="0" w:color="auto"/>
            </w:tcBorders>
            <w:vAlign w:val="center"/>
          </w:tcPr>
          <w:p w:rsidR="00E664C2" w:rsidRDefault="00E664C2">
            <w:pPr>
              <w:jc w:val="center"/>
              <w:rPr>
                <w:rFonts w:cs="Arial"/>
                <w:szCs w:val="20"/>
              </w:rPr>
            </w:pPr>
            <w:r>
              <w:rPr>
                <w:rFonts w:cs="Arial"/>
                <w:szCs w:val="20"/>
              </w:rPr>
              <w:t>82</w:t>
            </w:r>
          </w:p>
        </w:tc>
        <w:tc>
          <w:tcPr>
            <w:tcW w:w="831" w:type="pct"/>
            <w:tcBorders>
              <w:top w:val="nil"/>
              <w:bottom w:val="single" w:sz="4" w:space="0" w:color="auto"/>
            </w:tcBorders>
            <w:vAlign w:val="center"/>
          </w:tcPr>
          <w:p w:rsidR="00E664C2" w:rsidRDefault="00E664C2">
            <w:pPr>
              <w:jc w:val="center"/>
              <w:rPr>
                <w:rFonts w:cs="Arial"/>
                <w:szCs w:val="20"/>
              </w:rPr>
            </w:pPr>
            <w:r>
              <w:rPr>
                <w:rFonts w:cs="Arial"/>
                <w:szCs w:val="20"/>
              </w:rPr>
              <w:t>56</w:t>
            </w:r>
          </w:p>
        </w:tc>
        <w:tc>
          <w:tcPr>
            <w:tcW w:w="833" w:type="pct"/>
            <w:tcBorders>
              <w:top w:val="nil"/>
              <w:bottom w:val="single" w:sz="4" w:space="0" w:color="auto"/>
            </w:tcBorders>
            <w:vAlign w:val="center"/>
          </w:tcPr>
          <w:p w:rsidR="00E664C2" w:rsidRDefault="00E664C2">
            <w:pPr>
              <w:jc w:val="center"/>
              <w:rPr>
                <w:rFonts w:cs="Arial"/>
                <w:szCs w:val="20"/>
              </w:rPr>
            </w:pPr>
            <w:r>
              <w:rPr>
                <w:rFonts w:cs="Arial"/>
                <w:szCs w:val="20"/>
              </w:rPr>
              <w:t>8</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lastRenderedPageBreak/>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r w:rsidR="00280703">
        <w:fldChar w:fldCharType="begin"/>
      </w:r>
      <w:r w:rsidR="00280703">
        <w:instrText xml:space="preserve"> SEQ Figure \* ARABIC </w:instrText>
      </w:r>
      <w:r w:rsidR="00280703">
        <w:fldChar w:fldCharType="separate"/>
      </w:r>
      <w:r w:rsidR="00C370D1">
        <w:rPr>
          <w:noProof/>
        </w:rPr>
        <w:t>5</w:t>
      </w:r>
      <w:r w:rsidR="00280703">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6D64BA">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6D64BA">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6D64BA">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6D64BA">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6D64BA">
            <w:pPr>
              <w:pStyle w:val="TableHeading"/>
              <w:jc w:val="center"/>
              <w:rPr>
                <w:rFonts w:cs="Arial"/>
                <w:sz w:val="20"/>
                <w:szCs w:val="20"/>
              </w:rPr>
            </w:pPr>
          </w:p>
        </w:tc>
        <w:tc>
          <w:tcPr>
            <w:tcW w:w="700" w:type="pct"/>
            <w:tcBorders>
              <w:bottom w:val="nil"/>
            </w:tcBorders>
            <w:vAlign w:val="center"/>
            <w:hideMark/>
          </w:tcPr>
          <w:p w:rsidR="008D7D94" w:rsidRPr="00587CFB" w:rsidRDefault="008D7D94" w:rsidP="006D64BA">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6D64BA">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6D64BA">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6D64BA">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6D64BA">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6D64BA">
            <w:pPr>
              <w:jc w:val="center"/>
              <w:rPr>
                <w:rFonts w:cs="Arial"/>
                <w:bCs/>
                <w:color w:val="FFFFFF"/>
                <w:sz w:val="14"/>
                <w:szCs w:val="20"/>
                <w:highlight w:val="cyan"/>
              </w:rPr>
            </w:pPr>
            <w:r>
              <w:rPr>
                <w:rFonts w:cs="Arial"/>
                <w:bCs/>
                <w:color w:val="FFFFFF"/>
                <w:sz w:val="14"/>
                <w:szCs w:val="20"/>
              </w:rPr>
              <w:t>Quantity</w:t>
            </w:r>
          </w:p>
        </w:tc>
      </w:tr>
      <w:tr w:rsidR="00E664C2" w:rsidRPr="006A7228" w:rsidTr="00EA6F25">
        <w:trPr>
          <w:trHeight w:val="510"/>
        </w:trPr>
        <w:tc>
          <w:tcPr>
            <w:tcW w:w="915" w:type="pct"/>
            <w:tcBorders>
              <w:top w:val="nil"/>
              <w:bottom w:val="nil"/>
            </w:tcBorders>
            <w:vAlign w:val="center"/>
          </w:tcPr>
          <w:p w:rsidR="00E664C2" w:rsidRDefault="00E664C2">
            <w:pPr>
              <w:rPr>
                <w:rFonts w:cs="Arial"/>
                <w:b/>
                <w:bCs/>
                <w:sz w:val="20"/>
                <w:szCs w:val="20"/>
              </w:rPr>
            </w:pPr>
            <w:r>
              <w:rPr>
                <w:rFonts w:cs="Arial"/>
                <w:b/>
                <w:bCs/>
                <w:sz w:val="20"/>
                <w:szCs w:val="20"/>
              </w:rPr>
              <w:t>Balance of day</w:t>
            </w:r>
          </w:p>
        </w:tc>
        <w:tc>
          <w:tcPr>
            <w:tcW w:w="700" w:type="pct"/>
            <w:tcBorders>
              <w:top w:val="nil"/>
              <w:bottom w:val="nil"/>
            </w:tcBorders>
            <w:vAlign w:val="center"/>
          </w:tcPr>
          <w:p w:rsidR="00E664C2" w:rsidRDefault="00E664C2">
            <w:pPr>
              <w:jc w:val="center"/>
              <w:rPr>
                <w:rFonts w:cs="Arial"/>
                <w:sz w:val="20"/>
                <w:szCs w:val="20"/>
              </w:rPr>
            </w:pPr>
            <w:r>
              <w:rPr>
                <w:rFonts w:cs="Arial"/>
                <w:sz w:val="20"/>
                <w:szCs w:val="20"/>
              </w:rPr>
              <w:t>-</w:t>
            </w:r>
          </w:p>
        </w:tc>
        <w:tc>
          <w:tcPr>
            <w:tcW w:w="641" w:type="pct"/>
            <w:tcBorders>
              <w:top w:val="nil"/>
              <w:bottom w:val="nil"/>
            </w:tcBorders>
            <w:vAlign w:val="center"/>
          </w:tcPr>
          <w:p w:rsidR="00E664C2" w:rsidRDefault="00E664C2">
            <w:pPr>
              <w:jc w:val="center"/>
              <w:rPr>
                <w:rFonts w:cs="Arial"/>
                <w:sz w:val="20"/>
                <w:szCs w:val="20"/>
              </w:rPr>
            </w:pPr>
            <w:r>
              <w:rPr>
                <w:rFonts w:cs="Arial"/>
                <w:sz w:val="20"/>
                <w:szCs w:val="20"/>
              </w:rPr>
              <w:t>-</w:t>
            </w:r>
          </w:p>
        </w:tc>
        <w:tc>
          <w:tcPr>
            <w:tcW w:w="727" w:type="pct"/>
            <w:tcBorders>
              <w:top w:val="nil"/>
              <w:bottom w:val="nil"/>
            </w:tcBorders>
            <w:vAlign w:val="center"/>
          </w:tcPr>
          <w:p w:rsidR="00E664C2" w:rsidRDefault="00E664C2">
            <w:pPr>
              <w:jc w:val="center"/>
              <w:rPr>
                <w:rFonts w:cs="Arial"/>
                <w:sz w:val="20"/>
                <w:szCs w:val="20"/>
              </w:rPr>
            </w:pPr>
            <w:r>
              <w:rPr>
                <w:rFonts w:cs="Arial"/>
                <w:sz w:val="20"/>
                <w:szCs w:val="20"/>
              </w:rPr>
              <w:t>7.07</w:t>
            </w:r>
          </w:p>
        </w:tc>
        <w:tc>
          <w:tcPr>
            <w:tcW w:w="699" w:type="pct"/>
            <w:tcBorders>
              <w:top w:val="nil"/>
              <w:bottom w:val="nil"/>
            </w:tcBorders>
            <w:vAlign w:val="center"/>
          </w:tcPr>
          <w:p w:rsidR="00E664C2" w:rsidRDefault="00E664C2">
            <w:pPr>
              <w:jc w:val="center"/>
              <w:rPr>
                <w:rFonts w:cs="Arial"/>
                <w:sz w:val="20"/>
                <w:szCs w:val="20"/>
              </w:rPr>
            </w:pPr>
            <w:r>
              <w:rPr>
                <w:rFonts w:cs="Arial"/>
                <w:sz w:val="20"/>
                <w:szCs w:val="20"/>
              </w:rPr>
              <w:t>24.0</w:t>
            </w:r>
          </w:p>
        </w:tc>
        <w:tc>
          <w:tcPr>
            <w:tcW w:w="622" w:type="pct"/>
            <w:tcBorders>
              <w:top w:val="nil"/>
              <w:bottom w:val="nil"/>
            </w:tcBorders>
            <w:vAlign w:val="center"/>
          </w:tcPr>
          <w:p w:rsidR="00E664C2" w:rsidRDefault="00E664C2">
            <w:pPr>
              <w:jc w:val="center"/>
              <w:rPr>
                <w:rFonts w:cs="Arial"/>
                <w:sz w:val="20"/>
                <w:szCs w:val="20"/>
              </w:rPr>
            </w:pPr>
            <w:r>
              <w:rPr>
                <w:rFonts w:cs="Arial"/>
                <w:sz w:val="20"/>
                <w:szCs w:val="20"/>
              </w:rPr>
              <w:t>7.63</w:t>
            </w:r>
          </w:p>
        </w:tc>
        <w:tc>
          <w:tcPr>
            <w:tcW w:w="696" w:type="pct"/>
            <w:tcBorders>
              <w:top w:val="nil"/>
              <w:bottom w:val="nil"/>
            </w:tcBorders>
            <w:vAlign w:val="center"/>
          </w:tcPr>
          <w:p w:rsidR="00E664C2" w:rsidRDefault="00E664C2">
            <w:pPr>
              <w:jc w:val="center"/>
              <w:rPr>
                <w:rFonts w:cs="Arial"/>
                <w:sz w:val="20"/>
                <w:szCs w:val="20"/>
              </w:rPr>
            </w:pPr>
            <w:r>
              <w:rPr>
                <w:rFonts w:cs="Arial"/>
                <w:sz w:val="20"/>
                <w:szCs w:val="20"/>
              </w:rPr>
              <w:t>16.0</w:t>
            </w:r>
          </w:p>
        </w:tc>
      </w:tr>
      <w:tr w:rsidR="00E664C2"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E664C2" w:rsidRDefault="00E664C2">
            <w:pPr>
              <w:rPr>
                <w:rFonts w:cs="Arial"/>
                <w:b/>
                <w:bCs/>
                <w:szCs w:val="20"/>
              </w:rPr>
            </w:pPr>
            <w:r>
              <w:rPr>
                <w:rFonts w:cs="Arial"/>
                <w:b/>
                <w:bCs/>
                <w:szCs w:val="20"/>
              </w:rPr>
              <w:t>Daily</w:t>
            </w:r>
          </w:p>
        </w:tc>
        <w:tc>
          <w:tcPr>
            <w:tcW w:w="700" w:type="pct"/>
            <w:tcBorders>
              <w:top w:val="nil"/>
              <w:bottom w:val="nil"/>
            </w:tcBorders>
            <w:vAlign w:val="center"/>
          </w:tcPr>
          <w:p w:rsidR="00E664C2" w:rsidRDefault="00E664C2">
            <w:pPr>
              <w:jc w:val="center"/>
              <w:rPr>
                <w:rFonts w:cs="Arial"/>
                <w:szCs w:val="20"/>
              </w:rPr>
            </w:pPr>
            <w:r>
              <w:rPr>
                <w:rFonts w:cs="Arial"/>
                <w:szCs w:val="20"/>
              </w:rPr>
              <w:t>-</w:t>
            </w:r>
          </w:p>
        </w:tc>
        <w:tc>
          <w:tcPr>
            <w:tcW w:w="641" w:type="pct"/>
            <w:tcBorders>
              <w:top w:val="nil"/>
              <w:bottom w:val="nil"/>
            </w:tcBorders>
            <w:vAlign w:val="center"/>
          </w:tcPr>
          <w:p w:rsidR="00E664C2" w:rsidRDefault="00E664C2">
            <w:pPr>
              <w:jc w:val="center"/>
              <w:rPr>
                <w:rFonts w:cs="Arial"/>
                <w:szCs w:val="20"/>
              </w:rPr>
            </w:pPr>
            <w:r>
              <w:rPr>
                <w:rFonts w:cs="Arial"/>
                <w:szCs w:val="20"/>
              </w:rPr>
              <w:t>-</w:t>
            </w:r>
          </w:p>
        </w:tc>
        <w:tc>
          <w:tcPr>
            <w:tcW w:w="727" w:type="pct"/>
            <w:tcBorders>
              <w:top w:val="nil"/>
              <w:bottom w:val="nil"/>
            </w:tcBorders>
            <w:vAlign w:val="center"/>
          </w:tcPr>
          <w:p w:rsidR="00E664C2" w:rsidRDefault="00E664C2">
            <w:pPr>
              <w:jc w:val="center"/>
              <w:rPr>
                <w:rFonts w:cs="Arial"/>
                <w:szCs w:val="20"/>
              </w:rPr>
            </w:pPr>
            <w:r>
              <w:rPr>
                <w:rFonts w:cs="Arial"/>
                <w:szCs w:val="20"/>
              </w:rPr>
              <w:t>-</w:t>
            </w:r>
          </w:p>
        </w:tc>
        <w:tc>
          <w:tcPr>
            <w:tcW w:w="699" w:type="pct"/>
            <w:tcBorders>
              <w:top w:val="nil"/>
              <w:bottom w:val="nil"/>
            </w:tcBorders>
            <w:vAlign w:val="center"/>
          </w:tcPr>
          <w:p w:rsidR="00E664C2" w:rsidRDefault="00E664C2">
            <w:pPr>
              <w:jc w:val="center"/>
              <w:rPr>
                <w:rFonts w:cs="Arial"/>
                <w:szCs w:val="20"/>
              </w:rPr>
            </w:pPr>
            <w:r>
              <w:rPr>
                <w:rFonts w:cs="Arial"/>
                <w:szCs w:val="20"/>
              </w:rPr>
              <w:t>-</w:t>
            </w:r>
          </w:p>
        </w:tc>
        <w:tc>
          <w:tcPr>
            <w:tcW w:w="622" w:type="pct"/>
            <w:tcBorders>
              <w:top w:val="nil"/>
              <w:bottom w:val="nil"/>
            </w:tcBorders>
            <w:vAlign w:val="center"/>
          </w:tcPr>
          <w:p w:rsidR="00E664C2" w:rsidRDefault="00E664C2">
            <w:pPr>
              <w:jc w:val="center"/>
              <w:rPr>
                <w:rFonts w:cs="Arial"/>
                <w:szCs w:val="20"/>
              </w:rPr>
            </w:pPr>
            <w:r>
              <w:rPr>
                <w:rFonts w:cs="Arial"/>
                <w:szCs w:val="20"/>
              </w:rPr>
              <w:t>7.89</w:t>
            </w:r>
          </w:p>
        </w:tc>
        <w:tc>
          <w:tcPr>
            <w:tcW w:w="696" w:type="pct"/>
            <w:tcBorders>
              <w:top w:val="nil"/>
              <w:bottom w:val="nil"/>
            </w:tcBorders>
            <w:vAlign w:val="center"/>
          </w:tcPr>
          <w:p w:rsidR="00E664C2" w:rsidRDefault="00E664C2">
            <w:pPr>
              <w:jc w:val="center"/>
              <w:rPr>
                <w:rFonts w:cs="Arial"/>
                <w:szCs w:val="20"/>
              </w:rPr>
            </w:pPr>
            <w:r>
              <w:rPr>
                <w:rFonts w:cs="Arial"/>
                <w:szCs w:val="20"/>
              </w:rPr>
              <w:t>187.0</w:t>
            </w:r>
          </w:p>
        </w:tc>
      </w:tr>
      <w:tr w:rsidR="00E664C2" w:rsidRPr="006A7228" w:rsidTr="00EA6F25">
        <w:trPr>
          <w:trHeight w:val="510"/>
        </w:trPr>
        <w:tc>
          <w:tcPr>
            <w:tcW w:w="915" w:type="pct"/>
            <w:tcBorders>
              <w:top w:val="nil"/>
              <w:bottom w:val="nil"/>
            </w:tcBorders>
            <w:vAlign w:val="center"/>
          </w:tcPr>
          <w:p w:rsidR="00E664C2" w:rsidRDefault="00E664C2">
            <w:pPr>
              <w:rPr>
                <w:rFonts w:cs="Arial"/>
                <w:b/>
                <w:bCs/>
                <w:sz w:val="20"/>
                <w:szCs w:val="20"/>
              </w:rPr>
            </w:pPr>
            <w:r>
              <w:rPr>
                <w:rFonts w:cs="Arial"/>
                <w:b/>
                <w:bCs/>
                <w:sz w:val="20"/>
                <w:szCs w:val="20"/>
              </w:rPr>
              <w:t>Day ahead</w:t>
            </w:r>
          </w:p>
        </w:tc>
        <w:tc>
          <w:tcPr>
            <w:tcW w:w="700" w:type="pct"/>
            <w:tcBorders>
              <w:top w:val="nil"/>
              <w:bottom w:val="nil"/>
            </w:tcBorders>
            <w:vAlign w:val="center"/>
          </w:tcPr>
          <w:p w:rsidR="00E664C2" w:rsidRDefault="00E664C2">
            <w:pPr>
              <w:jc w:val="center"/>
              <w:rPr>
                <w:rFonts w:cs="Arial"/>
                <w:sz w:val="20"/>
                <w:szCs w:val="20"/>
              </w:rPr>
            </w:pPr>
            <w:r>
              <w:rPr>
                <w:rFonts w:cs="Arial"/>
                <w:sz w:val="20"/>
                <w:szCs w:val="20"/>
              </w:rPr>
              <w:t>-</w:t>
            </w:r>
          </w:p>
        </w:tc>
        <w:tc>
          <w:tcPr>
            <w:tcW w:w="641" w:type="pct"/>
            <w:tcBorders>
              <w:top w:val="nil"/>
              <w:bottom w:val="nil"/>
            </w:tcBorders>
            <w:vAlign w:val="center"/>
          </w:tcPr>
          <w:p w:rsidR="00E664C2" w:rsidRDefault="00E664C2">
            <w:pPr>
              <w:jc w:val="center"/>
              <w:rPr>
                <w:rFonts w:cs="Arial"/>
                <w:sz w:val="20"/>
                <w:szCs w:val="20"/>
              </w:rPr>
            </w:pPr>
            <w:r>
              <w:rPr>
                <w:rFonts w:cs="Arial"/>
                <w:sz w:val="20"/>
                <w:szCs w:val="20"/>
              </w:rPr>
              <w:t>-</w:t>
            </w:r>
          </w:p>
        </w:tc>
        <w:tc>
          <w:tcPr>
            <w:tcW w:w="727" w:type="pct"/>
            <w:tcBorders>
              <w:top w:val="nil"/>
              <w:bottom w:val="nil"/>
            </w:tcBorders>
            <w:vAlign w:val="center"/>
          </w:tcPr>
          <w:p w:rsidR="00E664C2" w:rsidRDefault="00E664C2">
            <w:pPr>
              <w:jc w:val="center"/>
              <w:rPr>
                <w:rFonts w:cs="Arial"/>
                <w:sz w:val="20"/>
                <w:szCs w:val="20"/>
              </w:rPr>
            </w:pPr>
            <w:r>
              <w:rPr>
                <w:rFonts w:cs="Arial"/>
                <w:sz w:val="20"/>
                <w:szCs w:val="20"/>
              </w:rPr>
              <w:t>6.83</w:t>
            </w:r>
          </w:p>
        </w:tc>
        <w:tc>
          <w:tcPr>
            <w:tcW w:w="699" w:type="pct"/>
            <w:tcBorders>
              <w:top w:val="nil"/>
              <w:bottom w:val="nil"/>
            </w:tcBorders>
            <w:vAlign w:val="center"/>
          </w:tcPr>
          <w:p w:rsidR="00E664C2" w:rsidRDefault="00E664C2">
            <w:pPr>
              <w:jc w:val="center"/>
              <w:rPr>
                <w:rFonts w:cs="Arial"/>
                <w:sz w:val="20"/>
                <w:szCs w:val="20"/>
              </w:rPr>
            </w:pPr>
            <w:r>
              <w:rPr>
                <w:rFonts w:cs="Arial"/>
                <w:sz w:val="20"/>
                <w:szCs w:val="20"/>
              </w:rPr>
              <w:t>48.0</w:t>
            </w:r>
          </w:p>
        </w:tc>
        <w:tc>
          <w:tcPr>
            <w:tcW w:w="622" w:type="pct"/>
            <w:tcBorders>
              <w:top w:val="nil"/>
              <w:bottom w:val="nil"/>
            </w:tcBorders>
            <w:vAlign w:val="center"/>
          </w:tcPr>
          <w:p w:rsidR="00E664C2" w:rsidRDefault="00E664C2">
            <w:pPr>
              <w:jc w:val="center"/>
              <w:rPr>
                <w:rFonts w:cs="Arial"/>
                <w:sz w:val="20"/>
                <w:szCs w:val="20"/>
              </w:rPr>
            </w:pPr>
            <w:r>
              <w:rPr>
                <w:rFonts w:cs="Arial"/>
                <w:sz w:val="20"/>
                <w:szCs w:val="20"/>
              </w:rPr>
              <w:t>7.90</w:t>
            </w:r>
          </w:p>
        </w:tc>
        <w:tc>
          <w:tcPr>
            <w:tcW w:w="696" w:type="pct"/>
            <w:tcBorders>
              <w:top w:val="nil"/>
              <w:bottom w:val="nil"/>
            </w:tcBorders>
            <w:vAlign w:val="center"/>
          </w:tcPr>
          <w:p w:rsidR="00E664C2" w:rsidRDefault="00E664C2">
            <w:pPr>
              <w:jc w:val="center"/>
              <w:rPr>
                <w:rFonts w:cs="Arial"/>
                <w:sz w:val="20"/>
                <w:szCs w:val="20"/>
              </w:rPr>
            </w:pPr>
            <w:r>
              <w:rPr>
                <w:rFonts w:cs="Arial"/>
                <w:sz w:val="20"/>
                <w:szCs w:val="20"/>
              </w:rPr>
              <w:t>30.0</w:t>
            </w:r>
          </w:p>
        </w:tc>
      </w:tr>
      <w:tr w:rsidR="00E664C2"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E664C2" w:rsidRDefault="00E664C2">
            <w:pPr>
              <w:rPr>
                <w:rFonts w:cs="Arial"/>
                <w:b/>
                <w:bCs/>
                <w:szCs w:val="20"/>
              </w:rPr>
            </w:pPr>
            <w:r>
              <w:rPr>
                <w:rFonts w:cs="Arial"/>
                <w:b/>
                <w:bCs/>
                <w:szCs w:val="20"/>
              </w:rPr>
              <w:t>Weekly</w:t>
            </w:r>
          </w:p>
        </w:tc>
        <w:tc>
          <w:tcPr>
            <w:tcW w:w="700" w:type="pct"/>
            <w:tcBorders>
              <w:top w:val="nil"/>
              <w:bottom w:val="nil"/>
            </w:tcBorders>
            <w:vAlign w:val="center"/>
          </w:tcPr>
          <w:p w:rsidR="00E664C2" w:rsidRDefault="00E664C2">
            <w:pPr>
              <w:jc w:val="center"/>
              <w:rPr>
                <w:rFonts w:cs="Arial"/>
                <w:szCs w:val="20"/>
              </w:rPr>
            </w:pPr>
            <w:r>
              <w:rPr>
                <w:rFonts w:cs="Arial"/>
                <w:szCs w:val="20"/>
              </w:rPr>
              <w:t>-</w:t>
            </w:r>
          </w:p>
        </w:tc>
        <w:tc>
          <w:tcPr>
            <w:tcW w:w="641" w:type="pct"/>
            <w:tcBorders>
              <w:top w:val="nil"/>
              <w:bottom w:val="nil"/>
            </w:tcBorders>
            <w:vAlign w:val="center"/>
          </w:tcPr>
          <w:p w:rsidR="00E664C2" w:rsidRDefault="00E664C2">
            <w:pPr>
              <w:jc w:val="center"/>
              <w:rPr>
                <w:rFonts w:cs="Arial"/>
                <w:szCs w:val="20"/>
              </w:rPr>
            </w:pPr>
            <w:r>
              <w:rPr>
                <w:rFonts w:cs="Arial"/>
                <w:szCs w:val="20"/>
              </w:rPr>
              <w:t>-</w:t>
            </w:r>
          </w:p>
        </w:tc>
        <w:tc>
          <w:tcPr>
            <w:tcW w:w="727" w:type="pct"/>
            <w:tcBorders>
              <w:top w:val="nil"/>
              <w:bottom w:val="nil"/>
            </w:tcBorders>
            <w:vAlign w:val="center"/>
          </w:tcPr>
          <w:p w:rsidR="00E664C2" w:rsidRDefault="00E664C2">
            <w:pPr>
              <w:jc w:val="center"/>
              <w:rPr>
                <w:rFonts w:cs="Arial"/>
                <w:szCs w:val="20"/>
              </w:rPr>
            </w:pPr>
            <w:r>
              <w:rPr>
                <w:rFonts w:cs="Arial"/>
                <w:szCs w:val="20"/>
              </w:rPr>
              <w:t>-</w:t>
            </w:r>
          </w:p>
        </w:tc>
        <w:tc>
          <w:tcPr>
            <w:tcW w:w="699" w:type="pct"/>
            <w:tcBorders>
              <w:top w:val="nil"/>
              <w:bottom w:val="nil"/>
            </w:tcBorders>
            <w:vAlign w:val="center"/>
          </w:tcPr>
          <w:p w:rsidR="00E664C2" w:rsidRDefault="00E664C2">
            <w:pPr>
              <w:jc w:val="center"/>
              <w:rPr>
                <w:rFonts w:cs="Arial"/>
                <w:szCs w:val="20"/>
              </w:rPr>
            </w:pPr>
            <w:r>
              <w:rPr>
                <w:rFonts w:cs="Arial"/>
                <w:szCs w:val="20"/>
              </w:rPr>
              <w:t>-</w:t>
            </w:r>
          </w:p>
        </w:tc>
        <w:tc>
          <w:tcPr>
            <w:tcW w:w="622" w:type="pct"/>
            <w:tcBorders>
              <w:top w:val="nil"/>
              <w:bottom w:val="nil"/>
            </w:tcBorders>
            <w:vAlign w:val="center"/>
          </w:tcPr>
          <w:p w:rsidR="00E664C2" w:rsidRDefault="00E664C2">
            <w:pPr>
              <w:jc w:val="center"/>
              <w:rPr>
                <w:rFonts w:cs="Arial"/>
                <w:szCs w:val="20"/>
              </w:rPr>
            </w:pPr>
            <w:r>
              <w:rPr>
                <w:rFonts w:cs="Arial"/>
                <w:szCs w:val="20"/>
              </w:rPr>
              <w:t>7.63</w:t>
            </w:r>
          </w:p>
        </w:tc>
        <w:tc>
          <w:tcPr>
            <w:tcW w:w="696" w:type="pct"/>
            <w:tcBorders>
              <w:top w:val="nil"/>
              <w:bottom w:val="nil"/>
            </w:tcBorders>
            <w:vAlign w:val="center"/>
          </w:tcPr>
          <w:p w:rsidR="00E664C2" w:rsidRDefault="00E664C2">
            <w:pPr>
              <w:jc w:val="center"/>
              <w:rPr>
                <w:rFonts w:cs="Arial"/>
                <w:szCs w:val="20"/>
              </w:rPr>
            </w:pPr>
            <w:r>
              <w:rPr>
                <w:rFonts w:cs="Arial"/>
                <w:szCs w:val="20"/>
              </w:rPr>
              <w:t>105.0</w:t>
            </w:r>
          </w:p>
        </w:tc>
      </w:tr>
      <w:tr w:rsidR="00E664C2" w:rsidRPr="006A7228" w:rsidTr="00EA6F25">
        <w:trPr>
          <w:trHeight w:val="510"/>
        </w:trPr>
        <w:tc>
          <w:tcPr>
            <w:tcW w:w="915" w:type="pct"/>
            <w:tcBorders>
              <w:top w:val="nil"/>
              <w:bottom w:val="nil"/>
            </w:tcBorders>
            <w:vAlign w:val="center"/>
          </w:tcPr>
          <w:p w:rsidR="00E664C2" w:rsidRDefault="00E664C2">
            <w:pPr>
              <w:rPr>
                <w:rFonts w:cs="Arial"/>
                <w:b/>
                <w:bCs/>
                <w:sz w:val="20"/>
                <w:szCs w:val="20"/>
              </w:rPr>
            </w:pPr>
            <w:r>
              <w:rPr>
                <w:rFonts w:cs="Arial"/>
                <w:b/>
                <w:bCs/>
                <w:sz w:val="20"/>
                <w:szCs w:val="20"/>
              </w:rPr>
              <w:t>Monthly</w:t>
            </w:r>
          </w:p>
        </w:tc>
        <w:tc>
          <w:tcPr>
            <w:tcW w:w="700" w:type="pct"/>
            <w:tcBorders>
              <w:top w:val="nil"/>
              <w:bottom w:val="nil"/>
            </w:tcBorders>
            <w:vAlign w:val="center"/>
          </w:tcPr>
          <w:p w:rsidR="00E664C2" w:rsidRDefault="00E664C2">
            <w:pPr>
              <w:jc w:val="center"/>
              <w:rPr>
                <w:rFonts w:cs="Arial"/>
                <w:sz w:val="20"/>
                <w:szCs w:val="20"/>
              </w:rPr>
            </w:pPr>
            <w:r>
              <w:rPr>
                <w:rFonts w:cs="Arial"/>
                <w:sz w:val="20"/>
                <w:szCs w:val="20"/>
              </w:rPr>
              <w:t>-</w:t>
            </w:r>
          </w:p>
        </w:tc>
        <w:tc>
          <w:tcPr>
            <w:tcW w:w="641" w:type="pct"/>
            <w:tcBorders>
              <w:top w:val="nil"/>
              <w:bottom w:val="nil"/>
            </w:tcBorders>
            <w:vAlign w:val="center"/>
          </w:tcPr>
          <w:p w:rsidR="00E664C2" w:rsidRDefault="00E664C2">
            <w:pPr>
              <w:jc w:val="center"/>
              <w:rPr>
                <w:rFonts w:cs="Arial"/>
                <w:sz w:val="20"/>
                <w:szCs w:val="20"/>
              </w:rPr>
            </w:pPr>
            <w:r>
              <w:rPr>
                <w:rFonts w:cs="Arial"/>
                <w:sz w:val="20"/>
                <w:szCs w:val="20"/>
              </w:rPr>
              <w:t>-</w:t>
            </w:r>
          </w:p>
        </w:tc>
        <w:tc>
          <w:tcPr>
            <w:tcW w:w="727" w:type="pct"/>
            <w:tcBorders>
              <w:top w:val="nil"/>
              <w:bottom w:val="nil"/>
            </w:tcBorders>
            <w:vAlign w:val="center"/>
          </w:tcPr>
          <w:p w:rsidR="00E664C2" w:rsidRDefault="00E664C2">
            <w:pPr>
              <w:jc w:val="center"/>
              <w:rPr>
                <w:rFonts w:cs="Arial"/>
                <w:sz w:val="20"/>
                <w:szCs w:val="20"/>
              </w:rPr>
            </w:pPr>
            <w:r>
              <w:rPr>
                <w:rFonts w:cs="Arial"/>
                <w:sz w:val="20"/>
                <w:szCs w:val="20"/>
              </w:rPr>
              <w:t>-</w:t>
            </w:r>
          </w:p>
        </w:tc>
        <w:tc>
          <w:tcPr>
            <w:tcW w:w="699" w:type="pct"/>
            <w:tcBorders>
              <w:top w:val="nil"/>
              <w:bottom w:val="nil"/>
            </w:tcBorders>
            <w:vAlign w:val="center"/>
          </w:tcPr>
          <w:p w:rsidR="00E664C2" w:rsidRDefault="00E664C2">
            <w:pPr>
              <w:jc w:val="center"/>
              <w:rPr>
                <w:rFonts w:cs="Arial"/>
                <w:sz w:val="20"/>
                <w:szCs w:val="20"/>
              </w:rPr>
            </w:pPr>
            <w:r>
              <w:rPr>
                <w:rFonts w:cs="Arial"/>
                <w:sz w:val="20"/>
                <w:szCs w:val="20"/>
              </w:rPr>
              <w:t>-</w:t>
            </w:r>
          </w:p>
        </w:tc>
        <w:tc>
          <w:tcPr>
            <w:tcW w:w="622" w:type="pct"/>
            <w:tcBorders>
              <w:top w:val="nil"/>
              <w:bottom w:val="nil"/>
            </w:tcBorders>
            <w:vAlign w:val="center"/>
          </w:tcPr>
          <w:p w:rsidR="00E664C2" w:rsidRDefault="00E664C2">
            <w:pPr>
              <w:jc w:val="center"/>
              <w:rPr>
                <w:rFonts w:cs="Arial"/>
                <w:sz w:val="20"/>
                <w:szCs w:val="20"/>
              </w:rPr>
            </w:pPr>
            <w:r>
              <w:rPr>
                <w:rFonts w:cs="Arial"/>
                <w:sz w:val="20"/>
                <w:szCs w:val="20"/>
              </w:rPr>
              <w:t>8.14</w:t>
            </w:r>
          </w:p>
        </w:tc>
        <w:tc>
          <w:tcPr>
            <w:tcW w:w="696" w:type="pct"/>
            <w:tcBorders>
              <w:top w:val="nil"/>
              <w:bottom w:val="nil"/>
            </w:tcBorders>
            <w:vAlign w:val="center"/>
          </w:tcPr>
          <w:p w:rsidR="00E664C2" w:rsidRDefault="00E664C2">
            <w:pPr>
              <w:jc w:val="center"/>
              <w:rPr>
                <w:rFonts w:cs="Arial"/>
                <w:sz w:val="20"/>
                <w:szCs w:val="20"/>
              </w:rPr>
            </w:pPr>
            <w:r>
              <w:rPr>
                <w:rFonts w:cs="Arial"/>
                <w:sz w:val="20"/>
                <w:szCs w:val="20"/>
              </w:rPr>
              <w:t>338.0</w:t>
            </w:r>
          </w:p>
        </w:tc>
      </w:tr>
      <w:tr w:rsidR="00E664C2"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E664C2" w:rsidRDefault="00E664C2">
            <w:pPr>
              <w:rPr>
                <w:rFonts w:cs="Arial"/>
                <w:b/>
                <w:bCs/>
                <w:szCs w:val="20"/>
              </w:rPr>
            </w:pPr>
            <w:r>
              <w:rPr>
                <w:rFonts w:cs="Arial"/>
                <w:b/>
                <w:bCs/>
                <w:szCs w:val="20"/>
              </w:rPr>
              <w:t>Total</w:t>
            </w:r>
          </w:p>
        </w:tc>
        <w:tc>
          <w:tcPr>
            <w:tcW w:w="700" w:type="pct"/>
            <w:tcBorders>
              <w:top w:val="nil"/>
              <w:bottom w:val="single" w:sz="4" w:space="0" w:color="auto"/>
            </w:tcBorders>
            <w:vAlign w:val="center"/>
          </w:tcPr>
          <w:p w:rsidR="00E664C2" w:rsidRDefault="00E664C2">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E664C2" w:rsidRDefault="00E664C2">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E664C2" w:rsidRDefault="00E664C2">
            <w:pPr>
              <w:jc w:val="center"/>
              <w:rPr>
                <w:rFonts w:cs="Arial"/>
                <w:b/>
                <w:bCs/>
                <w:szCs w:val="20"/>
              </w:rPr>
            </w:pPr>
            <w:r>
              <w:rPr>
                <w:rFonts w:cs="Arial"/>
                <w:b/>
                <w:bCs/>
                <w:szCs w:val="20"/>
              </w:rPr>
              <w:t>6.91</w:t>
            </w:r>
          </w:p>
        </w:tc>
        <w:tc>
          <w:tcPr>
            <w:tcW w:w="699" w:type="pct"/>
            <w:tcBorders>
              <w:top w:val="nil"/>
              <w:bottom w:val="single" w:sz="4" w:space="0" w:color="auto"/>
            </w:tcBorders>
            <w:vAlign w:val="center"/>
          </w:tcPr>
          <w:p w:rsidR="00E664C2" w:rsidRDefault="00E664C2">
            <w:pPr>
              <w:jc w:val="center"/>
              <w:rPr>
                <w:rFonts w:cs="Arial"/>
                <w:b/>
                <w:bCs/>
                <w:szCs w:val="20"/>
              </w:rPr>
            </w:pPr>
            <w:r>
              <w:rPr>
                <w:rFonts w:cs="Arial"/>
                <w:b/>
                <w:bCs/>
                <w:szCs w:val="20"/>
              </w:rPr>
              <w:t>72.0</w:t>
            </w:r>
          </w:p>
        </w:tc>
        <w:tc>
          <w:tcPr>
            <w:tcW w:w="622" w:type="pct"/>
            <w:tcBorders>
              <w:top w:val="nil"/>
              <w:bottom w:val="single" w:sz="4" w:space="0" w:color="auto"/>
            </w:tcBorders>
            <w:vAlign w:val="center"/>
          </w:tcPr>
          <w:p w:rsidR="00E664C2" w:rsidRDefault="00E664C2">
            <w:pPr>
              <w:jc w:val="center"/>
              <w:rPr>
                <w:rFonts w:cs="Arial"/>
                <w:b/>
                <w:bCs/>
                <w:szCs w:val="20"/>
              </w:rPr>
            </w:pPr>
            <w:r>
              <w:rPr>
                <w:rFonts w:cs="Arial"/>
                <w:b/>
                <w:bCs/>
                <w:szCs w:val="20"/>
              </w:rPr>
              <w:t>7.97</w:t>
            </w:r>
          </w:p>
        </w:tc>
        <w:tc>
          <w:tcPr>
            <w:tcW w:w="696" w:type="pct"/>
            <w:tcBorders>
              <w:top w:val="nil"/>
              <w:bottom w:val="single" w:sz="4" w:space="0" w:color="auto"/>
            </w:tcBorders>
            <w:vAlign w:val="center"/>
          </w:tcPr>
          <w:p w:rsidR="00E664C2" w:rsidRDefault="00E664C2">
            <w:pPr>
              <w:jc w:val="center"/>
              <w:rPr>
                <w:rFonts w:cs="Arial"/>
                <w:b/>
                <w:bCs/>
                <w:szCs w:val="20"/>
              </w:rPr>
            </w:pPr>
            <w:r>
              <w:rPr>
                <w:rFonts w:cs="Arial"/>
                <w:b/>
                <w:bCs/>
                <w:szCs w:val="20"/>
              </w:rPr>
              <w:t>676.0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A226E9">
      <w:pPr>
        <w:keepNext/>
      </w:pPr>
      <w:r>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280703">
        <w:fldChar w:fldCharType="begin"/>
      </w:r>
      <w:r w:rsidR="00280703">
        <w:instrText xml:space="preserve"> SEQ Figure \* ARABIC </w:instrText>
      </w:r>
      <w:r w:rsidR="00280703">
        <w:fldChar w:fldCharType="separate"/>
      </w:r>
      <w:r w:rsidR="00C370D1">
        <w:rPr>
          <w:noProof/>
        </w:rPr>
        <w:t>6</w:t>
      </w:r>
      <w:r w:rsidR="00280703">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E664C2" w:rsidP="00E33530">
      <w:pPr>
        <w:keepNext/>
      </w:pPr>
      <w:r w:rsidRPr="00E664C2">
        <w:rPr>
          <w:noProof/>
          <w:lang w:eastAsia="en-AU"/>
        </w:rPr>
        <w:drawing>
          <wp:inline distT="0" distB="0" distL="0" distR="0" wp14:anchorId="156AD591" wp14:editId="3E8FD2D3">
            <wp:extent cx="5731510" cy="3179062"/>
            <wp:effectExtent l="0" t="0" r="2540" b="2540"/>
            <wp:docPr id="7" name="Picture 7" descr="Figure 6 shows the daily quantity of gas flowed on each of the three Queensland LNG export pipelines. Quantities of gas supplied by production facilities in the Roma region owned by these pipelines are also shown, grouped for each participant (APLNG, GLNG/Santos and QCLNG/QCG).&#10;" title="LNG export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Pr="00573A15"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2E97B681" wp14:editId="0D414224">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E664C2" w:rsidP="003171C6">
      <w:r w:rsidRPr="00E664C2">
        <w:rPr>
          <w:noProof/>
          <w:lang w:eastAsia="en-AU"/>
        </w:rPr>
        <w:drawing>
          <wp:inline distT="0" distB="0" distL="0" distR="0" wp14:anchorId="1B93194D" wp14:editId="753E579E">
            <wp:extent cx="5731510" cy="1650203"/>
            <wp:effectExtent l="0" t="0" r="2540" b="7620"/>
            <wp:docPr id="13" name="Picture 13" descr="Figure 1.1 shows the five Victorian schedule prices for each day this week. The marker indicates the daily imbalance weighted average price for each day. For a more detailed description of this figure, please refer to the user guide." title="Victorian 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E664C2" w:rsidP="003171C6">
      <w:r w:rsidRPr="00E664C2">
        <w:rPr>
          <w:noProof/>
          <w:lang w:eastAsia="en-AU"/>
        </w:rPr>
        <w:drawing>
          <wp:inline distT="0" distB="0" distL="0" distR="0" wp14:anchorId="73B42E86" wp14:editId="6269BAB2">
            <wp:extent cx="5731510" cy="2132322"/>
            <wp:effectExtent l="0" t="0" r="2540" b="1905"/>
            <wp:docPr id="14" name="Picture 14" descr="Figure 1.2 shows the demand forecast used to calculate the five daily schedule prices for this week. For a more detailed description of this figure, please refer to the user guide." title="Victorian 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5C12C9" w:rsidP="003171C6">
      <w:r w:rsidRPr="005C12C9">
        <w:rPr>
          <w:noProof/>
          <w:lang w:eastAsia="en-AU"/>
        </w:rPr>
        <w:drawing>
          <wp:inline distT="0" distB="0" distL="0" distR="0" wp14:anchorId="0D2C2DC9" wp14:editId="72E539CE">
            <wp:extent cx="5731510" cy="2486687"/>
            <wp:effectExtent l="0" t="0" r="2540" b="8890"/>
            <wp:docPr id="15" name="Picture 15" descr="Figure 1.3 shows the injection bids within certain price bands for each trading interval in Victoria this week. For a more detailed description of this figure, please refer to the user guide.&#10;" title="Injections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5C12C9" w:rsidP="003171C6">
      <w:r w:rsidRPr="005C12C9">
        <w:rPr>
          <w:noProof/>
          <w:lang w:eastAsia="en-AU"/>
        </w:rPr>
        <w:drawing>
          <wp:inline distT="0" distB="0" distL="0" distR="0" wp14:anchorId="5EE7801B" wp14:editId="722A77C7">
            <wp:extent cx="5731510" cy="1958582"/>
            <wp:effectExtent l="0" t="0" r="2540" b="3810"/>
            <wp:docPr id="17" name="Picture 17"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5C12C9" w:rsidP="003171C6">
      <w:r w:rsidRPr="005C12C9">
        <w:rPr>
          <w:noProof/>
          <w:lang w:eastAsia="en-AU"/>
        </w:rPr>
        <w:drawing>
          <wp:inline distT="0" distB="0" distL="0" distR="0" wp14:anchorId="624203AE" wp14:editId="199403C1">
            <wp:extent cx="5731510" cy="2142691"/>
            <wp:effectExtent l="0" t="0" r="2540" b="0"/>
            <wp:docPr id="18" name="Picture 18" descr="Figure 1.5 shows the metered injections sorted by facility for each 4 hour interval in Victoria this week. For a more detailed description of this figure, please refer to the user guide." title="Victorian metered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5C12C9" w:rsidRPr="00405CDE" w:rsidTr="00A226E9">
        <w:trPr>
          <w:trHeight w:val="510"/>
        </w:trPr>
        <w:tc>
          <w:tcPr>
            <w:tcW w:w="1211" w:type="pct"/>
            <w:tcBorders>
              <w:top w:val="nil"/>
              <w:bottom w:val="nil"/>
            </w:tcBorders>
            <w:vAlign w:val="center"/>
          </w:tcPr>
          <w:p w:rsidR="005C12C9" w:rsidRDefault="005C12C9">
            <w:pPr>
              <w:rPr>
                <w:rFonts w:cs="Arial"/>
                <w:sz w:val="20"/>
                <w:szCs w:val="20"/>
              </w:rPr>
            </w:pPr>
            <w:r>
              <w:rPr>
                <w:rFonts w:cs="Arial"/>
                <w:sz w:val="20"/>
                <w:szCs w:val="20"/>
              </w:rPr>
              <w:t>Ex ante price ($/GJ)</w:t>
            </w:r>
          </w:p>
        </w:tc>
        <w:tc>
          <w:tcPr>
            <w:tcW w:w="580" w:type="pct"/>
            <w:tcBorders>
              <w:top w:val="nil"/>
              <w:bottom w:val="nil"/>
            </w:tcBorders>
            <w:vAlign w:val="center"/>
          </w:tcPr>
          <w:p w:rsidR="005C12C9" w:rsidRDefault="005C12C9">
            <w:pPr>
              <w:jc w:val="center"/>
              <w:rPr>
                <w:rFonts w:cs="Arial"/>
                <w:sz w:val="20"/>
                <w:szCs w:val="20"/>
              </w:rPr>
            </w:pPr>
            <w:r>
              <w:rPr>
                <w:rFonts w:cs="Arial"/>
                <w:sz w:val="20"/>
                <w:szCs w:val="20"/>
              </w:rPr>
              <w:t>8.45</w:t>
            </w:r>
          </w:p>
        </w:tc>
        <w:tc>
          <w:tcPr>
            <w:tcW w:w="508" w:type="pct"/>
            <w:tcBorders>
              <w:top w:val="nil"/>
              <w:bottom w:val="nil"/>
            </w:tcBorders>
            <w:vAlign w:val="center"/>
          </w:tcPr>
          <w:p w:rsidR="005C12C9" w:rsidRDefault="005C12C9">
            <w:pPr>
              <w:jc w:val="center"/>
              <w:rPr>
                <w:rFonts w:cs="Arial"/>
                <w:sz w:val="20"/>
                <w:szCs w:val="20"/>
              </w:rPr>
            </w:pPr>
            <w:r>
              <w:rPr>
                <w:rFonts w:cs="Arial"/>
                <w:sz w:val="20"/>
                <w:szCs w:val="20"/>
              </w:rPr>
              <w:t>9.33</w:t>
            </w:r>
          </w:p>
        </w:tc>
        <w:tc>
          <w:tcPr>
            <w:tcW w:w="589" w:type="pct"/>
            <w:tcBorders>
              <w:top w:val="nil"/>
              <w:bottom w:val="nil"/>
            </w:tcBorders>
            <w:vAlign w:val="center"/>
          </w:tcPr>
          <w:p w:rsidR="005C12C9" w:rsidRDefault="005C12C9">
            <w:pPr>
              <w:jc w:val="center"/>
              <w:rPr>
                <w:rFonts w:cs="Arial"/>
                <w:sz w:val="20"/>
                <w:szCs w:val="20"/>
              </w:rPr>
            </w:pPr>
            <w:r>
              <w:rPr>
                <w:rFonts w:cs="Arial"/>
                <w:sz w:val="20"/>
                <w:szCs w:val="20"/>
              </w:rPr>
              <w:t>9.61</w:t>
            </w:r>
          </w:p>
        </w:tc>
        <w:tc>
          <w:tcPr>
            <w:tcW w:w="517" w:type="pct"/>
            <w:tcBorders>
              <w:top w:val="nil"/>
              <w:bottom w:val="nil"/>
            </w:tcBorders>
            <w:vAlign w:val="center"/>
          </w:tcPr>
          <w:p w:rsidR="005C12C9" w:rsidRDefault="005C12C9">
            <w:pPr>
              <w:jc w:val="center"/>
              <w:rPr>
                <w:rFonts w:cs="Arial"/>
                <w:sz w:val="20"/>
                <w:szCs w:val="20"/>
              </w:rPr>
            </w:pPr>
            <w:r>
              <w:rPr>
                <w:rFonts w:cs="Arial"/>
                <w:sz w:val="20"/>
                <w:szCs w:val="20"/>
              </w:rPr>
              <w:t>9.95</w:t>
            </w:r>
          </w:p>
        </w:tc>
        <w:tc>
          <w:tcPr>
            <w:tcW w:w="510" w:type="pct"/>
            <w:tcBorders>
              <w:top w:val="nil"/>
              <w:bottom w:val="nil"/>
            </w:tcBorders>
            <w:vAlign w:val="center"/>
          </w:tcPr>
          <w:p w:rsidR="005C12C9" w:rsidRDefault="005C12C9">
            <w:pPr>
              <w:jc w:val="center"/>
              <w:rPr>
                <w:rFonts w:cs="Arial"/>
                <w:sz w:val="20"/>
                <w:szCs w:val="20"/>
              </w:rPr>
            </w:pPr>
            <w:r>
              <w:rPr>
                <w:rFonts w:cs="Arial"/>
                <w:sz w:val="20"/>
                <w:szCs w:val="20"/>
              </w:rPr>
              <w:t>9.48</w:t>
            </w:r>
          </w:p>
        </w:tc>
        <w:tc>
          <w:tcPr>
            <w:tcW w:w="507" w:type="pct"/>
            <w:tcBorders>
              <w:top w:val="nil"/>
              <w:bottom w:val="nil"/>
            </w:tcBorders>
            <w:vAlign w:val="center"/>
          </w:tcPr>
          <w:p w:rsidR="005C12C9" w:rsidRDefault="005C12C9">
            <w:pPr>
              <w:jc w:val="center"/>
              <w:rPr>
                <w:rFonts w:cs="Arial"/>
                <w:sz w:val="20"/>
                <w:szCs w:val="20"/>
              </w:rPr>
            </w:pPr>
            <w:r>
              <w:rPr>
                <w:rFonts w:cs="Arial"/>
                <w:sz w:val="20"/>
                <w:szCs w:val="20"/>
              </w:rPr>
              <w:t>9.40</w:t>
            </w:r>
          </w:p>
        </w:tc>
        <w:tc>
          <w:tcPr>
            <w:tcW w:w="578" w:type="pct"/>
            <w:tcBorders>
              <w:top w:val="nil"/>
              <w:bottom w:val="nil"/>
            </w:tcBorders>
            <w:vAlign w:val="center"/>
          </w:tcPr>
          <w:p w:rsidR="005C12C9" w:rsidRDefault="005C12C9">
            <w:pPr>
              <w:jc w:val="center"/>
              <w:rPr>
                <w:rFonts w:cs="Arial"/>
                <w:sz w:val="20"/>
                <w:szCs w:val="20"/>
              </w:rPr>
            </w:pPr>
            <w:r>
              <w:rPr>
                <w:rFonts w:cs="Arial"/>
                <w:sz w:val="20"/>
                <w:szCs w:val="20"/>
              </w:rPr>
              <w:t>8.58</w:t>
            </w:r>
          </w:p>
        </w:tc>
      </w:tr>
      <w:tr w:rsidR="005C12C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5C12C9" w:rsidRDefault="005C12C9">
            <w:pPr>
              <w:rPr>
                <w:rFonts w:cs="Arial"/>
                <w:szCs w:val="20"/>
              </w:rPr>
            </w:pPr>
            <w:r>
              <w:rPr>
                <w:rFonts w:cs="Arial"/>
                <w:szCs w:val="20"/>
              </w:rPr>
              <w:t>Ex ante quantity (TJ)</w:t>
            </w:r>
          </w:p>
        </w:tc>
        <w:tc>
          <w:tcPr>
            <w:tcW w:w="580" w:type="pct"/>
            <w:tcBorders>
              <w:top w:val="nil"/>
              <w:bottom w:val="nil"/>
            </w:tcBorders>
            <w:vAlign w:val="center"/>
          </w:tcPr>
          <w:p w:rsidR="005C12C9" w:rsidRDefault="005C12C9">
            <w:pPr>
              <w:jc w:val="center"/>
              <w:rPr>
                <w:rFonts w:cs="Arial"/>
                <w:szCs w:val="20"/>
              </w:rPr>
            </w:pPr>
            <w:r>
              <w:rPr>
                <w:rFonts w:cs="Arial"/>
                <w:szCs w:val="20"/>
              </w:rPr>
              <w:t>261</w:t>
            </w:r>
          </w:p>
        </w:tc>
        <w:tc>
          <w:tcPr>
            <w:tcW w:w="508" w:type="pct"/>
            <w:tcBorders>
              <w:top w:val="nil"/>
              <w:bottom w:val="nil"/>
            </w:tcBorders>
            <w:vAlign w:val="center"/>
          </w:tcPr>
          <w:p w:rsidR="005C12C9" w:rsidRDefault="005C12C9">
            <w:pPr>
              <w:jc w:val="center"/>
              <w:rPr>
                <w:rFonts w:cs="Arial"/>
                <w:szCs w:val="20"/>
              </w:rPr>
            </w:pPr>
            <w:r>
              <w:rPr>
                <w:rFonts w:cs="Arial"/>
                <w:szCs w:val="20"/>
              </w:rPr>
              <w:t>278</w:t>
            </w:r>
          </w:p>
        </w:tc>
        <w:tc>
          <w:tcPr>
            <w:tcW w:w="589" w:type="pct"/>
            <w:tcBorders>
              <w:top w:val="nil"/>
              <w:bottom w:val="nil"/>
            </w:tcBorders>
            <w:vAlign w:val="center"/>
          </w:tcPr>
          <w:p w:rsidR="005C12C9" w:rsidRDefault="005C12C9">
            <w:pPr>
              <w:jc w:val="center"/>
              <w:rPr>
                <w:rFonts w:cs="Arial"/>
                <w:szCs w:val="20"/>
              </w:rPr>
            </w:pPr>
            <w:r>
              <w:rPr>
                <w:rFonts w:cs="Arial"/>
                <w:szCs w:val="20"/>
              </w:rPr>
              <w:t>287</w:t>
            </w:r>
          </w:p>
        </w:tc>
        <w:tc>
          <w:tcPr>
            <w:tcW w:w="517" w:type="pct"/>
            <w:tcBorders>
              <w:top w:val="nil"/>
              <w:bottom w:val="nil"/>
            </w:tcBorders>
            <w:vAlign w:val="center"/>
          </w:tcPr>
          <w:p w:rsidR="005C12C9" w:rsidRDefault="005C12C9">
            <w:pPr>
              <w:jc w:val="center"/>
              <w:rPr>
                <w:rFonts w:cs="Arial"/>
                <w:szCs w:val="20"/>
              </w:rPr>
            </w:pPr>
            <w:r>
              <w:rPr>
                <w:rFonts w:cs="Arial"/>
                <w:szCs w:val="20"/>
              </w:rPr>
              <w:t>293</w:t>
            </w:r>
          </w:p>
        </w:tc>
        <w:tc>
          <w:tcPr>
            <w:tcW w:w="510" w:type="pct"/>
            <w:tcBorders>
              <w:top w:val="nil"/>
              <w:bottom w:val="nil"/>
            </w:tcBorders>
            <w:vAlign w:val="center"/>
          </w:tcPr>
          <w:p w:rsidR="005C12C9" w:rsidRDefault="005C12C9">
            <w:pPr>
              <w:jc w:val="center"/>
              <w:rPr>
                <w:rFonts w:cs="Arial"/>
                <w:szCs w:val="20"/>
              </w:rPr>
            </w:pPr>
            <w:r>
              <w:rPr>
                <w:rFonts w:cs="Arial"/>
                <w:szCs w:val="20"/>
              </w:rPr>
              <w:t>297</w:t>
            </w:r>
          </w:p>
        </w:tc>
        <w:tc>
          <w:tcPr>
            <w:tcW w:w="507" w:type="pct"/>
            <w:tcBorders>
              <w:top w:val="nil"/>
              <w:bottom w:val="nil"/>
            </w:tcBorders>
            <w:vAlign w:val="center"/>
          </w:tcPr>
          <w:p w:rsidR="005C12C9" w:rsidRDefault="005C12C9">
            <w:pPr>
              <w:jc w:val="center"/>
              <w:rPr>
                <w:rFonts w:cs="Arial"/>
                <w:szCs w:val="20"/>
              </w:rPr>
            </w:pPr>
            <w:r>
              <w:rPr>
                <w:rFonts w:cs="Arial"/>
                <w:szCs w:val="20"/>
              </w:rPr>
              <w:t>296</w:t>
            </w:r>
          </w:p>
        </w:tc>
        <w:tc>
          <w:tcPr>
            <w:tcW w:w="578" w:type="pct"/>
            <w:tcBorders>
              <w:top w:val="nil"/>
              <w:bottom w:val="nil"/>
            </w:tcBorders>
            <w:vAlign w:val="center"/>
          </w:tcPr>
          <w:p w:rsidR="005C12C9" w:rsidRDefault="005C12C9">
            <w:pPr>
              <w:jc w:val="center"/>
              <w:rPr>
                <w:rFonts w:cs="Arial"/>
                <w:szCs w:val="20"/>
              </w:rPr>
            </w:pPr>
            <w:r>
              <w:rPr>
                <w:rFonts w:cs="Arial"/>
                <w:szCs w:val="20"/>
              </w:rPr>
              <w:t>264</w:t>
            </w:r>
          </w:p>
        </w:tc>
      </w:tr>
      <w:tr w:rsidR="005C12C9" w:rsidRPr="00405CDE" w:rsidTr="00A226E9">
        <w:trPr>
          <w:trHeight w:val="510"/>
        </w:trPr>
        <w:tc>
          <w:tcPr>
            <w:tcW w:w="1211" w:type="pct"/>
            <w:tcBorders>
              <w:top w:val="nil"/>
              <w:bottom w:val="nil"/>
            </w:tcBorders>
            <w:vAlign w:val="center"/>
          </w:tcPr>
          <w:p w:rsidR="005C12C9" w:rsidRDefault="005C12C9">
            <w:pPr>
              <w:rPr>
                <w:rFonts w:cs="Arial"/>
                <w:sz w:val="20"/>
                <w:szCs w:val="20"/>
              </w:rPr>
            </w:pPr>
            <w:r>
              <w:rPr>
                <w:rFonts w:cs="Arial"/>
                <w:sz w:val="20"/>
                <w:szCs w:val="20"/>
              </w:rPr>
              <w:t>Ex post price ($/GJ)</w:t>
            </w:r>
          </w:p>
        </w:tc>
        <w:tc>
          <w:tcPr>
            <w:tcW w:w="580" w:type="pct"/>
            <w:tcBorders>
              <w:top w:val="nil"/>
              <w:bottom w:val="nil"/>
            </w:tcBorders>
            <w:vAlign w:val="center"/>
          </w:tcPr>
          <w:p w:rsidR="005C12C9" w:rsidRDefault="005C12C9">
            <w:pPr>
              <w:jc w:val="center"/>
              <w:rPr>
                <w:rFonts w:cs="Arial"/>
                <w:sz w:val="20"/>
                <w:szCs w:val="20"/>
              </w:rPr>
            </w:pPr>
            <w:r>
              <w:rPr>
                <w:rFonts w:cs="Arial"/>
                <w:sz w:val="20"/>
                <w:szCs w:val="20"/>
              </w:rPr>
              <w:t>8.45</w:t>
            </w:r>
          </w:p>
        </w:tc>
        <w:tc>
          <w:tcPr>
            <w:tcW w:w="508" w:type="pct"/>
            <w:tcBorders>
              <w:top w:val="nil"/>
              <w:bottom w:val="nil"/>
            </w:tcBorders>
            <w:vAlign w:val="center"/>
          </w:tcPr>
          <w:p w:rsidR="005C12C9" w:rsidRDefault="005C12C9">
            <w:pPr>
              <w:jc w:val="center"/>
              <w:rPr>
                <w:rFonts w:cs="Arial"/>
                <w:sz w:val="20"/>
                <w:szCs w:val="20"/>
              </w:rPr>
            </w:pPr>
            <w:r>
              <w:rPr>
                <w:rFonts w:cs="Arial"/>
                <w:sz w:val="20"/>
                <w:szCs w:val="20"/>
              </w:rPr>
              <w:t>8.91</w:t>
            </w:r>
          </w:p>
        </w:tc>
        <w:tc>
          <w:tcPr>
            <w:tcW w:w="589" w:type="pct"/>
            <w:tcBorders>
              <w:top w:val="nil"/>
              <w:bottom w:val="nil"/>
            </w:tcBorders>
            <w:vAlign w:val="center"/>
          </w:tcPr>
          <w:p w:rsidR="005C12C9" w:rsidRDefault="005C12C9">
            <w:pPr>
              <w:jc w:val="center"/>
              <w:rPr>
                <w:rFonts w:cs="Arial"/>
                <w:sz w:val="20"/>
                <w:szCs w:val="20"/>
              </w:rPr>
            </w:pPr>
            <w:r>
              <w:rPr>
                <w:rFonts w:cs="Arial"/>
                <w:sz w:val="20"/>
                <w:szCs w:val="20"/>
              </w:rPr>
              <w:t>9.40</w:t>
            </w:r>
          </w:p>
        </w:tc>
        <w:tc>
          <w:tcPr>
            <w:tcW w:w="517" w:type="pct"/>
            <w:tcBorders>
              <w:top w:val="nil"/>
              <w:bottom w:val="nil"/>
            </w:tcBorders>
            <w:vAlign w:val="center"/>
          </w:tcPr>
          <w:p w:rsidR="005C12C9" w:rsidRDefault="005C12C9">
            <w:pPr>
              <w:jc w:val="center"/>
              <w:rPr>
                <w:rFonts w:cs="Arial"/>
                <w:sz w:val="20"/>
                <w:szCs w:val="20"/>
              </w:rPr>
            </w:pPr>
            <w:r>
              <w:rPr>
                <w:rFonts w:cs="Arial"/>
                <w:sz w:val="20"/>
                <w:szCs w:val="20"/>
              </w:rPr>
              <w:t>9.85</w:t>
            </w:r>
          </w:p>
        </w:tc>
        <w:tc>
          <w:tcPr>
            <w:tcW w:w="510" w:type="pct"/>
            <w:tcBorders>
              <w:top w:val="nil"/>
              <w:bottom w:val="nil"/>
            </w:tcBorders>
            <w:vAlign w:val="center"/>
          </w:tcPr>
          <w:p w:rsidR="005C12C9" w:rsidRDefault="005C12C9">
            <w:pPr>
              <w:jc w:val="center"/>
              <w:rPr>
                <w:rFonts w:cs="Arial"/>
                <w:sz w:val="20"/>
                <w:szCs w:val="20"/>
              </w:rPr>
            </w:pPr>
            <w:r>
              <w:rPr>
                <w:rFonts w:cs="Arial"/>
                <w:sz w:val="20"/>
                <w:szCs w:val="20"/>
              </w:rPr>
              <w:t>9.39</w:t>
            </w:r>
          </w:p>
        </w:tc>
        <w:tc>
          <w:tcPr>
            <w:tcW w:w="507" w:type="pct"/>
            <w:tcBorders>
              <w:top w:val="nil"/>
              <w:bottom w:val="nil"/>
            </w:tcBorders>
            <w:vAlign w:val="center"/>
          </w:tcPr>
          <w:p w:rsidR="005C12C9" w:rsidRDefault="005C12C9">
            <w:pPr>
              <w:jc w:val="center"/>
              <w:rPr>
                <w:rFonts w:cs="Arial"/>
                <w:sz w:val="20"/>
                <w:szCs w:val="20"/>
              </w:rPr>
            </w:pPr>
            <w:r>
              <w:rPr>
                <w:rFonts w:cs="Arial"/>
                <w:sz w:val="20"/>
                <w:szCs w:val="20"/>
              </w:rPr>
              <w:t>9.40</w:t>
            </w:r>
          </w:p>
        </w:tc>
        <w:tc>
          <w:tcPr>
            <w:tcW w:w="578" w:type="pct"/>
            <w:tcBorders>
              <w:top w:val="nil"/>
              <w:bottom w:val="nil"/>
            </w:tcBorders>
            <w:vAlign w:val="center"/>
          </w:tcPr>
          <w:p w:rsidR="005C12C9" w:rsidRDefault="005C12C9">
            <w:pPr>
              <w:jc w:val="center"/>
              <w:rPr>
                <w:rFonts w:cs="Arial"/>
                <w:sz w:val="20"/>
                <w:szCs w:val="20"/>
              </w:rPr>
            </w:pPr>
            <w:r>
              <w:rPr>
                <w:rFonts w:cs="Arial"/>
                <w:sz w:val="20"/>
                <w:szCs w:val="20"/>
              </w:rPr>
              <w:t>8.32</w:t>
            </w:r>
          </w:p>
        </w:tc>
      </w:tr>
      <w:tr w:rsidR="005C12C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5C12C9" w:rsidRDefault="005C12C9">
            <w:pPr>
              <w:rPr>
                <w:rFonts w:cs="Arial"/>
                <w:szCs w:val="20"/>
              </w:rPr>
            </w:pPr>
            <w:r>
              <w:rPr>
                <w:rFonts w:cs="Arial"/>
                <w:szCs w:val="20"/>
              </w:rPr>
              <w:t>Ex post quantity (TJ)</w:t>
            </w:r>
          </w:p>
        </w:tc>
        <w:tc>
          <w:tcPr>
            <w:tcW w:w="580" w:type="pct"/>
            <w:tcBorders>
              <w:top w:val="nil"/>
              <w:bottom w:val="single" w:sz="4" w:space="0" w:color="auto"/>
            </w:tcBorders>
            <w:vAlign w:val="center"/>
          </w:tcPr>
          <w:p w:rsidR="005C12C9" w:rsidRDefault="005C12C9">
            <w:pPr>
              <w:jc w:val="center"/>
              <w:rPr>
                <w:rFonts w:cs="Arial"/>
                <w:szCs w:val="20"/>
              </w:rPr>
            </w:pPr>
            <w:r>
              <w:rPr>
                <w:rFonts w:cs="Arial"/>
                <w:szCs w:val="20"/>
              </w:rPr>
              <w:t>261</w:t>
            </w:r>
          </w:p>
        </w:tc>
        <w:tc>
          <w:tcPr>
            <w:tcW w:w="508" w:type="pct"/>
            <w:tcBorders>
              <w:top w:val="nil"/>
              <w:bottom w:val="single" w:sz="4" w:space="0" w:color="auto"/>
            </w:tcBorders>
            <w:vAlign w:val="center"/>
          </w:tcPr>
          <w:p w:rsidR="005C12C9" w:rsidRDefault="005C12C9">
            <w:pPr>
              <w:jc w:val="center"/>
              <w:rPr>
                <w:rFonts w:cs="Arial"/>
                <w:szCs w:val="20"/>
              </w:rPr>
            </w:pPr>
            <w:r>
              <w:rPr>
                <w:rFonts w:cs="Arial"/>
                <w:szCs w:val="20"/>
              </w:rPr>
              <w:t>276</w:t>
            </w:r>
          </w:p>
        </w:tc>
        <w:tc>
          <w:tcPr>
            <w:tcW w:w="589" w:type="pct"/>
            <w:tcBorders>
              <w:top w:val="nil"/>
              <w:bottom w:val="single" w:sz="4" w:space="0" w:color="auto"/>
            </w:tcBorders>
            <w:vAlign w:val="center"/>
          </w:tcPr>
          <w:p w:rsidR="005C12C9" w:rsidRDefault="005C12C9">
            <w:pPr>
              <w:jc w:val="center"/>
              <w:rPr>
                <w:rFonts w:cs="Arial"/>
                <w:szCs w:val="20"/>
              </w:rPr>
            </w:pPr>
            <w:r>
              <w:rPr>
                <w:rFonts w:cs="Arial"/>
                <w:szCs w:val="20"/>
              </w:rPr>
              <w:t>282</w:t>
            </w:r>
          </w:p>
        </w:tc>
        <w:tc>
          <w:tcPr>
            <w:tcW w:w="517" w:type="pct"/>
            <w:tcBorders>
              <w:top w:val="nil"/>
              <w:bottom w:val="single" w:sz="4" w:space="0" w:color="auto"/>
            </w:tcBorders>
            <w:vAlign w:val="center"/>
          </w:tcPr>
          <w:p w:rsidR="005C12C9" w:rsidRDefault="005C12C9">
            <w:pPr>
              <w:jc w:val="center"/>
              <w:rPr>
                <w:rFonts w:cs="Arial"/>
                <w:szCs w:val="20"/>
              </w:rPr>
            </w:pPr>
            <w:r>
              <w:rPr>
                <w:rFonts w:cs="Arial"/>
                <w:szCs w:val="20"/>
              </w:rPr>
              <w:t>284</w:t>
            </w:r>
          </w:p>
        </w:tc>
        <w:tc>
          <w:tcPr>
            <w:tcW w:w="510" w:type="pct"/>
            <w:tcBorders>
              <w:top w:val="nil"/>
              <w:bottom w:val="single" w:sz="4" w:space="0" w:color="auto"/>
            </w:tcBorders>
            <w:vAlign w:val="center"/>
          </w:tcPr>
          <w:p w:rsidR="005C12C9" w:rsidRDefault="005C12C9">
            <w:pPr>
              <w:jc w:val="center"/>
              <w:rPr>
                <w:rFonts w:cs="Arial"/>
                <w:szCs w:val="20"/>
              </w:rPr>
            </w:pPr>
            <w:r>
              <w:rPr>
                <w:rFonts w:cs="Arial"/>
                <w:szCs w:val="20"/>
              </w:rPr>
              <w:t>289</w:t>
            </w:r>
          </w:p>
        </w:tc>
        <w:tc>
          <w:tcPr>
            <w:tcW w:w="507" w:type="pct"/>
            <w:tcBorders>
              <w:top w:val="nil"/>
              <w:bottom w:val="single" w:sz="4" w:space="0" w:color="auto"/>
            </w:tcBorders>
            <w:vAlign w:val="center"/>
          </w:tcPr>
          <w:p w:rsidR="005C12C9" w:rsidRDefault="005C12C9">
            <w:pPr>
              <w:jc w:val="center"/>
              <w:rPr>
                <w:rFonts w:cs="Arial"/>
                <w:szCs w:val="20"/>
              </w:rPr>
            </w:pPr>
            <w:r>
              <w:rPr>
                <w:rFonts w:cs="Arial"/>
                <w:szCs w:val="20"/>
              </w:rPr>
              <w:t>295</w:t>
            </w:r>
          </w:p>
        </w:tc>
        <w:tc>
          <w:tcPr>
            <w:tcW w:w="578" w:type="pct"/>
            <w:tcBorders>
              <w:top w:val="nil"/>
              <w:bottom w:val="single" w:sz="4" w:space="0" w:color="auto"/>
            </w:tcBorders>
            <w:vAlign w:val="center"/>
          </w:tcPr>
          <w:p w:rsidR="005C12C9" w:rsidRDefault="005C12C9">
            <w:pPr>
              <w:jc w:val="center"/>
              <w:rPr>
                <w:rFonts w:cs="Arial"/>
                <w:szCs w:val="20"/>
              </w:rPr>
            </w:pPr>
            <w:r>
              <w:rPr>
                <w:rFonts w:cs="Arial"/>
                <w:szCs w:val="20"/>
              </w:rPr>
              <w:t>261</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5C12C9" w:rsidP="00EC2CB1">
      <w:r w:rsidRPr="005C12C9">
        <w:rPr>
          <w:noProof/>
          <w:lang w:eastAsia="en-AU"/>
        </w:rPr>
        <w:drawing>
          <wp:inline distT="0" distB="0" distL="0" distR="0" wp14:anchorId="5E60B8E9" wp14:editId="3FA2AC85">
            <wp:extent cx="5731510" cy="2046203"/>
            <wp:effectExtent l="0" t="0" r="0" b="0"/>
            <wp:docPr id="26" name="Picture 26" descr="Figure 2.2 shows the daily hub offers and bid in within certain price bands in Sydney this week. The line indicates the scheduled quantity for each day. For a more detailed description of this figure, please refer to the user guide." title="Sydney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5C12C9" w:rsidP="00EC2CB1">
      <w:r w:rsidRPr="005C12C9">
        <w:rPr>
          <w:noProof/>
          <w:lang w:eastAsia="en-AU"/>
        </w:rPr>
        <w:drawing>
          <wp:inline distT="0" distB="0" distL="0" distR="0" wp14:anchorId="5EC1370B" wp14:editId="35697AD6">
            <wp:extent cx="5731510" cy="2555336"/>
            <wp:effectExtent l="0" t="0" r="2540" b="0"/>
            <wp:docPr id="27" name="Picture 27" descr="Figure 2.3 shows the daily scheduled and allocated quantities sorted by facility for Sydney this week. For a more detailed description of this figure, please refer to the user guide." title="Sydney scheduled and allocated ga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5C12C9" w:rsidP="00EC2CB1">
      <w:r w:rsidRPr="005C12C9">
        <w:rPr>
          <w:noProof/>
          <w:lang w:eastAsia="en-AU"/>
        </w:rPr>
        <w:drawing>
          <wp:inline distT="0" distB="0" distL="0" distR="0" wp14:anchorId="2A9A356A" wp14:editId="78FFFCE5">
            <wp:extent cx="5731510" cy="2175613"/>
            <wp:effectExtent l="0" t="0" r="2540" b="0"/>
            <wp:docPr id="37" name="Picture 37"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5C12C9" w:rsidRPr="00405CDE" w:rsidTr="00A226E9">
        <w:trPr>
          <w:trHeight w:val="389"/>
        </w:trPr>
        <w:tc>
          <w:tcPr>
            <w:tcW w:w="1152" w:type="pct"/>
            <w:tcBorders>
              <w:top w:val="nil"/>
              <w:bottom w:val="nil"/>
            </w:tcBorders>
            <w:vAlign w:val="center"/>
          </w:tcPr>
          <w:p w:rsidR="005C12C9" w:rsidRDefault="005C12C9">
            <w:pPr>
              <w:rPr>
                <w:rFonts w:cs="Arial"/>
                <w:sz w:val="20"/>
                <w:szCs w:val="20"/>
              </w:rPr>
            </w:pPr>
            <w:r>
              <w:rPr>
                <w:rFonts w:cs="Arial"/>
                <w:sz w:val="20"/>
                <w:szCs w:val="20"/>
              </w:rPr>
              <w:t>Ex ante price ($/GJ)</w:t>
            </w:r>
          </w:p>
        </w:tc>
        <w:tc>
          <w:tcPr>
            <w:tcW w:w="589" w:type="pct"/>
            <w:tcBorders>
              <w:top w:val="nil"/>
              <w:bottom w:val="nil"/>
            </w:tcBorders>
            <w:vAlign w:val="center"/>
          </w:tcPr>
          <w:p w:rsidR="005C12C9" w:rsidRDefault="005C12C9">
            <w:pPr>
              <w:jc w:val="center"/>
              <w:rPr>
                <w:rFonts w:cs="Arial"/>
                <w:sz w:val="20"/>
                <w:szCs w:val="20"/>
              </w:rPr>
            </w:pPr>
            <w:r>
              <w:rPr>
                <w:rFonts w:cs="Arial"/>
                <w:sz w:val="20"/>
                <w:szCs w:val="20"/>
              </w:rPr>
              <w:t>8.79</w:t>
            </w:r>
          </w:p>
        </w:tc>
        <w:tc>
          <w:tcPr>
            <w:tcW w:w="516" w:type="pct"/>
            <w:tcBorders>
              <w:top w:val="nil"/>
              <w:bottom w:val="nil"/>
            </w:tcBorders>
            <w:vAlign w:val="center"/>
          </w:tcPr>
          <w:p w:rsidR="005C12C9" w:rsidRDefault="005C12C9">
            <w:pPr>
              <w:jc w:val="center"/>
              <w:rPr>
                <w:rFonts w:cs="Arial"/>
                <w:sz w:val="20"/>
                <w:szCs w:val="20"/>
              </w:rPr>
            </w:pPr>
            <w:r>
              <w:rPr>
                <w:rFonts w:cs="Arial"/>
                <w:sz w:val="20"/>
                <w:szCs w:val="20"/>
              </w:rPr>
              <w:t>8.69</w:t>
            </w:r>
          </w:p>
        </w:tc>
        <w:tc>
          <w:tcPr>
            <w:tcW w:w="598" w:type="pct"/>
            <w:tcBorders>
              <w:top w:val="nil"/>
              <w:bottom w:val="nil"/>
            </w:tcBorders>
            <w:vAlign w:val="center"/>
          </w:tcPr>
          <w:p w:rsidR="005C12C9" w:rsidRDefault="005C12C9">
            <w:pPr>
              <w:jc w:val="center"/>
              <w:rPr>
                <w:rFonts w:cs="Arial"/>
                <w:sz w:val="20"/>
                <w:szCs w:val="20"/>
              </w:rPr>
            </w:pPr>
            <w:r>
              <w:rPr>
                <w:rFonts w:cs="Arial"/>
                <w:sz w:val="20"/>
                <w:szCs w:val="20"/>
              </w:rPr>
              <w:t>9.27</w:t>
            </w:r>
          </w:p>
        </w:tc>
        <w:tc>
          <w:tcPr>
            <w:tcW w:w="525" w:type="pct"/>
            <w:tcBorders>
              <w:top w:val="nil"/>
              <w:bottom w:val="nil"/>
            </w:tcBorders>
            <w:vAlign w:val="center"/>
          </w:tcPr>
          <w:p w:rsidR="005C12C9" w:rsidRDefault="005C12C9">
            <w:pPr>
              <w:jc w:val="center"/>
              <w:rPr>
                <w:rFonts w:cs="Arial"/>
                <w:sz w:val="20"/>
                <w:szCs w:val="20"/>
              </w:rPr>
            </w:pPr>
            <w:r>
              <w:rPr>
                <w:rFonts w:cs="Arial"/>
                <w:sz w:val="20"/>
                <w:szCs w:val="20"/>
              </w:rPr>
              <w:t>9.57</w:t>
            </w:r>
          </w:p>
        </w:tc>
        <w:tc>
          <w:tcPr>
            <w:tcW w:w="518" w:type="pct"/>
            <w:tcBorders>
              <w:top w:val="nil"/>
              <w:bottom w:val="nil"/>
            </w:tcBorders>
            <w:vAlign w:val="center"/>
          </w:tcPr>
          <w:p w:rsidR="005C12C9" w:rsidRDefault="005C12C9">
            <w:pPr>
              <w:jc w:val="center"/>
              <w:rPr>
                <w:rFonts w:cs="Arial"/>
                <w:sz w:val="20"/>
                <w:szCs w:val="20"/>
              </w:rPr>
            </w:pPr>
            <w:r>
              <w:rPr>
                <w:rFonts w:cs="Arial"/>
                <w:sz w:val="20"/>
                <w:szCs w:val="20"/>
              </w:rPr>
              <w:t>9.24</w:t>
            </w:r>
          </w:p>
        </w:tc>
        <w:tc>
          <w:tcPr>
            <w:tcW w:w="515" w:type="pct"/>
            <w:tcBorders>
              <w:top w:val="nil"/>
              <w:bottom w:val="nil"/>
            </w:tcBorders>
            <w:vAlign w:val="center"/>
          </w:tcPr>
          <w:p w:rsidR="005C12C9" w:rsidRDefault="005C12C9">
            <w:pPr>
              <w:jc w:val="center"/>
              <w:rPr>
                <w:rFonts w:cs="Arial"/>
                <w:sz w:val="20"/>
                <w:szCs w:val="20"/>
              </w:rPr>
            </w:pPr>
            <w:r>
              <w:rPr>
                <w:rFonts w:cs="Arial"/>
                <w:sz w:val="20"/>
                <w:szCs w:val="20"/>
              </w:rPr>
              <w:t>8.21</w:t>
            </w:r>
          </w:p>
        </w:tc>
        <w:tc>
          <w:tcPr>
            <w:tcW w:w="587" w:type="pct"/>
            <w:tcBorders>
              <w:top w:val="nil"/>
              <w:bottom w:val="nil"/>
            </w:tcBorders>
            <w:vAlign w:val="center"/>
          </w:tcPr>
          <w:p w:rsidR="005C12C9" w:rsidRDefault="005C12C9">
            <w:pPr>
              <w:jc w:val="center"/>
              <w:rPr>
                <w:rFonts w:cs="Arial"/>
                <w:sz w:val="20"/>
                <w:szCs w:val="20"/>
              </w:rPr>
            </w:pPr>
            <w:r>
              <w:rPr>
                <w:rFonts w:cs="Arial"/>
                <w:sz w:val="20"/>
                <w:szCs w:val="20"/>
              </w:rPr>
              <w:t>8.60</w:t>
            </w:r>
          </w:p>
        </w:tc>
      </w:tr>
      <w:tr w:rsidR="005C12C9"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5C12C9" w:rsidRDefault="005C12C9">
            <w:pPr>
              <w:rPr>
                <w:rFonts w:cs="Arial"/>
                <w:szCs w:val="20"/>
              </w:rPr>
            </w:pPr>
            <w:r>
              <w:rPr>
                <w:rFonts w:cs="Arial"/>
                <w:szCs w:val="20"/>
              </w:rPr>
              <w:t>Ex ante quantity (TJ)</w:t>
            </w:r>
          </w:p>
        </w:tc>
        <w:tc>
          <w:tcPr>
            <w:tcW w:w="589" w:type="pct"/>
            <w:tcBorders>
              <w:top w:val="nil"/>
              <w:bottom w:val="nil"/>
            </w:tcBorders>
            <w:vAlign w:val="center"/>
          </w:tcPr>
          <w:p w:rsidR="005C12C9" w:rsidRDefault="005C12C9">
            <w:pPr>
              <w:jc w:val="center"/>
              <w:rPr>
                <w:rFonts w:cs="Arial"/>
                <w:szCs w:val="20"/>
              </w:rPr>
            </w:pPr>
            <w:r>
              <w:rPr>
                <w:rFonts w:cs="Arial"/>
                <w:szCs w:val="20"/>
              </w:rPr>
              <w:t>74</w:t>
            </w:r>
          </w:p>
        </w:tc>
        <w:tc>
          <w:tcPr>
            <w:tcW w:w="516" w:type="pct"/>
            <w:tcBorders>
              <w:top w:val="nil"/>
              <w:bottom w:val="nil"/>
            </w:tcBorders>
            <w:vAlign w:val="center"/>
          </w:tcPr>
          <w:p w:rsidR="005C12C9" w:rsidRDefault="005C12C9">
            <w:pPr>
              <w:jc w:val="center"/>
              <w:rPr>
                <w:rFonts w:cs="Arial"/>
                <w:szCs w:val="20"/>
              </w:rPr>
            </w:pPr>
            <w:r>
              <w:rPr>
                <w:rFonts w:cs="Arial"/>
                <w:szCs w:val="20"/>
              </w:rPr>
              <w:t>86</w:t>
            </w:r>
          </w:p>
        </w:tc>
        <w:tc>
          <w:tcPr>
            <w:tcW w:w="598" w:type="pct"/>
            <w:tcBorders>
              <w:top w:val="nil"/>
              <w:bottom w:val="nil"/>
            </w:tcBorders>
            <w:vAlign w:val="center"/>
          </w:tcPr>
          <w:p w:rsidR="005C12C9" w:rsidRDefault="005C12C9">
            <w:pPr>
              <w:jc w:val="center"/>
              <w:rPr>
                <w:rFonts w:cs="Arial"/>
                <w:szCs w:val="20"/>
              </w:rPr>
            </w:pPr>
            <w:r>
              <w:rPr>
                <w:rFonts w:cs="Arial"/>
                <w:szCs w:val="20"/>
              </w:rPr>
              <w:t>91</w:t>
            </w:r>
          </w:p>
        </w:tc>
        <w:tc>
          <w:tcPr>
            <w:tcW w:w="525" w:type="pct"/>
            <w:tcBorders>
              <w:top w:val="nil"/>
              <w:bottom w:val="nil"/>
            </w:tcBorders>
            <w:vAlign w:val="center"/>
          </w:tcPr>
          <w:p w:rsidR="005C12C9" w:rsidRDefault="005C12C9">
            <w:pPr>
              <w:jc w:val="center"/>
              <w:rPr>
                <w:rFonts w:cs="Arial"/>
                <w:szCs w:val="20"/>
              </w:rPr>
            </w:pPr>
            <w:r>
              <w:rPr>
                <w:rFonts w:cs="Arial"/>
                <w:szCs w:val="20"/>
              </w:rPr>
              <w:t>93</w:t>
            </w:r>
          </w:p>
        </w:tc>
        <w:tc>
          <w:tcPr>
            <w:tcW w:w="518" w:type="pct"/>
            <w:tcBorders>
              <w:top w:val="nil"/>
              <w:bottom w:val="nil"/>
            </w:tcBorders>
            <w:vAlign w:val="center"/>
          </w:tcPr>
          <w:p w:rsidR="005C12C9" w:rsidRDefault="005C12C9">
            <w:pPr>
              <w:jc w:val="center"/>
              <w:rPr>
                <w:rFonts w:cs="Arial"/>
                <w:szCs w:val="20"/>
              </w:rPr>
            </w:pPr>
            <w:r>
              <w:rPr>
                <w:rFonts w:cs="Arial"/>
                <w:szCs w:val="20"/>
              </w:rPr>
              <w:t>91</w:t>
            </w:r>
          </w:p>
        </w:tc>
        <w:tc>
          <w:tcPr>
            <w:tcW w:w="515" w:type="pct"/>
            <w:tcBorders>
              <w:top w:val="nil"/>
              <w:bottom w:val="nil"/>
            </w:tcBorders>
            <w:vAlign w:val="center"/>
          </w:tcPr>
          <w:p w:rsidR="005C12C9" w:rsidRDefault="005C12C9">
            <w:pPr>
              <w:jc w:val="center"/>
              <w:rPr>
                <w:rFonts w:cs="Arial"/>
                <w:szCs w:val="20"/>
              </w:rPr>
            </w:pPr>
            <w:r>
              <w:rPr>
                <w:rFonts w:cs="Arial"/>
                <w:szCs w:val="20"/>
              </w:rPr>
              <w:t>81</w:t>
            </w:r>
          </w:p>
        </w:tc>
        <w:tc>
          <w:tcPr>
            <w:tcW w:w="587" w:type="pct"/>
            <w:tcBorders>
              <w:top w:val="nil"/>
              <w:bottom w:val="nil"/>
            </w:tcBorders>
            <w:vAlign w:val="center"/>
          </w:tcPr>
          <w:p w:rsidR="005C12C9" w:rsidRDefault="005C12C9">
            <w:pPr>
              <w:jc w:val="center"/>
              <w:rPr>
                <w:rFonts w:cs="Arial"/>
                <w:szCs w:val="20"/>
              </w:rPr>
            </w:pPr>
            <w:r>
              <w:rPr>
                <w:rFonts w:cs="Arial"/>
                <w:szCs w:val="20"/>
              </w:rPr>
              <w:t>74</w:t>
            </w:r>
          </w:p>
        </w:tc>
      </w:tr>
      <w:tr w:rsidR="005C12C9" w:rsidRPr="00405CDE" w:rsidTr="00A226E9">
        <w:trPr>
          <w:trHeight w:val="87"/>
        </w:trPr>
        <w:tc>
          <w:tcPr>
            <w:tcW w:w="1152" w:type="pct"/>
            <w:tcBorders>
              <w:top w:val="nil"/>
              <w:bottom w:val="nil"/>
            </w:tcBorders>
            <w:vAlign w:val="center"/>
          </w:tcPr>
          <w:p w:rsidR="005C12C9" w:rsidRDefault="005C12C9">
            <w:pPr>
              <w:rPr>
                <w:rFonts w:cs="Arial"/>
                <w:sz w:val="20"/>
                <w:szCs w:val="20"/>
              </w:rPr>
            </w:pPr>
            <w:r>
              <w:rPr>
                <w:rFonts w:cs="Arial"/>
                <w:sz w:val="20"/>
                <w:szCs w:val="20"/>
              </w:rPr>
              <w:t>Ex post price ($/GJ)</w:t>
            </w:r>
          </w:p>
        </w:tc>
        <w:tc>
          <w:tcPr>
            <w:tcW w:w="589" w:type="pct"/>
            <w:tcBorders>
              <w:top w:val="nil"/>
              <w:bottom w:val="nil"/>
            </w:tcBorders>
            <w:vAlign w:val="center"/>
          </w:tcPr>
          <w:p w:rsidR="005C12C9" w:rsidRDefault="005C12C9">
            <w:pPr>
              <w:jc w:val="center"/>
              <w:rPr>
                <w:rFonts w:cs="Arial"/>
                <w:sz w:val="20"/>
                <w:szCs w:val="20"/>
              </w:rPr>
            </w:pPr>
            <w:r>
              <w:rPr>
                <w:rFonts w:cs="Arial"/>
                <w:sz w:val="20"/>
                <w:szCs w:val="20"/>
              </w:rPr>
              <w:t>8.80</w:t>
            </w:r>
          </w:p>
        </w:tc>
        <w:tc>
          <w:tcPr>
            <w:tcW w:w="516" w:type="pct"/>
            <w:tcBorders>
              <w:top w:val="nil"/>
              <w:bottom w:val="nil"/>
            </w:tcBorders>
            <w:vAlign w:val="center"/>
          </w:tcPr>
          <w:p w:rsidR="005C12C9" w:rsidRDefault="005C12C9">
            <w:pPr>
              <w:jc w:val="center"/>
              <w:rPr>
                <w:rFonts w:cs="Arial"/>
                <w:sz w:val="20"/>
                <w:szCs w:val="20"/>
              </w:rPr>
            </w:pPr>
            <w:r>
              <w:rPr>
                <w:rFonts w:cs="Arial"/>
                <w:sz w:val="20"/>
                <w:szCs w:val="20"/>
              </w:rPr>
              <w:t>8.21</w:t>
            </w:r>
          </w:p>
        </w:tc>
        <w:tc>
          <w:tcPr>
            <w:tcW w:w="598" w:type="pct"/>
            <w:tcBorders>
              <w:top w:val="nil"/>
              <w:bottom w:val="nil"/>
            </w:tcBorders>
            <w:vAlign w:val="center"/>
          </w:tcPr>
          <w:p w:rsidR="005C12C9" w:rsidRDefault="005C12C9">
            <w:pPr>
              <w:jc w:val="center"/>
              <w:rPr>
                <w:rFonts w:cs="Arial"/>
                <w:sz w:val="20"/>
                <w:szCs w:val="20"/>
              </w:rPr>
            </w:pPr>
            <w:r>
              <w:rPr>
                <w:rFonts w:cs="Arial"/>
                <w:sz w:val="20"/>
                <w:szCs w:val="20"/>
              </w:rPr>
              <w:t>8.97</w:t>
            </w:r>
          </w:p>
        </w:tc>
        <w:tc>
          <w:tcPr>
            <w:tcW w:w="525" w:type="pct"/>
            <w:tcBorders>
              <w:top w:val="nil"/>
              <w:bottom w:val="nil"/>
            </w:tcBorders>
            <w:vAlign w:val="center"/>
          </w:tcPr>
          <w:p w:rsidR="005C12C9" w:rsidRDefault="005C12C9">
            <w:pPr>
              <w:jc w:val="center"/>
              <w:rPr>
                <w:rFonts w:cs="Arial"/>
                <w:sz w:val="20"/>
                <w:szCs w:val="20"/>
              </w:rPr>
            </w:pPr>
            <w:r>
              <w:rPr>
                <w:rFonts w:cs="Arial"/>
                <w:sz w:val="20"/>
                <w:szCs w:val="20"/>
              </w:rPr>
              <w:t>9.75</w:t>
            </w:r>
          </w:p>
        </w:tc>
        <w:tc>
          <w:tcPr>
            <w:tcW w:w="518" w:type="pct"/>
            <w:tcBorders>
              <w:top w:val="nil"/>
              <w:bottom w:val="nil"/>
            </w:tcBorders>
            <w:vAlign w:val="center"/>
          </w:tcPr>
          <w:p w:rsidR="005C12C9" w:rsidRDefault="005C12C9">
            <w:pPr>
              <w:jc w:val="center"/>
              <w:rPr>
                <w:rFonts w:cs="Arial"/>
                <w:sz w:val="20"/>
                <w:szCs w:val="20"/>
              </w:rPr>
            </w:pPr>
            <w:r>
              <w:rPr>
                <w:rFonts w:cs="Arial"/>
                <w:sz w:val="20"/>
                <w:szCs w:val="20"/>
              </w:rPr>
              <w:t>9.15</w:t>
            </w:r>
          </w:p>
        </w:tc>
        <w:tc>
          <w:tcPr>
            <w:tcW w:w="515" w:type="pct"/>
            <w:tcBorders>
              <w:top w:val="nil"/>
              <w:bottom w:val="nil"/>
            </w:tcBorders>
            <w:vAlign w:val="center"/>
          </w:tcPr>
          <w:p w:rsidR="005C12C9" w:rsidRDefault="005C12C9">
            <w:pPr>
              <w:jc w:val="center"/>
              <w:rPr>
                <w:rFonts w:cs="Arial"/>
                <w:sz w:val="20"/>
                <w:szCs w:val="20"/>
              </w:rPr>
            </w:pPr>
            <w:r>
              <w:rPr>
                <w:rFonts w:cs="Arial"/>
                <w:sz w:val="20"/>
                <w:szCs w:val="20"/>
              </w:rPr>
              <w:t>8.50</w:t>
            </w:r>
          </w:p>
        </w:tc>
        <w:tc>
          <w:tcPr>
            <w:tcW w:w="587" w:type="pct"/>
            <w:tcBorders>
              <w:top w:val="nil"/>
              <w:bottom w:val="nil"/>
            </w:tcBorders>
            <w:vAlign w:val="center"/>
          </w:tcPr>
          <w:p w:rsidR="005C12C9" w:rsidRDefault="005C12C9">
            <w:pPr>
              <w:jc w:val="center"/>
              <w:rPr>
                <w:rFonts w:cs="Arial"/>
                <w:sz w:val="20"/>
                <w:szCs w:val="20"/>
              </w:rPr>
            </w:pPr>
            <w:r>
              <w:rPr>
                <w:rFonts w:cs="Arial"/>
                <w:sz w:val="20"/>
                <w:szCs w:val="20"/>
              </w:rPr>
              <w:t>8.55</w:t>
            </w:r>
          </w:p>
        </w:tc>
      </w:tr>
      <w:tr w:rsidR="005C12C9"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5C12C9" w:rsidRDefault="005C12C9">
            <w:pPr>
              <w:rPr>
                <w:rFonts w:cs="Arial"/>
                <w:szCs w:val="20"/>
              </w:rPr>
            </w:pPr>
            <w:r>
              <w:rPr>
                <w:rFonts w:cs="Arial"/>
                <w:szCs w:val="20"/>
              </w:rPr>
              <w:t>Ex post quantity (TJ)</w:t>
            </w:r>
          </w:p>
        </w:tc>
        <w:tc>
          <w:tcPr>
            <w:tcW w:w="589" w:type="pct"/>
            <w:tcBorders>
              <w:top w:val="nil"/>
              <w:bottom w:val="single" w:sz="4" w:space="0" w:color="auto"/>
            </w:tcBorders>
            <w:vAlign w:val="center"/>
          </w:tcPr>
          <w:p w:rsidR="005C12C9" w:rsidRDefault="005C12C9">
            <w:pPr>
              <w:jc w:val="center"/>
              <w:rPr>
                <w:rFonts w:cs="Arial"/>
                <w:szCs w:val="20"/>
              </w:rPr>
            </w:pPr>
            <w:r>
              <w:rPr>
                <w:rFonts w:cs="Arial"/>
                <w:szCs w:val="20"/>
              </w:rPr>
              <w:t>76</w:t>
            </w:r>
          </w:p>
        </w:tc>
        <w:tc>
          <w:tcPr>
            <w:tcW w:w="516" w:type="pct"/>
            <w:tcBorders>
              <w:top w:val="nil"/>
              <w:bottom w:val="single" w:sz="4" w:space="0" w:color="auto"/>
            </w:tcBorders>
            <w:vAlign w:val="center"/>
          </w:tcPr>
          <w:p w:rsidR="005C12C9" w:rsidRDefault="005C12C9">
            <w:pPr>
              <w:jc w:val="center"/>
              <w:rPr>
                <w:rFonts w:cs="Arial"/>
                <w:szCs w:val="20"/>
              </w:rPr>
            </w:pPr>
            <w:r>
              <w:rPr>
                <w:rFonts w:cs="Arial"/>
                <w:szCs w:val="20"/>
              </w:rPr>
              <w:t>82</w:t>
            </w:r>
          </w:p>
        </w:tc>
        <w:tc>
          <w:tcPr>
            <w:tcW w:w="598" w:type="pct"/>
            <w:tcBorders>
              <w:top w:val="nil"/>
              <w:bottom w:val="single" w:sz="4" w:space="0" w:color="auto"/>
            </w:tcBorders>
            <w:vAlign w:val="center"/>
          </w:tcPr>
          <w:p w:rsidR="005C12C9" w:rsidRDefault="005C12C9">
            <w:pPr>
              <w:jc w:val="center"/>
              <w:rPr>
                <w:rFonts w:cs="Arial"/>
                <w:szCs w:val="20"/>
              </w:rPr>
            </w:pPr>
            <w:r>
              <w:rPr>
                <w:rFonts w:cs="Arial"/>
                <w:szCs w:val="20"/>
              </w:rPr>
              <w:t>89</w:t>
            </w:r>
          </w:p>
        </w:tc>
        <w:tc>
          <w:tcPr>
            <w:tcW w:w="525" w:type="pct"/>
            <w:tcBorders>
              <w:top w:val="nil"/>
              <w:bottom w:val="single" w:sz="4" w:space="0" w:color="auto"/>
            </w:tcBorders>
            <w:vAlign w:val="center"/>
          </w:tcPr>
          <w:p w:rsidR="005C12C9" w:rsidRDefault="005C12C9">
            <w:pPr>
              <w:jc w:val="center"/>
              <w:rPr>
                <w:rFonts w:cs="Arial"/>
                <w:szCs w:val="20"/>
              </w:rPr>
            </w:pPr>
            <w:r>
              <w:rPr>
                <w:rFonts w:cs="Arial"/>
                <w:szCs w:val="20"/>
              </w:rPr>
              <w:t>93</w:t>
            </w:r>
          </w:p>
        </w:tc>
        <w:tc>
          <w:tcPr>
            <w:tcW w:w="518" w:type="pct"/>
            <w:tcBorders>
              <w:top w:val="nil"/>
              <w:bottom w:val="single" w:sz="4" w:space="0" w:color="auto"/>
            </w:tcBorders>
            <w:vAlign w:val="center"/>
          </w:tcPr>
          <w:p w:rsidR="005C12C9" w:rsidRDefault="005C12C9">
            <w:pPr>
              <w:jc w:val="center"/>
              <w:rPr>
                <w:rFonts w:cs="Arial"/>
                <w:szCs w:val="20"/>
              </w:rPr>
            </w:pPr>
            <w:r>
              <w:rPr>
                <w:rFonts w:cs="Arial"/>
                <w:szCs w:val="20"/>
              </w:rPr>
              <w:t>90</w:t>
            </w:r>
          </w:p>
        </w:tc>
        <w:tc>
          <w:tcPr>
            <w:tcW w:w="515" w:type="pct"/>
            <w:tcBorders>
              <w:top w:val="nil"/>
              <w:bottom w:val="single" w:sz="4" w:space="0" w:color="auto"/>
            </w:tcBorders>
            <w:vAlign w:val="center"/>
          </w:tcPr>
          <w:p w:rsidR="005C12C9" w:rsidRDefault="005C12C9">
            <w:pPr>
              <w:jc w:val="center"/>
              <w:rPr>
                <w:rFonts w:cs="Arial"/>
                <w:szCs w:val="20"/>
              </w:rPr>
            </w:pPr>
            <w:r>
              <w:rPr>
                <w:rFonts w:cs="Arial"/>
                <w:szCs w:val="20"/>
              </w:rPr>
              <w:t>84</w:t>
            </w:r>
          </w:p>
        </w:tc>
        <w:tc>
          <w:tcPr>
            <w:tcW w:w="587" w:type="pct"/>
            <w:tcBorders>
              <w:top w:val="nil"/>
              <w:bottom w:val="single" w:sz="4" w:space="0" w:color="auto"/>
            </w:tcBorders>
            <w:vAlign w:val="center"/>
          </w:tcPr>
          <w:p w:rsidR="005C12C9" w:rsidRDefault="005C12C9">
            <w:pPr>
              <w:jc w:val="center"/>
              <w:rPr>
                <w:rFonts w:cs="Arial"/>
                <w:szCs w:val="20"/>
              </w:rPr>
            </w:pPr>
            <w:r>
              <w:rPr>
                <w:rFonts w:cs="Arial"/>
                <w:szCs w:val="20"/>
              </w:rPr>
              <w:t>70</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5C12C9" w:rsidP="00EC2CB1">
      <w:r w:rsidRPr="005C12C9">
        <w:rPr>
          <w:noProof/>
          <w:lang w:eastAsia="en-AU"/>
        </w:rPr>
        <w:drawing>
          <wp:inline distT="0" distB="0" distL="0" distR="0" wp14:anchorId="0F95D1C8" wp14:editId="019DB16A">
            <wp:extent cx="5731510" cy="1739923"/>
            <wp:effectExtent l="0" t="0" r="2540" b="0"/>
            <wp:docPr id="25" name="Picture 25" descr="Figure 3.2 shows the daily hub offers and bid in within certain price bands in Adelaide this week. The line indicates the scheduled quantity for each day. For a more detailed description of this figure, please refer to the user guide." title="Adelaide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5C12C9" w:rsidP="00EC2CB1">
      <w:r w:rsidRPr="005C12C9">
        <w:rPr>
          <w:noProof/>
          <w:lang w:eastAsia="en-AU"/>
        </w:rPr>
        <w:drawing>
          <wp:inline distT="0" distB="0" distL="0" distR="0" wp14:anchorId="19ABD520" wp14:editId="701BE724">
            <wp:extent cx="5731510" cy="1511607"/>
            <wp:effectExtent l="0" t="0" r="2540" b="0"/>
            <wp:docPr id="32" name="Picture 32" descr="Figure 3.3 shows the daily scheduled and allocated quantities sorted by facility for Adelaide this week. For a more detailed description of this figure, please refer to the user guide." title="Adelaide scheduled and allocated ga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5C12C9" w:rsidP="00A226E9">
      <w:r w:rsidRPr="005C12C9">
        <w:rPr>
          <w:noProof/>
          <w:lang w:eastAsia="en-AU"/>
        </w:rPr>
        <w:drawing>
          <wp:inline distT="0" distB="0" distL="0" distR="0" wp14:anchorId="797F5675" wp14:editId="2524D133">
            <wp:extent cx="5731510" cy="1802652"/>
            <wp:effectExtent l="0" t="0" r="2540" b="7620"/>
            <wp:docPr id="36" name="Picture 36"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5C12C9" w:rsidRPr="00405CDE" w:rsidTr="00A226E9">
        <w:trPr>
          <w:trHeight w:val="510"/>
        </w:trPr>
        <w:tc>
          <w:tcPr>
            <w:tcW w:w="1152" w:type="pct"/>
            <w:tcBorders>
              <w:top w:val="nil"/>
              <w:bottom w:val="nil"/>
            </w:tcBorders>
            <w:vAlign w:val="center"/>
          </w:tcPr>
          <w:p w:rsidR="005C12C9" w:rsidRDefault="005C12C9">
            <w:pPr>
              <w:rPr>
                <w:rFonts w:cs="Arial"/>
                <w:sz w:val="20"/>
                <w:szCs w:val="20"/>
              </w:rPr>
            </w:pPr>
            <w:r>
              <w:rPr>
                <w:rFonts w:cs="Arial"/>
                <w:sz w:val="20"/>
                <w:szCs w:val="20"/>
              </w:rPr>
              <w:t>Ex ante price ($/GJ)</w:t>
            </w:r>
          </w:p>
        </w:tc>
        <w:tc>
          <w:tcPr>
            <w:tcW w:w="589" w:type="pct"/>
            <w:tcBorders>
              <w:top w:val="nil"/>
              <w:bottom w:val="nil"/>
            </w:tcBorders>
            <w:vAlign w:val="center"/>
          </w:tcPr>
          <w:p w:rsidR="005C12C9" w:rsidRDefault="005C12C9">
            <w:pPr>
              <w:jc w:val="center"/>
              <w:rPr>
                <w:rFonts w:cs="Arial"/>
                <w:sz w:val="20"/>
                <w:szCs w:val="20"/>
              </w:rPr>
            </w:pPr>
            <w:r>
              <w:rPr>
                <w:rFonts w:cs="Arial"/>
                <w:sz w:val="20"/>
                <w:szCs w:val="20"/>
              </w:rPr>
              <w:t>6.89</w:t>
            </w:r>
          </w:p>
        </w:tc>
        <w:tc>
          <w:tcPr>
            <w:tcW w:w="516" w:type="pct"/>
            <w:tcBorders>
              <w:top w:val="nil"/>
              <w:bottom w:val="nil"/>
            </w:tcBorders>
            <w:vAlign w:val="center"/>
          </w:tcPr>
          <w:p w:rsidR="005C12C9" w:rsidRDefault="005C12C9">
            <w:pPr>
              <w:jc w:val="center"/>
              <w:rPr>
                <w:rFonts w:cs="Arial"/>
                <w:sz w:val="20"/>
                <w:szCs w:val="20"/>
              </w:rPr>
            </w:pPr>
            <w:r>
              <w:rPr>
                <w:rFonts w:cs="Arial"/>
                <w:sz w:val="20"/>
                <w:szCs w:val="20"/>
              </w:rPr>
              <w:t>7.25</w:t>
            </w:r>
          </w:p>
        </w:tc>
        <w:tc>
          <w:tcPr>
            <w:tcW w:w="598" w:type="pct"/>
            <w:tcBorders>
              <w:top w:val="nil"/>
              <w:bottom w:val="nil"/>
            </w:tcBorders>
            <w:vAlign w:val="center"/>
          </w:tcPr>
          <w:p w:rsidR="005C12C9" w:rsidRDefault="005C12C9">
            <w:pPr>
              <w:jc w:val="center"/>
              <w:rPr>
                <w:rFonts w:cs="Arial"/>
                <w:sz w:val="20"/>
                <w:szCs w:val="20"/>
              </w:rPr>
            </w:pPr>
            <w:r>
              <w:rPr>
                <w:rFonts w:cs="Arial"/>
                <w:sz w:val="20"/>
                <w:szCs w:val="20"/>
              </w:rPr>
              <w:t>6.78</w:t>
            </w:r>
          </w:p>
        </w:tc>
        <w:tc>
          <w:tcPr>
            <w:tcW w:w="525" w:type="pct"/>
            <w:tcBorders>
              <w:top w:val="nil"/>
              <w:bottom w:val="nil"/>
            </w:tcBorders>
            <w:vAlign w:val="center"/>
          </w:tcPr>
          <w:p w:rsidR="005C12C9" w:rsidRDefault="005C12C9">
            <w:pPr>
              <w:jc w:val="center"/>
              <w:rPr>
                <w:rFonts w:cs="Arial"/>
                <w:sz w:val="20"/>
                <w:szCs w:val="20"/>
              </w:rPr>
            </w:pPr>
            <w:r>
              <w:rPr>
                <w:rFonts w:cs="Arial"/>
                <w:sz w:val="20"/>
                <w:szCs w:val="20"/>
              </w:rPr>
              <w:t>6.79</w:t>
            </w:r>
          </w:p>
        </w:tc>
        <w:tc>
          <w:tcPr>
            <w:tcW w:w="518" w:type="pct"/>
            <w:tcBorders>
              <w:top w:val="nil"/>
              <w:bottom w:val="nil"/>
            </w:tcBorders>
            <w:vAlign w:val="center"/>
          </w:tcPr>
          <w:p w:rsidR="005C12C9" w:rsidRDefault="005C12C9">
            <w:pPr>
              <w:jc w:val="center"/>
              <w:rPr>
                <w:rFonts w:cs="Arial"/>
                <w:sz w:val="20"/>
                <w:szCs w:val="20"/>
              </w:rPr>
            </w:pPr>
            <w:r>
              <w:rPr>
                <w:rFonts w:cs="Arial"/>
                <w:sz w:val="20"/>
                <w:szCs w:val="20"/>
              </w:rPr>
              <w:t>6.51</w:t>
            </w:r>
          </w:p>
        </w:tc>
        <w:tc>
          <w:tcPr>
            <w:tcW w:w="515" w:type="pct"/>
            <w:tcBorders>
              <w:top w:val="nil"/>
              <w:bottom w:val="nil"/>
            </w:tcBorders>
            <w:vAlign w:val="center"/>
          </w:tcPr>
          <w:p w:rsidR="005C12C9" w:rsidRDefault="005C12C9">
            <w:pPr>
              <w:jc w:val="center"/>
              <w:rPr>
                <w:rFonts w:cs="Arial"/>
                <w:sz w:val="20"/>
                <w:szCs w:val="20"/>
              </w:rPr>
            </w:pPr>
            <w:r>
              <w:rPr>
                <w:rFonts w:cs="Arial"/>
                <w:sz w:val="20"/>
                <w:szCs w:val="20"/>
              </w:rPr>
              <w:t>6.75</w:t>
            </w:r>
          </w:p>
        </w:tc>
        <w:tc>
          <w:tcPr>
            <w:tcW w:w="587" w:type="pct"/>
            <w:tcBorders>
              <w:top w:val="nil"/>
              <w:bottom w:val="nil"/>
            </w:tcBorders>
            <w:vAlign w:val="center"/>
          </w:tcPr>
          <w:p w:rsidR="005C12C9" w:rsidRDefault="005C12C9">
            <w:pPr>
              <w:jc w:val="center"/>
              <w:rPr>
                <w:rFonts w:cs="Arial"/>
                <w:sz w:val="20"/>
                <w:szCs w:val="20"/>
              </w:rPr>
            </w:pPr>
            <w:r>
              <w:rPr>
                <w:rFonts w:cs="Arial"/>
                <w:sz w:val="20"/>
                <w:szCs w:val="20"/>
              </w:rPr>
              <w:t>7.01</w:t>
            </w:r>
          </w:p>
        </w:tc>
      </w:tr>
      <w:tr w:rsidR="005C12C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5C12C9" w:rsidRDefault="005C12C9">
            <w:pPr>
              <w:rPr>
                <w:rFonts w:cs="Arial"/>
                <w:szCs w:val="20"/>
              </w:rPr>
            </w:pPr>
            <w:r>
              <w:rPr>
                <w:rFonts w:cs="Arial"/>
                <w:szCs w:val="20"/>
              </w:rPr>
              <w:t>Ex ante quantity (TJ)</w:t>
            </w:r>
          </w:p>
        </w:tc>
        <w:tc>
          <w:tcPr>
            <w:tcW w:w="589" w:type="pct"/>
            <w:tcBorders>
              <w:top w:val="nil"/>
              <w:bottom w:val="nil"/>
            </w:tcBorders>
            <w:vAlign w:val="center"/>
          </w:tcPr>
          <w:p w:rsidR="005C12C9" w:rsidRDefault="005C12C9">
            <w:pPr>
              <w:jc w:val="center"/>
              <w:rPr>
                <w:rFonts w:cs="Arial"/>
                <w:szCs w:val="20"/>
              </w:rPr>
            </w:pPr>
            <w:r>
              <w:rPr>
                <w:rFonts w:cs="Arial"/>
                <w:szCs w:val="20"/>
              </w:rPr>
              <w:t>76</w:t>
            </w:r>
          </w:p>
        </w:tc>
        <w:tc>
          <w:tcPr>
            <w:tcW w:w="516" w:type="pct"/>
            <w:tcBorders>
              <w:top w:val="nil"/>
              <w:bottom w:val="nil"/>
            </w:tcBorders>
            <w:vAlign w:val="center"/>
          </w:tcPr>
          <w:p w:rsidR="005C12C9" w:rsidRDefault="005C12C9">
            <w:pPr>
              <w:jc w:val="center"/>
              <w:rPr>
                <w:rFonts w:cs="Arial"/>
                <w:szCs w:val="20"/>
              </w:rPr>
            </w:pPr>
            <w:r>
              <w:rPr>
                <w:rFonts w:cs="Arial"/>
                <w:szCs w:val="20"/>
              </w:rPr>
              <w:t>93</w:t>
            </w:r>
          </w:p>
        </w:tc>
        <w:tc>
          <w:tcPr>
            <w:tcW w:w="598" w:type="pct"/>
            <w:tcBorders>
              <w:top w:val="nil"/>
              <w:bottom w:val="nil"/>
            </w:tcBorders>
            <w:vAlign w:val="center"/>
          </w:tcPr>
          <w:p w:rsidR="005C12C9" w:rsidRDefault="005C12C9">
            <w:pPr>
              <w:jc w:val="center"/>
              <w:rPr>
                <w:rFonts w:cs="Arial"/>
                <w:szCs w:val="20"/>
              </w:rPr>
            </w:pPr>
            <w:r>
              <w:rPr>
                <w:rFonts w:cs="Arial"/>
                <w:szCs w:val="20"/>
              </w:rPr>
              <w:t>95</w:t>
            </w:r>
          </w:p>
        </w:tc>
        <w:tc>
          <w:tcPr>
            <w:tcW w:w="525" w:type="pct"/>
            <w:tcBorders>
              <w:top w:val="nil"/>
              <w:bottom w:val="nil"/>
            </w:tcBorders>
            <w:vAlign w:val="center"/>
          </w:tcPr>
          <w:p w:rsidR="005C12C9" w:rsidRDefault="005C12C9">
            <w:pPr>
              <w:jc w:val="center"/>
              <w:rPr>
                <w:rFonts w:cs="Arial"/>
                <w:szCs w:val="20"/>
              </w:rPr>
            </w:pPr>
            <w:r>
              <w:rPr>
                <w:rFonts w:cs="Arial"/>
                <w:szCs w:val="20"/>
              </w:rPr>
              <w:t>97</w:t>
            </w:r>
          </w:p>
        </w:tc>
        <w:tc>
          <w:tcPr>
            <w:tcW w:w="518" w:type="pct"/>
            <w:tcBorders>
              <w:top w:val="nil"/>
              <w:bottom w:val="nil"/>
            </w:tcBorders>
            <w:vAlign w:val="center"/>
          </w:tcPr>
          <w:p w:rsidR="005C12C9" w:rsidRDefault="005C12C9">
            <w:pPr>
              <w:jc w:val="center"/>
              <w:rPr>
                <w:rFonts w:cs="Arial"/>
                <w:szCs w:val="20"/>
              </w:rPr>
            </w:pPr>
            <w:r>
              <w:rPr>
                <w:rFonts w:cs="Arial"/>
                <w:szCs w:val="20"/>
              </w:rPr>
              <w:t>99</w:t>
            </w:r>
          </w:p>
        </w:tc>
        <w:tc>
          <w:tcPr>
            <w:tcW w:w="515" w:type="pct"/>
            <w:tcBorders>
              <w:top w:val="nil"/>
              <w:bottom w:val="nil"/>
            </w:tcBorders>
            <w:vAlign w:val="center"/>
          </w:tcPr>
          <w:p w:rsidR="005C12C9" w:rsidRDefault="005C12C9">
            <w:pPr>
              <w:jc w:val="center"/>
              <w:rPr>
                <w:rFonts w:cs="Arial"/>
                <w:szCs w:val="20"/>
              </w:rPr>
            </w:pPr>
            <w:r>
              <w:rPr>
                <w:rFonts w:cs="Arial"/>
                <w:szCs w:val="20"/>
              </w:rPr>
              <w:t>94</w:t>
            </w:r>
          </w:p>
        </w:tc>
        <w:tc>
          <w:tcPr>
            <w:tcW w:w="587" w:type="pct"/>
            <w:tcBorders>
              <w:top w:val="nil"/>
              <w:bottom w:val="nil"/>
            </w:tcBorders>
            <w:vAlign w:val="center"/>
          </w:tcPr>
          <w:p w:rsidR="005C12C9" w:rsidRDefault="005C12C9">
            <w:pPr>
              <w:jc w:val="center"/>
              <w:rPr>
                <w:rFonts w:cs="Arial"/>
                <w:szCs w:val="20"/>
              </w:rPr>
            </w:pPr>
            <w:r>
              <w:rPr>
                <w:rFonts w:cs="Arial"/>
                <w:szCs w:val="20"/>
              </w:rPr>
              <w:t>81</w:t>
            </w:r>
          </w:p>
        </w:tc>
      </w:tr>
      <w:tr w:rsidR="005C12C9" w:rsidRPr="00405CDE" w:rsidTr="00A226E9">
        <w:trPr>
          <w:trHeight w:val="510"/>
        </w:trPr>
        <w:tc>
          <w:tcPr>
            <w:tcW w:w="1152" w:type="pct"/>
            <w:tcBorders>
              <w:top w:val="nil"/>
              <w:bottom w:val="nil"/>
            </w:tcBorders>
            <w:vAlign w:val="center"/>
          </w:tcPr>
          <w:p w:rsidR="005C12C9" w:rsidRDefault="005C12C9">
            <w:pPr>
              <w:rPr>
                <w:rFonts w:cs="Arial"/>
                <w:sz w:val="20"/>
                <w:szCs w:val="20"/>
              </w:rPr>
            </w:pPr>
            <w:r>
              <w:rPr>
                <w:rFonts w:cs="Arial"/>
                <w:sz w:val="20"/>
                <w:szCs w:val="20"/>
              </w:rPr>
              <w:t>Ex post price ($/GJ)</w:t>
            </w:r>
          </w:p>
        </w:tc>
        <w:tc>
          <w:tcPr>
            <w:tcW w:w="589" w:type="pct"/>
            <w:tcBorders>
              <w:top w:val="nil"/>
              <w:bottom w:val="nil"/>
            </w:tcBorders>
            <w:vAlign w:val="center"/>
          </w:tcPr>
          <w:p w:rsidR="005C12C9" w:rsidRDefault="005C12C9">
            <w:pPr>
              <w:jc w:val="center"/>
              <w:rPr>
                <w:rFonts w:cs="Arial"/>
                <w:sz w:val="20"/>
                <w:szCs w:val="20"/>
              </w:rPr>
            </w:pPr>
            <w:r>
              <w:rPr>
                <w:rFonts w:cs="Arial"/>
                <w:sz w:val="20"/>
                <w:szCs w:val="20"/>
              </w:rPr>
              <w:t>7.20</w:t>
            </w:r>
          </w:p>
        </w:tc>
        <w:tc>
          <w:tcPr>
            <w:tcW w:w="516" w:type="pct"/>
            <w:tcBorders>
              <w:top w:val="nil"/>
              <w:bottom w:val="nil"/>
            </w:tcBorders>
            <w:vAlign w:val="center"/>
          </w:tcPr>
          <w:p w:rsidR="005C12C9" w:rsidRDefault="005C12C9">
            <w:pPr>
              <w:jc w:val="center"/>
              <w:rPr>
                <w:rFonts w:cs="Arial"/>
                <w:sz w:val="20"/>
                <w:szCs w:val="20"/>
              </w:rPr>
            </w:pPr>
            <w:r>
              <w:rPr>
                <w:rFonts w:cs="Arial"/>
                <w:sz w:val="20"/>
                <w:szCs w:val="20"/>
              </w:rPr>
              <w:t>7.35</w:t>
            </w:r>
          </w:p>
        </w:tc>
        <w:tc>
          <w:tcPr>
            <w:tcW w:w="598" w:type="pct"/>
            <w:tcBorders>
              <w:top w:val="nil"/>
              <w:bottom w:val="nil"/>
            </w:tcBorders>
            <w:vAlign w:val="center"/>
          </w:tcPr>
          <w:p w:rsidR="005C12C9" w:rsidRDefault="005C12C9">
            <w:pPr>
              <w:jc w:val="center"/>
              <w:rPr>
                <w:rFonts w:cs="Arial"/>
                <w:sz w:val="20"/>
                <w:szCs w:val="20"/>
              </w:rPr>
            </w:pPr>
            <w:r>
              <w:rPr>
                <w:rFonts w:cs="Arial"/>
                <w:sz w:val="20"/>
                <w:szCs w:val="20"/>
              </w:rPr>
              <w:t>7.33</w:t>
            </w:r>
          </w:p>
        </w:tc>
        <w:tc>
          <w:tcPr>
            <w:tcW w:w="525" w:type="pct"/>
            <w:tcBorders>
              <w:top w:val="nil"/>
              <w:bottom w:val="nil"/>
            </w:tcBorders>
            <w:vAlign w:val="center"/>
          </w:tcPr>
          <w:p w:rsidR="005C12C9" w:rsidRDefault="005C12C9">
            <w:pPr>
              <w:jc w:val="center"/>
              <w:rPr>
                <w:rFonts w:cs="Arial"/>
                <w:sz w:val="20"/>
                <w:szCs w:val="20"/>
              </w:rPr>
            </w:pPr>
            <w:r>
              <w:rPr>
                <w:rFonts w:cs="Arial"/>
                <w:sz w:val="20"/>
                <w:szCs w:val="20"/>
              </w:rPr>
              <w:t>7.19</w:t>
            </w:r>
          </w:p>
        </w:tc>
        <w:tc>
          <w:tcPr>
            <w:tcW w:w="518" w:type="pct"/>
            <w:tcBorders>
              <w:top w:val="nil"/>
              <w:bottom w:val="nil"/>
            </w:tcBorders>
            <w:vAlign w:val="center"/>
          </w:tcPr>
          <w:p w:rsidR="005C12C9" w:rsidRDefault="005C12C9">
            <w:pPr>
              <w:jc w:val="center"/>
              <w:rPr>
                <w:rFonts w:cs="Arial"/>
                <w:sz w:val="20"/>
                <w:szCs w:val="20"/>
              </w:rPr>
            </w:pPr>
            <w:r>
              <w:rPr>
                <w:rFonts w:cs="Arial"/>
                <w:sz w:val="20"/>
                <w:szCs w:val="20"/>
              </w:rPr>
              <w:t>6.51</w:t>
            </w:r>
          </w:p>
        </w:tc>
        <w:tc>
          <w:tcPr>
            <w:tcW w:w="515" w:type="pct"/>
            <w:tcBorders>
              <w:top w:val="nil"/>
              <w:bottom w:val="nil"/>
            </w:tcBorders>
            <w:vAlign w:val="center"/>
          </w:tcPr>
          <w:p w:rsidR="005C12C9" w:rsidRDefault="005C12C9">
            <w:pPr>
              <w:jc w:val="center"/>
              <w:rPr>
                <w:rFonts w:cs="Arial"/>
                <w:sz w:val="20"/>
                <w:szCs w:val="20"/>
              </w:rPr>
            </w:pPr>
            <w:r>
              <w:rPr>
                <w:rFonts w:cs="Arial"/>
                <w:sz w:val="20"/>
                <w:szCs w:val="20"/>
              </w:rPr>
              <w:t>6.50</w:t>
            </w:r>
          </w:p>
        </w:tc>
        <w:tc>
          <w:tcPr>
            <w:tcW w:w="587" w:type="pct"/>
            <w:tcBorders>
              <w:top w:val="nil"/>
              <w:bottom w:val="nil"/>
            </w:tcBorders>
            <w:vAlign w:val="center"/>
          </w:tcPr>
          <w:p w:rsidR="005C12C9" w:rsidRDefault="005C12C9">
            <w:pPr>
              <w:jc w:val="center"/>
              <w:rPr>
                <w:rFonts w:cs="Arial"/>
                <w:sz w:val="20"/>
                <w:szCs w:val="20"/>
              </w:rPr>
            </w:pPr>
            <w:r>
              <w:rPr>
                <w:rFonts w:cs="Arial"/>
                <w:sz w:val="20"/>
                <w:szCs w:val="20"/>
              </w:rPr>
              <w:t>7.20</w:t>
            </w:r>
          </w:p>
        </w:tc>
      </w:tr>
      <w:tr w:rsidR="005C12C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5C12C9" w:rsidRDefault="005C12C9">
            <w:pPr>
              <w:rPr>
                <w:rFonts w:cs="Arial"/>
                <w:szCs w:val="20"/>
              </w:rPr>
            </w:pPr>
            <w:r>
              <w:rPr>
                <w:rFonts w:cs="Arial"/>
                <w:szCs w:val="20"/>
              </w:rPr>
              <w:t>Ex post quantity (TJ)</w:t>
            </w:r>
          </w:p>
        </w:tc>
        <w:tc>
          <w:tcPr>
            <w:tcW w:w="589" w:type="pct"/>
            <w:tcBorders>
              <w:top w:val="nil"/>
              <w:bottom w:val="single" w:sz="4" w:space="0" w:color="auto"/>
            </w:tcBorders>
            <w:vAlign w:val="center"/>
          </w:tcPr>
          <w:p w:rsidR="005C12C9" w:rsidRDefault="005C12C9">
            <w:pPr>
              <w:jc w:val="center"/>
              <w:rPr>
                <w:rFonts w:cs="Arial"/>
                <w:szCs w:val="20"/>
              </w:rPr>
            </w:pPr>
            <w:r>
              <w:rPr>
                <w:rFonts w:cs="Arial"/>
                <w:szCs w:val="20"/>
              </w:rPr>
              <w:t>82</w:t>
            </w:r>
          </w:p>
        </w:tc>
        <w:tc>
          <w:tcPr>
            <w:tcW w:w="516" w:type="pct"/>
            <w:tcBorders>
              <w:top w:val="nil"/>
              <w:bottom w:val="single" w:sz="4" w:space="0" w:color="auto"/>
            </w:tcBorders>
            <w:vAlign w:val="center"/>
          </w:tcPr>
          <w:p w:rsidR="005C12C9" w:rsidRDefault="005C12C9">
            <w:pPr>
              <w:jc w:val="center"/>
              <w:rPr>
                <w:rFonts w:cs="Arial"/>
                <w:szCs w:val="20"/>
              </w:rPr>
            </w:pPr>
            <w:r>
              <w:rPr>
                <w:rFonts w:cs="Arial"/>
                <w:szCs w:val="20"/>
              </w:rPr>
              <w:t>96</w:t>
            </w:r>
          </w:p>
        </w:tc>
        <w:tc>
          <w:tcPr>
            <w:tcW w:w="598" w:type="pct"/>
            <w:tcBorders>
              <w:top w:val="nil"/>
              <w:bottom w:val="single" w:sz="4" w:space="0" w:color="auto"/>
            </w:tcBorders>
            <w:vAlign w:val="center"/>
          </w:tcPr>
          <w:p w:rsidR="005C12C9" w:rsidRDefault="005C12C9">
            <w:pPr>
              <w:jc w:val="center"/>
              <w:rPr>
                <w:rFonts w:cs="Arial"/>
                <w:szCs w:val="20"/>
              </w:rPr>
            </w:pPr>
            <w:r>
              <w:rPr>
                <w:rFonts w:cs="Arial"/>
                <w:szCs w:val="20"/>
              </w:rPr>
              <w:t>99</w:t>
            </w:r>
          </w:p>
        </w:tc>
        <w:tc>
          <w:tcPr>
            <w:tcW w:w="525" w:type="pct"/>
            <w:tcBorders>
              <w:top w:val="nil"/>
              <w:bottom w:val="single" w:sz="4" w:space="0" w:color="auto"/>
            </w:tcBorders>
            <w:vAlign w:val="center"/>
          </w:tcPr>
          <w:p w:rsidR="005C12C9" w:rsidRDefault="005C12C9">
            <w:pPr>
              <w:jc w:val="center"/>
              <w:rPr>
                <w:rFonts w:cs="Arial"/>
                <w:szCs w:val="20"/>
              </w:rPr>
            </w:pPr>
            <w:r>
              <w:rPr>
                <w:rFonts w:cs="Arial"/>
                <w:szCs w:val="20"/>
              </w:rPr>
              <w:t>100</w:t>
            </w:r>
          </w:p>
        </w:tc>
        <w:tc>
          <w:tcPr>
            <w:tcW w:w="518" w:type="pct"/>
            <w:tcBorders>
              <w:top w:val="nil"/>
              <w:bottom w:val="single" w:sz="4" w:space="0" w:color="auto"/>
            </w:tcBorders>
            <w:vAlign w:val="center"/>
          </w:tcPr>
          <w:p w:rsidR="005C12C9" w:rsidRDefault="005C12C9">
            <w:pPr>
              <w:jc w:val="center"/>
              <w:rPr>
                <w:rFonts w:cs="Arial"/>
                <w:szCs w:val="20"/>
              </w:rPr>
            </w:pPr>
            <w:r>
              <w:rPr>
                <w:rFonts w:cs="Arial"/>
                <w:szCs w:val="20"/>
              </w:rPr>
              <w:t>97</w:t>
            </w:r>
          </w:p>
        </w:tc>
        <w:tc>
          <w:tcPr>
            <w:tcW w:w="515" w:type="pct"/>
            <w:tcBorders>
              <w:top w:val="nil"/>
              <w:bottom w:val="single" w:sz="4" w:space="0" w:color="auto"/>
            </w:tcBorders>
            <w:vAlign w:val="center"/>
          </w:tcPr>
          <w:p w:rsidR="005C12C9" w:rsidRDefault="005C12C9">
            <w:pPr>
              <w:jc w:val="center"/>
              <w:rPr>
                <w:rFonts w:cs="Arial"/>
                <w:szCs w:val="20"/>
              </w:rPr>
            </w:pPr>
            <w:r>
              <w:rPr>
                <w:rFonts w:cs="Arial"/>
                <w:szCs w:val="20"/>
              </w:rPr>
              <w:t>92</w:t>
            </w:r>
          </w:p>
        </w:tc>
        <w:tc>
          <w:tcPr>
            <w:tcW w:w="587" w:type="pct"/>
            <w:tcBorders>
              <w:top w:val="nil"/>
              <w:bottom w:val="single" w:sz="4" w:space="0" w:color="auto"/>
            </w:tcBorders>
            <w:vAlign w:val="center"/>
          </w:tcPr>
          <w:p w:rsidR="005C12C9" w:rsidRDefault="005C12C9">
            <w:pPr>
              <w:jc w:val="center"/>
              <w:rPr>
                <w:rFonts w:cs="Arial"/>
                <w:szCs w:val="20"/>
              </w:rPr>
            </w:pPr>
            <w:r>
              <w:rPr>
                <w:rFonts w:cs="Arial"/>
                <w:szCs w:val="20"/>
              </w:rPr>
              <w:t>83</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5C12C9" w:rsidP="00EC2CB1">
      <w:r w:rsidRPr="005C12C9">
        <w:rPr>
          <w:noProof/>
          <w:lang w:eastAsia="en-AU"/>
        </w:rPr>
        <w:drawing>
          <wp:inline distT="0" distB="0" distL="0" distR="0" wp14:anchorId="107A4D66" wp14:editId="3EF7FA8D">
            <wp:extent cx="5731510" cy="1725905"/>
            <wp:effectExtent l="0" t="0" r="2540" b="0"/>
            <wp:docPr id="20" name="Picture 20" descr="Figure 4.2 shows the daily hub offers and bid in within certain price bands in Brisbane this week. The line indicates the scheduled quantity for each day. For a more detailed description of this figure, please refer to the user guide." title="Brisbane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5C12C9" w:rsidP="00EC2CB1">
      <w:r w:rsidRPr="005C12C9">
        <w:rPr>
          <w:noProof/>
          <w:lang w:eastAsia="en-AU"/>
        </w:rPr>
        <w:drawing>
          <wp:inline distT="0" distB="0" distL="0" distR="0" wp14:anchorId="4A53CB6A" wp14:editId="0BAF7355">
            <wp:extent cx="5731510" cy="1475616"/>
            <wp:effectExtent l="0" t="0" r="2540" b="0"/>
            <wp:docPr id="34" name="Picture 34" descr="Figure 4.3 shows the daily scheduled and allocated quantities sorted by facility for Brisbane this week. For a more detailed description of this figure, please refer to the user guide." title="Brisbane scheduled and allocated ga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5C12C9" w:rsidP="00A226E9">
      <w:r w:rsidRPr="005C12C9">
        <w:rPr>
          <w:noProof/>
          <w:lang w:eastAsia="en-AU"/>
        </w:rPr>
        <w:drawing>
          <wp:inline distT="0" distB="0" distL="0" distR="0" wp14:anchorId="64E844D7" wp14:editId="3DA5D874">
            <wp:extent cx="5731510" cy="1883137"/>
            <wp:effectExtent l="0" t="0" r="2540" b="3175"/>
            <wp:docPr id="35" name="Picture 35"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1"/>
      </w:r>
    </w:p>
    <w:p w:rsidR="00665C0C" w:rsidRDefault="005C12C9" w:rsidP="00596DE3">
      <w:pPr>
        <w:spacing w:line="240" w:lineRule="auto"/>
      </w:pPr>
      <w:r w:rsidRPr="005C12C9">
        <w:rPr>
          <w:noProof/>
          <w:lang w:eastAsia="en-AU"/>
        </w:rPr>
        <w:drawing>
          <wp:inline distT="0" distB="0" distL="0" distR="0" wp14:anchorId="1E6DA6A5" wp14:editId="6F9ECCDF">
            <wp:extent cx="5731510" cy="6276637"/>
            <wp:effectExtent l="0" t="0" r="2540" b="0"/>
            <wp:docPr id="38" name="Picture 38"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bulletin boar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76637"/>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2"/>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AC4BF5" w:rsidRDefault="00366910" w:rsidP="00551D6B">
      <w:pPr>
        <w:jc w:val="both"/>
      </w:pPr>
      <w:r w:rsidRPr="00F94704">
        <w:t xml:space="preserve">This week there were </w:t>
      </w:r>
      <w:r w:rsidR="00F94704" w:rsidRPr="00F94704">
        <w:t>46</w:t>
      </w:r>
      <w:r w:rsidRPr="00F94704">
        <w:t xml:space="preserve"> trades for 7</w:t>
      </w:r>
      <w:r w:rsidR="00F94704" w:rsidRPr="00F94704">
        <w:t>48</w:t>
      </w:r>
      <w:r w:rsidRPr="00F94704">
        <w:t> TJ of gas at a volume weighted price of $</w:t>
      </w:r>
      <w:r w:rsidR="00F94704" w:rsidRPr="00F94704">
        <w:t>7.8</w:t>
      </w:r>
      <w:r w:rsidRPr="00F94704">
        <w:t xml:space="preserve">7/GJ. These consisted of </w:t>
      </w:r>
      <w:r w:rsidR="00F94704" w:rsidRPr="00F94704">
        <w:t>34</w:t>
      </w:r>
      <w:r w:rsidRPr="00F94704">
        <w:t xml:space="preserve"> trades at WAL (6</w:t>
      </w:r>
      <w:r w:rsidR="00F94704" w:rsidRPr="00F94704">
        <w:t>76</w:t>
      </w:r>
      <w:r w:rsidRPr="00F94704">
        <w:t> TJ at $</w:t>
      </w:r>
      <w:r w:rsidR="00F94704" w:rsidRPr="00F94704">
        <w:t>7.97</w:t>
      </w:r>
      <w:r w:rsidRPr="00F94704">
        <w:t xml:space="preserve">/GJ) and </w:t>
      </w:r>
      <w:r w:rsidR="00F94704" w:rsidRPr="00F94704">
        <w:t>12</w:t>
      </w:r>
      <w:r w:rsidRPr="00F94704">
        <w:t xml:space="preserve"> trades at SEQ (</w:t>
      </w:r>
      <w:r w:rsidR="00F94704" w:rsidRPr="00F94704">
        <w:t>72</w:t>
      </w:r>
      <w:r w:rsidRPr="00F94704">
        <w:t> TJ at $</w:t>
      </w:r>
      <w:r w:rsidR="00F94704" w:rsidRPr="00F94704">
        <w:t>6.9</w:t>
      </w:r>
      <w:r w:rsidR="00280703">
        <w:t>1</w:t>
      </w:r>
      <w:r w:rsidRPr="00F94704">
        <w:t>/GJ).</w:t>
      </w:r>
    </w:p>
    <w:p w:rsidR="00F94704" w:rsidRPr="00F94704" w:rsidRDefault="00533415" w:rsidP="00551D6B">
      <w:pPr>
        <w:jc w:val="both"/>
      </w:pPr>
      <w:r>
        <w:t xml:space="preserve">On </w:t>
      </w:r>
      <w:r w:rsidR="00915443">
        <w:t>23 </w:t>
      </w:r>
      <w:r>
        <w:t>June, t</w:t>
      </w:r>
      <w:r w:rsidR="00F94704">
        <w:t xml:space="preserve">here were three </w:t>
      </w:r>
      <w:r w:rsidR="00915443">
        <w:t xml:space="preserve">intra-day </w:t>
      </w:r>
      <w:r w:rsidR="00F94704">
        <w:t xml:space="preserve">spread product trades for </w:t>
      </w:r>
      <w:r>
        <w:t>a total of 17 TJ of gas supply from SEQ matched to gas demand at WAL</w:t>
      </w:r>
      <w:r w:rsidR="002F4798">
        <w:t>,</w:t>
      </w:r>
      <w:r>
        <w:t xml:space="preserve"> at a spread price of $0.45/GJ. This follows the first spread product trade </w:t>
      </w:r>
      <w:r w:rsidR="00104547">
        <w:t xml:space="preserve">reported in </w:t>
      </w:r>
      <w:r>
        <w:t>the previous week</w:t>
      </w:r>
      <w:r w:rsidR="00104547">
        <w:t>ly report (</w:t>
      </w:r>
      <w:hyperlink r:id="rId32" w:history="1">
        <w:r w:rsidR="00104547" w:rsidRPr="00F3111A">
          <w:rPr>
            <w:rStyle w:val="Hyperlink"/>
          </w:rPr>
          <w:t>11-17</w:t>
        </w:r>
        <w:r w:rsidR="00104547">
          <w:rPr>
            <w:rStyle w:val="Hyperlink"/>
          </w:rPr>
          <w:t xml:space="preserve"> J</w:t>
        </w:r>
        <w:r w:rsidR="00104547" w:rsidRPr="00F3111A">
          <w:rPr>
            <w:rStyle w:val="Hyperlink"/>
          </w:rPr>
          <w:t>une</w:t>
        </w:r>
      </w:hyperlink>
      <w:r w:rsidR="00104547">
        <w:t>)</w:t>
      </w:r>
      <w:r>
        <w:t>.</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3"/>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4A63BC" w:rsidP="00E16EDC">
      <w:r w:rsidRPr="004A63BC">
        <w:rPr>
          <w:noProof/>
          <w:lang w:eastAsia="en-AU"/>
        </w:rPr>
        <w:drawing>
          <wp:inline distT="0" distB="0" distL="0" distR="0" wp14:anchorId="3A268B69" wp14:editId="73BF137B">
            <wp:extent cx="5731510" cy="3122393"/>
            <wp:effectExtent l="0" t="0" r="2540" b="1905"/>
            <wp:docPr id="5" name="Picture 5"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t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122393"/>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CF6AC8">
        <w:t>June</w:t>
      </w:r>
      <w:r w:rsidR="00F94704" w:rsidRPr="00CF6AC8">
        <w:t xml:space="preserve"> </w:t>
      </w:r>
      <w:r w:rsidR="00C4712A" w:rsidRPr="00CF6AC8">
        <w:t>20</w:t>
      </w:r>
      <w:r w:rsidR="00280CAF" w:rsidRPr="00CF6AC8">
        <w:t>17</w:t>
      </w:r>
      <w:bookmarkStart w:id="6" w:name="_GoBack"/>
      <w:bookmarkEnd w:id="6"/>
    </w:p>
    <w:sectPr w:rsidR="00275002" w:rsidRPr="009F2CAC" w:rsidSect="00A226E9">
      <w:footerReference w:type="even" r:id="rId34"/>
      <w:footerReference w:type="default" r:id="rId35"/>
      <w:footerReference w:type="first" r:id="rId36"/>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600" w:rsidRDefault="00674600" w:rsidP="004B4412">
      <w:pPr>
        <w:spacing w:before="0"/>
      </w:pPr>
      <w:r>
        <w:separator/>
      </w:r>
    </w:p>
  </w:endnote>
  <w:endnote w:type="continuationSeparator" w:id="0">
    <w:p w:rsidR="00674600" w:rsidRDefault="00674600"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00" w:rsidRPr="00A91A9E" w:rsidRDefault="00674600"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674600" w:rsidRDefault="00674600"/>
  <w:p w:rsidR="00674600" w:rsidRDefault="006746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00" w:rsidRPr="00A94D89" w:rsidRDefault="00674600"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280703">
      <w:rPr>
        <w:rFonts w:cs="Arial"/>
        <w:i/>
        <w:noProof/>
      </w:rPr>
      <w:t>11</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600" w:rsidRPr="00A94D89" w:rsidRDefault="00674600"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280703">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sidR="00876B9C">
      <w:rPr>
        <w:rFonts w:cs="Arial"/>
        <w:i/>
        <w:szCs w:val="18"/>
      </w:rPr>
      <w:t>89106</w:t>
    </w:r>
  </w:p>
  <w:p w:rsidR="00674600" w:rsidRDefault="006746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600" w:rsidRDefault="00674600" w:rsidP="004B4412">
      <w:pPr>
        <w:spacing w:before="0"/>
      </w:pPr>
      <w:r>
        <w:separator/>
      </w:r>
    </w:p>
  </w:footnote>
  <w:footnote w:type="continuationSeparator" w:id="0">
    <w:p w:rsidR="00674600" w:rsidRDefault="00674600" w:rsidP="004B4412">
      <w:pPr>
        <w:spacing w:before="0"/>
      </w:pPr>
      <w:r>
        <w:continuationSeparator/>
      </w:r>
    </w:p>
  </w:footnote>
  <w:footnote w:id="1">
    <w:p w:rsidR="00674600" w:rsidRPr="000835F4" w:rsidRDefault="00674600"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2">
    <w:p w:rsidR="00674600" w:rsidRPr="000835F4" w:rsidRDefault="00674600"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sidR="00C370D1">
        <w:rPr>
          <w:szCs w:val="16"/>
        </w:rPr>
        <w:t>, South East Queensland and Wallumbilla</w:t>
      </w:r>
      <w:r w:rsidRPr="00EC137F">
        <w:rPr>
          <w:szCs w:val="16"/>
        </w:rPr>
        <w:t xml:space="preserve"> are volume weighted average </w:t>
      </w:r>
      <w:r w:rsidR="00A72667">
        <w:rPr>
          <w:szCs w:val="16"/>
        </w:rPr>
        <w:t xml:space="preserve">(VWA) </w:t>
      </w:r>
      <w:r w:rsidRPr="00EC137F">
        <w:rPr>
          <w:szCs w:val="16"/>
        </w:rPr>
        <w:t>prices for all products traded across the period. The total quantity contributing to the weighted price is displayed for these GSH.</w:t>
      </w:r>
      <w:r w:rsidR="00C370D1">
        <w:rPr>
          <w:szCs w:val="16"/>
        </w:rPr>
        <w:t xml:space="preserve"> Reported values for Moomba are the aggregate of trades on the Moomba to Adelaide Pipeline (MAP) and the Moomba to Sydney Pipeline (MSP).</w:t>
      </w:r>
      <w:r w:rsidR="00B64331">
        <w:rPr>
          <w:szCs w:val="16"/>
        </w:rPr>
        <w:t xml:space="preserve"> Historic trades for RBP and SWQP are grouped under WAL, (including in-pipe trades on the RBP).</w:t>
      </w:r>
    </w:p>
  </w:footnote>
  <w:footnote w:id="3">
    <w:p w:rsidR="00674600" w:rsidRPr="00EC2CB1" w:rsidRDefault="00674600"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674600" w:rsidRPr="00EC2CB1" w:rsidRDefault="00674600"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674600" w:rsidRPr="00EC2CB1" w:rsidRDefault="00674600"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674600" w:rsidRPr="00551D6B" w:rsidRDefault="00674600"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674600" w:rsidRPr="00551D6B" w:rsidRDefault="00674600"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674600" w:rsidRPr="00552F68" w:rsidRDefault="00674600"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674600" w:rsidRPr="0087350F" w:rsidRDefault="00674600"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w:t>
      </w:r>
      <w:proofErr w:type="gramStart"/>
      <w:r w:rsidRPr="0087350F">
        <w:rPr>
          <w:szCs w:val="16"/>
        </w:rPr>
        <w:t>interconnect</w:t>
      </w:r>
      <w:proofErr w:type="gramEnd"/>
      <w:r w:rsidRPr="0087350F">
        <w:rPr>
          <w:szCs w:val="16"/>
        </w:rPr>
        <w:t xml:space="preserve">’);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674600" w:rsidRPr="0087350F" w:rsidRDefault="00674600"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674600" w:rsidRPr="0087350F" w:rsidRDefault="00674600"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0">
    <w:p w:rsidR="00674600" w:rsidRPr="0087350F" w:rsidRDefault="00674600"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1">
    <w:p w:rsidR="00674600" w:rsidRDefault="00674600"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2">
    <w:p w:rsidR="00674600" w:rsidRDefault="00674600"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3">
    <w:p w:rsidR="00674600" w:rsidRDefault="00674600"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drae\20170618 - 20170624 gas weekly report (D2017-00089106).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5F7"/>
    <w:rsid w:val="00041A89"/>
    <w:rsid w:val="000422AB"/>
    <w:rsid w:val="00043385"/>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4547"/>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0703"/>
    <w:rsid w:val="00280CAF"/>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1DE"/>
    <w:rsid w:val="002D484E"/>
    <w:rsid w:val="002D4A1F"/>
    <w:rsid w:val="002E29A0"/>
    <w:rsid w:val="002E5E33"/>
    <w:rsid w:val="002E6254"/>
    <w:rsid w:val="002E64AB"/>
    <w:rsid w:val="002E6AEA"/>
    <w:rsid w:val="002F02A4"/>
    <w:rsid w:val="002F22FD"/>
    <w:rsid w:val="002F2481"/>
    <w:rsid w:val="002F3D02"/>
    <w:rsid w:val="002F4798"/>
    <w:rsid w:val="002F4F34"/>
    <w:rsid w:val="002F7986"/>
    <w:rsid w:val="00300C0B"/>
    <w:rsid w:val="00302D83"/>
    <w:rsid w:val="00303DCF"/>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66910"/>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A63BC"/>
    <w:rsid w:val="004B104F"/>
    <w:rsid w:val="004B1708"/>
    <w:rsid w:val="004B231C"/>
    <w:rsid w:val="004B42A7"/>
    <w:rsid w:val="004B4412"/>
    <w:rsid w:val="004B5B3F"/>
    <w:rsid w:val="004C28B2"/>
    <w:rsid w:val="004C348C"/>
    <w:rsid w:val="004C4E90"/>
    <w:rsid w:val="004C4FDB"/>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3415"/>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3A15"/>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12C9"/>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13E"/>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4DD0"/>
    <w:rsid w:val="00746063"/>
    <w:rsid w:val="00746E01"/>
    <w:rsid w:val="00747D2F"/>
    <w:rsid w:val="00751821"/>
    <w:rsid w:val="007532DD"/>
    <w:rsid w:val="00753ADA"/>
    <w:rsid w:val="00760B4D"/>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76B9C"/>
    <w:rsid w:val="008837AC"/>
    <w:rsid w:val="00884D30"/>
    <w:rsid w:val="0088604D"/>
    <w:rsid w:val="00886662"/>
    <w:rsid w:val="00886BAB"/>
    <w:rsid w:val="00886CEC"/>
    <w:rsid w:val="00886FA8"/>
    <w:rsid w:val="00887EBF"/>
    <w:rsid w:val="00887FB8"/>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443"/>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2667"/>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164D"/>
    <w:rsid w:val="00AF3A41"/>
    <w:rsid w:val="00AF46F3"/>
    <w:rsid w:val="00AF66A7"/>
    <w:rsid w:val="00AF7058"/>
    <w:rsid w:val="00AF7C0E"/>
    <w:rsid w:val="00B01BD3"/>
    <w:rsid w:val="00B02ED5"/>
    <w:rsid w:val="00B03817"/>
    <w:rsid w:val="00B050A6"/>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331"/>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2DFD"/>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88"/>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AC8"/>
    <w:rsid w:val="00CF6F3C"/>
    <w:rsid w:val="00CF7D47"/>
    <w:rsid w:val="00D01CF0"/>
    <w:rsid w:val="00D0442A"/>
    <w:rsid w:val="00D05840"/>
    <w:rsid w:val="00D07128"/>
    <w:rsid w:val="00D10120"/>
    <w:rsid w:val="00D10831"/>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52AB"/>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1E8E"/>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5D65"/>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3F"/>
    <w:rsid w:val="00E25B8C"/>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64C2"/>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A6F25"/>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0DB1"/>
    <w:rsid w:val="00ED3C5B"/>
    <w:rsid w:val="00ED4A25"/>
    <w:rsid w:val="00ED6E24"/>
    <w:rsid w:val="00ED759C"/>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771"/>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477C2"/>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6B3"/>
    <w:rsid w:val="00F77D49"/>
    <w:rsid w:val="00F8021A"/>
    <w:rsid w:val="00F805F3"/>
    <w:rsid w:val="00F83FAD"/>
    <w:rsid w:val="00F87EBA"/>
    <w:rsid w:val="00F90A80"/>
    <w:rsid w:val="00F91BC0"/>
    <w:rsid w:val="00F93027"/>
    <w:rsid w:val="00F946BA"/>
    <w:rsid w:val="00F94704"/>
    <w:rsid w:val="00F94788"/>
    <w:rsid w:val="00F952A0"/>
    <w:rsid w:val="00F965FC"/>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hyperlink" Target="https://www.aer.gov.au/wholesale-markets/market-performance/gas-report-11-17-june-2017" TargetMode="Externa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BD2131-9984-4F69-94A4-55EE5AD2E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1DDE23CB.dotm</Template>
  <TotalTime>0</TotalTime>
  <Pages>11</Pages>
  <Words>1627</Words>
  <Characters>9276</Characters>
  <Application>Microsoft Office Word</Application>
  <DocSecurity>0</DocSecurity>
  <Lines>77</Lines>
  <Paragraphs>21</Paragraphs>
  <ScaleCrop>false</ScaleCrop>
  <LinksUpToDate>false</LinksUpToDate>
  <CharactersWithSpaces>10882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2017-08-01T06:15:00Z</dcterms:created>
  <dcterms:modified xsi:type="dcterms:W3CDTF">2017-08-01T06:32:00Z</dcterms:modified>
</cp:coreProperties>
</file>