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EF8" w:rsidRPr="00C4712A" w:rsidRDefault="002A4EF8" w:rsidP="002A4EF8">
      <w:pPr>
        <w:pStyle w:val="Heading1"/>
        <w:spacing w:before="120"/>
        <w:ind w:left="142"/>
        <w:rPr>
          <w:rFonts w:asciiTheme="minorHAnsi" w:hAnsiTheme="minorHAnsi" w:cstheme="minorHAnsi"/>
          <w:b/>
          <w:sz w:val="36"/>
          <w:szCs w:val="36"/>
        </w:rPr>
      </w:pPr>
      <w:bookmarkStart w:id="0" w:name="_Toc305751931"/>
      <w:bookmarkStart w:id="1" w:name="_Toc308601044"/>
      <w:bookmarkStart w:id="2" w:name="_Toc316978870"/>
      <w:bookmarkStart w:id="3" w:name="_Toc317520246"/>
      <w:bookmarkStart w:id="4" w:name="OLE_LINK72"/>
      <w:bookmarkStart w:id="5" w:name="OLE_LINK73"/>
      <w:r w:rsidRPr="00C4712A">
        <w:rPr>
          <w:rFonts w:asciiTheme="minorHAnsi" w:hAnsiTheme="minorHAnsi" w:cstheme="minorHAnsi"/>
          <w:b/>
          <w:noProof/>
          <w:color w:val="FFFFFF" w:themeColor="background1"/>
          <w:sz w:val="36"/>
          <w:szCs w:val="36"/>
          <w:lang w:eastAsia="en-AU"/>
        </w:rPr>
        <w:drawing>
          <wp:anchor distT="0" distB="0" distL="114300" distR="114300" simplePos="0" relativeHeight="251666432" behindDoc="1" locked="0" layoutInCell="1" allowOverlap="1" wp14:anchorId="0BE068F8" wp14:editId="3B27A352">
            <wp:simplePos x="0" y="0"/>
            <wp:positionH relativeFrom="column">
              <wp:posOffset>0</wp:posOffset>
            </wp:positionH>
            <wp:positionV relativeFrom="paragraph">
              <wp:posOffset>7800</wp:posOffset>
            </wp:positionV>
            <wp:extent cx="5693434" cy="923502"/>
            <wp:effectExtent l="0" t="0" r="2540" b="0"/>
            <wp:wrapNone/>
            <wp:docPr id="1" name="Picture 1"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4619" cy="923694"/>
                    </a:xfrm>
                    <a:prstGeom prst="rect">
                      <a:avLst/>
                    </a:prstGeom>
                    <a:noFill/>
                  </pic:spPr>
                </pic:pic>
              </a:graphicData>
            </a:graphic>
            <wp14:sizeRelH relativeFrom="page">
              <wp14:pctWidth>0</wp14:pctWidth>
            </wp14:sizeRelH>
            <wp14:sizeRelV relativeFrom="page">
              <wp14:pctHeight>0</wp14:pctHeight>
            </wp14:sizeRelV>
          </wp:anchor>
        </w:drawing>
      </w:r>
      <w:r w:rsidR="0015496E">
        <w:rPr>
          <w:rFonts w:asciiTheme="minorHAnsi" w:hAnsiTheme="minorHAnsi" w:cstheme="minorHAnsi"/>
          <w:b/>
          <w:color w:val="FFFFFF" w:themeColor="background1"/>
          <w:sz w:val="36"/>
          <w:szCs w:val="36"/>
        </w:rPr>
        <w:t xml:space="preserve"> </w:t>
      </w:r>
      <w:r w:rsidR="003171C6">
        <w:rPr>
          <w:rFonts w:asciiTheme="minorHAnsi" w:hAnsiTheme="minorHAnsi" w:cstheme="minorHAnsi"/>
          <w:b/>
          <w:color w:val="FFFFFF" w:themeColor="background1"/>
          <w:sz w:val="36"/>
          <w:szCs w:val="36"/>
        </w:rPr>
        <w:t>Gas Market</w:t>
      </w:r>
      <w:r w:rsidRPr="00C4712A">
        <w:rPr>
          <w:rFonts w:asciiTheme="minorHAnsi" w:hAnsiTheme="minorHAnsi" w:cstheme="minorHAnsi"/>
          <w:b/>
          <w:color w:val="FFFFFF" w:themeColor="background1"/>
          <w:sz w:val="36"/>
          <w:szCs w:val="36"/>
        </w:rPr>
        <w:t xml:space="preserve"> Report</w:t>
      </w:r>
    </w:p>
    <w:p w:rsidR="002A4EF8" w:rsidRPr="00C4712A" w:rsidRDefault="002A4EF8" w:rsidP="002A4EF8"/>
    <w:p w:rsidR="002A4EF8" w:rsidRDefault="002A4EF8" w:rsidP="002A4EF8"/>
    <w:p w:rsidR="00C06533" w:rsidRPr="00AC3047" w:rsidRDefault="004265E8" w:rsidP="00C06533">
      <w:pPr>
        <w:pStyle w:val="Heading2"/>
        <w:rPr>
          <w:i/>
        </w:rPr>
      </w:pPr>
      <w:r>
        <w:rPr>
          <w:sz w:val="36"/>
          <w:szCs w:val="36"/>
        </w:rPr>
        <w:t>19</w:t>
      </w:r>
      <w:r w:rsidR="00C06533">
        <w:rPr>
          <w:sz w:val="36"/>
          <w:szCs w:val="36"/>
        </w:rPr>
        <w:t xml:space="preserve"> – </w:t>
      </w:r>
      <w:r>
        <w:rPr>
          <w:sz w:val="36"/>
          <w:szCs w:val="36"/>
        </w:rPr>
        <w:t>25</w:t>
      </w:r>
      <w:r w:rsidR="00C06533">
        <w:rPr>
          <w:sz w:val="36"/>
          <w:szCs w:val="36"/>
        </w:rPr>
        <w:t xml:space="preserve"> </w:t>
      </w:r>
      <w:r w:rsidR="006B0D12">
        <w:rPr>
          <w:sz w:val="36"/>
          <w:szCs w:val="36"/>
        </w:rPr>
        <w:t>March</w:t>
      </w:r>
      <w:r w:rsidR="00C06533">
        <w:rPr>
          <w:sz w:val="36"/>
          <w:szCs w:val="36"/>
        </w:rPr>
        <w:t xml:space="preserve"> 2017</w:t>
      </w:r>
    </w:p>
    <w:p w:rsidR="000835F4" w:rsidRPr="000835F4" w:rsidRDefault="000835F4" w:rsidP="000835F4">
      <w:pPr>
        <w:pStyle w:val="Heading2"/>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Weekly Summary</w:t>
      </w:r>
    </w:p>
    <w:p w:rsidR="007E07E1" w:rsidRPr="00A8665E" w:rsidRDefault="007E07E1" w:rsidP="00C06533">
      <w:pPr>
        <w:jc w:val="both"/>
      </w:pPr>
      <w:r w:rsidRPr="00A8665E">
        <w:t xml:space="preserve">This week, </w:t>
      </w:r>
      <w:r w:rsidR="00D0574C" w:rsidRPr="00A8665E">
        <w:t xml:space="preserve">there were small changes in </w:t>
      </w:r>
      <w:r w:rsidRPr="00A8665E">
        <w:t xml:space="preserve">average prices </w:t>
      </w:r>
      <w:r w:rsidR="00D0574C" w:rsidRPr="00A8665E">
        <w:t xml:space="preserve">across all east coast gas markets. Average prices </w:t>
      </w:r>
      <w:r w:rsidRPr="00A8665E">
        <w:t>were down in Victoria (7 per cent), Sydney (5 per cent) and Adelaide (4 per cent) on the preceding week.</w:t>
      </w:r>
      <w:r w:rsidR="00D0574C" w:rsidRPr="00A8665E">
        <w:t xml:space="preserve"> Average prices were up in Brisbane (7 per cent) and Wallumbilla (6 per cent).</w:t>
      </w:r>
    </w:p>
    <w:p w:rsidR="007E07E1" w:rsidRPr="00A8665E" w:rsidRDefault="00D0574C" w:rsidP="00C06533">
      <w:pPr>
        <w:jc w:val="both"/>
      </w:pPr>
      <w:r w:rsidRPr="00A8665E">
        <w:t>Prices were down in Victoria despite a 10 per cent increase in demand.</w:t>
      </w:r>
      <w:r w:rsidR="008D3230" w:rsidRPr="00A8665E">
        <w:t xml:space="preserve"> N</w:t>
      </w:r>
      <w:r w:rsidRPr="00A8665E">
        <w:t xml:space="preserve">otably, there was a 39 per cent increase in the volume of gas traded through </w:t>
      </w:r>
      <w:r w:rsidR="00CD12C8" w:rsidRPr="00A8665E">
        <w:t xml:space="preserve">the </w:t>
      </w:r>
      <w:r w:rsidRPr="00A8665E">
        <w:t>Wallumbilla hub.</w:t>
      </w:r>
      <w:r w:rsidR="00757A68" w:rsidRPr="00A8665E">
        <w:t xml:space="preserve"> This follows a month of </w:t>
      </w:r>
      <w:r w:rsidR="00CD12C8" w:rsidRPr="00A8665E">
        <w:t>declin</w:t>
      </w:r>
      <w:r w:rsidR="0088120A" w:rsidRPr="00A8665E">
        <w:t>ing</w:t>
      </w:r>
      <w:r w:rsidR="00CD12C8" w:rsidRPr="00A8665E">
        <w:t xml:space="preserve"> volumes traded through Wallumbilla.</w:t>
      </w:r>
    </w:p>
    <w:p w:rsidR="00D20333" w:rsidRPr="00A8665E" w:rsidRDefault="00D20333" w:rsidP="00C06533">
      <w:pPr>
        <w:jc w:val="both"/>
      </w:pPr>
      <w:r w:rsidRPr="00A8665E">
        <w:t>Queensla</w:t>
      </w:r>
      <w:bookmarkStart w:id="6" w:name="_GoBack"/>
      <w:bookmarkEnd w:id="6"/>
      <w:r w:rsidRPr="00A8665E">
        <w:t>nd’s LNG production remained</w:t>
      </w:r>
      <w:r w:rsidR="00B94E22" w:rsidRPr="00A8665E">
        <w:t xml:space="preserve"> high</w:t>
      </w:r>
      <w:r w:rsidRPr="00A8665E">
        <w:t xml:space="preserve"> despite comparatively low flows on the APLNG Pipeline (see Figure 5).</w:t>
      </w:r>
      <w:r w:rsidR="00B94E22" w:rsidRPr="00A8665E">
        <w:t xml:space="preserve"> The re</w:t>
      </w:r>
      <w:r w:rsidR="00DC202C" w:rsidRPr="00A8665E">
        <w:t>duced pipeline flows reflect a</w:t>
      </w:r>
      <w:r w:rsidR="00B94E22" w:rsidRPr="00A8665E">
        <w:t xml:space="preserve"> continuing </w:t>
      </w:r>
      <w:r w:rsidR="009D0843" w:rsidRPr="00A8665E">
        <w:t>two-week shutdown</w:t>
      </w:r>
      <w:r w:rsidR="00B94E22" w:rsidRPr="00A8665E">
        <w:t xml:space="preserve"> (from 14 March) </w:t>
      </w:r>
      <w:r w:rsidR="009D0843" w:rsidRPr="00A8665E">
        <w:t>of</w:t>
      </w:r>
      <w:r w:rsidR="00B94E22" w:rsidRPr="00A8665E">
        <w:t xml:space="preserve"> one of APLNG’s export trains for maintenance.</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Long term statistics and explanatory material</w:t>
      </w:r>
    </w:p>
    <w:p w:rsidR="000835F4" w:rsidRPr="00AF2164" w:rsidRDefault="000835F4" w:rsidP="000835F4">
      <w:pPr>
        <w:jc w:val="both"/>
      </w:pPr>
      <w:r>
        <w:t xml:space="preserve">The AER has published an </w:t>
      </w:r>
      <w:hyperlink r:id="rId10" w:history="1">
        <w:r>
          <w:rPr>
            <w:rStyle w:val="Hyperlink"/>
          </w:rPr>
          <w:t>explanatory note</w:t>
        </w:r>
      </w:hyperlink>
      <w:r>
        <w:t xml:space="preserve"> to assist with interpreting the data presented in its weekly gas market reports. The AER also publish a range of </w:t>
      </w:r>
      <w:hyperlink r:id="rId11" w:history="1">
        <w:r>
          <w:rPr>
            <w:rStyle w:val="Hyperlink"/>
          </w:rPr>
          <w:t>longer term statistics</w:t>
        </w:r>
      </w:hyperlink>
      <w:r>
        <w:t xml:space="preserve"> on the performance of the gas sector including gas prices, production, pipeline flows and consumer demand.</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Market overview</w:t>
      </w:r>
    </w:p>
    <w:p w:rsidR="00DC202C" w:rsidRDefault="000835F4" w:rsidP="000835F4">
      <w:pPr>
        <w:jc w:val="both"/>
      </w:pPr>
      <w:r w:rsidRPr="00EC137F">
        <w:t>Figure 1 sets out the average daily prices ($/GJ) for the current week</w:t>
      </w:r>
      <w:r w:rsidR="003106BC" w:rsidRPr="00EC137F">
        <w:t>, and demand levels,</w:t>
      </w:r>
      <w:r w:rsidRPr="00EC137F">
        <w:t xml:space="preserve"> compared to historical averages. </w:t>
      </w:r>
      <w:r w:rsidR="003106BC" w:rsidRPr="00EC137F">
        <w:t>Regions shown include</w:t>
      </w:r>
      <w:r w:rsidRPr="00EC137F">
        <w:t xml:space="preserve"> the Victorian Declared Wholesale Market </w:t>
      </w:r>
      <w:r w:rsidRPr="00EC137F">
        <w:rPr>
          <w:b/>
        </w:rPr>
        <w:t>(VGM or Victorian gas market)</w:t>
      </w:r>
      <w:r w:rsidRPr="00EC137F">
        <w:t xml:space="preserve"> and for the Sydney </w:t>
      </w:r>
      <w:r w:rsidRPr="00EC137F">
        <w:rPr>
          <w:b/>
        </w:rPr>
        <w:t>(SYD)</w:t>
      </w:r>
      <w:r w:rsidRPr="00EC137F">
        <w:t xml:space="preserve">, Adelaide </w:t>
      </w:r>
      <w:r w:rsidRPr="00EC137F">
        <w:rPr>
          <w:b/>
        </w:rPr>
        <w:t xml:space="preserve">(ADL) </w:t>
      </w:r>
      <w:r w:rsidRPr="00EC137F">
        <w:t xml:space="preserve">and Brisbane </w:t>
      </w:r>
      <w:r w:rsidRPr="00EC137F">
        <w:rPr>
          <w:b/>
        </w:rPr>
        <w:t xml:space="preserve">(BRI) </w:t>
      </w:r>
      <w:r w:rsidRPr="00EC137F">
        <w:t xml:space="preserve">Short Term Trading Market hubs </w:t>
      </w:r>
      <w:r w:rsidRPr="00EC137F">
        <w:rPr>
          <w:b/>
        </w:rPr>
        <w:t>(STTM)</w:t>
      </w:r>
      <w:r w:rsidRPr="00EC137F">
        <w:t xml:space="preserve">. </w:t>
      </w:r>
      <w:r w:rsidR="003106BC" w:rsidRPr="00EC137F">
        <w:t>Price and demand information</w:t>
      </w:r>
      <w:r w:rsidRPr="00EC137F">
        <w:t xml:space="preserve"> </w:t>
      </w:r>
      <w:r w:rsidR="003106BC" w:rsidRPr="00EC137F">
        <w:t>is</w:t>
      </w:r>
      <w:r w:rsidRPr="00EC137F">
        <w:t xml:space="preserve"> also shown for the voluntary Wallumbilla and Moomba Gas Supply Hubs </w:t>
      </w:r>
      <w:r w:rsidR="006621AB" w:rsidRPr="00EC137F">
        <w:rPr>
          <w:b/>
        </w:rPr>
        <w:t>(GSH</w:t>
      </w:r>
      <w:r w:rsidRPr="00EC137F">
        <w:rPr>
          <w:b/>
        </w:rPr>
        <w:t>)</w:t>
      </w:r>
      <w:r w:rsidRPr="00EC137F">
        <w:t>.</w:t>
      </w:r>
    </w:p>
    <w:p w:rsidR="000835F4" w:rsidRDefault="000835F4" w:rsidP="000835F4">
      <w:pPr>
        <w:pStyle w:val="Caption"/>
        <w:rPr>
          <w:color w:val="2272A3"/>
          <w:szCs w:val="24"/>
        </w:rPr>
      </w:pPr>
      <w:r w:rsidRPr="00BE2075">
        <w:t xml:space="preserve">Figure </w:t>
      </w:r>
      <w:fldSimple w:instr=" SEQ Figure \* ARABIC ">
        <w:r w:rsidR="001521CB">
          <w:rPr>
            <w:noProof/>
          </w:rPr>
          <w:t>1</w:t>
        </w:r>
      </w:fldSimple>
      <w:r w:rsidRPr="00BE2075">
        <w:t xml:space="preserve">: </w:t>
      </w:r>
      <w:r w:rsidRPr="006E7E57">
        <w:rPr>
          <w:color w:val="2272A3"/>
          <w:szCs w:val="24"/>
        </w:rPr>
        <w:t>Average daily prices</w:t>
      </w:r>
      <w:r w:rsidR="003106BC">
        <w:rPr>
          <w:color w:val="2272A3"/>
          <w:szCs w:val="24"/>
        </w:rPr>
        <w:t xml:space="preserve"> and demand</w:t>
      </w:r>
      <w:r w:rsidRPr="006E7E57">
        <w:rPr>
          <w:color w:val="2272A3"/>
          <w:szCs w:val="24"/>
        </w:rPr>
        <w:t xml:space="preserve"> – all markets ($/GJ</w:t>
      </w:r>
      <w:r w:rsidR="003106BC" w:rsidRPr="00EC137F">
        <w:rPr>
          <w:color w:val="2272A3"/>
          <w:szCs w:val="24"/>
        </w:rPr>
        <w:t>, TJ</w:t>
      </w:r>
      <w:r w:rsidRPr="00EC137F">
        <w:rPr>
          <w:color w:val="2272A3"/>
          <w:szCs w:val="24"/>
        </w:rPr>
        <w:t>)</w:t>
      </w:r>
      <w:r w:rsidRPr="00EC137F">
        <w:rPr>
          <w:color w:val="2272A3"/>
          <w:szCs w:val="24"/>
          <w:vertAlign w:val="superscript"/>
        </w:rPr>
        <w:footnoteReference w:id="1"/>
      </w:r>
    </w:p>
    <w:tbl>
      <w:tblPr>
        <w:tblStyle w:val="AERTable-Text"/>
        <w:tblW w:w="4991" w:type="pct"/>
        <w:tblLayout w:type="fixed"/>
        <w:tblLook w:val="04A0" w:firstRow="1" w:lastRow="0" w:firstColumn="1" w:lastColumn="0" w:noHBand="0" w:noVBand="1"/>
      </w:tblPr>
      <w:tblGrid>
        <w:gridCol w:w="1381"/>
        <w:gridCol w:w="604"/>
        <w:gridCol w:w="672"/>
        <w:gridCol w:w="142"/>
        <w:gridCol w:w="566"/>
        <w:gridCol w:w="41"/>
        <w:gridCol w:w="729"/>
        <w:gridCol w:w="41"/>
        <w:gridCol w:w="566"/>
        <w:gridCol w:w="41"/>
        <w:gridCol w:w="531"/>
        <w:gridCol w:w="41"/>
        <w:gridCol w:w="566"/>
        <w:gridCol w:w="41"/>
        <w:gridCol w:w="629"/>
        <w:gridCol w:w="41"/>
        <w:gridCol w:w="568"/>
        <w:gridCol w:w="41"/>
        <w:gridCol w:w="622"/>
        <w:gridCol w:w="41"/>
        <w:gridCol w:w="79"/>
        <w:gridCol w:w="439"/>
        <w:gridCol w:w="41"/>
        <w:gridCol w:w="720"/>
        <w:gridCol w:w="42"/>
      </w:tblGrid>
      <w:tr w:rsidR="002D104A" w:rsidRPr="002861A9" w:rsidTr="002045E5">
        <w:trPr>
          <w:cnfStyle w:val="100000000000" w:firstRow="1" w:lastRow="0" w:firstColumn="0" w:lastColumn="0" w:oddVBand="0" w:evenVBand="0" w:oddHBand="0" w:evenHBand="0" w:firstRowFirstColumn="0" w:firstRowLastColumn="0" w:lastRowFirstColumn="0" w:lastRowLastColumn="0"/>
          <w:trHeight w:val="404"/>
          <w:tblHeader/>
        </w:trPr>
        <w:tc>
          <w:tcPr>
            <w:tcW w:w="749" w:type="pct"/>
            <w:tcBorders>
              <w:bottom w:val="nil"/>
            </w:tcBorders>
            <w:vAlign w:val="center"/>
          </w:tcPr>
          <w:p w:rsidR="002D104A" w:rsidRPr="00E16EDC" w:rsidRDefault="002D104A" w:rsidP="005B3A64">
            <w:pPr>
              <w:pStyle w:val="TableHeading"/>
              <w:spacing w:before="120" w:after="0" w:line="240" w:lineRule="auto"/>
              <w:jc w:val="center"/>
              <w:rPr>
                <w:rFonts w:cs="Arial"/>
                <w:sz w:val="20"/>
                <w:szCs w:val="20"/>
              </w:rPr>
            </w:pPr>
          </w:p>
        </w:tc>
        <w:tc>
          <w:tcPr>
            <w:tcW w:w="769" w:type="pct"/>
            <w:gridSpan w:val="3"/>
            <w:tcBorders>
              <w:bottom w:val="nil"/>
            </w:tcBorders>
            <w:vAlign w:val="center"/>
          </w:tcPr>
          <w:p w:rsidR="002D104A" w:rsidRPr="00E95390" w:rsidRDefault="002D104A" w:rsidP="005B3A64">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Victoria</w:t>
            </w:r>
          </w:p>
        </w:tc>
        <w:tc>
          <w:tcPr>
            <w:tcW w:w="746" w:type="pct"/>
            <w:gridSpan w:val="4"/>
            <w:tcBorders>
              <w:bottom w:val="nil"/>
            </w:tcBorders>
            <w:vAlign w:val="center"/>
          </w:tcPr>
          <w:p w:rsidR="002D104A" w:rsidRPr="00E95390" w:rsidRDefault="002D104A" w:rsidP="005B3A64">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Sydney</w:t>
            </w:r>
          </w:p>
        </w:tc>
        <w:tc>
          <w:tcPr>
            <w:tcW w:w="639" w:type="pct"/>
            <w:gridSpan w:val="4"/>
            <w:tcBorders>
              <w:bottom w:val="nil"/>
            </w:tcBorders>
            <w:vAlign w:val="center"/>
          </w:tcPr>
          <w:p w:rsidR="002D104A" w:rsidRPr="00E95390" w:rsidRDefault="002D104A" w:rsidP="005B3A64">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Adelaide</w:t>
            </w:r>
          </w:p>
        </w:tc>
        <w:tc>
          <w:tcPr>
            <w:tcW w:w="692" w:type="pct"/>
            <w:gridSpan w:val="4"/>
            <w:tcBorders>
              <w:bottom w:val="nil"/>
            </w:tcBorders>
            <w:vAlign w:val="center"/>
          </w:tcPr>
          <w:p w:rsidR="002D104A" w:rsidRPr="00E95390" w:rsidRDefault="002D104A" w:rsidP="005B3A64">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Brisbane</w:t>
            </w:r>
          </w:p>
        </w:tc>
        <w:tc>
          <w:tcPr>
            <w:tcW w:w="732" w:type="pct"/>
            <w:gridSpan w:val="5"/>
            <w:tcBorders>
              <w:bottom w:val="nil"/>
            </w:tcBorders>
            <w:vAlign w:val="center"/>
          </w:tcPr>
          <w:p w:rsidR="002D104A" w:rsidRPr="00E95390" w:rsidRDefault="002D104A" w:rsidP="005B3A64">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Wallumbilla</w:t>
            </w:r>
          </w:p>
        </w:tc>
        <w:tc>
          <w:tcPr>
            <w:tcW w:w="673" w:type="pct"/>
            <w:gridSpan w:val="4"/>
            <w:tcBorders>
              <w:bottom w:val="nil"/>
            </w:tcBorders>
            <w:vAlign w:val="center"/>
          </w:tcPr>
          <w:p w:rsidR="002D104A" w:rsidRPr="00E95390" w:rsidRDefault="002D104A" w:rsidP="00830FB1">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Mo</w:t>
            </w:r>
            <w:r w:rsidR="00830FB1">
              <w:rPr>
                <w:rFonts w:eastAsia="Times New Roman" w:cs="Arial"/>
                <w:bCs/>
                <w:color w:val="FFFFFF"/>
                <w:sz w:val="20"/>
                <w:szCs w:val="20"/>
                <w:lang w:eastAsia="en-AU"/>
              </w:rPr>
              <w:t>o</w:t>
            </w:r>
            <w:r w:rsidRPr="00E95390">
              <w:rPr>
                <w:rFonts w:eastAsia="Times New Roman" w:cs="Arial"/>
                <w:bCs/>
                <w:color w:val="FFFFFF"/>
                <w:sz w:val="20"/>
                <w:szCs w:val="20"/>
                <w:lang w:eastAsia="en-AU"/>
              </w:rPr>
              <w:t>mba</w:t>
            </w:r>
          </w:p>
        </w:tc>
      </w:tr>
      <w:tr w:rsidR="002D104A" w:rsidRPr="002861A9" w:rsidTr="002045E5">
        <w:trPr>
          <w:cnfStyle w:val="100000000000" w:firstRow="1" w:lastRow="0" w:firstColumn="0" w:lastColumn="0" w:oddVBand="0" w:evenVBand="0" w:oddHBand="0" w:evenHBand="0" w:firstRowFirstColumn="0" w:firstRowLastColumn="0" w:lastRowFirstColumn="0" w:lastRowLastColumn="0"/>
          <w:tblHeader/>
        </w:trPr>
        <w:tc>
          <w:tcPr>
            <w:tcW w:w="749" w:type="pct"/>
            <w:tcBorders>
              <w:bottom w:val="nil"/>
            </w:tcBorders>
            <w:vAlign w:val="center"/>
            <w:hideMark/>
          </w:tcPr>
          <w:p w:rsidR="002D104A" w:rsidRPr="00A226E9" w:rsidRDefault="002D104A" w:rsidP="005B3A64">
            <w:pPr>
              <w:spacing w:before="0" w:line="240" w:lineRule="auto"/>
              <w:rPr>
                <w:rFonts w:cs="Arial"/>
                <w:sz w:val="20"/>
                <w:szCs w:val="20"/>
                <w:highlight w:val="yellow"/>
              </w:rPr>
            </w:pPr>
          </w:p>
        </w:tc>
        <w:tc>
          <w:tcPr>
            <w:tcW w:w="328" w:type="pct"/>
            <w:tcBorders>
              <w:bottom w:val="nil"/>
            </w:tcBorders>
            <w:vAlign w:val="center"/>
            <w:hideMark/>
          </w:tcPr>
          <w:p w:rsidR="002D104A" w:rsidRPr="00E16EDC" w:rsidRDefault="002D104A" w:rsidP="005B3A64">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41" w:type="pct"/>
            <w:gridSpan w:val="2"/>
            <w:tcBorders>
              <w:bottom w:val="nil"/>
            </w:tcBorders>
            <w:vAlign w:val="center"/>
            <w:hideMark/>
          </w:tcPr>
          <w:p w:rsidR="002D104A" w:rsidRPr="00E16EDC" w:rsidRDefault="002D104A" w:rsidP="005B3A64">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gridSpan w:val="2"/>
            <w:tcBorders>
              <w:bottom w:val="nil"/>
            </w:tcBorders>
            <w:vAlign w:val="center"/>
            <w:hideMark/>
          </w:tcPr>
          <w:p w:rsidR="002D104A" w:rsidRPr="00E16EDC" w:rsidRDefault="002D104A" w:rsidP="005B3A64">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17" w:type="pct"/>
            <w:gridSpan w:val="2"/>
            <w:tcBorders>
              <w:bottom w:val="nil"/>
            </w:tcBorders>
            <w:vAlign w:val="center"/>
          </w:tcPr>
          <w:p w:rsidR="002D104A" w:rsidRPr="00E16EDC" w:rsidRDefault="002D104A" w:rsidP="005B3A64">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gridSpan w:val="2"/>
            <w:tcBorders>
              <w:bottom w:val="nil"/>
            </w:tcBorders>
            <w:vAlign w:val="center"/>
          </w:tcPr>
          <w:p w:rsidR="002D104A" w:rsidRPr="00E16EDC" w:rsidRDefault="002D104A" w:rsidP="005B3A64">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10" w:type="pct"/>
            <w:gridSpan w:val="2"/>
            <w:tcBorders>
              <w:bottom w:val="nil"/>
            </w:tcBorders>
            <w:vAlign w:val="center"/>
          </w:tcPr>
          <w:p w:rsidR="002D104A" w:rsidRPr="00E16EDC" w:rsidRDefault="002D104A" w:rsidP="005B3A64">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gridSpan w:val="2"/>
            <w:tcBorders>
              <w:bottom w:val="nil"/>
            </w:tcBorders>
            <w:vAlign w:val="center"/>
          </w:tcPr>
          <w:p w:rsidR="002D104A" w:rsidRPr="00E16EDC" w:rsidRDefault="002D104A" w:rsidP="005B3A64">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63" w:type="pct"/>
            <w:gridSpan w:val="2"/>
            <w:tcBorders>
              <w:bottom w:val="nil"/>
            </w:tcBorders>
            <w:vAlign w:val="center"/>
          </w:tcPr>
          <w:p w:rsidR="002D104A" w:rsidRPr="00E16EDC" w:rsidRDefault="002D104A" w:rsidP="005B3A64">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30" w:type="pct"/>
            <w:gridSpan w:val="2"/>
            <w:tcBorders>
              <w:bottom w:val="nil"/>
            </w:tcBorders>
            <w:vAlign w:val="center"/>
          </w:tcPr>
          <w:p w:rsidR="002D104A" w:rsidRPr="00E16EDC" w:rsidRDefault="002D104A" w:rsidP="005B3A64">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59" w:type="pct"/>
            <w:gridSpan w:val="2"/>
            <w:tcBorders>
              <w:bottom w:val="nil"/>
            </w:tcBorders>
            <w:vAlign w:val="center"/>
          </w:tcPr>
          <w:p w:rsidR="002D104A" w:rsidRPr="00E16EDC" w:rsidRDefault="002D104A" w:rsidP="005B3A64">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303" w:type="pct"/>
            <w:gridSpan w:val="3"/>
            <w:tcBorders>
              <w:bottom w:val="nil"/>
            </w:tcBorders>
            <w:vAlign w:val="center"/>
          </w:tcPr>
          <w:p w:rsidR="002D104A" w:rsidRPr="00E16EDC" w:rsidRDefault="002D104A" w:rsidP="005B3A64">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12" w:type="pct"/>
            <w:gridSpan w:val="2"/>
            <w:tcBorders>
              <w:bottom w:val="nil"/>
            </w:tcBorders>
            <w:vAlign w:val="center"/>
          </w:tcPr>
          <w:p w:rsidR="002D104A" w:rsidRPr="00E16EDC" w:rsidRDefault="002D104A" w:rsidP="005B3A64">
            <w:pPr>
              <w:spacing w:before="120" w:line="240" w:lineRule="auto"/>
              <w:ind w:left="-113" w:right="-113"/>
              <w:jc w:val="center"/>
              <w:rPr>
                <w:rFonts w:cs="Arial"/>
                <w:bCs/>
                <w:color w:val="FFFFFF"/>
                <w:sz w:val="14"/>
                <w:szCs w:val="20"/>
              </w:rPr>
            </w:pPr>
            <w:r>
              <w:rPr>
                <w:rFonts w:cs="Arial"/>
                <w:bCs/>
                <w:color w:val="FFFFFF"/>
                <w:sz w:val="14"/>
                <w:szCs w:val="20"/>
              </w:rPr>
              <w:t>Quantity</w:t>
            </w:r>
          </w:p>
        </w:tc>
      </w:tr>
      <w:tr w:rsidR="002045E5" w:rsidRPr="006A7228" w:rsidTr="002045E5">
        <w:trPr>
          <w:gridAfter w:val="1"/>
          <w:wAfter w:w="22" w:type="pct"/>
          <w:trHeight w:val="510"/>
        </w:trPr>
        <w:tc>
          <w:tcPr>
            <w:tcW w:w="749" w:type="pct"/>
            <w:tcBorders>
              <w:top w:val="nil"/>
              <w:bottom w:val="nil"/>
            </w:tcBorders>
            <w:vAlign w:val="center"/>
          </w:tcPr>
          <w:p w:rsidR="002045E5" w:rsidRDefault="0066094A">
            <w:pPr>
              <w:rPr>
                <w:rFonts w:cs="Arial"/>
                <w:sz w:val="16"/>
                <w:szCs w:val="16"/>
              </w:rPr>
            </w:pPr>
            <w:r>
              <w:rPr>
                <w:rFonts w:cs="Arial"/>
                <w:sz w:val="16"/>
                <w:szCs w:val="16"/>
              </w:rPr>
              <w:t>19 Mar - 25</w:t>
            </w:r>
            <w:r w:rsidR="002045E5">
              <w:rPr>
                <w:rFonts w:cs="Arial"/>
                <w:sz w:val="16"/>
                <w:szCs w:val="16"/>
              </w:rPr>
              <w:t xml:space="preserve"> Mar 2017</w:t>
            </w:r>
          </w:p>
        </w:tc>
        <w:tc>
          <w:tcPr>
            <w:tcW w:w="328" w:type="pct"/>
            <w:tcBorders>
              <w:top w:val="nil"/>
              <w:bottom w:val="nil"/>
            </w:tcBorders>
            <w:vAlign w:val="center"/>
          </w:tcPr>
          <w:p w:rsidR="002045E5" w:rsidRDefault="002045E5" w:rsidP="002045E5">
            <w:pPr>
              <w:jc w:val="center"/>
              <w:rPr>
                <w:rFonts w:cs="Arial"/>
                <w:sz w:val="20"/>
                <w:szCs w:val="20"/>
              </w:rPr>
            </w:pPr>
            <w:r>
              <w:rPr>
                <w:rFonts w:cs="Arial"/>
                <w:sz w:val="20"/>
                <w:szCs w:val="20"/>
              </w:rPr>
              <w:t>7.5</w:t>
            </w:r>
          </w:p>
        </w:tc>
        <w:tc>
          <w:tcPr>
            <w:tcW w:w="364" w:type="pct"/>
            <w:tcBorders>
              <w:top w:val="nil"/>
              <w:bottom w:val="nil"/>
            </w:tcBorders>
            <w:vAlign w:val="center"/>
          </w:tcPr>
          <w:p w:rsidR="002045E5" w:rsidRDefault="002045E5">
            <w:pPr>
              <w:jc w:val="center"/>
              <w:rPr>
                <w:rFonts w:cs="Arial"/>
                <w:sz w:val="20"/>
                <w:szCs w:val="20"/>
              </w:rPr>
            </w:pPr>
            <w:r>
              <w:rPr>
                <w:rFonts w:cs="Arial"/>
                <w:sz w:val="20"/>
                <w:szCs w:val="20"/>
              </w:rPr>
              <w:t>325</w:t>
            </w:r>
          </w:p>
        </w:tc>
        <w:tc>
          <w:tcPr>
            <w:tcW w:w="384" w:type="pct"/>
            <w:gridSpan w:val="2"/>
            <w:tcBorders>
              <w:top w:val="nil"/>
              <w:bottom w:val="nil"/>
            </w:tcBorders>
            <w:vAlign w:val="center"/>
          </w:tcPr>
          <w:p w:rsidR="002045E5" w:rsidRDefault="002045E5">
            <w:pPr>
              <w:jc w:val="center"/>
              <w:rPr>
                <w:rFonts w:cs="Arial"/>
                <w:sz w:val="20"/>
                <w:szCs w:val="20"/>
              </w:rPr>
            </w:pPr>
            <w:r>
              <w:rPr>
                <w:rFonts w:cs="Arial"/>
                <w:sz w:val="20"/>
                <w:szCs w:val="20"/>
              </w:rPr>
              <w:t>9.77</w:t>
            </w:r>
          </w:p>
        </w:tc>
        <w:tc>
          <w:tcPr>
            <w:tcW w:w="417" w:type="pct"/>
            <w:gridSpan w:val="2"/>
            <w:tcBorders>
              <w:top w:val="nil"/>
              <w:bottom w:val="nil"/>
            </w:tcBorders>
            <w:vAlign w:val="center"/>
          </w:tcPr>
          <w:p w:rsidR="002045E5" w:rsidRDefault="002045E5">
            <w:pPr>
              <w:jc w:val="center"/>
              <w:rPr>
                <w:rFonts w:cs="Arial"/>
                <w:sz w:val="20"/>
                <w:szCs w:val="20"/>
              </w:rPr>
            </w:pPr>
            <w:r>
              <w:rPr>
                <w:rFonts w:cs="Arial"/>
                <w:sz w:val="20"/>
                <w:szCs w:val="20"/>
              </w:rPr>
              <w:t>221</w:t>
            </w:r>
          </w:p>
        </w:tc>
        <w:tc>
          <w:tcPr>
            <w:tcW w:w="329" w:type="pct"/>
            <w:gridSpan w:val="2"/>
            <w:tcBorders>
              <w:top w:val="nil"/>
              <w:bottom w:val="nil"/>
            </w:tcBorders>
            <w:vAlign w:val="center"/>
          </w:tcPr>
          <w:p w:rsidR="002045E5" w:rsidRDefault="002045E5">
            <w:pPr>
              <w:jc w:val="center"/>
              <w:rPr>
                <w:rFonts w:cs="Arial"/>
                <w:sz w:val="20"/>
                <w:szCs w:val="20"/>
              </w:rPr>
            </w:pPr>
            <w:r>
              <w:rPr>
                <w:rFonts w:cs="Arial"/>
                <w:sz w:val="20"/>
                <w:szCs w:val="20"/>
              </w:rPr>
              <w:t>8.75</w:t>
            </w:r>
          </w:p>
        </w:tc>
        <w:tc>
          <w:tcPr>
            <w:tcW w:w="310" w:type="pct"/>
            <w:gridSpan w:val="2"/>
            <w:tcBorders>
              <w:top w:val="nil"/>
              <w:bottom w:val="nil"/>
            </w:tcBorders>
            <w:vAlign w:val="center"/>
          </w:tcPr>
          <w:p w:rsidR="002045E5" w:rsidRDefault="002045E5">
            <w:pPr>
              <w:jc w:val="center"/>
              <w:rPr>
                <w:rFonts w:cs="Arial"/>
                <w:sz w:val="20"/>
                <w:szCs w:val="20"/>
              </w:rPr>
            </w:pPr>
            <w:r>
              <w:rPr>
                <w:rFonts w:cs="Arial"/>
                <w:sz w:val="20"/>
                <w:szCs w:val="20"/>
              </w:rPr>
              <w:t>38</w:t>
            </w:r>
          </w:p>
        </w:tc>
        <w:tc>
          <w:tcPr>
            <w:tcW w:w="329" w:type="pct"/>
            <w:gridSpan w:val="2"/>
            <w:tcBorders>
              <w:top w:val="nil"/>
              <w:bottom w:val="nil"/>
            </w:tcBorders>
            <w:vAlign w:val="center"/>
          </w:tcPr>
          <w:p w:rsidR="002045E5" w:rsidRDefault="002045E5">
            <w:pPr>
              <w:jc w:val="center"/>
              <w:rPr>
                <w:rFonts w:cs="Arial"/>
                <w:sz w:val="20"/>
                <w:szCs w:val="20"/>
              </w:rPr>
            </w:pPr>
            <w:r>
              <w:rPr>
                <w:rFonts w:cs="Arial"/>
                <w:sz w:val="20"/>
                <w:szCs w:val="20"/>
              </w:rPr>
              <w:t>7.99</w:t>
            </w:r>
          </w:p>
        </w:tc>
        <w:tc>
          <w:tcPr>
            <w:tcW w:w="363" w:type="pct"/>
            <w:gridSpan w:val="2"/>
            <w:tcBorders>
              <w:top w:val="nil"/>
              <w:bottom w:val="nil"/>
            </w:tcBorders>
            <w:vAlign w:val="center"/>
          </w:tcPr>
          <w:p w:rsidR="002045E5" w:rsidRDefault="002045E5">
            <w:pPr>
              <w:jc w:val="center"/>
              <w:rPr>
                <w:rFonts w:cs="Arial"/>
                <w:sz w:val="20"/>
                <w:szCs w:val="20"/>
              </w:rPr>
            </w:pPr>
            <w:r>
              <w:rPr>
                <w:rFonts w:cs="Arial"/>
                <w:sz w:val="20"/>
                <w:szCs w:val="20"/>
              </w:rPr>
              <w:t>80</w:t>
            </w:r>
          </w:p>
        </w:tc>
        <w:tc>
          <w:tcPr>
            <w:tcW w:w="330" w:type="pct"/>
            <w:gridSpan w:val="2"/>
            <w:tcBorders>
              <w:top w:val="nil"/>
              <w:bottom w:val="nil"/>
            </w:tcBorders>
            <w:vAlign w:val="center"/>
          </w:tcPr>
          <w:p w:rsidR="002045E5" w:rsidRDefault="002045E5">
            <w:pPr>
              <w:jc w:val="center"/>
              <w:rPr>
                <w:rFonts w:cs="Arial"/>
                <w:sz w:val="20"/>
                <w:szCs w:val="20"/>
              </w:rPr>
            </w:pPr>
            <w:r>
              <w:rPr>
                <w:rFonts w:cs="Arial"/>
                <w:sz w:val="20"/>
                <w:szCs w:val="20"/>
              </w:rPr>
              <w:t>8.55</w:t>
            </w:r>
          </w:p>
        </w:tc>
        <w:tc>
          <w:tcPr>
            <w:tcW w:w="359" w:type="pct"/>
            <w:gridSpan w:val="2"/>
            <w:tcBorders>
              <w:top w:val="nil"/>
              <w:bottom w:val="nil"/>
            </w:tcBorders>
            <w:vAlign w:val="center"/>
          </w:tcPr>
          <w:p w:rsidR="002045E5" w:rsidRDefault="002045E5">
            <w:pPr>
              <w:jc w:val="center"/>
              <w:rPr>
                <w:rFonts w:cs="Arial"/>
                <w:sz w:val="20"/>
                <w:szCs w:val="20"/>
              </w:rPr>
            </w:pPr>
            <w:r>
              <w:rPr>
                <w:rFonts w:cs="Arial"/>
                <w:sz w:val="20"/>
                <w:szCs w:val="20"/>
              </w:rPr>
              <w:t>103</w:t>
            </w:r>
          </w:p>
        </w:tc>
        <w:tc>
          <w:tcPr>
            <w:tcW w:w="303" w:type="pct"/>
            <w:gridSpan w:val="3"/>
            <w:tcBorders>
              <w:top w:val="nil"/>
              <w:bottom w:val="nil"/>
            </w:tcBorders>
            <w:vAlign w:val="center"/>
          </w:tcPr>
          <w:p w:rsidR="002045E5" w:rsidRDefault="002045E5">
            <w:pPr>
              <w:jc w:val="center"/>
              <w:rPr>
                <w:rFonts w:cs="Arial"/>
                <w:sz w:val="20"/>
                <w:szCs w:val="20"/>
              </w:rPr>
            </w:pPr>
            <w:r>
              <w:rPr>
                <w:rFonts w:cs="Arial"/>
                <w:sz w:val="20"/>
                <w:szCs w:val="20"/>
              </w:rPr>
              <w:t>-</w:t>
            </w:r>
          </w:p>
        </w:tc>
        <w:tc>
          <w:tcPr>
            <w:tcW w:w="412" w:type="pct"/>
            <w:gridSpan w:val="2"/>
            <w:tcBorders>
              <w:top w:val="nil"/>
              <w:bottom w:val="nil"/>
            </w:tcBorders>
            <w:vAlign w:val="center"/>
          </w:tcPr>
          <w:p w:rsidR="002045E5" w:rsidRDefault="002045E5">
            <w:pPr>
              <w:jc w:val="center"/>
              <w:rPr>
                <w:rFonts w:cs="Arial"/>
                <w:sz w:val="20"/>
                <w:szCs w:val="20"/>
              </w:rPr>
            </w:pPr>
            <w:r>
              <w:rPr>
                <w:rFonts w:cs="Arial"/>
                <w:sz w:val="20"/>
                <w:szCs w:val="20"/>
              </w:rPr>
              <w:t>-</w:t>
            </w:r>
          </w:p>
        </w:tc>
      </w:tr>
      <w:tr w:rsidR="002045E5" w:rsidRPr="006A7228" w:rsidTr="002045E5">
        <w:trPr>
          <w:gridAfter w:val="1"/>
          <w:cnfStyle w:val="000000010000" w:firstRow="0" w:lastRow="0" w:firstColumn="0" w:lastColumn="0" w:oddVBand="0" w:evenVBand="0" w:oddHBand="0" w:evenHBand="1" w:firstRowFirstColumn="0" w:firstRowLastColumn="0" w:lastRowFirstColumn="0" w:lastRowLastColumn="0"/>
          <w:wAfter w:w="22" w:type="pct"/>
          <w:trHeight w:val="510"/>
        </w:trPr>
        <w:tc>
          <w:tcPr>
            <w:tcW w:w="749" w:type="pct"/>
            <w:tcBorders>
              <w:top w:val="nil"/>
              <w:bottom w:val="nil"/>
            </w:tcBorders>
            <w:vAlign w:val="center"/>
          </w:tcPr>
          <w:p w:rsidR="002045E5" w:rsidRDefault="002045E5">
            <w:pPr>
              <w:rPr>
                <w:rFonts w:cs="Arial"/>
                <w:sz w:val="16"/>
                <w:szCs w:val="16"/>
              </w:rPr>
            </w:pPr>
            <w:r>
              <w:rPr>
                <w:rFonts w:cs="Arial"/>
                <w:sz w:val="16"/>
                <w:szCs w:val="16"/>
              </w:rPr>
              <w:t>% change from previous week</w:t>
            </w:r>
          </w:p>
        </w:tc>
        <w:tc>
          <w:tcPr>
            <w:tcW w:w="328" w:type="pct"/>
            <w:tcBorders>
              <w:top w:val="nil"/>
              <w:bottom w:val="nil"/>
            </w:tcBorders>
            <w:vAlign w:val="center"/>
          </w:tcPr>
          <w:p w:rsidR="002045E5" w:rsidRDefault="002045E5">
            <w:pPr>
              <w:jc w:val="center"/>
              <w:rPr>
                <w:rFonts w:cs="Arial"/>
                <w:szCs w:val="20"/>
              </w:rPr>
            </w:pPr>
            <w:r>
              <w:rPr>
                <w:rFonts w:cs="Arial"/>
                <w:szCs w:val="20"/>
              </w:rPr>
              <w:t>-7</w:t>
            </w:r>
          </w:p>
        </w:tc>
        <w:tc>
          <w:tcPr>
            <w:tcW w:w="364" w:type="pct"/>
            <w:tcBorders>
              <w:top w:val="nil"/>
              <w:bottom w:val="nil"/>
            </w:tcBorders>
            <w:vAlign w:val="center"/>
          </w:tcPr>
          <w:p w:rsidR="002045E5" w:rsidRDefault="002045E5">
            <w:pPr>
              <w:jc w:val="center"/>
              <w:rPr>
                <w:rFonts w:cs="Arial"/>
                <w:szCs w:val="20"/>
              </w:rPr>
            </w:pPr>
            <w:r>
              <w:rPr>
                <w:rFonts w:cs="Arial"/>
                <w:szCs w:val="20"/>
              </w:rPr>
              <w:t>10</w:t>
            </w:r>
          </w:p>
        </w:tc>
        <w:tc>
          <w:tcPr>
            <w:tcW w:w="384" w:type="pct"/>
            <w:gridSpan w:val="2"/>
            <w:tcBorders>
              <w:top w:val="nil"/>
              <w:bottom w:val="nil"/>
            </w:tcBorders>
            <w:vAlign w:val="center"/>
          </w:tcPr>
          <w:p w:rsidR="002045E5" w:rsidRDefault="002045E5">
            <w:pPr>
              <w:jc w:val="center"/>
              <w:rPr>
                <w:rFonts w:cs="Arial"/>
                <w:szCs w:val="20"/>
              </w:rPr>
            </w:pPr>
            <w:r>
              <w:rPr>
                <w:rFonts w:cs="Arial"/>
                <w:szCs w:val="20"/>
              </w:rPr>
              <w:t>-5</w:t>
            </w:r>
          </w:p>
        </w:tc>
        <w:tc>
          <w:tcPr>
            <w:tcW w:w="417" w:type="pct"/>
            <w:gridSpan w:val="2"/>
            <w:tcBorders>
              <w:top w:val="nil"/>
              <w:bottom w:val="nil"/>
            </w:tcBorders>
            <w:vAlign w:val="center"/>
          </w:tcPr>
          <w:p w:rsidR="002045E5" w:rsidRDefault="002045E5">
            <w:pPr>
              <w:jc w:val="center"/>
              <w:rPr>
                <w:rFonts w:cs="Arial"/>
                <w:szCs w:val="20"/>
              </w:rPr>
            </w:pPr>
            <w:r>
              <w:rPr>
                <w:rFonts w:cs="Arial"/>
                <w:szCs w:val="20"/>
              </w:rPr>
              <w:t>2</w:t>
            </w:r>
          </w:p>
        </w:tc>
        <w:tc>
          <w:tcPr>
            <w:tcW w:w="329" w:type="pct"/>
            <w:gridSpan w:val="2"/>
            <w:tcBorders>
              <w:top w:val="nil"/>
              <w:bottom w:val="nil"/>
            </w:tcBorders>
            <w:vAlign w:val="center"/>
          </w:tcPr>
          <w:p w:rsidR="002045E5" w:rsidRDefault="002045E5">
            <w:pPr>
              <w:jc w:val="center"/>
              <w:rPr>
                <w:rFonts w:cs="Arial"/>
                <w:szCs w:val="20"/>
              </w:rPr>
            </w:pPr>
            <w:r>
              <w:rPr>
                <w:rFonts w:cs="Arial"/>
                <w:szCs w:val="20"/>
              </w:rPr>
              <w:t>-4</w:t>
            </w:r>
          </w:p>
        </w:tc>
        <w:tc>
          <w:tcPr>
            <w:tcW w:w="310" w:type="pct"/>
            <w:gridSpan w:val="2"/>
            <w:tcBorders>
              <w:top w:val="nil"/>
              <w:bottom w:val="nil"/>
            </w:tcBorders>
            <w:vAlign w:val="center"/>
          </w:tcPr>
          <w:p w:rsidR="002045E5" w:rsidRDefault="002045E5">
            <w:pPr>
              <w:jc w:val="center"/>
              <w:rPr>
                <w:rFonts w:cs="Arial"/>
                <w:szCs w:val="20"/>
              </w:rPr>
            </w:pPr>
            <w:r>
              <w:rPr>
                <w:rFonts w:cs="Arial"/>
                <w:szCs w:val="20"/>
              </w:rPr>
              <w:t>-7</w:t>
            </w:r>
          </w:p>
        </w:tc>
        <w:tc>
          <w:tcPr>
            <w:tcW w:w="329" w:type="pct"/>
            <w:gridSpan w:val="2"/>
            <w:tcBorders>
              <w:top w:val="nil"/>
              <w:bottom w:val="nil"/>
            </w:tcBorders>
            <w:vAlign w:val="center"/>
          </w:tcPr>
          <w:p w:rsidR="002045E5" w:rsidRDefault="002045E5">
            <w:pPr>
              <w:jc w:val="center"/>
              <w:rPr>
                <w:rFonts w:cs="Arial"/>
                <w:szCs w:val="20"/>
              </w:rPr>
            </w:pPr>
            <w:r>
              <w:rPr>
                <w:rFonts w:cs="Arial"/>
                <w:szCs w:val="20"/>
              </w:rPr>
              <w:t>7</w:t>
            </w:r>
          </w:p>
        </w:tc>
        <w:tc>
          <w:tcPr>
            <w:tcW w:w="363" w:type="pct"/>
            <w:gridSpan w:val="2"/>
            <w:tcBorders>
              <w:top w:val="nil"/>
              <w:bottom w:val="nil"/>
            </w:tcBorders>
            <w:vAlign w:val="center"/>
          </w:tcPr>
          <w:p w:rsidR="002045E5" w:rsidRDefault="002045E5">
            <w:pPr>
              <w:jc w:val="center"/>
              <w:rPr>
                <w:rFonts w:cs="Arial"/>
                <w:szCs w:val="20"/>
              </w:rPr>
            </w:pPr>
            <w:r>
              <w:rPr>
                <w:rFonts w:cs="Arial"/>
                <w:szCs w:val="20"/>
              </w:rPr>
              <w:t>-4</w:t>
            </w:r>
          </w:p>
        </w:tc>
        <w:tc>
          <w:tcPr>
            <w:tcW w:w="330" w:type="pct"/>
            <w:gridSpan w:val="2"/>
            <w:tcBorders>
              <w:top w:val="nil"/>
              <w:bottom w:val="nil"/>
            </w:tcBorders>
            <w:vAlign w:val="center"/>
          </w:tcPr>
          <w:p w:rsidR="002045E5" w:rsidRDefault="002045E5">
            <w:pPr>
              <w:jc w:val="center"/>
              <w:rPr>
                <w:rFonts w:cs="Arial"/>
                <w:szCs w:val="20"/>
              </w:rPr>
            </w:pPr>
            <w:r>
              <w:rPr>
                <w:rFonts w:cs="Arial"/>
                <w:szCs w:val="20"/>
              </w:rPr>
              <w:t>6</w:t>
            </w:r>
          </w:p>
        </w:tc>
        <w:tc>
          <w:tcPr>
            <w:tcW w:w="359" w:type="pct"/>
            <w:gridSpan w:val="2"/>
            <w:tcBorders>
              <w:top w:val="nil"/>
              <w:bottom w:val="nil"/>
            </w:tcBorders>
            <w:vAlign w:val="center"/>
          </w:tcPr>
          <w:p w:rsidR="002045E5" w:rsidRDefault="002045E5">
            <w:pPr>
              <w:jc w:val="center"/>
              <w:rPr>
                <w:rFonts w:cs="Arial"/>
                <w:szCs w:val="20"/>
              </w:rPr>
            </w:pPr>
            <w:r>
              <w:rPr>
                <w:rFonts w:cs="Arial"/>
                <w:szCs w:val="20"/>
              </w:rPr>
              <w:t>39</w:t>
            </w:r>
          </w:p>
        </w:tc>
        <w:tc>
          <w:tcPr>
            <w:tcW w:w="303" w:type="pct"/>
            <w:gridSpan w:val="3"/>
            <w:tcBorders>
              <w:top w:val="nil"/>
              <w:bottom w:val="nil"/>
            </w:tcBorders>
            <w:vAlign w:val="center"/>
          </w:tcPr>
          <w:p w:rsidR="002045E5" w:rsidRDefault="002045E5">
            <w:pPr>
              <w:jc w:val="center"/>
              <w:rPr>
                <w:rFonts w:cs="Arial"/>
                <w:szCs w:val="20"/>
              </w:rPr>
            </w:pPr>
            <w:r>
              <w:rPr>
                <w:rFonts w:cs="Arial"/>
                <w:szCs w:val="20"/>
              </w:rPr>
              <w:t>-</w:t>
            </w:r>
          </w:p>
        </w:tc>
        <w:tc>
          <w:tcPr>
            <w:tcW w:w="412" w:type="pct"/>
            <w:gridSpan w:val="2"/>
            <w:tcBorders>
              <w:top w:val="nil"/>
              <w:bottom w:val="nil"/>
            </w:tcBorders>
            <w:vAlign w:val="center"/>
          </w:tcPr>
          <w:p w:rsidR="002045E5" w:rsidRDefault="002045E5">
            <w:pPr>
              <w:jc w:val="center"/>
              <w:rPr>
                <w:rFonts w:cs="Arial"/>
                <w:szCs w:val="20"/>
              </w:rPr>
            </w:pPr>
            <w:r>
              <w:rPr>
                <w:rFonts w:cs="Arial"/>
                <w:szCs w:val="20"/>
              </w:rPr>
              <w:t>-</w:t>
            </w:r>
          </w:p>
        </w:tc>
      </w:tr>
      <w:tr w:rsidR="002045E5" w:rsidRPr="006A7228" w:rsidTr="002045E5">
        <w:trPr>
          <w:gridAfter w:val="1"/>
          <w:wAfter w:w="22" w:type="pct"/>
          <w:trHeight w:val="510"/>
        </w:trPr>
        <w:tc>
          <w:tcPr>
            <w:tcW w:w="749" w:type="pct"/>
            <w:tcBorders>
              <w:top w:val="nil"/>
              <w:bottom w:val="nil"/>
            </w:tcBorders>
            <w:vAlign w:val="center"/>
          </w:tcPr>
          <w:p w:rsidR="002045E5" w:rsidRDefault="002045E5">
            <w:pPr>
              <w:rPr>
                <w:rFonts w:cs="Arial"/>
                <w:sz w:val="16"/>
                <w:szCs w:val="16"/>
              </w:rPr>
            </w:pPr>
            <w:r>
              <w:rPr>
                <w:rFonts w:cs="Arial"/>
                <w:sz w:val="16"/>
                <w:szCs w:val="16"/>
              </w:rPr>
              <w:lastRenderedPageBreak/>
              <w:t>16-17 financial YTD</w:t>
            </w:r>
          </w:p>
        </w:tc>
        <w:tc>
          <w:tcPr>
            <w:tcW w:w="328" w:type="pct"/>
            <w:tcBorders>
              <w:top w:val="nil"/>
              <w:bottom w:val="nil"/>
            </w:tcBorders>
            <w:vAlign w:val="center"/>
          </w:tcPr>
          <w:p w:rsidR="002045E5" w:rsidRDefault="002045E5" w:rsidP="002045E5">
            <w:pPr>
              <w:jc w:val="center"/>
              <w:rPr>
                <w:rFonts w:cs="Arial"/>
                <w:sz w:val="20"/>
                <w:szCs w:val="20"/>
              </w:rPr>
            </w:pPr>
            <w:r>
              <w:rPr>
                <w:rFonts w:cs="Arial"/>
                <w:sz w:val="20"/>
                <w:szCs w:val="20"/>
              </w:rPr>
              <w:t>8.5</w:t>
            </w:r>
          </w:p>
        </w:tc>
        <w:tc>
          <w:tcPr>
            <w:tcW w:w="364" w:type="pct"/>
            <w:tcBorders>
              <w:top w:val="nil"/>
              <w:bottom w:val="nil"/>
            </w:tcBorders>
            <w:vAlign w:val="center"/>
          </w:tcPr>
          <w:p w:rsidR="002045E5" w:rsidRDefault="002045E5">
            <w:pPr>
              <w:jc w:val="center"/>
              <w:rPr>
                <w:rFonts w:cs="Arial"/>
                <w:sz w:val="20"/>
                <w:szCs w:val="20"/>
              </w:rPr>
            </w:pPr>
            <w:r>
              <w:rPr>
                <w:rFonts w:cs="Arial"/>
                <w:sz w:val="20"/>
                <w:szCs w:val="20"/>
              </w:rPr>
              <w:t>522</w:t>
            </w:r>
          </w:p>
        </w:tc>
        <w:tc>
          <w:tcPr>
            <w:tcW w:w="384" w:type="pct"/>
            <w:gridSpan w:val="2"/>
            <w:tcBorders>
              <w:top w:val="nil"/>
              <w:bottom w:val="nil"/>
            </w:tcBorders>
            <w:vAlign w:val="center"/>
          </w:tcPr>
          <w:p w:rsidR="002045E5" w:rsidRDefault="002045E5">
            <w:pPr>
              <w:jc w:val="center"/>
              <w:rPr>
                <w:rFonts w:cs="Arial"/>
                <w:sz w:val="20"/>
                <w:szCs w:val="20"/>
              </w:rPr>
            </w:pPr>
            <w:r>
              <w:rPr>
                <w:rFonts w:cs="Arial"/>
                <w:sz w:val="20"/>
                <w:szCs w:val="20"/>
              </w:rPr>
              <w:t>8.29</w:t>
            </w:r>
          </w:p>
        </w:tc>
        <w:tc>
          <w:tcPr>
            <w:tcW w:w="417" w:type="pct"/>
            <w:gridSpan w:val="2"/>
            <w:tcBorders>
              <w:top w:val="nil"/>
              <w:bottom w:val="nil"/>
            </w:tcBorders>
            <w:vAlign w:val="center"/>
          </w:tcPr>
          <w:p w:rsidR="002045E5" w:rsidRDefault="002045E5">
            <w:pPr>
              <w:jc w:val="center"/>
              <w:rPr>
                <w:rFonts w:cs="Arial"/>
                <w:sz w:val="20"/>
                <w:szCs w:val="20"/>
              </w:rPr>
            </w:pPr>
            <w:r>
              <w:rPr>
                <w:rFonts w:cs="Arial"/>
                <w:sz w:val="20"/>
                <w:szCs w:val="20"/>
              </w:rPr>
              <w:t>240</w:t>
            </w:r>
          </w:p>
        </w:tc>
        <w:tc>
          <w:tcPr>
            <w:tcW w:w="329" w:type="pct"/>
            <w:gridSpan w:val="2"/>
            <w:tcBorders>
              <w:top w:val="nil"/>
              <w:bottom w:val="nil"/>
            </w:tcBorders>
            <w:vAlign w:val="center"/>
          </w:tcPr>
          <w:p w:rsidR="002045E5" w:rsidRDefault="002045E5">
            <w:pPr>
              <w:jc w:val="center"/>
              <w:rPr>
                <w:rFonts w:cs="Arial"/>
                <w:sz w:val="20"/>
                <w:szCs w:val="20"/>
              </w:rPr>
            </w:pPr>
            <w:r>
              <w:rPr>
                <w:rFonts w:cs="Arial"/>
                <w:sz w:val="20"/>
                <w:szCs w:val="20"/>
              </w:rPr>
              <w:t>8.72</w:t>
            </w:r>
          </w:p>
        </w:tc>
        <w:tc>
          <w:tcPr>
            <w:tcW w:w="310" w:type="pct"/>
            <w:gridSpan w:val="2"/>
            <w:tcBorders>
              <w:top w:val="nil"/>
              <w:bottom w:val="nil"/>
            </w:tcBorders>
            <w:vAlign w:val="center"/>
          </w:tcPr>
          <w:p w:rsidR="002045E5" w:rsidRDefault="002045E5">
            <w:pPr>
              <w:jc w:val="center"/>
              <w:rPr>
                <w:rFonts w:cs="Arial"/>
                <w:sz w:val="20"/>
                <w:szCs w:val="20"/>
              </w:rPr>
            </w:pPr>
            <w:r>
              <w:rPr>
                <w:rFonts w:cs="Arial"/>
                <w:sz w:val="20"/>
                <w:szCs w:val="20"/>
              </w:rPr>
              <w:t>61</w:t>
            </w:r>
          </w:p>
        </w:tc>
        <w:tc>
          <w:tcPr>
            <w:tcW w:w="329" w:type="pct"/>
            <w:gridSpan w:val="2"/>
            <w:tcBorders>
              <w:top w:val="nil"/>
              <w:bottom w:val="nil"/>
            </w:tcBorders>
            <w:vAlign w:val="center"/>
          </w:tcPr>
          <w:p w:rsidR="002045E5" w:rsidRDefault="002045E5">
            <w:pPr>
              <w:jc w:val="center"/>
              <w:rPr>
                <w:rFonts w:cs="Arial"/>
                <w:sz w:val="20"/>
                <w:szCs w:val="20"/>
              </w:rPr>
            </w:pPr>
            <w:r>
              <w:rPr>
                <w:rFonts w:cs="Arial"/>
                <w:sz w:val="20"/>
                <w:szCs w:val="20"/>
              </w:rPr>
              <w:t>8.21</w:t>
            </w:r>
          </w:p>
        </w:tc>
        <w:tc>
          <w:tcPr>
            <w:tcW w:w="363" w:type="pct"/>
            <w:gridSpan w:val="2"/>
            <w:tcBorders>
              <w:top w:val="nil"/>
              <w:bottom w:val="nil"/>
            </w:tcBorders>
            <w:vAlign w:val="center"/>
          </w:tcPr>
          <w:p w:rsidR="002045E5" w:rsidRDefault="002045E5">
            <w:pPr>
              <w:jc w:val="center"/>
              <w:rPr>
                <w:rFonts w:cs="Arial"/>
                <w:sz w:val="20"/>
                <w:szCs w:val="20"/>
              </w:rPr>
            </w:pPr>
            <w:r>
              <w:rPr>
                <w:rFonts w:cs="Arial"/>
                <w:sz w:val="20"/>
                <w:szCs w:val="20"/>
              </w:rPr>
              <w:t>84</w:t>
            </w:r>
          </w:p>
        </w:tc>
        <w:tc>
          <w:tcPr>
            <w:tcW w:w="330" w:type="pct"/>
            <w:gridSpan w:val="2"/>
            <w:tcBorders>
              <w:top w:val="nil"/>
              <w:bottom w:val="nil"/>
            </w:tcBorders>
            <w:vAlign w:val="center"/>
          </w:tcPr>
          <w:p w:rsidR="002045E5" w:rsidRDefault="002045E5">
            <w:pPr>
              <w:jc w:val="center"/>
              <w:rPr>
                <w:rFonts w:cs="Arial"/>
                <w:sz w:val="20"/>
                <w:szCs w:val="20"/>
              </w:rPr>
            </w:pPr>
            <w:r>
              <w:rPr>
                <w:rFonts w:cs="Arial"/>
                <w:sz w:val="20"/>
                <w:szCs w:val="20"/>
              </w:rPr>
              <w:t>8.39</w:t>
            </w:r>
          </w:p>
        </w:tc>
        <w:tc>
          <w:tcPr>
            <w:tcW w:w="359" w:type="pct"/>
            <w:gridSpan w:val="2"/>
            <w:tcBorders>
              <w:top w:val="nil"/>
              <w:bottom w:val="nil"/>
            </w:tcBorders>
            <w:vAlign w:val="center"/>
          </w:tcPr>
          <w:p w:rsidR="002045E5" w:rsidRDefault="002045E5">
            <w:pPr>
              <w:jc w:val="center"/>
              <w:rPr>
                <w:rFonts w:cs="Arial"/>
                <w:sz w:val="20"/>
                <w:szCs w:val="20"/>
              </w:rPr>
            </w:pPr>
            <w:r>
              <w:rPr>
                <w:rFonts w:cs="Arial"/>
                <w:sz w:val="20"/>
                <w:szCs w:val="20"/>
              </w:rPr>
              <w:t>6448</w:t>
            </w:r>
          </w:p>
        </w:tc>
        <w:tc>
          <w:tcPr>
            <w:tcW w:w="303" w:type="pct"/>
            <w:gridSpan w:val="3"/>
            <w:tcBorders>
              <w:top w:val="nil"/>
              <w:bottom w:val="nil"/>
            </w:tcBorders>
            <w:vAlign w:val="center"/>
          </w:tcPr>
          <w:p w:rsidR="002045E5" w:rsidRDefault="002045E5">
            <w:pPr>
              <w:jc w:val="center"/>
              <w:rPr>
                <w:rFonts w:cs="Arial"/>
                <w:sz w:val="20"/>
                <w:szCs w:val="20"/>
              </w:rPr>
            </w:pPr>
            <w:r>
              <w:rPr>
                <w:rFonts w:cs="Arial"/>
                <w:sz w:val="20"/>
                <w:szCs w:val="20"/>
              </w:rPr>
              <w:t>-</w:t>
            </w:r>
          </w:p>
        </w:tc>
        <w:tc>
          <w:tcPr>
            <w:tcW w:w="412" w:type="pct"/>
            <w:gridSpan w:val="2"/>
            <w:tcBorders>
              <w:top w:val="nil"/>
              <w:bottom w:val="nil"/>
            </w:tcBorders>
            <w:vAlign w:val="center"/>
          </w:tcPr>
          <w:p w:rsidR="002045E5" w:rsidRDefault="002045E5">
            <w:pPr>
              <w:jc w:val="center"/>
              <w:rPr>
                <w:rFonts w:cs="Arial"/>
                <w:sz w:val="20"/>
                <w:szCs w:val="20"/>
              </w:rPr>
            </w:pPr>
            <w:r>
              <w:rPr>
                <w:rFonts w:cs="Arial"/>
                <w:sz w:val="20"/>
                <w:szCs w:val="20"/>
              </w:rPr>
              <w:t>-</w:t>
            </w:r>
          </w:p>
        </w:tc>
      </w:tr>
      <w:tr w:rsidR="002045E5" w:rsidRPr="006A7228" w:rsidTr="002045E5">
        <w:trPr>
          <w:gridAfter w:val="1"/>
          <w:cnfStyle w:val="000000010000" w:firstRow="0" w:lastRow="0" w:firstColumn="0" w:lastColumn="0" w:oddVBand="0" w:evenVBand="0" w:oddHBand="0" w:evenHBand="1" w:firstRowFirstColumn="0" w:firstRowLastColumn="0" w:lastRowFirstColumn="0" w:lastRowLastColumn="0"/>
          <w:wAfter w:w="22" w:type="pct"/>
          <w:trHeight w:val="510"/>
        </w:trPr>
        <w:tc>
          <w:tcPr>
            <w:tcW w:w="749" w:type="pct"/>
            <w:tcBorders>
              <w:top w:val="nil"/>
              <w:bottom w:val="single" w:sz="4" w:space="0" w:color="auto"/>
            </w:tcBorders>
            <w:vAlign w:val="center"/>
          </w:tcPr>
          <w:p w:rsidR="002045E5" w:rsidRDefault="002045E5">
            <w:pPr>
              <w:rPr>
                <w:rFonts w:cs="Arial"/>
                <w:sz w:val="16"/>
                <w:szCs w:val="16"/>
              </w:rPr>
            </w:pPr>
            <w:r>
              <w:rPr>
                <w:rFonts w:cs="Arial"/>
                <w:sz w:val="16"/>
                <w:szCs w:val="16"/>
              </w:rPr>
              <w:t>% change from previous financial YTD</w:t>
            </w:r>
          </w:p>
        </w:tc>
        <w:tc>
          <w:tcPr>
            <w:tcW w:w="328" w:type="pct"/>
            <w:tcBorders>
              <w:top w:val="nil"/>
              <w:bottom w:val="single" w:sz="4" w:space="0" w:color="auto"/>
            </w:tcBorders>
            <w:vAlign w:val="center"/>
          </w:tcPr>
          <w:p w:rsidR="002045E5" w:rsidRDefault="002045E5">
            <w:pPr>
              <w:jc w:val="center"/>
              <w:rPr>
                <w:rFonts w:cs="Arial"/>
                <w:szCs w:val="20"/>
              </w:rPr>
            </w:pPr>
            <w:r>
              <w:rPr>
                <w:rFonts w:cs="Arial"/>
                <w:szCs w:val="20"/>
              </w:rPr>
              <w:t>87</w:t>
            </w:r>
          </w:p>
        </w:tc>
        <w:tc>
          <w:tcPr>
            <w:tcW w:w="364" w:type="pct"/>
            <w:tcBorders>
              <w:top w:val="nil"/>
              <w:bottom w:val="single" w:sz="4" w:space="0" w:color="auto"/>
            </w:tcBorders>
            <w:vAlign w:val="center"/>
          </w:tcPr>
          <w:p w:rsidR="002045E5" w:rsidRDefault="002045E5">
            <w:pPr>
              <w:jc w:val="center"/>
              <w:rPr>
                <w:rFonts w:cs="Arial"/>
                <w:szCs w:val="20"/>
              </w:rPr>
            </w:pPr>
            <w:r>
              <w:rPr>
                <w:rFonts w:cs="Arial"/>
                <w:szCs w:val="20"/>
              </w:rPr>
              <w:t>-3</w:t>
            </w:r>
          </w:p>
        </w:tc>
        <w:tc>
          <w:tcPr>
            <w:tcW w:w="384" w:type="pct"/>
            <w:gridSpan w:val="2"/>
            <w:tcBorders>
              <w:top w:val="nil"/>
              <w:bottom w:val="single" w:sz="4" w:space="0" w:color="auto"/>
            </w:tcBorders>
            <w:vAlign w:val="center"/>
          </w:tcPr>
          <w:p w:rsidR="002045E5" w:rsidRDefault="002045E5">
            <w:pPr>
              <w:jc w:val="center"/>
              <w:rPr>
                <w:rFonts w:cs="Arial"/>
                <w:szCs w:val="20"/>
              </w:rPr>
            </w:pPr>
            <w:r>
              <w:rPr>
                <w:rFonts w:cs="Arial"/>
                <w:szCs w:val="20"/>
              </w:rPr>
              <w:t>81</w:t>
            </w:r>
          </w:p>
        </w:tc>
        <w:tc>
          <w:tcPr>
            <w:tcW w:w="417" w:type="pct"/>
            <w:gridSpan w:val="2"/>
            <w:tcBorders>
              <w:top w:val="nil"/>
              <w:bottom w:val="single" w:sz="4" w:space="0" w:color="auto"/>
            </w:tcBorders>
            <w:vAlign w:val="center"/>
          </w:tcPr>
          <w:p w:rsidR="002045E5" w:rsidRDefault="002045E5">
            <w:pPr>
              <w:jc w:val="center"/>
              <w:rPr>
                <w:rFonts w:cs="Arial"/>
                <w:szCs w:val="20"/>
              </w:rPr>
            </w:pPr>
            <w:r>
              <w:rPr>
                <w:rFonts w:cs="Arial"/>
                <w:szCs w:val="20"/>
              </w:rPr>
              <w:t>3</w:t>
            </w:r>
          </w:p>
        </w:tc>
        <w:tc>
          <w:tcPr>
            <w:tcW w:w="329" w:type="pct"/>
            <w:gridSpan w:val="2"/>
            <w:tcBorders>
              <w:top w:val="nil"/>
              <w:bottom w:val="single" w:sz="4" w:space="0" w:color="auto"/>
            </w:tcBorders>
            <w:vAlign w:val="center"/>
          </w:tcPr>
          <w:p w:rsidR="002045E5" w:rsidRDefault="002045E5">
            <w:pPr>
              <w:jc w:val="center"/>
              <w:rPr>
                <w:rFonts w:cs="Arial"/>
                <w:szCs w:val="20"/>
              </w:rPr>
            </w:pPr>
            <w:r>
              <w:rPr>
                <w:rFonts w:cs="Arial"/>
                <w:szCs w:val="20"/>
              </w:rPr>
              <w:t>70</w:t>
            </w:r>
          </w:p>
        </w:tc>
        <w:tc>
          <w:tcPr>
            <w:tcW w:w="310" w:type="pct"/>
            <w:gridSpan w:val="2"/>
            <w:tcBorders>
              <w:top w:val="nil"/>
              <w:bottom w:val="single" w:sz="4" w:space="0" w:color="auto"/>
            </w:tcBorders>
            <w:vAlign w:val="center"/>
          </w:tcPr>
          <w:p w:rsidR="002045E5" w:rsidRDefault="002045E5">
            <w:pPr>
              <w:jc w:val="center"/>
              <w:rPr>
                <w:rFonts w:cs="Arial"/>
                <w:szCs w:val="20"/>
              </w:rPr>
            </w:pPr>
            <w:r>
              <w:rPr>
                <w:rFonts w:cs="Arial"/>
                <w:szCs w:val="20"/>
              </w:rPr>
              <w:t>3</w:t>
            </w:r>
          </w:p>
        </w:tc>
        <w:tc>
          <w:tcPr>
            <w:tcW w:w="329" w:type="pct"/>
            <w:gridSpan w:val="2"/>
            <w:tcBorders>
              <w:top w:val="nil"/>
              <w:bottom w:val="single" w:sz="4" w:space="0" w:color="auto"/>
            </w:tcBorders>
            <w:vAlign w:val="center"/>
          </w:tcPr>
          <w:p w:rsidR="002045E5" w:rsidRDefault="002045E5">
            <w:pPr>
              <w:jc w:val="center"/>
              <w:rPr>
                <w:rFonts w:cs="Arial"/>
                <w:szCs w:val="20"/>
              </w:rPr>
            </w:pPr>
            <w:r>
              <w:rPr>
                <w:rFonts w:cs="Arial"/>
                <w:szCs w:val="20"/>
              </w:rPr>
              <w:t>99</w:t>
            </w:r>
          </w:p>
        </w:tc>
        <w:tc>
          <w:tcPr>
            <w:tcW w:w="363" w:type="pct"/>
            <w:gridSpan w:val="2"/>
            <w:tcBorders>
              <w:top w:val="nil"/>
              <w:bottom w:val="single" w:sz="4" w:space="0" w:color="auto"/>
            </w:tcBorders>
            <w:vAlign w:val="center"/>
          </w:tcPr>
          <w:p w:rsidR="002045E5" w:rsidRDefault="002045E5">
            <w:pPr>
              <w:jc w:val="center"/>
              <w:rPr>
                <w:rFonts w:cs="Arial"/>
                <w:szCs w:val="20"/>
              </w:rPr>
            </w:pPr>
            <w:r>
              <w:rPr>
                <w:rFonts w:cs="Arial"/>
                <w:szCs w:val="20"/>
              </w:rPr>
              <w:t>1</w:t>
            </w:r>
          </w:p>
        </w:tc>
        <w:tc>
          <w:tcPr>
            <w:tcW w:w="330" w:type="pct"/>
            <w:gridSpan w:val="2"/>
            <w:tcBorders>
              <w:top w:val="nil"/>
              <w:bottom w:val="single" w:sz="4" w:space="0" w:color="auto"/>
            </w:tcBorders>
            <w:vAlign w:val="center"/>
          </w:tcPr>
          <w:p w:rsidR="002045E5" w:rsidRDefault="002045E5">
            <w:pPr>
              <w:jc w:val="center"/>
              <w:rPr>
                <w:rFonts w:cs="Arial"/>
                <w:szCs w:val="20"/>
              </w:rPr>
            </w:pPr>
            <w:r>
              <w:rPr>
                <w:rFonts w:cs="Arial"/>
                <w:szCs w:val="20"/>
              </w:rPr>
              <w:t>115</w:t>
            </w:r>
          </w:p>
        </w:tc>
        <w:tc>
          <w:tcPr>
            <w:tcW w:w="359" w:type="pct"/>
            <w:gridSpan w:val="2"/>
            <w:tcBorders>
              <w:top w:val="nil"/>
              <w:bottom w:val="single" w:sz="4" w:space="0" w:color="auto"/>
            </w:tcBorders>
            <w:vAlign w:val="center"/>
          </w:tcPr>
          <w:p w:rsidR="002045E5" w:rsidRDefault="002045E5">
            <w:pPr>
              <w:jc w:val="center"/>
              <w:rPr>
                <w:rFonts w:cs="Arial"/>
                <w:szCs w:val="20"/>
              </w:rPr>
            </w:pPr>
            <w:r>
              <w:rPr>
                <w:rFonts w:cs="Arial"/>
                <w:szCs w:val="20"/>
              </w:rPr>
              <w:t>1</w:t>
            </w:r>
          </w:p>
        </w:tc>
        <w:tc>
          <w:tcPr>
            <w:tcW w:w="303" w:type="pct"/>
            <w:gridSpan w:val="3"/>
            <w:tcBorders>
              <w:top w:val="nil"/>
              <w:bottom w:val="single" w:sz="4" w:space="0" w:color="auto"/>
            </w:tcBorders>
            <w:vAlign w:val="center"/>
          </w:tcPr>
          <w:p w:rsidR="002045E5" w:rsidRDefault="002045E5">
            <w:pPr>
              <w:jc w:val="center"/>
              <w:rPr>
                <w:rFonts w:cs="Arial"/>
                <w:szCs w:val="20"/>
              </w:rPr>
            </w:pPr>
            <w:r>
              <w:rPr>
                <w:rFonts w:cs="Arial"/>
                <w:szCs w:val="20"/>
              </w:rPr>
              <w:t>-</w:t>
            </w:r>
          </w:p>
        </w:tc>
        <w:tc>
          <w:tcPr>
            <w:tcW w:w="412" w:type="pct"/>
            <w:gridSpan w:val="2"/>
            <w:tcBorders>
              <w:top w:val="nil"/>
              <w:bottom w:val="single" w:sz="4" w:space="0" w:color="auto"/>
            </w:tcBorders>
            <w:vAlign w:val="center"/>
          </w:tcPr>
          <w:p w:rsidR="002045E5" w:rsidRDefault="002045E5">
            <w:pPr>
              <w:jc w:val="center"/>
              <w:rPr>
                <w:rFonts w:cs="Arial"/>
                <w:szCs w:val="20"/>
              </w:rPr>
            </w:pPr>
            <w:r>
              <w:rPr>
                <w:rFonts w:cs="Arial"/>
                <w:szCs w:val="20"/>
              </w:rPr>
              <w:t>-</w:t>
            </w:r>
          </w:p>
        </w:tc>
      </w:tr>
    </w:tbl>
    <w:p w:rsidR="001521CB" w:rsidRPr="008D4DAB" w:rsidRDefault="001521CB" w:rsidP="00A226E9">
      <w:pPr>
        <w:pStyle w:val="AERbodytext"/>
        <w:keepNext/>
      </w:pPr>
      <w:r w:rsidRPr="00EC137F">
        <w:t>Figure 2 illustrates the daily prices in each gas market</w:t>
      </w:r>
      <w:r w:rsidR="00580E72" w:rsidRPr="00EC137F">
        <w:t>, as defined in figure 1</w:t>
      </w:r>
      <w:r w:rsidRPr="00EC137F">
        <w:t>.</w:t>
      </w:r>
    </w:p>
    <w:p w:rsidR="001521CB" w:rsidRPr="001521CB" w:rsidRDefault="001521CB" w:rsidP="001521CB">
      <w:pPr>
        <w:pStyle w:val="Caption"/>
      </w:pPr>
      <w:r w:rsidRPr="001521CB">
        <w:t xml:space="preserve">Figure </w:t>
      </w:r>
      <w:fldSimple w:instr=" SEQ Figure \* ARABIC ">
        <w:r>
          <w:rPr>
            <w:noProof/>
          </w:rPr>
          <w:t>2</w:t>
        </w:r>
      </w:fldSimple>
      <w:r w:rsidRPr="001521CB">
        <w:t xml:space="preserve">: </w:t>
      </w:r>
      <w:r w:rsidRPr="001521CB">
        <w:rPr>
          <w:color w:val="2272A3"/>
          <w:szCs w:val="24"/>
        </w:rPr>
        <w:t>Daily gas market prices</w:t>
      </w:r>
      <w:r w:rsidR="00A84149">
        <w:rPr>
          <w:color w:val="2272A3"/>
          <w:szCs w:val="24"/>
        </w:rPr>
        <w:t xml:space="preserve"> ($/GJ)</w:t>
      </w:r>
    </w:p>
    <w:p w:rsidR="001521CB" w:rsidRDefault="002045E5" w:rsidP="002045E5">
      <w:pPr>
        <w:jc w:val="center"/>
      </w:pPr>
      <w:r w:rsidRPr="002045E5">
        <w:rPr>
          <w:noProof/>
          <w:lang w:eastAsia="en-AU"/>
        </w:rPr>
        <w:drawing>
          <wp:inline distT="0" distB="0" distL="0" distR="0" wp14:anchorId="293F7589" wp14:editId="028CD281">
            <wp:extent cx="5731510" cy="3548182"/>
            <wp:effectExtent l="0" t="0" r="2540" b="0"/>
            <wp:docPr id="2" name="Picture 2" descr="Figure 2 shows the daily price of gas in the mandatory gas markets and voluntary gas supply hubs (GSH). The weighted average daily imbalance price applies for Victoria. The prices shown for the GSH in Wallumbilla and Moomba are volume weighted average prices for all products traded on each day." title="Daily gas market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548182"/>
                    </a:xfrm>
                    <a:prstGeom prst="rect">
                      <a:avLst/>
                    </a:prstGeom>
                    <a:noFill/>
                    <a:ln>
                      <a:noFill/>
                    </a:ln>
                  </pic:spPr>
                </pic:pic>
              </a:graphicData>
            </a:graphic>
          </wp:inline>
        </w:drawing>
      </w:r>
    </w:p>
    <w:p w:rsidR="001521CB" w:rsidRPr="008D4DAB" w:rsidRDefault="001521CB" w:rsidP="00F26128">
      <w:pPr>
        <w:pStyle w:val="AERbodytext"/>
      </w:pPr>
      <w:r w:rsidRPr="00EC137F">
        <w:t xml:space="preserve">Figure 3 compares average ancillary market payments </w:t>
      </w:r>
      <w:r w:rsidR="006621AB" w:rsidRPr="00EC137F">
        <w:t xml:space="preserve">(VGM) </w:t>
      </w:r>
      <w:r w:rsidRPr="00EC137F">
        <w:t xml:space="preserve">and </w:t>
      </w:r>
      <w:r w:rsidR="006621AB" w:rsidRPr="00EC137F">
        <w:t xml:space="preserve">balancing gas service payments (STTM) </w:t>
      </w:r>
      <w:r w:rsidRPr="00EC137F">
        <w:t>against historical averages.</w:t>
      </w:r>
    </w:p>
    <w:p w:rsidR="001521CB" w:rsidRPr="001521CB" w:rsidRDefault="001521CB" w:rsidP="001521CB">
      <w:pPr>
        <w:pStyle w:val="Caption"/>
      </w:pPr>
      <w:r w:rsidRPr="001521CB">
        <w:t xml:space="preserve">Figure </w:t>
      </w:r>
      <w:fldSimple w:instr=" SEQ Figure \* ARABIC ">
        <w:r>
          <w:rPr>
            <w:noProof/>
          </w:rPr>
          <w:t>3</w:t>
        </w:r>
      </w:fldSimple>
      <w:r w:rsidRPr="001521CB">
        <w:t xml:space="preserve">: </w:t>
      </w:r>
      <w:r w:rsidR="00E95390">
        <w:rPr>
          <w:color w:val="2272A3"/>
          <w:szCs w:val="24"/>
        </w:rPr>
        <w:t xml:space="preserve">Average ancillary </w:t>
      </w:r>
      <w:r w:rsidR="00E7180D">
        <w:rPr>
          <w:color w:val="2272A3"/>
          <w:szCs w:val="24"/>
        </w:rPr>
        <w:t>payments</w:t>
      </w:r>
      <w:r w:rsidR="0092084D">
        <w:rPr>
          <w:color w:val="2272A3"/>
          <w:szCs w:val="24"/>
        </w:rPr>
        <w:t xml:space="preserve"> ($000)</w:t>
      </w:r>
    </w:p>
    <w:tbl>
      <w:tblPr>
        <w:tblStyle w:val="AERTable-Text"/>
        <w:tblW w:w="5000" w:type="pct"/>
        <w:tblLook w:val="04A0" w:firstRow="1" w:lastRow="0" w:firstColumn="1" w:lastColumn="0" w:noHBand="0" w:noVBand="1"/>
      </w:tblPr>
      <w:tblGrid>
        <w:gridCol w:w="2930"/>
        <w:gridCol w:w="1835"/>
        <w:gridCol w:w="1401"/>
        <w:gridCol w:w="1536"/>
        <w:gridCol w:w="1540"/>
      </w:tblGrid>
      <w:tr w:rsidR="00534DD9" w:rsidRPr="00405CDE" w:rsidTr="00534DD9">
        <w:trPr>
          <w:cnfStyle w:val="100000000000" w:firstRow="1" w:lastRow="0" w:firstColumn="0" w:lastColumn="0" w:oddVBand="0" w:evenVBand="0" w:oddHBand="0" w:evenHBand="0" w:firstRowFirstColumn="0" w:firstRowLastColumn="0" w:lastRowFirstColumn="0" w:lastRowLastColumn="0"/>
          <w:tblHeader/>
        </w:trPr>
        <w:tc>
          <w:tcPr>
            <w:tcW w:w="1585" w:type="pct"/>
            <w:tcBorders>
              <w:bottom w:val="nil"/>
            </w:tcBorders>
            <w:vAlign w:val="center"/>
            <w:hideMark/>
          </w:tcPr>
          <w:p w:rsidR="00534DD9" w:rsidRPr="00DC24BF" w:rsidRDefault="001521CB" w:rsidP="00534DD9">
            <w:pPr>
              <w:pStyle w:val="TableHeading"/>
              <w:spacing w:before="120" w:after="120" w:line="240" w:lineRule="auto"/>
              <w:jc w:val="center"/>
              <w:rPr>
                <w:rFonts w:cs="Arial"/>
                <w:sz w:val="20"/>
                <w:szCs w:val="20"/>
              </w:rPr>
            </w:pPr>
            <w:r w:rsidRPr="00D329E0">
              <w:t xml:space="preserve"> </w:t>
            </w:r>
          </w:p>
        </w:tc>
        <w:tc>
          <w:tcPr>
            <w:tcW w:w="993" w:type="pct"/>
            <w:tcBorders>
              <w:bottom w:val="nil"/>
            </w:tcBorders>
            <w:vAlign w:val="center"/>
            <w:hideMark/>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Victoria                                   </w:t>
            </w:r>
            <w:r w:rsidRPr="00534DD9">
              <w:rPr>
                <w:rFonts w:eastAsia="Times New Roman" w:cs="Arial"/>
                <w:b w:val="0"/>
                <w:color w:val="FFFFFF"/>
                <w:sz w:val="16"/>
                <w:szCs w:val="16"/>
                <w:lang w:eastAsia="en-AU"/>
              </w:rPr>
              <w:t>Ancillary Payments</w:t>
            </w:r>
            <w:r>
              <w:rPr>
                <w:rFonts w:eastAsia="Times New Roman" w:cs="Arial"/>
                <w:b w:val="0"/>
                <w:color w:val="FFFFFF"/>
                <w:sz w:val="16"/>
                <w:szCs w:val="16"/>
                <w:lang w:eastAsia="en-AU"/>
              </w:rPr>
              <w:t>*</w:t>
            </w:r>
          </w:p>
        </w:tc>
        <w:tc>
          <w:tcPr>
            <w:tcW w:w="758"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Sydney                                    </w:t>
            </w:r>
            <w:r w:rsidRPr="00534DD9">
              <w:rPr>
                <w:rFonts w:eastAsia="Times New Roman" w:cs="Arial"/>
                <w:b w:val="0"/>
                <w:color w:val="FFFFFF"/>
                <w:sz w:val="16"/>
                <w:szCs w:val="16"/>
                <w:lang w:eastAsia="en-AU"/>
              </w:rPr>
              <w:t>MOS</w:t>
            </w:r>
          </w:p>
        </w:tc>
        <w:tc>
          <w:tcPr>
            <w:tcW w:w="831"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Adelaide                                    </w:t>
            </w:r>
            <w:r w:rsidRPr="00534DD9">
              <w:rPr>
                <w:rFonts w:eastAsia="Times New Roman" w:cs="Arial"/>
                <w:b w:val="0"/>
                <w:color w:val="FFFFFF"/>
                <w:sz w:val="16"/>
                <w:szCs w:val="16"/>
                <w:lang w:eastAsia="en-AU"/>
              </w:rPr>
              <w:t>MOS</w:t>
            </w:r>
          </w:p>
        </w:tc>
        <w:tc>
          <w:tcPr>
            <w:tcW w:w="833"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Brisbane                                    </w:t>
            </w:r>
            <w:r w:rsidRPr="00534DD9">
              <w:rPr>
                <w:rFonts w:eastAsia="Times New Roman" w:cs="Arial"/>
                <w:b w:val="0"/>
                <w:color w:val="FFFFFF"/>
                <w:sz w:val="16"/>
                <w:szCs w:val="16"/>
                <w:lang w:eastAsia="en-AU"/>
              </w:rPr>
              <w:t>MOS</w:t>
            </w:r>
          </w:p>
        </w:tc>
      </w:tr>
      <w:tr w:rsidR="00731860" w:rsidRPr="00405CDE" w:rsidTr="00534DD9">
        <w:trPr>
          <w:trHeight w:val="510"/>
        </w:trPr>
        <w:tc>
          <w:tcPr>
            <w:tcW w:w="1585" w:type="pct"/>
            <w:tcBorders>
              <w:top w:val="nil"/>
              <w:bottom w:val="nil"/>
            </w:tcBorders>
            <w:vAlign w:val="center"/>
          </w:tcPr>
          <w:p w:rsidR="00731860" w:rsidRDefault="00731860">
            <w:pPr>
              <w:rPr>
                <w:rFonts w:cs="Arial"/>
                <w:sz w:val="16"/>
                <w:szCs w:val="16"/>
              </w:rPr>
            </w:pPr>
            <w:r>
              <w:rPr>
                <w:rFonts w:cs="Arial"/>
                <w:sz w:val="16"/>
                <w:szCs w:val="16"/>
              </w:rPr>
              <w:t>19 Mar - 25 Mar 2017</w:t>
            </w:r>
          </w:p>
        </w:tc>
        <w:tc>
          <w:tcPr>
            <w:tcW w:w="993" w:type="pct"/>
            <w:tcBorders>
              <w:top w:val="nil"/>
              <w:bottom w:val="nil"/>
            </w:tcBorders>
            <w:vAlign w:val="center"/>
          </w:tcPr>
          <w:p w:rsidR="00731860" w:rsidRDefault="00731860">
            <w:pPr>
              <w:jc w:val="center"/>
              <w:rPr>
                <w:rFonts w:cs="Arial"/>
                <w:sz w:val="20"/>
                <w:szCs w:val="20"/>
              </w:rPr>
            </w:pPr>
            <w:r>
              <w:rPr>
                <w:rFonts w:cs="Arial"/>
                <w:sz w:val="20"/>
                <w:szCs w:val="20"/>
              </w:rPr>
              <w:t>-</w:t>
            </w:r>
          </w:p>
        </w:tc>
        <w:tc>
          <w:tcPr>
            <w:tcW w:w="758" w:type="pct"/>
            <w:tcBorders>
              <w:top w:val="nil"/>
              <w:bottom w:val="nil"/>
            </w:tcBorders>
            <w:vAlign w:val="center"/>
          </w:tcPr>
          <w:p w:rsidR="00731860" w:rsidRDefault="00731860">
            <w:pPr>
              <w:jc w:val="center"/>
              <w:rPr>
                <w:rFonts w:cs="Arial"/>
                <w:sz w:val="20"/>
                <w:szCs w:val="20"/>
              </w:rPr>
            </w:pPr>
            <w:r>
              <w:rPr>
                <w:rFonts w:cs="Arial"/>
                <w:sz w:val="20"/>
                <w:szCs w:val="20"/>
              </w:rPr>
              <w:t>20.01</w:t>
            </w:r>
          </w:p>
        </w:tc>
        <w:tc>
          <w:tcPr>
            <w:tcW w:w="831" w:type="pct"/>
            <w:tcBorders>
              <w:top w:val="nil"/>
              <w:bottom w:val="nil"/>
            </w:tcBorders>
            <w:vAlign w:val="center"/>
          </w:tcPr>
          <w:p w:rsidR="00731860" w:rsidRDefault="00731860">
            <w:pPr>
              <w:jc w:val="center"/>
              <w:rPr>
                <w:rFonts w:cs="Arial"/>
                <w:sz w:val="20"/>
                <w:szCs w:val="20"/>
              </w:rPr>
            </w:pPr>
            <w:r>
              <w:rPr>
                <w:rFonts w:cs="Arial"/>
                <w:sz w:val="20"/>
                <w:szCs w:val="20"/>
              </w:rPr>
              <w:t>7.49</w:t>
            </w:r>
          </w:p>
        </w:tc>
        <w:tc>
          <w:tcPr>
            <w:tcW w:w="833" w:type="pct"/>
            <w:tcBorders>
              <w:top w:val="nil"/>
              <w:bottom w:val="nil"/>
            </w:tcBorders>
            <w:vAlign w:val="center"/>
          </w:tcPr>
          <w:p w:rsidR="00731860" w:rsidRDefault="00731860">
            <w:pPr>
              <w:jc w:val="center"/>
              <w:rPr>
                <w:rFonts w:cs="Arial"/>
                <w:sz w:val="20"/>
                <w:szCs w:val="20"/>
              </w:rPr>
            </w:pPr>
            <w:r>
              <w:rPr>
                <w:rFonts w:cs="Arial"/>
                <w:sz w:val="20"/>
                <w:szCs w:val="20"/>
              </w:rPr>
              <w:t>1.83</w:t>
            </w:r>
          </w:p>
        </w:tc>
      </w:tr>
      <w:tr w:rsidR="00731860"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nil"/>
            </w:tcBorders>
            <w:vAlign w:val="center"/>
          </w:tcPr>
          <w:p w:rsidR="00731860" w:rsidRDefault="00731860">
            <w:pPr>
              <w:rPr>
                <w:rFonts w:cs="Arial"/>
                <w:sz w:val="16"/>
                <w:szCs w:val="16"/>
              </w:rPr>
            </w:pPr>
            <w:r>
              <w:rPr>
                <w:rFonts w:cs="Arial"/>
                <w:sz w:val="16"/>
                <w:szCs w:val="16"/>
              </w:rPr>
              <w:t>% change from previous week</w:t>
            </w:r>
          </w:p>
        </w:tc>
        <w:tc>
          <w:tcPr>
            <w:tcW w:w="993" w:type="pct"/>
            <w:tcBorders>
              <w:top w:val="nil"/>
              <w:bottom w:val="nil"/>
            </w:tcBorders>
            <w:vAlign w:val="center"/>
          </w:tcPr>
          <w:p w:rsidR="00731860" w:rsidRDefault="00731860">
            <w:pPr>
              <w:jc w:val="center"/>
              <w:rPr>
                <w:rFonts w:cs="Arial"/>
                <w:szCs w:val="20"/>
              </w:rPr>
            </w:pPr>
            <w:r>
              <w:rPr>
                <w:rFonts w:cs="Arial"/>
                <w:szCs w:val="20"/>
              </w:rPr>
              <w:t>-</w:t>
            </w:r>
          </w:p>
        </w:tc>
        <w:tc>
          <w:tcPr>
            <w:tcW w:w="758" w:type="pct"/>
            <w:tcBorders>
              <w:top w:val="nil"/>
              <w:bottom w:val="nil"/>
            </w:tcBorders>
            <w:vAlign w:val="center"/>
          </w:tcPr>
          <w:p w:rsidR="00731860" w:rsidRDefault="00731860">
            <w:pPr>
              <w:jc w:val="center"/>
              <w:rPr>
                <w:rFonts w:cs="Arial"/>
                <w:szCs w:val="20"/>
              </w:rPr>
            </w:pPr>
            <w:r>
              <w:rPr>
                <w:rFonts w:cs="Arial"/>
                <w:szCs w:val="20"/>
              </w:rPr>
              <w:t>-46</w:t>
            </w:r>
          </w:p>
        </w:tc>
        <w:tc>
          <w:tcPr>
            <w:tcW w:w="831" w:type="pct"/>
            <w:tcBorders>
              <w:top w:val="nil"/>
              <w:bottom w:val="nil"/>
            </w:tcBorders>
            <w:vAlign w:val="center"/>
          </w:tcPr>
          <w:p w:rsidR="00731860" w:rsidRDefault="00731860">
            <w:pPr>
              <w:jc w:val="center"/>
              <w:rPr>
                <w:rFonts w:cs="Arial"/>
                <w:szCs w:val="20"/>
              </w:rPr>
            </w:pPr>
            <w:r>
              <w:rPr>
                <w:rFonts w:cs="Arial"/>
                <w:szCs w:val="20"/>
              </w:rPr>
              <w:t>-4</w:t>
            </w:r>
          </w:p>
        </w:tc>
        <w:tc>
          <w:tcPr>
            <w:tcW w:w="833" w:type="pct"/>
            <w:tcBorders>
              <w:top w:val="nil"/>
              <w:bottom w:val="nil"/>
            </w:tcBorders>
            <w:vAlign w:val="center"/>
          </w:tcPr>
          <w:p w:rsidR="00731860" w:rsidRDefault="00731860">
            <w:pPr>
              <w:jc w:val="center"/>
              <w:rPr>
                <w:rFonts w:cs="Arial"/>
                <w:szCs w:val="20"/>
              </w:rPr>
            </w:pPr>
            <w:r>
              <w:rPr>
                <w:rFonts w:cs="Arial"/>
                <w:szCs w:val="20"/>
              </w:rPr>
              <w:t>42</w:t>
            </w:r>
          </w:p>
        </w:tc>
      </w:tr>
      <w:tr w:rsidR="00731860" w:rsidRPr="00405CDE" w:rsidTr="00534DD9">
        <w:trPr>
          <w:trHeight w:val="510"/>
        </w:trPr>
        <w:tc>
          <w:tcPr>
            <w:tcW w:w="1585" w:type="pct"/>
            <w:tcBorders>
              <w:top w:val="nil"/>
              <w:bottom w:val="nil"/>
            </w:tcBorders>
            <w:vAlign w:val="center"/>
          </w:tcPr>
          <w:p w:rsidR="00731860" w:rsidRDefault="00731860">
            <w:pPr>
              <w:rPr>
                <w:rFonts w:cs="Arial"/>
                <w:sz w:val="16"/>
                <w:szCs w:val="16"/>
              </w:rPr>
            </w:pPr>
            <w:r>
              <w:rPr>
                <w:rFonts w:cs="Arial"/>
                <w:sz w:val="16"/>
                <w:szCs w:val="16"/>
              </w:rPr>
              <w:t>16-17 financial YTD</w:t>
            </w:r>
          </w:p>
        </w:tc>
        <w:tc>
          <w:tcPr>
            <w:tcW w:w="993" w:type="pct"/>
            <w:tcBorders>
              <w:top w:val="nil"/>
              <w:bottom w:val="nil"/>
            </w:tcBorders>
            <w:vAlign w:val="center"/>
          </w:tcPr>
          <w:p w:rsidR="00731860" w:rsidRDefault="00731860">
            <w:pPr>
              <w:jc w:val="center"/>
              <w:rPr>
                <w:rFonts w:cs="Arial"/>
                <w:sz w:val="20"/>
                <w:szCs w:val="20"/>
              </w:rPr>
            </w:pPr>
            <w:r>
              <w:rPr>
                <w:rFonts w:cs="Arial"/>
                <w:sz w:val="20"/>
                <w:szCs w:val="20"/>
              </w:rPr>
              <w:t> </w:t>
            </w:r>
          </w:p>
        </w:tc>
        <w:tc>
          <w:tcPr>
            <w:tcW w:w="758" w:type="pct"/>
            <w:tcBorders>
              <w:top w:val="nil"/>
              <w:bottom w:val="nil"/>
            </w:tcBorders>
            <w:vAlign w:val="center"/>
          </w:tcPr>
          <w:p w:rsidR="00731860" w:rsidRDefault="00731860">
            <w:pPr>
              <w:jc w:val="center"/>
              <w:rPr>
                <w:rFonts w:cs="Arial"/>
                <w:sz w:val="20"/>
                <w:szCs w:val="20"/>
              </w:rPr>
            </w:pPr>
            <w:r>
              <w:rPr>
                <w:rFonts w:cs="Arial"/>
                <w:sz w:val="20"/>
                <w:szCs w:val="20"/>
              </w:rPr>
              <w:t>51.56</w:t>
            </w:r>
          </w:p>
        </w:tc>
        <w:tc>
          <w:tcPr>
            <w:tcW w:w="831" w:type="pct"/>
            <w:tcBorders>
              <w:top w:val="nil"/>
              <w:bottom w:val="nil"/>
            </w:tcBorders>
            <w:vAlign w:val="center"/>
          </w:tcPr>
          <w:p w:rsidR="00731860" w:rsidRDefault="00731860">
            <w:pPr>
              <w:jc w:val="center"/>
              <w:rPr>
                <w:rFonts w:cs="Arial"/>
                <w:sz w:val="20"/>
                <w:szCs w:val="20"/>
              </w:rPr>
            </w:pPr>
            <w:r>
              <w:rPr>
                <w:rFonts w:cs="Arial"/>
                <w:sz w:val="20"/>
                <w:szCs w:val="20"/>
              </w:rPr>
              <w:t>20.33</w:t>
            </w:r>
          </w:p>
        </w:tc>
        <w:tc>
          <w:tcPr>
            <w:tcW w:w="833" w:type="pct"/>
            <w:tcBorders>
              <w:top w:val="nil"/>
              <w:bottom w:val="nil"/>
            </w:tcBorders>
            <w:vAlign w:val="center"/>
          </w:tcPr>
          <w:p w:rsidR="00731860" w:rsidRDefault="00731860">
            <w:pPr>
              <w:jc w:val="center"/>
              <w:rPr>
                <w:rFonts w:cs="Arial"/>
                <w:sz w:val="20"/>
                <w:szCs w:val="20"/>
              </w:rPr>
            </w:pPr>
            <w:r>
              <w:rPr>
                <w:rFonts w:cs="Arial"/>
                <w:sz w:val="20"/>
                <w:szCs w:val="20"/>
              </w:rPr>
              <w:t>1.61</w:t>
            </w:r>
          </w:p>
        </w:tc>
      </w:tr>
      <w:tr w:rsidR="00731860"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single" w:sz="4" w:space="0" w:color="auto"/>
            </w:tcBorders>
            <w:vAlign w:val="center"/>
          </w:tcPr>
          <w:p w:rsidR="00731860" w:rsidRDefault="00731860">
            <w:pPr>
              <w:rPr>
                <w:rFonts w:cs="Arial"/>
                <w:sz w:val="16"/>
                <w:szCs w:val="16"/>
              </w:rPr>
            </w:pPr>
            <w:r>
              <w:rPr>
                <w:rFonts w:cs="Arial"/>
                <w:sz w:val="16"/>
                <w:szCs w:val="16"/>
              </w:rPr>
              <w:t xml:space="preserve">% change from previous financial YTD </w:t>
            </w:r>
          </w:p>
        </w:tc>
        <w:tc>
          <w:tcPr>
            <w:tcW w:w="993" w:type="pct"/>
            <w:tcBorders>
              <w:top w:val="nil"/>
              <w:bottom w:val="single" w:sz="4" w:space="0" w:color="auto"/>
            </w:tcBorders>
            <w:vAlign w:val="center"/>
          </w:tcPr>
          <w:p w:rsidR="00731860" w:rsidRDefault="00731860">
            <w:pPr>
              <w:jc w:val="center"/>
              <w:rPr>
                <w:rFonts w:cs="Arial"/>
                <w:szCs w:val="20"/>
              </w:rPr>
            </w:pPr>
            <w:r>
              <w:rPr>
                <w:rFonts w:cs="Arial"/>
                <w:szCs w:val="20"/>
              </w:rPr>
              <w:t> </w:t>
            </w:r>
          </w:p>
        </w:tc>
        <w:tc>
          <w:tcPr>
            <w:tcW w:w="758" w:type="pct"/>
            <w:tcBorders>
              <w:top w:val="nil"/>
              <w:bottom w:val="single" w:sz="4" w:space="0" w:color="auto"/>
            </w:tcBorders>
            <w:vAlign w:val="center"/>
          </w:tcPr>
          <w:p w:rsidR="00731860" w:rsidRDefault="00731860">
            <w:pPr>
              <w:jc w:val="center"/>
              <w:rPr>
                <w:rFonts w:cs="Arial"/>
                <w:szCs w:val="20"/>
              </w:rPr>
            </w:pPr>
            <w:r>
              <w:rPr>
                <w:rFonts w:cs="Arial"/>
                <w:szCs w:val="20"/>
              </w:rPr>
              <w:t>71</w:t>
            </w:r>
          </w:p>
        </w:tc>
        <w:tc>
          <w:tcPr>
            <w:tcW w:w="831" w:type="pct"/>
            <w:tcBorders>
              <w:top w:val="nil"/>
              <w:bottom w:val="single" w:sz="4" w:space="0" w:color="auto"/>
            </w:tcBorders>
            <w:vAlign w:val="center"/>
          </w:tcPr>
          <w:p w:rsidR="00731860" w:rsidRDefault="00731860">
            <w:pPr>
              <w:jc w:val="center"/>
              <w:rPr>
                <w:rFonts w:cs="Arial"/>
                <w:szCs w:val="20"/>
              </w:rPr>
            </w:pPr>
            <w:r>
              <w:rPr>
                <w:rFonts w:cs="Arial"/>
                <w:szCs w:val="20"/>
              </w:rPr>
              <w:t>140</w:t>
            </w:r>
          </w:p>
        </w:tc>
        <w:tc>
          <w:tcPr>
            <w:tcW w:w="833" w:type="pct"/>
            <w:tcBorders>
              <w:top w:val="nil"/>
              <w:bottom w:val="single" w:sz="4" w:space="0" w:color="auto"/>
            </w:tcBorders>
            <w:vAlign w:val="center"/>
          </w:tcPr>
          <w:p w:rsidR="00731860" w:rsidRDefault="00731860">
            <w:pPr>
              <w:jc w:val="center"/>
              <w:rPr>
                <w:rFonts w:cs="Arial"/>
                <w:szCs w:val="20"/>
              </w:rPr>
            </w:pPr>
            <w:r>
              <w:rPr>
                <w:rFonts w:cs="Arial"/>
                <w:szCs w:val="20"/>
              </w:rPr>
              <w:t>2</w:t>
            </w:r>
          </w:p>
        </w:tc>
      </w:tr>
    </w:tbl>
    <w:p w:rsidR="00534DD9" w:rsidRPr="001521CB" w:rsidRDefault="00534DD9" w:rsidP="00534DD9">
      <w:pPr>
        <w:pStyle w:val="AERbodytext"/>
        <w:rPr>
          <w:sz w:val="16"/>
        </w:rPr>
      </w:pPr>
      <w:r w:rsidRPr="00EC137F">
        <w:rPr>
          <w:sz w:val="16"/>
        </w:rPr>
        <w:t xml:space="preserve">* </w:t>
      </w:r>
      <w:r w:rsidR="00A16975" w:rsidRPr="00EC137F">
        <w:rPr>
          <w:sz w:val="16"/>
        </w:rPr>
        <w:t xml:space="preserve">Ancillary payments reflect </w:t>
      </w:r>
      <w:r w:rsidR="00963914" w:rsidRPr="00EC137F">
        <w:rPr>
          <w:sz w:val="16"/>
        </w:rPr>
        <w:t xml:space="preserve">the compensation costs for any </w:t>
      </w:r>
      <w:r w:rsidR="00A16975" w:rsidRPr="00EC137F">
        <w:rPr>
          <w:sz w:val="16"/>
        </w:rPr>
        <w:t>additional injections offered at a price higher than the market price.</w:t>
      </w:r>
      <w:r w:rsidR="00963914">
        <w:rPr>
          <w:sz w:val="16"/>
        </w:rPr>
        <w:t xml:space="preserve"> </w:t>
      </w:r>
      <w:r w:rsidRPr="001521CB">
        <w:rPr>
          <w:sz w:val="16"/>
        </w:rPr>
        <w:t>Note: only positive ancillary payments, reflecting system constraints will be shown here.</w:t>
      </w:r>
    </w:p>
    <w:p w:rsidR="000F48C1" w:rsidRDefault="00534DD9" w:rsidP="000F48C1">
      <w:pPr>
        <w:pStyle w:val="AERbodytext"/>
      </w:pPr>
      <w:r>
        <w:t>More</w:t>
      </w:r>
      <w:r w:rsidRPr="00D329E0">
        <w:t xml:space="preserve"> </w:t>
      </w:r>
      <w:r>
        <w:t xml:space="preserve">detailed </w:t>
      </w:r>
      <w:r w:rsidRPr="00D329E0">
        <w:t xml:space="preserve">analysis on the </w:t>
      </w:r>
      <w:r>
        <w:t>VGM is provided in section 1</w:t>
      </w:r>
      <w:r w:rsidRPr="00D329E0">
        <w:t>.</w:t>
      </w:r>
    </w:p>
    <w:p w:rsidR="004C571B" w:rsidRDefault="004C571B" w:rsidP="000F48C1">
      <w:pPr>
        <w:pStyle w:val="AERbodytext"/>
      </w:pPr>
      <w:r w:rsidRPr="00552F68">
        <w:t xml:space="preserve">Figure </w:t>
      </w:r>
      <w:r w:rsidR="00534DD9" w:rsidRPr="00552F68">
        <w:t>4</w:t>
      </w:r>
      <w:r w:rsidRPr="00552F68">
        <w:t xml:space="preserve"> shows</w:t>
      </w:r>
      <w:r w:rsidR="001934E9" w:rsidRPr="00552F68">
        <w:t xml:space="preserve"> the quantity and v</w:t>
      </w:r>
      <w:r w:rsidR="00A226E9" w:rsidRPr="00552F68">
        <w:t>o</w:t>
      </w:r>
      <w:r w:rsidR="001934E9" w:rsidRPr="00552F68">
        <w:t>lume weighted pr</w:t>
      </w:r>
      <w:r w:rsidR="00A226E9" w:rsidRPr="00552F68">
        <w:t>ices of products traded in the Gas Supply Hub locations at Wallumbilla and Moomba.</w:t>
      </w:r>
    </w:p>
    <w:p w:rsidR="001521CB" w:rsidRDefault="001521CB" w:rsidP="001521CB">
      <w:pPr>
        <w:pStyle w:val="Caption"/>
        <w:rPr>
          <w:color w:val="2272A3"/>
          <w:szCs w:val="24"/>
        </w:rPr>
      </w:pPr>
      <w:r w:rsidRPr="00552F68">
        <w:lastRenderedPageBreak/>
        <w:t xml:space="preserve">Figure </w:t>
      </w:r>
      <w:fldSimple w:instr=" SEQ Figure \* ARABIC ">
        <w:r w:rsidR="00587CFB" w:rsidRPr="00552F68">
          <w:rPr>
            <w:noProof/>
          </w:rPr>
          <w:t>4</w:t>
        </w:r>
      </w:fldSimple>
      <w:r w:rsidRPr="00552F68">
        <w:t xml:space="preserve">: </w:t>
      </w:r>
      <w:r w:rsidR="004C571B" w:rsidRPr="00552F68">
        <w:rPr>
          <w:color w:val="2272A3"/>
          <w:szCs w:val="24"/>
        </w:rPr>
        <w:t>Gas supply hub products traded</w:t>
      </w:r>
      <w:r w:rsidR="00C5766F" w:rsidRPr="00552F68">
        <w:rPr>
          <w:color w:val="2272A3"/>
          <w:szCs w:val="24"/>
        </w:rPr>
        <w:t xml:space="preserve"> for the current week</w:t>
      </w:r>
      <w:r w:rsidR="004C690D" w:rsidRPr="00552F68">
        <w:rPr>
          <w:color w:val="2272A3"/>
          <w:szCs w:val="24"/>
        </w:rPr>
        <w:t xml:space="preserve"> </w:t>
      </w:r>
      <w:r w:rsidR="00B302BF" w:rsidRPr="00552F68">
        <w:rPr>
          <w:color w:val="2272A3"/>
          <w:szCs w:val="24"/>
        </w:rPr>
        <w:t>(</w:t>
      </w:r>
      <w:r w:rsidR="004C690D" w:rsidRPr="00552F68">
        <w:rPr>
          <w:color w:val="2272A3"/>
          <w:szCs w:val="24"/>
        </w:rPr>
        <w:t>$/GJ</w:t>
      </w:r>
      <w:r w:rsidR="00B302BF" w:rsidRPr="00552F68">
        <w:rPr>
          <w:color w:val="2272A3"/>
          <w:szCs w:val="24"/>
        </w:rPr>
        <w:t>, TJ</w:t>
      </w:r>
      <w:r w:rsidR="004C690D" w:rsidRPr="00552F68">
        <w:rPr>
          <w:color w:val="2272A3"/>
          <w:szCs w:val="24"/>
        </w:rPr>
        <w:t>)</w:t>
      </w:r>
    </w:p>
    <w:tbl>
      <w:tblPr>
        <w:tblStyle w:val="AERTable-Text"/>
        <w:tblW w:w="4994" w:type="pct"/>
        <w:tblLayout w:type="fixed"/>
        <w:tblLook w:val="04A0" w:firstRow="1" w:lastRow="0" w:firstColumn="1" w:lastColumn="0" w:noHBand="0" w:noVBand="1"/>
      </w:tblPr>
      <w:tblGrid>
        <w:gridCol w:w="1395"/>
        <w:gridCol w:w="844"/>
        <w:gridCol w:w="630"/>
        <w:gridCol w:w="646"/>
        <w:gridCol w:w="620"/>
        <w:gridCol w:w="646"/>
        <w:gridCol w:w="624"/>
        <w:gridCol w:w="570"/>
        <w:gridCol w:w="620"/>
        <w:gridCol w:w="596"/>
        <w:gridCol w:w="713"/>
        <w:gridCol w:w="618"/>
        <w:gridCol w:w="709"/>
      </w:tblGrid>
      <w:tr w:rsidR="00F21080" w:rsidRPr="00E16EDC" w:rsidTr="00EB492D">
        <w:trPr>
          <w:cnfStyle w:val="100000000000" w:firstRow="1" w:lastRow="0" w:firstColumn="0" w:lastColumn="0" w:oddVBand="0" w:evenVBand="0" w:oddHBand="0" w:evenHBand="0" w:firstRowFirstColumn="0" w:firstRowLastColumn="0" w:lastRowFirstColumn="0" w:lastRowLastColumn="0"/>
          <w:trHeight w:val="404"/>
          <w:tblHeader/>
        </w:trPr>
        <w:tc>
          <w:tcPr>
            <w:tcW w:w="755" w:type="pct"/>
            <w:tcBorders>
              <w:bottom w:val="nil"/>
            </w:tcBorders>
            <w:vAlign w:val="center"/>
          </w:tcPr>
          <w:p w:rsidR="00F21080" w:rsidRPr="00E16EDC" w:rsidRDefault="00F21080" w:rsidP="00EB492D">
            <w:pPr>
              <w:pStyle w:val="TableHeading"/>
              <w:spacing w:before="120" w:after="0" w:line="240" w:lineRule="auto"/>
              <w:jc w:val="center"/>
              <w:rPr>
                <w:rFonts w:cs="Arial"/>
                <w:sz w:val="20"/>
                <w:szCs w:val="20"/>
              </w:rPr>
            </w:pPr>
          </w:p>
        </w:tc>
        <w:tc>
          <w:tcPr>
            <w:tcW w:w="798" w:type="pct"/>
            <w:gridSpan w:val="2"/>
            <w:tcBorders>
              <w:bottom w:val="nil"/>
            </w:tcBorders>
            <w:vAlign w:val="center"/>
          </w:tcPr>
          <w:p w:rsidR="00F21080" w:rsidRPr="00E16EDC" w:rsidRDefault="00F21080" w:rsidP="00EB492D">
            <w:pPr>
              <w:spacing w:before="120" w:after="0" w:line="240" w:lineRule="auto"/>
              <w:jc w:val="center"/>
              <w:rPr>
                <w:rFonts w:cs="Arial"/>
                <w:bCs/>
                <w:color w:val="FFFFFF"/>
                <w:sz w:val="20"/>
                <w:szCs w:val="20"/>
              </w:rPr>
            </w:pPr>
            <w:r w:rsidRPr="00E16EDC">
              <w:rPr>
                <w:rFonts w:cs="Arial"/>
                <w:bCs/>
                <w:color w:val="FFFFFF"/>
                <w:sz w:val="20"/>
                <w:szCs w:val="20"/>
              </w:rPr>
              <w:t>RBP</w:t>
            </w:r>
          </w:p>
        </w:tc>
        <w:tc>
          <w:tcPr>
            <w:tcW w:w="686" w:type="pct"/>
            <w:gridSpan w:val="2"/>
            <w:tcBorders>
              <w:bottom w:val="nil"/>
            </w:tcBorders>
            <w:vAlign w:val="center"/>
          </w:tcPr>
          <w:p w:rsidR="00F21080" w:rsidRPr="00E16EDC" w:rsidRDefault="00F21080" w:rsidP="00EB492D">
            <w:pPr>
              <w:spacing w:before="120" w:after="0" w:line="240" w:lineRule="auto"/>
              <w:jc w:val="center"/>
              <w:rPr>
                <w:rFonts w:cs="Arial"/>
                <w:bCs/>
                <w:color w:val="FFFFFF"/>
                <w:sz w:val="20"/>
                <w:szCs w:val="20"/>
              </w:rPr>
            </w:pPr>
            <w:r>
              <w:rPr>
                <w:rFonts w:cs="Arial"/>
                <w:bCs/>
                <w:color w:val="FFFFFF"/>
                <w:sz w:val="20"/>
                <w:szCs w:val="20"/>
              </w:rPr>
              <w:t>SWQP</w:t>
            </w:r>
          </w:p>
        </w:tc>
        <w:tc>
          <w:tcPr>
            <w:tcW w:w="688" w:type="pct"/>
            <w:gridSpan w:val="2"/>
            <w:tcBorders>
              <w:bottom w:val="nil"/>
            </w:tcBorders>
            <w:vAlign w:val="center"/>
          </w:tcPr>
          <w:p w:rsidR="00F21080" w:rsidRPr="00E16EDC" w:rsidRDefault="00F21080" w:rsidP="00EB492D">
            <w:pPr>
              <w:spacing w:before="120" w:after="0" w:line="240" w:lineRule="auto"/>
              <w:jc w:val="center"/>
              <w:rPr>
                <w:rFonts w:cs="Arial"/>
                <w:bCs/>
                <w:color w:val="FFFFFF"/>
                <w:sz w:val="20"/>
                <w:szCs w:val="20"/>
              </w:rPr>
            </w:pPr>
            <w:r w:rsidRPr="00E16EDC">
              <w:rPr>
                <w:rFonts w:cs="Arial"/>
                <w:bCs/>
                <w:color w:val="FFFFFF"/>
                <w:sz w:val="20"/>
                <w:szCs w:val="20"/>
              </w:rPr>
              <w:t>MAP</w:t>
            </w:r>
          </w:p>
        </w:tc>
        <w:tc>
          <w:tcPr>
            <w:tcW w:w="645" w:type="pct"/>
            <w:gridSpan w:val="2"/>
            <w:tcBorders>
              <w:bottom w:val="nil"/>
            </w:tcBorders>
            <w:vAlign w:val="center"/>
          </w:tcPr>
          <w:p w:rsidR="00F21080" w:rsidRPr="00E16EDC" w:rsidRDefault="00F21080" w:rsidP="00EB492D">
            <w:pPr>
              <w:spacing w:before="120" w:after="0" w:line="240" w:lineRule="auto"/>
              <w:jc w:val="center"/>
              <w:rPr>
                <w:rFonts w:cs="Arial"/>
                <w:bCs/>
                <w:color w:val="FFFFFF"/>
                <w:sz w:val="20"/>
                <w:szCs w:val="20"/>
              </w:rPr>
            </w:pPr>
            <w:r w:rsidRPr="00E16EDC">
              <w:rPr>
                <w:rFonts w:cs="Arial"/>
                <w:bCs/>
                <w:color w:val="FFFFFF"/>
                <w:sz w:val="20"/>
                <w:szCs w:val="20"/>
              </w:rPr>
              <w:t>MSP</w:t>
            </w:r>
          </w:p>
        </w:tc>
        <w:tc>
          <w:tcPr>
            <w:tcW w:w="709" w:type="pct"/>
            <w:gridSpan w:val="2"/>
            <w:tcBorders>
              <w:bottom w:val="nil"/>
            </w:tcBorders>
            <w:vAlign w:val="center"/>
          </w:tcPr>
          <w:p w:rsidR="00F21080" w:rsidRPr="00E16EDC" w:rsidRDefault="00F21080" w:rsidP="00EB492D">
            <w:pPr>
              <w:spacing w:before="120" w:after="0" w:line="240" w:lineRule="auto"/>
              <w:jc w:val="center"/>
              <w:rPr>
                <w:rFonts w:cs="Arial"/>
                <w:bCs/>
                <w:color w:val="FFFFFF"/>
                <w:sz w:val="20"/>
                <w:szCs w:val="20"/>
              </w:rPr>
            </w:pPr>
            <w:r w:rsidRPr="00E16EDC">
              <w:rPr>
                <w:rFonts w:cs="Arial"/>
                <w:bCs/>
                <w:color w:val="FFFFFF"/>
                <w:sz w:val="20"/>
                <w:szCs w:val="20"/>
              </w:rPr>
              <w:t>QGP</w:t>
            </w:r>
          </w:p>
        </w:tc>
        <w:tc>
          <w:tcPr>
            <w:tcW w:w="720" w:type="pct"/>
            <w:gridSpan w:val="2"/>
            <w:tcBorders>
              <w:bottom w:val="nil"/>
            </w:tcBorders>
            <w:vAlign w:val="center"/>
          </w:tcPr>
          <w:p w:rsidR="00F21080" w:rsidRPr="00E16EDC" w:rsidRDefault="00F21080" w:rsidP="00EB492D">
            <w:pPr>
              <w:spacing w:before="120" w:after="0" w:line="240" w:lineRule="auto"/>
              <w:jc w:val="center"/>
              <w:rPr>
                <w:rFonts w:cs="Arial"/>
                <w:bCs/>
                <w:color w:val="FFFFFF"/>
                <w:sz w:val="20"/>
                <w:szCs w:val="20"/>
              </w:rPr>
            </w:pPr>
            <w:r>
              <w:rPr>
                <w:rFonts w:cs="Arial"/>
                <w:bCs/>
                <w:color w:val="FFFFFF"/>
                <w:sz w:val="20"/>
                <w:szCs w:val="20"/>
              </w:rPr>
              <w:t>WAL non</w:t>
            </w:r>
            <w:r>
              <w:rPr>
                <w:rFonts w:cs="Arial"/>
                <w:bCs/>
                <w:color w:val="FFFFFF"/>
                <w:sz w:val="20"/>
                <w:szCs w:val="20"/>
              </w:rPr>
              <w:noBreakHyphen/>
              <w:t>netted</w:t>
            </w:r>
          </w:p>
        </w:tc>
      </w:tr>
      <w:tr w:rsidR="00F21080" w:rsidRPr="00587CFB" w:rsidTr="00EB492D">
        <w:trPr>
          <w:cnfStyle w:val="100000000000" w:firstRow="1" w:lastRow="0" w:firstColumn="0" w:lastColumn="0" w:oddVBand="0" w:evenVBand="0" w:oddHBand="0" w:evenHBand="0" w:firstRowFirstColumn="0" w:firstRowLastColumn="0" w:lastRowFirstColumn="0" w:lastRowLastColumn="0"/>
          <w:trHeight w:val="1134"/>
          <w:tblHeader/>
        </w:trPr>
        <w:tc>
          <w:tcPr>
            <w:tcW w:w="755" w:type="pct"/>
            <w:tcBorders>
              <w:bottom w:val="nil"/>
            </w:tcBorders>
            <w:vAlign w:val="center"/>
          </w:tcPr>
          <w:p w:rsidR="00F21080" w:rsidRPr="00587CFB" w:rsidRDefault="00F21080" w:rsidP="00EB492D">
            <w:pPr>
              <w:pStyle w:val="TableHeading"/>
              <w:jc w:val="center"/>
              <w:rPr>
                <w:rFonts w:cs="Arial"/>
                <w:sz w:val="20"/>
                <w:szCs w:val="20"/>
              </w:rPr>
            </w:pPr>
          </w:p>
        </w:tc>
        <w:tc>
          <w:tcPr>
            <w:tcW w:w="457" w:type="pct"/>
            <w:tcBorders>
              <w:bottom w:val="nil"/>
            </w:tcBorders>
            <w:textDirection w:val="btLr"/>
            <w:vAlign w:val="center"/>
            <w:hideMark/>
          </w:tcPr>
          <w:p w:rsidR="00F21080" w:rsidRPr="00587CFB" w:rsidRDefault="00F21080" w:rsidP="00EB492D">
            <w:pPr>
              <w:ind w:left="113" w:right="113"/>
              <w:jc w:val="center"/>
              <w:rPr>
                <w:rFonts w:cs="Arial"/>
                <w:bCs/>
                <w:color w:val="FFFFFF"/>
                <w:sz w:val="14"/>
                <w:szCs w:val="20"/>
                <w:highlight w:val="cyan"/>
              </w:rPr>
            </w:pPr>
            <w:r w:rsidRPr="00587CFB">
              <w:rPr>
                <w:rFonts w:cs="Arial"/>
                <w:bCs/>
                <w:color w:val="FFFFFF"/>
                <w:sz w:val="14"/>
                <w:szCs w:val="20"/>
              </w:rPr>
              <w:t>VWA price</w:t>
            </w:r>
          </w:p>
        </w:tc>
        <w:tc>
          <w:tcPr>
            <w:tcW w:w="341" w:type="pct"/>
            <w:tcBorders>
              <w:bottom w:val="nil"/>
            </w:tcBorders>
            <w:textDirection w:val="btLr"/>
            <w:vAlign w:val="center"/>
            <w:hideMark/>
          </w:tcPr>
          <w:p w:rsidR="00F21080" w:rsidRPr="00587CFB" w:rsidRDefault="00F21080" w:rsidP="00EB492D">
            <w:pPr>
              <w:ind w:left="113" w:right="113"/>
              <w:jc w:val="center"/>
              <w:rPr>
                <w:rFonts w:cs="Arial"/>
                <w:bCs/>
                <w:color w:val="FFFFFF"/>
                <w:sz w:val="14"/>
                <w:szCs w:val="20"/>
                <w:highlight w:val="cyan"/>
              </w:rPr>
            </w:pPr>
            <w:r>
              <w:rPr>
                <w:rFonts w:cs="Arial"/>
                <w:bCs/>
                <w:color w:val="FFFFFF"/>
                <w:sz w:val="14"/>
                <w:szCs w:val="20"/>
              </w:rPr>
              <w:t>Quantity</w:t>
            </w:r>
          </w:p>
        </w:tc>
        <w:tc>
          <w:tcPr>
            <w:tcW w:w="350" w:type="pct"/>
            <w:tcBorders>
              <w:bottom w:val="nil"/>
            </w:tcBorders>
            <w:textDirection w:val="btLr"/>
            <w:vAlign w:val="center"/>
            <w:hideMark/>
          </w:tcPr>
          <w:p w:rsidR="00F21080" w:rsidRPr="00587CFB" w:rsidRDefault="00F21080" w:rsidP="00EB492D">
            <w:pPr>
              <w:ind w:left="113" w:right="113"/>
              <w:jc w:val="center"/>
              <w:rPr>
                <w:rFonts w:cs="Arial"/>
                <w:bCs/>
                <w:color w:val="FFFFFF"/>
                <w:sz w:val="14"/>
                <w:szCs w:val="20"/>
                <w:highlight w:val="cyan"/>
              </w:rPr>
            </w:pPr>
            <w:r w:rsidRPr="00587CFB">
              <w:rPr>
                <w:rFonts w:cs="Arial"/>
                <w:bCs/>
                <w:color w:val="FFFFFF"/>
                <w:sz w:val="14"/>
                <w:szCs w:val="20"/>
              </w:rPr>
              <w:t>VWA price</w:t>
            </w:r>
          </w:p>
        </w:tc>
        <w:tc>
          <w:tcPr>
            <w:tcW w:w="336" w:type="pct"/>
            <w:tcBorders>
              <w:bottom w:val="nil"/>
            </w:tcBorders>
            <w:textDirection w:val="btLr"/>
            <w:vAlign w:val="center"/>
          </w:tcPr>
          <w:p w:rsidR="00F21080" w:rsidRPr="00587CFB" w:rsidRDefault="00F21080" w:rsidP="00EB492D">
            <w:pPr>
              <w:ind w:left="113" w:right="113"/>
              <w:jc w:val="center"/>
              <w:rPr>
                <w:rFonts w:cs="Arial"/>
                <w:bCs/>
                <w:color w:val="FFFFFF"/>
                <w:sz w:val="14"/>
                <w:szCs w:val="20"/>
                <w:highlight w:val="cyan"/>
              </w:rPr>
            </w:pPr>
            <w:r>
              <w:rPr>
                <w:rFonts w:cs="Arial"/>
                <w:bCs/>
                <w:color w:val="FFFFFF"/>
                <w:sz w:val="14"/>
                <w:szCs w:val="20"/>
              </w:rPr>
              <w:t>Quantity</w:t>
            </w:r>
          </w:p>
        </w:tc>
        <w:tc>
          <w:tcPr>
            <w:tcW w:w="350" w:type="pct"/>
            <w:tcBorders>
              <w:bottom w:val="nil"/>
            </w:tcBorders>
            <w:textDirection w:val="btLr"/>
            <w:vAlign w:val="center"/>
          </w:tcPr>
          <w:p w:rsidR="00F21080" w:rsidRPr="00587CFB" w:rsidRDefault="00F21080" w:rsidP="00EB492D">
            <w:pPr>
              <w:ind w:left="113" w:right="113"/>
              <w:jc w:val="center"/>
              <w:rPr>
                <w:rFonts w:cs="Arial"/>
                <w:bCs/>
                <w:color w:val="FFFFFF"/>
                <w:sz w:val="14"/>
                <w:szCs w:val="20"/>
                <w:highlight w:val="cyan"/>
              </w:rPr>
            </w:pPr>
            <w:r w:rsidRPr="00587CFB">
              <w:rPr>
                <w:rFonts w:cs="Arial"/>
                <w:bCs/>
                <w:color w:val="FFFFFF"/>
                <w:sz w:val="14"/>
                <w:szCs w:val="20"/>
              </w:rPr>
              <w:t>VWA price</w:t>
            </w:r>
          </w:p>
        </w:tc>
        <w:tc>
          <w:tcPr>
            <w:tcW w:w="338" w:type="pct"/>
            <w:tcBorders>
              <w:bottom w:val="nil"/>
            </w:tcBorders>
            <w:textDirection w:val="btLr"/>
            <w:vAlign w:val="center"/>
          </w:tcPr>
          <w:p w:rsidR="00F21080" w:rsidRPr="00587CFB" w:rsidRDefault="00F21080" w:rsidP="00EB492D">
            <w:pPr>
              <w:ind w:left="113" w:right="113"/>
              <w:jc w:val="center"/>
              <w:rPr>
                <w:rFonts w:cs="Arial"/>
                <w:bCs/>
                <w:color w:val="FFFFFF"/>
                <w:sz w:val="14"/>
                <w:szCs w:val="20"/>
                <w:highlight w:val="cyan"/>
              </w:rPr>
            </w:pPr>
            <w:r>
              <w:rPr>
                <w:rFonts w:cs="Arial"/>
                <w:bCs/>
                <w:color w:val="FFFFFF"/>
                <w:sz w:val="14"/>
                <w:szCs w:val="20"/>
              </w:rPr>
              <w:t>Quantity</w:t>
            </w:r>
          </w:p>
        </w:tc>
        <w:tc>
          <w:tcPr>
            <w:tcW w:w="309" w:type="pct"/>
            <w:tcBorders>
              <w:bottom w:val="nil"/>
            </w:tcBorders>
            <w:textDirection w:val="btLr"/>
            <w:vAlign w:val="center"/>
          </w:tcPr>
          <w:p w:rsidR="00F21080" w:rsidRPr="00587CFB" w:rsidRDefault="00F21080" w:rsidP="00EB492D">
            <w:pPr>
              <w:ind w:left="113" w:right="113"/>
              <w:jc w:val="center"/>
              <w:rPr>
                <w:rFonts w:cs="Arial"/>
                <w:bCs/>
                <w:color w:val="FFFFFF"/>
                <w:sz w:val="14"/>
                <w:szCs w:val="20"/>
                <w:highlight w:val="cyan"/>
              </w:rPr>
            </w:pPr>
            <w:r w:rsidRPr="00587CFB">
              <w:rPr>
                <w:rFonts w:cs="Arial"/>
                <w:bCs/>
                <w:color w:val="FFFFFF"/>
                <w:sz w:val="14"/>
                <w:szCs w:val="20"/>
              </w:rPr>
              <w:t>VWA price</w:t>
            </w:r>
          </w:p>
        </w:tc>
        <w:tc>
          <w:tcPr>
            <w:tcW w:w="336" w:type="pct"/>
            <w:tcBorders>
              <w:bottom w:val="nil"/>
            </w:tcBorders>
            <w:textDirection w:val="btLr"/>
            <w:vAlign w:val="center"/>
          </w:tcPr>
          <w:p w:rsidR="00F21080" w:rsidRPr="00587CFB" w:rsidRDefault="00F21080" w:rsidP="00EB492D">
            <w:pPr>
              <w:ind w:left="113" w:right="113"/>
              <w:jc w:val="center"/>
              <w:rPr>
                <w:rFonts w:cs="Arial"/>
                <w:bCs/>
                <w:color w:val="FFFFFF"/>
                <w:sz w:val="14"/>
                <w:szCs w:val="20"/>
                <w:highlight w:val="cyan"/>
              </w:rPr>
            </w:pPr>
            <w:r>
              <w:rPr>
                <w:rFonts w:cs="Arial"/>
                <w:bCs/>
                <w:color w:val="FFFFFF"/>
                <w:sz w:val="14"/>
                <w:szCs w:val="20"/>
              </w:rPr>
              <w:t>Quantity</w:t>
            </w:r>
          </w:p>
        </w:tc>
        <w:tc>
          <w:tcPr>
            <w:tcW w:w="323" w:type="pct"/>
            <w:tcBorders>
              <w:bottom w:val="nil"/>
            </w:tcBorders>
            <w:textDirection w:val="btLr"/>
            <w:vAlign w:val="center"/>
          </w:tcPr>
          <w:p w:rsidR="00F21080" w:rsidRPr="00587CFB" w:rsidRDefault="00F21080" w:rsidP="00EB492D">
            <w:pPr>
              <w:ind w:left="113" w:right="113"/>
              <w:jc w:val="center"/>
              <w:rPr>
                <w:rFonts w:cs="Arial"/>
                <w:bCs/>
                <w:color w:val="FFFFFF"/>
                <w:sz w:val="14"/>
                <w:szCs w:val="20"/>
                <w:highlight w:val="cyan"/>
              </w:rPr>
            </w:pPr>
            <w:r w:rsidRPr="00587CFB">
              <w:rPr>
                <w:rFonts w:cs="Arial"/>
                <w:bCs/>
                <w:color w:val="FFFFFF"/>
                <w:sz w:val="14"/>
                <w:szCs w:val="20"/>
              </w:rPr>
              <w:t>VWA price</w:t>
            </w:r>
          </w:p>
        </w:tc>
        <w:tc>
          <w:tcPr>
            <w:tcW w:w="386" w:type="pct"/>
            <w:tcBorders>
              <w:bottom w:val="nil"/>
            </w:tcBorders>
            <w:textDirection w:val="btLr"/>
            <w:vAlign w:val="center"/>
          </w:tcPr>
          <w:p w:rsidR="00F21080" w:rsidRPr="00587CFB" w:rsidRDefault="00F21080" w:rsidP="00EB492D">
            <w:pPr>
              <w:ind w:left="113" w:right="113"/>
              <w:jc w:val="center"/>
              <w:rPr>
                <w:rFonts w:cs="Arial"/>
                <w:bCs/>
                <w:color w:val="FFFFFF"/>
                <w:sz w:val="14"/>
                <w:szCs w:val="20"/>
                <w:highlight w:val="cyan"/>
              </w:rPr>
            </w:pPr>
            <w:r>
              <w:rPr>
                <w:rFonts w:cs="Arial"/>
                <w:bCs/>
                <w:color w:val="FFFFFF"/>
                <w:sz w:val="14"/>
                <w:szCs w:val="20"/>
              </w:rPr>
              <w:t>Quantity</w:t>
            </w:r>
          </w:p>
        </w:tc>
        <w:tc>
          <w:tcPr>
            <w:tcW w:w="335" w:type="pct"/>
            <w:tcBorders>
              <w:bottom w:val="nil"/>
            </w:tcBorders>
            <w:textDirection w:val="btLr"/>
            <w:vAlign w:val="center"/>
          </w:tcPr>
          <w:p w:rsidR="00F21080" w:rsidRPr="00587CFB" w:rsidRDefault="00F21080" w:rsidP="00EB492D">
            <w:pPr>
              <w:ind w:left="113" w:right="113"/>
              <w:jc w:val="center"/>
              <w:rPr>
                <w:rFonts w:cs="Arial"/>
                <w:bCs/>
                <w:color w:val="FFFFFF"/>
                <w:sz w:val="14"/>
                <w:szCs w:val="20"/>
                <w:highlight w:val="cyan"/>
              </w:rPr>
            </w:pPr>
            <w:r w:rsidRPr="00587CFB">
              <w:rPr>
                <w:rFonts w:cs="Arial"/>
                <w:bCs/>
                <w:color w:val="FFFFFF"/>
                <w:sz w:val="14"/>
                <w:szCs w:val="20"/>
              </w:rPr>
              <w:t>VWA price</w:t>
            </w:r>
          </w:p>
        </w:tc>
        <w:tc>
          <w:tcPr>
            <w:tcW w:w="385" w:type="pct"/>
            <w:tcBorders>
              <w:bottom w:val="nil"/>
            </w:tcBorders>
            <w:textDirection w:val="btLr"/>
            <w:vAlign w:val="center"/>
          </w:tcPr>
          <w:p w:rsidR="00F21080" w:rsidRPr="00587CFB" w:rsidRDefault="00F21080" w:rsidP="00EB492D">
            <w:pPr>
              <w:ind w:left="113" w:right="113"/>
              <w:jc w:val="center"/>
              <w:rPr>
                <w:rFonts w:cs="Arial"/>
                <w:bCs/>
                <w:color w:val="FFFFFF"/>
                <w:sz w:val="14"/>
                <w:szCs w:val="20"/>
                <w:highlight w:val="cyan"/>
              </w:rPr>
            </w:pPr>
            <w:r>
              <w:rPr>
                <w:rFonts w:cs="Arial"/>
                <w:bCs/>
                <w:color w:val="FFFFFF"/>
                <w:sz w:val="14"/>
                <w:szCs w:val="20"/>
              </w:rPr>
              <w:t>Quantity</w:t>
            </w:r>
          </w:p>
        </w:tc>
      </w:tr>
      <w:tr w:rsidR="00F21080" w:rsidTr="00EB492D">
        <w:trPr>
          <w:trHeight w:val="510"/>
        </w:trPr>
        <w:tc>
          <w:tcPr>
            <w:tcW w:w="755" w:type="pct"/>
            <w:tcBorders>
              <w:top w:val="nil"/>
              <w:bottom w:val="nil"/>
            </w:tcBorders>
            <w:vAlign w:val="center"/>
          </w:tcPr>
          <w:p w:rsidR="00F21080" w:rsidRPr="000B4AD5" w:rsidRDefault="00F21080" w:rsidP="00EB492D">
            <w:pPr>
              <w:rPr>
                <w:rFonts w:cs="Arial"/>
                <w:b/>
                <w:bCs/>
                <w:sz w:val="16"/>
                <w:szCs w:val="20"/>
              </w:rPr>
            </w:pPr>
            <w:r w:rsidRPr="000B4AD5">
              <w:rPr>
                <w:rFonts w:cs="Arial"/>
                <w:b/>
                <w:bCs/>
                <w:sz w:val="16"/>
                <w:szCs w:val="20"/>
              </w:rPr>
              <w:t>Balance of day</w:t>
            </w:r>
          </w:p>
        </w:tc>
        <w:tc>
          <w:tcPr>
            <w:tcW w:w="457" w:type="pct"/>
            <w:tcBorders>
              <w:top w:val="nil"/>
              <w:bottom w:val="nil"/>
            </w:tcBorders>
            <w:vAlign w:val="center"/>
          </w:tcPr>
          <w:p w:rsidR="00F21080" w:rsidRDefault="00F21080" w:rsidP="00EB492D">
            <w:pPr>
              <w:jc w:val="center"/>
              <w:rPr>
                <w:rFonts w:cs="Arial"/>
                <w:sz w:val="20"/>
                <w:szCs w:val="20"/>
              </w:rPr>
            </w:pPr>
            <w:r>
              <w:rPr>
                <w:rFonts w:cs="Arial"/>
                <w:sz w:val="20"/>
                <w:szCs w:val="20"/>
              </w:rPr>
              <w:t>7.89</w:t>
            </w:r>
          </w:p>
        </w:tc>
        <w:tc>
          <w:tcPr>
            <w:tcW w:w="341" w:type="pct"/>
            <w:tcBorders>
              <w:top w:val="nil"/>
              <w:bottom w:val="nil"/>
            </w:tcBorders>
            <w:vAlign w:val="center"/>
          </w:tcPr>
          <w:p w:rsidR="00F21080" w:rsidRDefault="00F21080" w:rsidP="00EB492D">
            <w:pPr>
              <w:jc w:val="center"/>
              <w:rPr>
                <w:rFonts w:cs="Arial"/>
                <w:sz w:val="20"/>
                <w:szCs w:val="20"/>
              </w:rPr>
            </w:pPr>
            <w:r>
              <w:rPr>
                <w:rFonts w:cs="Arial"/>
                <w:sz w:val="20"/>
                <w:szCs w:val="20"/>
              </w:rPr>
              <w:t>12.8</w:t>
            </w:r>
          </w:p>
        </w:tc>
        <w:tc>
          <w:tcPr>
            <w:tcW w:w="350" w:type="pct"/>
            <w:tcBorders>
              <w:top w:val="nil"/>
              <w:bottom w:val="nil"/>
            </w:tcBorders>
            <w:vAlign w:val="center"/>
          </w:tcPr>
          <w:p w:rsidR="00F21080" w:rsidRDefault="00F21080" w:rsidP="00EB492D">
            <w:pPr>
              <w:jc w:val="center"/>
              <w:rPr>
                <w:rFonts w:cs="Arial"/>
                <w:sz w:val="20"/>
                <w:szCs w:val="20"/>
              </w:rPr>
            </w:pPr>
            <w:r>
              <w:rPr>
                <w:rFonts w:cs="Arial"/>
                <w:sz w:val="20"/>
                <w:szCs w:val="20"/>
              </w:rPr>
              <w:t>9.20</w:t>
            </w:r>
          </w:p>
        </w:tc>
        <w:tc>
          <w:tcPr>
            <w:tcW w:w="336" w:type="pct"/>
            <w:tcBorders>
              <w:top w:val="nil"/>
              <w:bottom w:val="nil"/>
            </w:tcBorders>
            <w:vAlign w:val="center"/>
          </w:tcPr>
          <w:p w:rsidR="00F21080" w:rsidRDefault="00F21080" w:rsidP="00EB492D">
            <w:pPr>
              <w:jc w:val="center"/>
              <w:rPr>
                <w:rFonts w:cs="Arial"/>
                <w:sz w:val="20"/>
                <w:szCs w:val="20"/>
              </w:rPr>
            </w:pPr>
            <w:r>
              <w:rPr>
                <w:rFonts w:cs="Arial"/>
                <w:sz w:val="20"/>
                <w:szCs w:val="20"/>
              </w:rPr>
              <w:t>0.8</w:t>
            </w:r>
          </w:p>
        </w:tc>
        <w:tc>
          <w:tcPr>
            <w:tcW w:w="350" w:type="pct"/>
            <w:tcBorders>
              <w:top w:val="nil"/>
              <w:bottom w:val="nil"/>
            </w:tcBorders>
            <w:vAlign w:val="center"/>
          </w:tcPr>
          <w:p w:rsidR="00F21080" w:rsidRDefault="00F21080" w:rsidP="00EB492D">
            <w:pPr>
              <w:jc w:val="center"/>
              <w:rPr>
                <w:rFonts w:cs="Arial"/>
                <w:sz w:val="20"/>
                <w:szCs w:val="20"/>
              </w:rPr>
            </w:pPr>
            <w:r>
              <w:rPr>
                <w:rFonts w:cs="Arial"/>
                <w:sz w:val="20"/>
                <w:szCs w:val="20"/>
              </w:rPr>
              <w:t>-</w:t>
            </w:r>
          </w:p>
        </w:tc>
        <w:tc>
          <w:tcPr>
            <w:tcW w:w="338" w:type="pct"/>
            <w:tcBorders>
              <w:top w:val="nil"/>
              <w:bottom w:val="nil"/>
            </w:tcBorders>
            <w:vAlign w:val="center"/>
          </w:tcPr>
          <w:p w:rsidR="00F21080" w:rsidRDefault="00F21080" w:rsidP="00EB492D">
            <w:pPr>
              <w:jc w:val="center"/>
              <w:rPr>
                <w:rFonts w:cs="Arial"/>
                <w:sz w:val="20"/>
                <w:szCs w:val="20"/>
              </w:rPr>
            </w:pPr>
            <w:r>
              <w:rPr>
                <w:rFonts w:cs="Arial"/>
                <w:sz w:val="20"/>
                <w:szCs w:val="20"/>
              </w:rPr>
              <w:t>-</w:t>
            </w:r>
          </w:p>
        </w:tc>
        <w:tc>
          <w:tcPr>
            <w:tcW w:w="309" w:type="pct"/>
            <w:tcBorders>
              <w:top w:val="nil"/>
              <w:bottom w:val="nil"/>
            </w:tcBorders>
            <w:vAlign w:val="center"/>
          </w:tcPr>
          <w:p w:rsidR="00F21080" w:rsidRDefault="00F21080" w:rsidP="00EB492D">
            <w:pPr>
              <w:jc w:val="center"/>
              <w:rPr>
                <w:rFonts w:cs="Arial"/>
                <w:sz w:val="20"/>
                <w:szCs w:val="20"/>
              </w:rPr>
            </w:pPr>
            <w:r>
              <w:rPr>
                <w:rFonts w:cs="Arial"/>
                <w:sz w:val="20"/>
                <w:szCs w:val="20"/>
              </w:rPr>
              <w:t>-</w:t>
            </w:r>
          </w:p>
        </w:tc>
        <w:tc>
          <w:tcPr>
            <w:tcW w:w="336" w:type="pct"/>
            <w:tcBorders>
              <w:top w:val="nil"/>
              <w:bottom w:val="nil"/>
            </w:tcBorders>
            <w:vAlign w:val="center"/>
          </w:tcPr>
          <w:p w:rsidR="00F21080" w:rsidRDefault="00F21080" w:rsidP="00EB492D">
            <w:pPr>
              <w:jc w:val="center"/>
              <w:rPr>
                <w:rFonts w:cs="Arial"/>
                <w:sz w:val="20"/>
                <w:szCs w:val="20"/>
              </w:rPr>
            </w:pPr>
            <w:r>
              <w:rPr>
                <w:rFonts w:cs="Arial"/>
                <w:sz w:val="20"/>
                <w:szCs w:val="20"/>
              </w:rPr>
              <w:t>-</w:t>
            </w:r>
          </w:p>
        </w:tc>
        <w:tc>
          <w:tcPr>
            <w:tcW w:w="323" w:type="pct"/>
            <w:tcBorders>
              <w:top w:val="nil"/>
              <w:bottom w:val="nil"/>
            </w:tcBorders>
            <w:vAlign w:val="center"/>
          </w:tcPr>
          <w:p w:rsidR="00F21080" w:rsidRDefault="00F21080" w:rsidP="00EB492D">
            <w:pPr>
              <w:jc w:val="center"/>
              <w:rPr>
                <w:rFonts w:cs="Arial"/>
                <w:sz w:val="20"/>
                <w:szCs w:val="20"/>
              </w:rPr>
            </w:pPr>
            <w:r>
              <w:rPr>
                <w:rFonts w:cs="Arial"/>
                <w:sz w:val="20"/>
                <w:szCs w:val="20"/>
              </w:rPr>
              <w:t>-</w:t>
            </w:r>
          </w:p>
        </w:tc>
        <w:tc>
          <w:tcPr>
            <w:tcW w:w="386" w:type="pct"/>
            <w:tcBorders>
              <w:top w:val="nil"/>
              <w:bottom w:val="nil"/>
            </w:tcBorders>
            <w:vAlign w:val="center"/>
          </w:tcPr>
          <w:p w:rsidR="00F21080" w:rsidRDefault="00F21080" w:rsidP="00EB492D">
            <w:pPr>
              <w:jc w:val="center"/>
              <w:rPr>
                <w:rFonts w:cs="Arial"/>
                <w:sz w:val="20"/>
                <w:szCs w:val="20"/>
              </w:rPr>
            </w:pPr>
            <w:r>
              <w:rPr>
                <w:rFonts w:cs="Arial"/>
                <w:sz w:val="20"/>
                <w:szCs w:val="20"/>
              </w:rPr>
              <w:t>-</w:t>
            </w:r>
          </w:p>
        </w:tc>
        <w:tc>
          <w:tcPr>
            <w:tcW w:w="335" w:type="pct"/>
            <w:tcBorders>
              <w:top w:val="nil"/>
              <w:bottom w:val="nil"/>
            </w:tcBorders>
            <w:vAlign w:val="center"/>
          </w:tcPr>
          <w:p w:rsidR="00F21080" w:rsidRDefault="00F21080" w:rsidP="00EB492D">
            <w:pPr>
              <w:jc w:val="center"/>
              <w:rPr>
                <w:rFonts w:cs="Arial"/>
                <w:sz w:val="20"/>
                <w:szCs w:val="20"/>
              </w:rPr>
            </w:pPr>
            <w:r>
              <w:rPr>
                <w:rFonts w:cs="Arial"/>
                <w:sz w:val="20"/>
                <w:szCs w:val="20"/>
              </w:rPr>
              <w:t>-</w:t>
            </w:r>
          </w:p>
        </w:tc>
        <w:tc>
          <w:tcPr>
            <w:tcW w:w="385" w:type="pct"/>
            <w:tcBorders>
              <w:top w:val="nil"/>
              <w:bottom w:val="nil"/>
            </w:tcBorders>
            <w:vAlign w:val="center"/>
          </w:tcPr>
          <w:p w:rsidR="00F21080" w:rsidRDefault="00F21080" w:rsidP="00EB492D">
            <w:pPr>
              <w:jc w:val="center"/>
              <w:rPr>
                <w:rFonts w:cs="Arial"/>
                <w:sz w:val="20"/>
                <w:szCs w:val="20"/>
              </w:rPr>
            </w:pPr>
            <w:r>
              <w:rPr>
                <w:rFonts w:cs="Arial"/>
                <w:sz w:val="20"/>
                <w:szCs w:val="20"/>
              </w:rPr>
              <w:t>-</w:t>
            </w:r>
          </w:p>
        </w:tc>
      </w:tr>
      <w:tr w:rsidR="00F21080" w:rsidTr="00EB492D">
        <w:trPr>
          <w:cnfStyle w:val="000000010000" w:firstRow="0" w:lastRow="0" w:firstColumn="0" w:lastColumn="0" w:oddVBand="0" w:evenVBand="0" w:oddHBand="0" w:evenHBand="1" w:firstRowFirstColumn="0" w:firstRowLastColumn="0" w:lastRowFirstColumn="0" w:lastRowLastColumn="0"/>
          <w:trHeight w:val="510"/>
        </w:trPr>
        <w:tc>
          <w:tcPr>
            <w:tcW w:w="755" w:type="pct"/>
            <w:tcBorders>
              <w:top w:val="nil"/>
              <w:bottom w:val="nil"/>
            </w:tcBorders>
            <w:vAlign w:val="center"/>
          </w:tcPr>
          <w:p w:rsidR="00F21080" w:rsidRPr="000B4AD5" w:rsidRDefault="00F21080" w:rsidP="00EB492D">
            <w:pPr>
              <w:rPr>
                <w:rFonts w:cs="Arial"/>
                <w:b/>
                <w:bCs/>
                <w:sz w:val="16"/>
                <w:szCs w:val="20"/>
              </w:rPr>
            </w:pPr>
            <w:r w:rsidRPr="000B4AD5">
              <w:rPr>
                <w:rFonts w:cs="Arial"/>
                <w:b/>
                <w:bCs/>
                <w:sz w:val="16"/>
                <w:szCs w:val="20"/>
              </w:rPr>
              <w:t>Daily</w:t>
            </w:r>
          </w:p>
        </w:tc>
        <w:tc>
          <w:tcPr>
            <w:tcW w:w="457" w:type="pct"/>
            <w:tcBorders>
              <w:top w:val="nil"/>
              <w:bottom w:val="nil"/>
            </w:tcBorders>
            <w:vAlign w:val="center"/>
          </w:tcPr>
          <w:p w:rsidR="00F21080" w:rsidRDefault="00F21080" w:rsidP="00EB492D">
            <w:pPr>
              <w:jc w:val="center"/>
              <w:rPr>
                <w:rFonts w:cs="Arial"/>
                <w:szCs w:val="20"/>
              </w:rPr>
            </w:pPr>
            <w:r>
              <w:rPr>
                <w:rFonts w:cs="Arial"/>
                <w:szCs w:val="20"/>
              </w:rPr>
              <w:t>-</w:t>
            </w:r>
          </w:p>
        </w:tc>
        <w:tc>
          <w:tcPr>
            <w:tcW w:w="341" w:type="pct"/>
            <w:tcBorders>
              <w:top w:val="nil"/>
              <w:bottom w:val="nil"/>
            </w:tcBorders>
            <w:vAlign w:val="center"/>
          </w:tcPr>
          <w:p w:rsidR="00F21080" w:rsidRDefault="00F21080" w:rsidP="00EB492D">
            <w:pPr>
              <w:jc w:val="center"/>
              <w:rPr>
                <w:rFonts w:cs="Arial"/>
                <w:szCs w:val="20"/>
              </w:rPr>
            </w:pPr>
            <w:r>
              <w:rPr>
                <w:rFonts w:cs="Arial"/>
                <w:szCs w:val="20"/>
              </w:rPr>
              <w:t>-</w:t>
            </w:r>
          </w:p>
        </w:tc>
        <w:tc>
          <w:tcPr>
            <w:tcW w:w="350" w:type="pct"/>
            <w:tcBorders>
              <w:top w:val="nil"/>
              <w:bottom w:val="nil"/>
            </w:tcBorders>
            <w:vAlign w:val="center"/>
          </w:tcPr>
          <w:p w:rsidR="00F21080" w:rsidRDefault="00F21080" w:rsidP="00EB492D">
            <w:pPr>
              <w:jc w:val="center"/>
              <w:rPr>
                <w:rFonts w:cs="Arial"/>
                <w:szCs w:val="20"/>
              </w:rPr>
            </w:pPr>
            <w:r>
              <w:rPr>
                <w:rFonts w:cs="Arial"/>
                <w:szCs w:val="20"/>
              </w:rPr>
              <w:t>9.30</w:t>
            </w:r>
          </w:p>
        </w:tc>
        <w:tc>
          <w:tcPr>
            <w:tcW w:w="336" w:type="pct"/>
            <w:tcBorders>
              <w:top w:val="nil"/>
              <w:bottom w:val="nil"/>
            </w:tcBorders>
            <w:vAlign w:val="center"/>
          </w:tcPr>
          <w:p w:rsidR="00F21080" w:rsidRDefault="00F21080" w:rsidP="00EB492D">
            <w:pPr>
              <w:jc w:val="center"/>
              <w:rPr>
                <w:rFonts w:cs="Arial"/>
                <w:szCs w:val="20"/>
              </w:rPr>
            </w:pPr>
            <w:r>
              <w:rPr>
                <w:rFonts w:cs="Arial"/>
                <w:szCs w:val="20"/>
              </w:rPr>
              <w:t>10.0</w:t>
            </w:r>
          </w:p>
        </w:tc>
        <w:tc>
          <w:tcPr>
            <w:tcW w:w="350" w:type="pct"/>
            <w:tcBorders>
              <w:top w:val="nil"/>
              <w:bottom w:val="nil"/>
            </w:tcBorders>
            <w:vAlign w:val="center"/>
          </w:tcPr>
          <w:p w:rsidR="00F21080" w:rsidRDefault="00F21080" w:rsidP="00EB492D">
            <w:pPr>
              <w:jc w:val="center"/>
              <w:rPr>
                <w:rFonts w:cs="Arial"/>
                <w:szCs w:val="20"/>
              </w:rPr>
            </w:pPr>
            <w:r>
              <w:rPr>
                <w:rFonts w:cs="Arial"/>
                <w:szCs w:val="20"/>
              </w:rPr>
              <w:t>-</w:t>
            </w:r>
          </w:p>
        </w:tc>
        <w:tc>
          <w:tcPr>
            <w:tcW w:w="338" w:type="pct"/>
            <w:tcBorders>
              <w:top w:val="nil"/>
              <w:bottom w:val="nil"/>
            </w:tcBorders>
            <w:vAlign w:val="center"/>
          </w:tcPr>
          <w:p w:rsidR="00F21080" w:rsidRDefault="00F21080" w:rsidP="00EB492D">
            <w:pPr>
              <w:jc w:val="center"/>
              <w:rPr>
                <w:rFonts w:cs="Arial"/>
                <w:szCs w:val="20"/>
              </w:rPr>
            </w:pPr>
            <w:r>
              <w:rPr>
                <w:rFonts w:cs="Arial"/>
                <w:szCs w:val="20"/>
              </w:rPr>
              <w:t>-</w:t>
            </w:r>
          </w:p>
        </w:tc>
        <w:tc>
          <w:tcPr>
            <w:tcW w:w="309" w:type="pct"/>
            <w:tcBorders>
              <w:top w:val="nil"/>
              <w:bottom w:val="nil"/>
            </w:tcBorders>
            <w:vAlign w:val="center"/>
          </w:tcPr>
          <w:p w:rsidR="00F21080" w:rsidRDefault="00F21080" w:rsidP="00EB492D">
            <w:pPr>
              <w:jc w:val="center"/>
              <w:rPr>
                <w:rFonts w:cs="Arial"/>
                <w:szCs w:val="20"/>
              </w:rPr>
            </w:pPr>
            <w:r>
              <w:rPr>
                <w:rFonts w:cs="Arial"/>
                <w:szCs w:val="20"/>
              </w:rPr>
              <w:t>-</w:t>
            </w:r>
          </w:p>
        </w:tc>
        <w:tc>
          <w:tcPr>
            <w:tcW w:w="336" w:type="pct"/>
            <w:tcBorders>
              <w:top w:val="nil"/>
              <w:bottom w:val="nil"/>
            </w:tcBorders>
            <w:vAlign w:val="center"/>
          </w:tcPr>
          <w:p w:rsidR="00F21080" w:rsidRDefault="00F21080" w:rsidP="00EB492D">
            <w:pPr>
              <w:jc w:val="center"/>
              <w:rPr>
                <w:rFonts w:cs="Arial"/>
                <w:szCs w:val="20"/>
              </w:rPr>
            </w:pPr>
            <w:r>
              <w:rPr>
                <w:rFonts w:cs="Arial"/>
                <w:szCs w:val="20"/>
              </w:rPr>
              <w:t>-</w:t>
            </w:r>
          </w:p>
        </w:tc>
        <w:tc>
          <w:tcPr>
            <w:tcW w:w="323" w:type="pct"/>
            <w:tcBorders>
              <w:top w:val="nil"/>
              <w:bottom w:val="nil"/>
            </w:tcBorders>
            <w:vAlign w:val="center"/>
          </w:tcPr>
          <w:p w:rsidR="00F21080" w:rsidRDefault="00F21080" w:rsidP="00EB492D">
            <w:pPr>
              <w:jc w:val="center"/>
              <w:rPr>
                <w:rFonts w:cs="Arial"/>
                <w:szCs w:val="20"/>
              </w:rPr>
            </w:pPr>
            <w:r>
              <w:rPr>
                <w:rFonts w:cs="Arial"/>
                <w:szCs w:val="20"/>
              </w:rPr>
              <w:t>-</w:t>
            </w:r>
          </w:p>
        </w:tc>
        <w:tc>
          <w:tcPr>
            <w:tcW w:w="386" w:type="pct"/>
            <w:tcBorders>
              <w:top w:val="nil"/>
              <w:bottom w:val="nil"/>
            </w:tcBorders>
            <w:vAlign w:val="center"/>
          </w:tcPr>
          <w:p w:rsidR="00F21080" w:rsidRDefault="00F21080" w:rsidP="00EB492D">
            <w:pPr>
              <w:jc w:val="center"/>
              <w:rPr>
                <w:rFonts w:cs="Arial"/>
                <w:szCs w:val="20"/>
              </w:rPr>
            </w:pPr>
            <w:r>
              <w:rPr>
                <w:rFonts w:cs="Arial"/>
                <w:szCs w:val="20"/>
              </w:rPr>
              <w:t>-</w:t>
            </w:r>
          </w:p>
        </w:tc>
        <w:tc>
          <w:tcPr>
            <w:tcW w:w="335" w:type="pct"/>
            <w:tcBorders>
              <w:top w:val="nil"/>
              <w:bottom w:val="nil"/>
            </w:tcBorders>
            <w:vAlign w:val="center"/>
          </w:tcPr>
          <w:p w:rsidR="00F21080" w:rsidRDefault="00F21080" w:rsidP="00EB492D">
            <w:pPr>
              <w:jc w:val="center"/>
              <w:rPr>
                <w:rFonts w:cs="Arial"/>
                <w:szCs w:val="20"/>
              </w:rPr>
            </w:pPr>
            <w:r>
              <w:rPr>
                <w:rFonts w:cs="Arial"/>
                <w:szCs w:val="20"/>
              </w:rPr>
              <w:t>9.10</w:t>
            </w:r>
          </w:p>
        </w:tc>
        <w:tc>
          <w:tcPr>
            <w:tcW w:w="385" w:type="pct"/>
            <w:tcBorders>
              <w:top w:val="nil"/>
              <w:bottom w:val="nil"/>
            </w:tcBorders>
            <w:vAlign w:val="center"/>
          </w:tcPr>
          <w:p w:rsidR="00F21080" w:rsidRDefault="00F21080" w:rsidP="00EB492D">
            <w:pPr>
              <w:jc w:val="center"/>
              <w:rPr>
                <w:rFonts w:cs="Arial"/>
                <w:szCs w:val="20"/>
              </w:rPr>
            </w:pPr>
            <w:r>
              <w:rPr>
                <w:rFonts w:cs="Arial"/>
                <w:szCs w:val="20"/>
              </w:rPr>
              <w:t>10.0</w:t>
            </w:r>
          </w:p>
        </w:tc>
      </w:tr>
      <w:tr w:rsidR="00F21080" w:rsidTr="00EB492D">
        <w:trPr>
          <w:trHeight w:val="510"/>
        </w:trPr>
        <w:tc>
          <w:tcPr>
            <w:tcW w:w="755" w:type="pct"/>
            <w:tcBorders>
              <w:top w:val="nil"/>
              <w:bottom w:val="nil"/>
            </w:tcBorders>
            <w:vAlign w:val="center"/>
          </w:tcPr>
          <w:p w:rsidR="00F21080" w:rsidRPr="000B4AD5" w:rsidRDefault="00F21080" w:rsidP="00EB492D">
            <w:pPr>
              <w:rPr>
                <w:rFonts w:cs="Arial"/>
                <w:b/>
                <w:bCs/>
                <w:sz w:val="16"/>
                <w:szCs w:val="20"/>
              </w:rPr>
            </w:pPr>
            <w:r w:rsidRPr="000B4AD5">
              <w:rPr>
                <w:rFonts w:cs="Arial"/>
                <w:b/>
                <w:bCs/>
                <w:sz w:val="16"/>
                <w:szCs w:val="20"/>
              </w:rPr>
              <w:t>Day ahead</w:t>
            </w:r>
          </w:p>
        </w:tc>
        <w:tc>
          <w:tcPr>
            <w:tcW w:w="457" w:type="pct"/>
            <w:tcBorders>
              <w:top w:val="nil"/>
              <w:bottom w:val="nil"/>
            </w:tcBorders>
            <w:vAlign w:val="center"/>
          </w:tcPr>
          <w:p w:rsidR="00F21080" w:rsidRDefault="00F21080" w:rsidP="00EB492D">
            <w:pPr>
              <w:jc w:val="center"/>
              <w:rPr>
                <w:rFonts w:cs="Arial"/>
                <w:sz w:val="20"/>
                <w:szCs w:val="20"/>
              </w:rPr>
            </w:pPr>
            <w:r>
              <w:rPr>
                <w:rFonts w:cs="Arial"/>
                <w:sz w:val="20"/>
                <w:szCs w:val="20"/>
              </w:rPr>
              <w:t>8.25</w:t>
            </w:r>
          </w:p>
        </w:tc>
        <w:tc>
          <w:tcPr>
            <w:tcW w:w="341" w:type="pct"/>
            <w:tcBorders>
              <w:top w:val="nil"/>
              <w:bottom w:val="nil"/>
            </w:tcBorders>
            <w:vAlign w:val="center"/>
          </w:tcPr>
          <w:p w:rsidR="00F21080" w:rsidRDefault="00F21080" w:rsidP="00EB492D">
            <w:pPr>
              <w:jc w:val="center"/>
              <w:rPr>
                <w:rFonts w:cs="Arial"/>
                <w:sz w:val="20"/>
                <w:szCs w:val="20"/>
              </w:rPr>
            </w:pPr>
            <w:r>
              <w:rPr>
                <w:rFonts w:cs="Arial"/>
                <w:sz w:val="20"/>
                <w:szCs w:val="20"/>
              </w:rPr>
              <w:t>33.0</w:t>
            </w:r>
          </w:p>
        </w:tc>
        <w:tc>
          <w:tcPr>
            <w:tcW w:w="350" w:type="pct"/>
            <w:tcBorders>
              <w:top w:val="nil"/>
              <w:bottom w:val="nil"/>
            </w:tcBorders>
            <w:vAlign w:val="center"/>
          </w:tcPr>
          <w:p w:rsidR="00F21080" w:rsidRDefault="00F21080" w:rsidP="00EB492D">
            <w:pPr>
              <w:jc w:val="center"/>
              <w:rPr>
                <w:rFonts w:cs="Arial"/>
                <w:sz w:val="20"/>
                <w:szCs w:val="20"/>
              </w:rPr>
            </w:pPr>
            <w:r>
              <w:rPr>
                <w:rFonts w:cs="Arial"/>
                <w:sz w:val="20"/>
                <w:szCs w:val="20"/>
              </w:rPr>
              <w:t>9.53</w:t>
            </w:r>
          </w:p>
        </w:tc>
        <w:tc>
          <w:tcPr>
            <w:tcW w:w="336" w:type="pct"/>
            <w:tcBorders>
              <w:top w:val="nil"/>
              <w:bottom w:val="nil"/>
            </w:tcBorders>
            <w:vAlign w:val="center"/>
          </w:tcPr>
          <w:p w:rsidR="00F21080" w:rsidRDefault="00F21080" w:rsidP="00EB492D">
            <w:pPr>
              <w:jc w:val="center"/>
              <w:rPr>
                <w:rFonts w:cs="Arial"/>
                <w:sz w:val="20"/>
                <w:szCs w:val="20"/>
              </w:rPr>
            </w:pPr>
            <w:r>
              <w:rPr>
                <w:rFonts w:cs="Arial"/>
                <w:sz w:val="20"/>
                <w:szCs w:val="20"/>
              </w:rPr>
              <w:t>35.0</w:t>
            </w:r>
          </w:p>
        </w:tc>
        <w:tc>
          <w:tcPr>
            <w:tcW w:w="350" w:type="pct"/>
            <w:tcBorders>
              <w:top w:val="nil"/>
              <w:bottom w:val="nil"/>
            </w:tcBorders>
            <w:vAlign w:val="center"/>
          </w:tcPr>
          <w:p w:rsidR="00F21080" w:rsidRDefault="00F21080" w:rsidP="00EB492D">
            <w:pPr>
              <w:jc w:val="center"/>
              <w:rPr>
                <w:rFonts w:cs="Arial"/>
                <w:sz w:val="20"/>
                <w:szCs w:val="20"/>
              </w:rPr>
            </w:pPr>
            <w:r>
              <w:rPr>
                <w:rFonts w:cs="Arial"/>
                <w:sz w:val="20"/>
                <w:szCs w:val="20"/>
              </w:rPr>
              <w:t>-</w:t>
            </w:r>
          </w:p>
        </w:tc>
        <w:tc>
          <w:tcPr>
            <w:tcW w:w="338" w:type="pct"/>
            <w:tcBorders>
              <w:top w:val="nil"/>
              <w:bottom w:val="nil"/>
            </w:tcBorders>
            <w:vAlign w:val="center"/>
          </w:tcPr>
          <w:p w:rsidR="00F21080" w:rsidRDefault="00F21080" w:rsidP="00EB492D">
            <w:pPr>
              <w:jc w:val="center"/>
              <w:rPr>
                <w:rFonts w:cs="Arial"/>
                <w:sz w:val="20"/>
                <w:szCs w:val="20"/>
              </w:rPr>
            </w:pPr>
            <w:r>
              <w:rPr>
                <w:rFonts w:cs="Arial"/>
                <w:sz w:val="20"/>
                <w:szCs w:val="20"/>
              </w:rPr>
              <w:t>-</w:t>
            </w:r>
          </w:p>
        </w:tc>
        <w:tc>
          <w:tcPr>
            <w:tcW w:w="309" w:type="pct"/>
            <w:tcBorders>
              <w:top w:val="nil"/>
              <w:bottom w:val="nil"/>
            </w:tcBorders>
            <w:vAlign w:val="center"/>
          </w:tcPr>
          <w:p w:rsidR="00F21080" w:rsidRDefault="00F21080" w:rsidP="00EB492D">
            <w:pPr>
              <w:jc w:val="center"/>
              <w:rPr>
                <w:rFonts w:cs="Arial"/>
                <w:sz w:val="20"/>
                <w:szCs w:val="20"/>
              </w:rPr>
            </w:pPr>
            <w:r>
              <w:rPr>
                <w:rFonts w:cs="Arial"/>
                <w:sz w:val="20"/>
                <w:szCs w:val="20"/>
              </w:rPr>
              <w:t>-</w:t>
            </w:r>
          </w:p>
        </w:tc>
        <w:tc>
          <w:tcPr>
            <w:tcW w:w="336" w:type="pct"/>
            <w:tcBorders>
              <w:top w:val="nil"/>
              <w:bottom w:val="nil"/>
            </w:tcBorders>
            <w:vAlign w:val="center"/>
          </w:tcPr>
          <w:p w:rsidR="00F21080" w:rsidRDefault="00F21080" w:rsidP="00EB492D">
            <w:pPr>
              <w:jc w:val="center"/>
              <w:rPr>
                <w:rFonts w:cs="Arial"/>
                <w:sz w:val="20"/>
                <w:szCs w:val="20"/>
              </w:rPr>
            </w:pPr>
            <w:r>
              <w:rPr>
                <w:rFonts w:cs="Arial"/>
                <w:sz w:val="20"/>
                <w:szCs w:val="20"/>
              </w:rPr>
              <w:t>-</w:t>
            </w:r>
          </w:p>
        </w:tc>
        <w:tc>
          <w:tcPr>
            <w:tcW w:w="323" w:type="pct"/>
            <w:tcBorders>
              <w:top w:val="nil"/>
              <w:bottom w:val="nil"/>
            </w:tcBorders>
            <w:vAlign w:val="center"/>
          </w:tcPr>
          <w:p w:rsidR="00F21080" w:rsidRDefault="00F21080" w:rsidP="00EB492D">
            <w:pPr>
              <w:jc w:val="center"/>
              <w:rPr>
                <w:rFonts w:cs="Arial"/>
                <w:sz w:val="20"/>
                <w:szCs w:val="20"/>
              </w:rPr>
            </w:pPr>
            <w:r>
              <w:rPr>
                <w:rFonts w:cs="Arial"/>
                <w:sz w:val="20"/>
                <w:szCs w:val="20"/>
              </w:rPr>
              <w:t>-</w:t>
            </w:r>
          </w:p>
        </w:tc>
        <w:tc>
          <w:tcPr>
            <w:tcW w:w="386" w:type="pct"/>
            <w:tcBorders>
              <w:top w:val="nil"/>
              <w:bottom w:val="nil"/>
            </w:tcBorders>
            <w:vAlign w:val="center"/>
          </w:tcPr>
          <w:p w:rsidR="00F21080" w:rsidRDefault="00F21080" w:rsidP="00EB492D">
            <w:pPr>
              <w:jc w:val="center"/>
              <w:rPr>
                <w:rFonts w:cs="Arial"/>
                <w:sz w:val="20"/>
                <w:szCs w:val="20"/>
              </w:rPr>
            </w:pPr>
            <w:r>
              <w:rPr>
                <w:rFonts w:cs="Arial"/>
                <w:sz w:val="20"/>
                <w:szCs w:val="20"/>
              </w:rPr>
              <w:t>-</w:t>
            </w:r>
          </w:p>
        </w:tc>
        <w:tc>
          <w:tcPr>
            <w:tcW w:w="335" w:type="pct"/>
            <w:tcBorders>
              <w:top w:val="nil"/>
              <w:bottom w:val="nil"/>
            </w:tcBorders>
            <w:vAlign w:val="center"/>
          </w:tcPr>
          <w:p w:rsidR="00F21080" w:rsidRDefault="00F21080" w:rsidP="00EB492D">
            <w:pPr>
              <w:jc w:val="center"/>
              <w:rPr>
                <w:rFonts w:cs="Arial"/>
                <w:sz w:val="20"/>
                <w:szCs w:val="20"/>
              </w:rPr>
            </w:pPr>
            <w:r>
              <w:rPr>
                <w:rFonts w:cs="Arial"/>
                <w:sz w:val="20"/>
                <w:szCs w:val="20"/>
              </w:rPr>
              <w:t>-</w:t>
            </w:r>
          </w:p>
        </w:tc>
        <w:tc>
          <w:tcPr>
            <w:tcW w:w="385" w:type="pct"/>
            <w:tcBorders>
              <w:top w:val="nil"/>
              <w:bottom w:val="nil"/>
            </w:tcBorders>
            <w:vAlign w:val="center"/>
          </w:tcPr>
          <w:p w:rsidR="00F21080" w:rsidRDefault="00F21080" w:rsidP="00EB492D">
            <w:pPr>
              <w:jc w:val="center"/>
              <w:rPr>
                <w:rFonts w:cs="Arial"/>
                <w:sz w:val="20"/>
                <w:szCs w:val="20"/>
              </w:rPr>
            </w:pPr>
            <w:r>
              <w:rPr>
                <w:rFonts w:cs="Arial"/>
                <w:sz w:val="20"/>
                <w:szCs w:val="20"/>
              </w:rPr>
              <w:t>-</w:t>
            </w:r>
          </w:p>
        </w:tc>
      </w:tr>
      <w:tr w:rsidR="00F21080" w:rsidTr="00EB492D">
        <w:trPr>
          <w:cnfStyle w:val="000000010000" w:firstRow="0" w:lastRow="0" w:firstColumn="0" w:lastColumn="0" w:oddVBand="0" w:evenVBand="0" w:oddHBand="0" w:evenHBand="1" w:firstRowFirstColumn="0" w:firstRowLastColumn="0" w:lastRowFirstColumn="0" w:lastRowLastColumn="0"/>
          <w:trHeight w:val="510"/>
        </w:trPr>
        <w:tc>
          <w:tcPr>
            <w:tcW w:w="755" w:type="pct"/>
            <w:tcBorders>
              <w:top w:val="nil"/>
              <w:bottom w:val="nil"/>
            </w:tcBorders>
            <w:vAlign w:val="center"/>
          </w:tcPr>
          <w:p w:rsidR="00F21080" w:rsidRPr="000B4AD5" w:rsidRDefault="00F21080" w:rsidP="00EB492D">
            <w:pPr>
              <w:rPr>
                <w:rFonts w:cs="Arial"/>
                <w:b/>
                <w:bCs/>
                <w:sz w:val="16"/>
                <w:szCs w:val="20"/>
              </w:rPr>
            </w:pPr>
            <w:r w:rsidRPr="000B4AD5">
              <w:rPr>
                <w:rFonts w:cs="Arial"/>
                <w:b/>
                <w:bCs/>
                <w:sz w:val="16"/>
                <w:szCs w:val="20"/>
              </w:rPr>
              <w:t>Weekly</w:t>
            </w:r>
          </w:p>
        </w:tc>
        <w:tc>
          <w:tcPr>
            <w:tcW w:w="457" w:type="pct"/>
            <w:tcBorders>
              <w:top w:val="nil"/>
              <w:bottom w:val="nil"/>
            </w:tcBorders>
            <w:vAlign w:val="center"/>
          </w:tcPr>
          <w:p w:rsidR="00F21080" w:rsidRDefault="00F21080" w:rsidP="00EB492D">
            <w:pPr>
              <w:jc w:val="center"/>
              <w:rPr>
                <w:rFonts w:cs="Arial"/>
                <w:szCs w:val="20"/>
              </w:rPr>
            </w:pPr>
            <w:r>
              <w:rPr>
                <w:rFonts w:cs="Arial"/>
                <w:szCs w:val="20"/>
              </w:rPr>
              <w:t>-</w:t>
            </w:r>
          </w:p>
        </w:tc>
        <w:tc>
          <w:tcPr>
            <w:tcW w:w="341" w:type="pct"/>
            <w:tcBorders>
              <w:top w:val="nil"/>
              <w:bottom w:val="nil"/>
            </w:tcBorders>
            <w:vAlign w:val="center"/>
          </w:tcPr>
          <w:p w:rsidR="00F21080" w:rsidRDefault="00F21080" w:rsidP="00EB492D">
            <w:pPr>
              <w:jc w:val="center"/>
              <w:rPr>
                <w:rFonts w:cs="Arial"/>
                <w:szCs w:val="20"/>
              </w:rPr>
            </w:pPr>
            <w:r>
              <w:rPr>
                <w:rFonts w:cs="Arial"/>
                <w:szCs w:val="20"/>
              </w:rPr>
              <w:t>-</w:t>
            </w:r>
          </w:p>
        </w:tc>
        <w:tc>
          <w:tcPr>
            <w:tcW w:w="350" w:type="pct"/>
            <w:tcBorders>
              <w:top w:val="nil"/>
              <w:bottom w:val="nil"/>
            </w:tcBorders>
            <w:vAlign w:val="center"/>
          </w:tcPr>
          <w:p w:rsidR="00F21080" w:rsidRDefault="00F21080" w:rsidP="00EB492D">
            <w:pPr>
              <w:jc w:val="center"/>
              <w:rPr>
                <w:rFonts w:cs="Arial"/>
                <w:szCs w:val="20"/>
              </w:rPr>
            </w:pPr>
            <w:r>
              <w:rPr>
                <w:rFonts w:cs="Arial"/>
                <w:szCs w:val="20"/>
              </w:rPr>
              <w:t>-</w:t>
            </w:r>
          </w:p>
        </w:tc>
        <w:tc>
          <w:tcPr>
            <w:tcW w:w="336" w:type="pct"/>
            <w:tcBorders>
              <w:top w:val="nil"/>
              <w:bottom w:val="nil"/>
            </w:tcBorders>
            <w:vAlign w:val="center"/>
          </w:tcPr>
          <w:p w:rsidR="00F21080" w:rsidRDefault="00F21080" w:rsidP="00EB492D">
            <w:pPr>
              <w:jc w:val="center"/>
              <w:rPr>
                <w:rFonts w:cs="Arial"/>
                <w:szCs w:val="20"/>
              </w:rPr>
            </w:pPr>
            <w:r>
              <w:rPr>
                <w:rFonts w:cs="Arial"/>
                <w:szCs w:val="20"/>
              </w:rPr>
              <w:t>-</w:t>
            </w:r>
          </w:p>
        </w:tc>
        <w:tc>
          <w:tcPr>
            <w:tcW w:w="350" w:type="pct"/>
            <w:tcBorders>
              <w:top w:val="nil"/>
              <w:bottom w:val="nil"/>
            </w:tcBorders>
            <w:vAlign w:val="center"/>
          </w:tcPr>
          <w:p w:rsidR="00F21080" w:rsidRDefault="00F21080" w:rsidP="00EB492D">
            <w:pPr>
              <w:jc w:val="center"/>
              <w:rPr>
                <w:rFonts w:cs="Arial"/>
                <w:szCs w:val="20"/>
              </w:rPr>
            </w:pPr>
            <w:r>
              <w:rPr>
                <w:rFonts w:cs="Arial"/>
                <w:szCs w:val="20"/>
              </w:rPr>
              <w:t>-</w:t>
            </w:r>
          </w:p>
        </w:tc>
        <w:tc>
          <w:tcPr>
            <w:tcW w:w="338" w:type="pct"/>
            <w:tcBorders>
              <w:top w:val="nil"/>
              <w:bottom w:val="nil"/>
            </w:tcBorders>
            <w:vAlign w:val="center"/>
          </w:tcPr>
          <w:p w:rsidR="00F21080" w:rsidRDefault="00F21080" w:rsidP="00EB492D">
            <w:pPr>
              <w:jc w:val="center"/>
              <w:rPr>
                <w:rFonts w:cs="Arial"/>
                <w:szCs w:val="20"/>
              </w:rPr>
            </w:pPr>
            <w:r>
              <w:rPr>
                <w:rFonts w:cs="Arial"/>
                <w:szCs w:val="20"/>
              </w:rPr>
              <w:t>-</w:t>
            </w:r>
          </w:p>
        </w:tc>
        <w:tc>
          <w:tcPr>
            <w:tcW w:w="309" w:type="pct"/>
            <w:tcBorders>
              <w:top w:val="nil"/>
              <w:bottom w:val="nil"/>
            </w:tcBorders>
            <w:vAlign w:val="center"/>
          </w:tcPr>
          <w:p w:rsidR="00F21080" w:rsidRDefault="00F21080" w:rsidP="00EB492D">
            <w:pPr>
              <w:jc w:val="center"/>
              <w:rPr>
                <w:rFonts w:cs="Arial"/>
                <w:szCs w:val="20"/>
              </w:rPr>
            </w:pPr>
            <w:r>
              <w:rPr>
                <w:rFonts w:cs="Arial"/>
                <w:szCs w:val="20"/>
              </w:rPr>
              <w:t>-</w:t>
            </w:r>
          </w:p>
        </w:tc>
        <w:tc>
          <w:tcPr>
            <w:tcW w:w="336" w:type="pct"/>
            <w:tcBorders>
              <w:top w:val="nil"/>
              <w:bottom w:val="nil"/>
            </w:tcBorders>
            <w:vAlign w:val="center"/>
          </w:tcPr>
          <w:p w:rsidR="00F21080" w:rsidRDefault="00F21080" w:rsidP="00EB492D">
            <w:pPr>
              <w:jc w:val="center"/>
              <w:rPr>
                <w:rFonts w:cs="Arial"/>
                <w:szCs w:val="20"/>
              </w:rPr>
            </w:pPr>
            <w:r>
              <w:rPr>
                <w:rFonts w:cs="Arial"/>
                <w:szCs w:val="20"/>
              </w:rPr>
              <w:t>-</w:t>
            </w:r>
          </w:p>
        </w:tc>
        <w:tc>
          <w:tcPr>
            <w:tcW w:w="323" w:type="pct"/>
            <w:tcBorders>
              <w:top w:val="nil"/>
              <w:bottom w:val="nil"/>
            </w:tcBorders>
            <w:vAlign w:val="center"/>
          </w:tcPr>
          <w:p w:rsidR="00F21080" w:rsidRDefault="00F21080" w:rsidP="00EB492D">
            <w:pPr>
              <w:jc w:val="center"/>
              <w:rPr>
                <w:rFonts w:cs="Arial"/>
                <w:szCs w:val="20"/>
              </w:rPr>
            </w:pPr>
            <w:r>
              <w:rPr>
                <w:rFonts w:cs="Arial"/>
                <w:szCs w:val="20"/>
              </w:rPr>
              <w:t>-</w:t>
            </w:r>
          </w:p>
        </w:tc>
        <w:tc>
          <w:tcPr>
            <w:tcW w:w="386" w:type="pct"/>
            <w:tcBorders>
              <w:top w:val="nil"/>
              <w:bottom w:val="nil"/>
            </w:tcBorders>
            <w:vAlign w:val="center"/>
          </w:tcPr>
          <w:p w:rsidR="00F21080" w:rsidRDefault="00F21080" w:rsidP="00EB492D">
            <w:pPr>
              <w:jc w:val="center"/>
              <w:rPr>
                <w:rFonts w:cs="Arial"/>
                <w:szCs w:val="20"/>
              </w:rPr>
            </w:pPr>
            <w:r>
              <w:rPr>
                <w:rFonts w:cs="Arial"/>
                <w:szCs w:val="20"/>
              </w:rPr>
              <w:t>-</w:t>
            </w:r>
          </w:p>
        </w:tc>
        <w:tc>
          <w:tcPr>
            <w:tcW w:w="335" w:type="pct"/>
            <w:tcBorders>
              <w:top w:val="nil"/>
              <w:bottom w:val="nil"/>
            </w:tcBorders>
            <w:vAlign w:val="center"/>
          </w:tcPr>
          <w:p w:rsidR="00F21080" w:rsidRDefault="00F21080" w:rsidP="00EB492D">
            <w:pPr>
              <w:jc w:val="center"/>
              <w:rPr>
                <w:rFonts w:cs="Arial"/>
                <w:szCs w:val="20"/>
              </w:rPr>
            </w:pPr>
            <w:r>
              <w:rPr>
                <w:rFonts w:cs="Arial"/>
                <w:szCs w:val="20"/>
              </w:rPr>
              <w:t>8.20</w:t>
            </w:r>
          </w:p>
        </w:tc>
        <w:tc>
          <w:tcPr>
            <w:tcW w:w="385" w:type="pct"/>
            <w:tcBorders>
              <w:top w:val="nil"/>
              <w:bottom w:val="nil"/>
            </w:tcBorders>
            <w:vAlign w:val="center"/>
          </w:tcPr>
          <w:p w:rsidR="00F21080" w:rsidRDefault="00F21080" w:rsidP="00EB492D">
            <w:pPr>
              <w:jc w:val="center"/>
              <w:rPr>
                <w:rFonts w:cs="Arial"/>
                <w:szCs w:val="20"/>
              </w:rPr>
            </w:pPr>
            <w:r>
              <w:rPr>
                <w:rFonts w:cs="Arial"/>
                <w:szCs w:val="20"/>
              </w:rPr>
              <w:t>14.0</w:t>
            </w:r>
          </w:p>
        </w:tc>
      </w:tr>
      <w:tr w:rsidR="00F21080" w:rsidTr="00EB492D">
        <w:trPr>
          <w:trHeight w:val="510"/>
        </w:trPr>
        <w:tc>
          <w:tcPr>
            <w:tcW w:w="755" w:type="pct"/>
            <w:tcBorders>
              <w:top w:val="nil"/>
              <w:bottom w:val="single" w:sz="4" w:space="0" w:color="auto"/>
            </w:tcBorders>
            <w:vAlign w:val="center"/>
          </w:tcPr>
          <w:p w:rsidR="00F21080" w:rsidRPr="000B4AD5" w:rsidRDefault="00F21080" w:rsidP="00EB492D">
            <w:pPr>
              <w:rPr>
                <w:rFonts w:cs="Arial"/>
                <w:b/>
                <w:bCs/>
                <w:sz w:val="16"/>
                <w:szCs w:val="20"/>
              </w:rPr>
            </w:pPr>
            <w:r w:rsidRPr="000B4AD5">
              <w:rPr>
                <w:rFonts w:cs="Arial"/>
                <w:b/>
                <w:bCs/>
                <w:sz w:val="16"/>
                <w:szCs w:val="20"/>
              </w:rPr>
              <w:t>Monthly</w:t>
            </w:r>
          </w:p>
        </w:tc>
        <w:tc>
          <w:tcPr>
            <w:tcW w:w="457" w:type="pct"/>
            <w:tcBorders>
              <w:top w:val="nil"/>
              <w:bottom w:val="single" w:sz="4" w:space="0" w:color="auto"/>
            </w:tcBorders>
            <w:vAlign w:val="center"/>
          </w:tcPr>
          <w:p w:rsidR="00F21080" w:rsidRDefault="00F21080" w:rsidP="00EB492D">
            <w:pPr>
              <w:jc w:val="center"/>
              <w:rPr>
                <w:rFonts w:cs="Arial"/>
                <w:sz w:val="20"/>
                <w:szCs w:val="20"/>
              </w:rPr>
            </w:pPr>
            <w:r>
              <w:rPr>
                <w:rFonts w:cs="Arial"/>
                <w:sz w:val="20"/>
                <w:szCs w:val="20"/>
              </w:rPr>
              <w:t>-</w:t>
            </w:r>
          </w:p>
        </w:tc>
        <w:tc>
          <w:tcPr>
            <w:tcW w:w="341" w:type="pct"/>
            <w:tcBorders>
              <w:top w:val="nil"/>
              <w:bottom w:val="single" w:sz="4" w:space="0" w:color="auto"/>
            </w:tcBorders>
            <w:vAlign w:val="center"/>
          </w:tcPr>
          <w:p w:rsidR="00F21080" w:rsidRDefault="00F21080" w:rsidP="00EB492D">
            <w:pPr>
              <w:jc w:val="center"/>
              <w:rPr>
                <w:rFonts w:cs="Arial"/>
                <w:sz w:val="20"/>
                <w:szCs w:val="20"/>
              </w:rPr>
            </w:pPr>
            <w:r>
              <w:rPr>
                <w:rFonts w:cs="Arial"/>
                <w:sz w:val="20"/>
                <w:szCs w:val="20"/>
              </w:rPr>
              <w:t>-</w:t>
            </w:r>
          </w:p>
        </w:tc>
        <w:tc>
          <w:tcPr>
            <w:tcW w:w="350" w:type="pct"/>
            <w:tcBorders>
              <w:top w:val="nil"/>
              <w:bottom w:val="single" w:sz="4" w:space="0" w:color="auto"/>
            </w:tcBorders>
            <w:vAlign w:val="center"/>
          </w:tcPr>
          <w:p w:rsidR="00F21080" w:rsidRDefault="00F21080" w:rsidP="00EB492D">
            <w:pPr>
              <w:jc w:val="center"/>
              <w:rPr>
                <w:rFonts w:cs="Arial"/>
                <w:sz w:val="20"/>
                <w:szCs w:val="20"/>
              </w:rPr>
            </w:pPr>
            <w:r>
              <w:rPr>
                <w:rFonts w:cs="Arial"/>
                <w:sz w:val="20"/>
                <w:szCs w:val="20"/>
              </w:rPr>
              <w:t>-</w:t>
            </w:r>
          </w:p>
        </w:tc>
        <w:tc>
          <w:tcPr>
            <w:tcW w:w="336" w:type="pct"/>
            <w:tcBorders>
              <w:top w:val="nil"/>
              <w:bottom w:val="single" w:sz="4" w:space="0" w:color="auto"/>
            </w:tcBorders>
            <w:vAlign w:val="center"/>
          </w:tcPr>
          <w:p w:rsidR="00F21080" w:rsidRDefault="00F21080" w:rsidP="00EB492D">
            <w:pPr>
              <w:jc w:val="center"/>
              <w:rPr>
                <w:rFonts w:cs="Arial"/>
                <w:sz w:val="20"/>
                <w:szCs w:val="20"/>
              </w:rPr>
            </w:pPr>
            <w:r>
              <w:rPr>
                <w:rFonts w:cs="Arial"/>
                <w:sz w:val="20"/>
                <w:szCs w:val="20"/>
              </w:rPr>
              <w:t>-</w:t>
            </w:r>
          </w:p>
        </w:tc>
        <w:tc>
          <w:tcPr>
            <w:tcW w:w="350" w:type="pct"/>
            <w:tcBorders>
              <w:top w:val="nil"/>
              <w:bottom w:val="single" w:sz="4" w:space="0" w:color="auto"/>
            </w:tcBorders>
            <w:vAlign w:val="center"/>
          </w:tcPr>
          <w:p w:rsidR="00F21080" w:rsidRDefault="00F21080" w:rsidP="00EB492D">
            <w:pPr>
              <w:jc w:val="center"/>
              <w:rPr>
                <w:rFonts w:cs="Arial"/>
                <w:sz w:val="20"/>
                <w:szCs w:val="20"/>
              </w:rPr>
            </w:pPr>
            <w:r>
              <w:rPr>
                <w:rFonts w:cs="Arial"/>
                <w:sz w:val="20"/>
                <w:szCs w:val="20"/>
              </w:rPr>
              <w:t>-</w:t>
            </w:r>
          </w:p>
        </w:tc>
        <w:tc>
          <w:tcPr>
            <w:tcW w:w="338" w:type="pct"/>
            <w:tcBorders>
              <w:top w:val="nil"/>
              <w:bottom w:val="single" w:sz="4" w:space="0" w:color="auto"/>
            </w:tcBorders>
            <w:vAlign w:val="center"/>
          </w:tcPr>
          <w:p w:rsidR="00F21080" w:rsidRDefault="00F21080" w:rsidP="00EB492D">
            <w:pPr>
              <w:jc w:val="center"/>
              <w:rPr>
                <w:rFonts w:cs="Arial"/>
                <w:sz w:val="20"/>
                <w:szCs w:val="20"/>
              </w:rPr>
            </w:pPr>
            <w:r>
              <w:rPr>
                <w:rFonts w:cs="Arial"/>
                <w:sz w:val="20"/>
                <w:szCs w:val="20"/>
              </w:rPr>
              <w:t>-</w:t>
            </w:r>
          </w:p>
        </w:tc>
        <w:tc>
          <w:tcPr>
            <w:tcW w:w="309" w:type="pct"/>
            <w:tcBorders>
              <w:top w:val="nil"/>
              <w:bottom w:val="single" w:sz="4" w:space="0" w:color="auto"/>
            </w:tcBorders>
            <w:vAlign w:val="center"/>
          </w:tcPr>
          <w:p w:rsidR="00F21080" w:rsidRDefault="00F21080" w:rsidP="00EB492D">
            <w:pPr>
              <w:jc w:val="center"/>
              <w:rPr>
                <w:rFonts w:cs="Arial"/>
                <w:sz w:val="20"/>
                <w:szCs w:val="20"/>
              </w:rPr>
            </w:pPr>
            <w:r>
              <w:rPr>
                <w:rFonts w:cs="Arial"/>
                <w:sz w:val="20"/>
                <w:szCs w:val="20"/>
              </w:rPr>
              <w:t>-</w:t>
            </w:r>
          </w:p>
        </w:tc>
        <w:tc>
          <w:tcPr>
            <w:tcW w:w="336" w:type="pct"/>
            <w:tcBorders>
              <w:top w:val="nil"/>
              <w:bottom w:val="single" w:sz="4" w:space="0" w:color="auto"/>
            </w:tcBorders>
            <w:vAlign w:val="center"/>
          </w:tcPr>
          <w:p w:rsidR="00F21080" w:rsidRDefault="00F21080" w:rsidP="00EB492D">
            <w:pPr>
              <w:jc w:val="center"/>
              <w:rPr>
                <w:rFonts w:cs="Arial"/>
                <w:sz w:val="20"/>
                <w:szCs w:val="20"/>
              </w:rPr>
            </w:pPr>
            <w:r>
              <w:rPr>
                <w:rFonts w:cs="Arial"/>
                <w:sz w:val="20"/>
                <w:szCs w:val="20"/>
              </w:rPr>
              <w:t>-</w:t>
            </w:r>
          </w:p>
        </w:tc>
        <w:tc>
          <w:tcPr>
            <w:tcW w:w="323" w:type="pct"/>
            <w:tcBorders>
              <w:top w:val="nil"/>
              <w:bottom w:val="single" w:sz="4" w:space="0" w:color="auto"/>
            </w:tcBorders>
            <w:vAlign w:val="center"/>
          </w:tcPr>
          <w:p w:rsidR="00F21080" w:rsidRDefault="00F21080" w:rsidP="00EB492D">
            <w:pPr>
              <w:jc w:val="center"/>
              <w:rPr>
                <w:rFonts w:cs="Arial"/>
                <w:sz w:val="20"/>
                <w:szCs w:val="20"/>
              </w:rPr>
            </w:pPr>
            <w:r>
              <w:rPr>
                <w:rFonts w:cs="Arial"/>
                <w:sz w:val="20"/>
                <w:szCs w:val="20"/>
              </w:rPr>
              <w:t>-</w:t>
            </w:r>
          </w:p>
        </w:tc>
        <w:tc>
          <w:tcPr>
            <w:tcW w:w="386" w:type="pct"/>
            <w:tcBorders>
              <w:top w:val="nil"/>
              <w:bottom w:val="single" w:sz="4" w:space="0" w:color="auto"/>
            </w:tcBorders>
            <w:vAlign w:val="center"/>
          </w:tcPr>
          <w:p w:rsidR="00F21080" w:rsidRDefault="00F21080" w:rsidP="00EB492D">
            <w:pPr>
              <w:jc w:val="center"/>
              <w:rPr>
                <w:rFonts w:cs="Arial"/>
                <w:sz w:val="20"/>
                <w:szCs w:val="20"/>
              </w:rPr>
            </w:pPr>
            <w:r>
              <w:rPr>
                <w:rFonts w:cs="Arial"/>
                <w:sz w:val="20"/>
                <w:szCs w:val="20"/>
              </w:rPr>
              <w:t>-</w:t>
            </w:r>
          </w:p>
        </w:tc>
        <w:tc>
          <w:tcPr>
            <w:tcW w:w="335" w:type="pct"/>
            <w:tcBorders>
              <w:top w:val="nil"/>
              <w:bottom w:val="single" w:sz="4" w:space="0" w:color="auto"/>
            </w:tcBorders>
            <w:vAlign w:val="center"/>
          </w:tcPr>
          <w:p w:rsidR="00F21080" w:rsidRDefault="00F21080" w:rsidP="00EB492D">
            <w:pPr>
              <w:jc w:val="center"/>
              <w:rPr>
                <w:rFonts w:cs="Arial"/>
                <w:sz w:val="20"/>
                <w:szCs w:val="20"/>
              </w:rPr>
            </w:pPr>
            <w:r>
              <w:rPr>
                <w:rFonts w:cs="Arial"/>
                <w:sz w:val="20"/>
                <w:szCs w:val="20"/>
              </w:rPr>
              <w:t>-</w:t>
            </w:r>
          </w:p>
        </w:tc>
        <w:tc>
          <w:tcPr>
            <w:tcW w:w="385" w:type="pct"/>
            <w:tcBorders>
              <w:top w:val="nil"/>
              <w:bottom w:val="single" w:sz="4" w:space="0" w:color="auto"/>
            </w:tcBorders>
            <w:vAlign w:val="center"/>
          </w:tcPr>
          <w:p w:rsidR="00F21080" w:rsidRDefault="00F21080" w:rsidP="00EB492D">
            <w:pPr>
              <w:jc w:val="center"/>
              <w:rPr>
                <w:rFonts w:cs="Arial"/>
                <w:sz w:val="20"/>
                <w:szCs w:val="20"/>
              </w:rPr>
            </w:pPr>
            <w:r>
              <w:rPr>
                <w:rFonts w:cs="Arial"/>
                <w:sz w:val="20"/>
                <w:szCs w:val="20"/>
              </w:rPr>
              <w:t>-</w:t>
            </w:r>
          </w:p>
        </w:tc>
      </w:tr>
    </w:tbl>
    <w:p w:rsidR="001934E9" w:rsidRDefault="001934E9" w:rsidP="00A226E9">
      <w:pPr>
        <w:keepNext/>
      </w:pPr>
      <w:r w:rsidRPr="00552F68">
        <w:t xml:space="preserve">Figure </w:t>
      </w:r>
      <w:r w:rsidR="00587CFB" w:rsidRPr="00552F68">
        <w:t>5</w:t>
      </w:r>
      <w:r w:rsidRPr="00552F68">
        <w:t xml:space="preserve"> shows Bulletin Board pipeline flows for the three LNG export pipeline facilities and the production output at related production facilities in the Roma region.</w:t>
      </w:r>
    </w:p>
    <w:p w:rsidR="001934E9" w:rsidRDefault="001934E9" w:rsidP="001934E9">
      <w:pPr>
        <w:pStyle w:val="Caption"/>
        <w:rPr>
          <w:color w:val="2272A3"/>
          <w:szCs w:val="24"/>
        </w:rPr>
      </w:pPr>
      <w:r w:rsidRPr="001521CB">
        <w:t xml:space="preserve">Figure </w:t>
      </w:r>
      <w:fldSimple w:instr=" SEQ Figure \* ARABIC ">
        <w:r w:rsidR="00587CFB">
          <w:rPr>
            <w:noProof/>
          </w:rPr>
          <w:t>5</w:t>
        </w:r>
      </w:fldSimple>
      <w:r w:rsidRPr="001521CB">
        <w:t xml:space="preserve">: </w:t>
      </w:r>
      <w:r w:rsidR="00A226E9">
        <w:rPr>
          <w:color w:val="2272A3"/>
          <w:szCs w:val="24"/>
        </w:rPr>
        <w:t>LNG export pipeline and production flows</w:t>
      </w:r>
      <w:r w:rsidR="00587CFB">
        <w:rPr>
          <w:color w:val="2272A3"/>
          <w:szCs w:val="24"/>
        </w:rPr>
        <w:t xml:space="preserve"> (TJ)</w:t>
      </w:r>
      <w:r w:rsidR="000C52E2">
        <w:rPr>
          <w:color w:val="2272A3"/>
          <w:szCs w:val="24"/>
        </w:rPr>
        <w:t>*</w:t>
      </w:r>
    </w:p>
    <w:p w:rsidR="001934E9" w:rsidRDefault="00731860" w:rsidP="00E16EDC">
      <w:r w:rsidRPr="00731860">
        <w:rPr>
          <w:noProof/>
          <w:lang w:eastAsia="en-AU"/>
        </w:rPr>
        <w:drawing>
          <wp:inline distT="0" distB="0" distL="0" distR="0" wp14:anchorId="5F99435B" wp14:editId="15B9EAFA">
            <wp:extent cx="5731510" cy="3180553"/>
            <wp:effectExtent l="0" t="0" r="2540" b="1270"/>
            <wp:docPr id="3" name="Picture 3" descr="Figure 5 shows the daily quantity of gas flowed on each of the three Queensland LNG export pipelines. Quantities of gas supplied by production facilities in the Roma region owned by these pipelines are also shown, grouped for each participant (APLNG, GLNG/Santos and QCLNG/QCG)." title="LNG export pipeline and production f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180553"/>
                    </a:xfrm>
                    <a:prstGeom prst="rect">
                      <a:avLst/>
                    </a:prstGeom>
                    <a:noFill/>
                    <a:ln>
                      <a:noFill/>
                    </a:ln>
                  </pic:spPr>
                </pic:pic>
              </a:graphicData>
            </a:graphic>
          </wp:inline>
        </w:drawing>
      </w:r>
    </w:p>
    <w:p w:rsidR="009C4C5E" w:rsidRPr="00AB478D" w:rsidRDefault="009C4C5E" w:rsidP="009C4C5E">
      <w:pPr>
        <w:jc w:val="both"/>
        <w:rPr>
          <w:sz w:val="16"/>
          <w:szCs w:val="16"/>
        </w:rPr>
      </w:pPr>
      <w:r w:rsidRPr="00973B9F">
        <w:rPr>
          <w:sz w:val="16"/>
          <w:szCs w:val="16"/>
        </w:rPr>
        <w:t xml:space="preserve">* Production quantities represent flows from facilities operated by APLNG, Santos </w:t>
      </w:r>
      <w:r>
        <w:rPr>
          <w:sz w:val="16"/>
          <w:szCs w:val="16"/>
        </w:rPr>
        <w:t xml:space="preserve">and </w:t>
      </w:r>
      <w:r w:rsidRPr="00973B9F">
        <w:rPr>
          <w:sz w:val="16"/>
          <w:szCs w:val="16"/>
        </w:rPr>
        <w:t>QGC in the Roma region. Gas from individual facilities may also supply the domestic market, other LNG projects or storage facilities.</w:t>
      </w:r>
    </w:p>
    <w:p w:rsidR="00A76044" w:rsidRDefault="00A76044" w:rsidP="00A76044">
      <w:pPr>
        <w:pStyle w:val="Heading3"/>
        <w:rPr>
          <w:rFonts w:eastAsia="Times New Roman" w:cs="Times New Roman"/>
          <w:color w:val="2272A3" w:themeColor="accent4" w:themeShade="80"/>
          <w:sz w:val="32"/>
          <w:szCs w:val="20"/>
        </w:rPr>
      </w:pPr>
      <w:r w:rsidRPr="001521CB">
        <w:rPr>
          <w:rFonts w:eastAsia="Times New Roman" w:cs="Times New Roman"/>
          <w:color w:val="2272A3" w:themeColor="accent4" w:themeShade="80"/>
          <w:sz w:val="32"/>
          <w:szCs w:val="20"/>
        </w:rPr>
        <w:t>Detailed market analysis</w:t>
      </w:r>
    </w:p>
    <w:p w:rsidR="00F435DF" w:rsidRPr="00A8665E" w:rsidRDefault="00F435DF" w:rsidP="00F435DF">
      <w:pPr>
        <w:jc w:val="both"/>
      </w:pPr>
      <w:r w:rsidRPr="00A8665E">
        <w:t>Average prices across east coast gas markets changed little from the previous week but continue to be part of a declining trend following the higher prices during the 2016/17 summer period. This can be explained by lower demand for gas powered electricity generation (GPG) in March (compared to January/February) and the increased availability of supply to the domestic market during the maintenance period for the APLNG’s export train (14 March – 2 April).</w:t>
      </w:r>
    </w:p>
    <w:p w:rsidR="00F435DF" w:rsidRDefault="00F435DF" w:rsidP="00F435DF">
      <w:pPr>
        <w:jc w:val="both"/>
      </w:pPr>
      <w:r w:rsidRPr="00A8665E">
        <w:t>As shown in Figure</w:t>
      </w:r>
      <w:r w:rsidR="00F21080">
        <w:t> </w:t>
      </w:r>
      <w:r w:rsidRPr="00A8665E">
        <w:t xml:space="preserve">5, there was no decline in APLNG production commensurate with the reduced flows on the APLNG Pipeline (capacity: 1560TJ). APLNG was able to redirect gas </w:t>
      </w:r>
      <w:r w:rsidRPr="00A8665E">
        <w:lastRenderedPageBreak/>
        <w:t>to other LNG facilities and to southern markets. This explains the 39 percent increase in volumes traded through Wallumbilla.</w:t>
      </w:r>
    </w:p>
    <w:p w:rsidR="00C57161" w:rsidRPr="00A8665E" w:rsidRDefault="00C57161" w:rsidP="00F435DF">
      <w:pPr>
        <w:jc w:val="both"/>
      </w:pPr>
      <w:r w:rsidRPr="00A8665E">
        <w:t>Sydney Market Operator Service (MOS) payments were down after three high payments (of between $50,000 and $70,000) were recorded the previous week (12 – 18 March). With the exception of the week of 12 – 18 March, Sydney MOS payments have been comparatively low since mid-February.</w:t>
      </w:r>
      <w:r w:rsidRPr="00A8665E">
        <w:rPr>
          <w:rStyle w:val="FootnoteReference"/>
        </w:rPr>
        <w:footnoteReference w:id="2"/>
      </w:r>
      <w:r w:rsidRPr="00A8665E">
        <w:t xml:space="preserve"> </w:t>
      </w:r>
    </w:p>
    <w:p w:rsidR="00C57161" w:rsidRDefault="00F435DF" w:rsidP="00F435DF">
      <w:pPr>
        <w:jc w:val="both"/>
      </w:pPr>
      <w:r w:rsidRPr="00A8665E">
        <w:t>The 10 percent increase in demand in Victoria corresponds with a week-to-week increase in GPG and high flows toward Port Campbell’s Iona Underground Storage on</w:t>
      </w:r>
      <w:r w:rsidR="00C57161">
        <w:t xml:space="preserve"> the South West Pipeline (SWP). </w:t>
      </w:r>
      <w:r w:rsidR="00C57161" w:rsidRPr="00A8665E">
        <w:t>Injections from the Longford Gas Plant increased by nearly 100 TJ from the previous week.</w:t>
      </w:r>
    </w:p>
    <w:p w:rsidR="00A76044" w:rsidRPr="00C57161" w:rsidRDefault="00F435DF" w:rsidP="00C57161">
      <w:pPr>
        <w:jc w:val="both"/>
      </w:pPr>
      <w:r w:rsidRPr="00A8665E">
        <w:t>Iona’s storage level reached 20,083</w:t>
      </w:r>
      <w:r w:rsidR="00A8665E" w:rsidRPr="00A8665E">
        <w:t> </w:t>
      </w:r>
      <w:r w:rsidRPr="00A8665E">
        <w:t>TJ and the facility is forecast to reach capacity (26,000</w:t>
      </w:r>
      <w:r w:rsidR="00A8665E" w:rsidRPr="00A8665E">
        <w:t> </w:t>
      </w:r>
      <w:r w:rsidRPr="00A8665E">
        <w:t xml:space="preserve">TJ) by the start of the 2017 winter. </w:t>
      </w:r>
      <w:r w:rsidR="005D3BC7">
        <w:t>The facility will commence a phased maintenance shutdown</w:t>
      </w:r>
      <w:r w:rsidR="00C57161">
        <w:t>,</w:t>
      </w:r>
      <w:r w:rsidR="005D3BC7">
        <w:t xml:space="preserve"> in advance of the 2017 winter</w:t>
      </w:r>
      <w:r w:rsidR="00C57161">
        <w:t>, that is not expected to impact on this forecast. I</w:t>
      </w:r>
      <w:r w:rsidR="008C1149">
        <w:t>ona i</w:t>
      </w:r>
      <w:r w:rsidR="00C57161">
        <w:t>njections are scheduled to</w:t>
      </w:r>
      <w:r w:rsidR="005D3BC7">
        <w:t xml:space="preserve"> be constrained to 360</w:t>
      </w:r>
      <w:r w:rsidR="00CF7BDF">
        <w:t> </w:t>
      </w:r>
      <w:r w:rsidR="005D3BC7">
        <w:t>TJ/day from 13 – 16 April before a full plant shutdown (injections and withdrawals) ensues from 17 April until 1 May 2017.</w:t>
      </w:r>
      <w:r w:rsidR="00796597">
        <w:rPr>
          <w:color w:val="FFFFFF" w:themeColor="background1"/>
          <w:sz w:val="36"/>
          <w:szCs w:val="36"/>
        </w:rPr>
        <w:br w:type="page"/>
      </w:r>
    </w:p>
    <w:p w:rsidR="001521CB" w:rsidRPr="003171C6" w:rsidRDefault="001521CB" w:rsidP="003171C6">
      <w:pPr>
        <w:pStyle w:val="Heading2"/>
        <w:ind w:left="142"/>
        <w:rPr>
          <w:sz w:val="36"/>
          <w:szCs w:val="36"/>
        </w:rPr>
      </w:pPr>
      <w:r w:rsidRPr="003171C6">
        <w:rPr>
          <w:noProof/>
          <w:color w:val="FFFFFF" w:themeColor="background1"/>
          <w:sz w:val="36"/>
          <w:szCs w:val="36"/>
          <w:lang w:eastAsia="en-AU"/>
        </w:rPr>
        <w:lastRenderedPageBreak/>
        <w:drawing>
          <wp:anchor distT="0" distB="0" distL="114300" distR="114300" simplePos="0" relativeHeight="251667456" behindDoc="1" locked="0" layoutInCell="1" allowOverlap="1" wp14:anchorId="4C2E1EDE" wp14:editId="2063175F">
            <wp:simplePos x="0" y="0"/>
            <wp:positionH relativeFrom="column">
              <wp:posOffset>0</wp:posOffset>
            </wp:positionH>
            <wp:positionV relativeFrom="paragraph">
              <wp:posOffset>-13970</wp:posOffset>
            </wp:positionV>
            <wp:extent cx="6048375" cy="981075"/>
            <wp:effectExtent l="0" t="0" r="9525" b="9525"/>
            <wp:wrapNone/>
            <wp:docPr id="4" name="Picture 4"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48375" cy="981075"/>
                    </a:xfrm>
                    <a:prstGeom prst="rect">
                      <a:avLst/>
                    </a:prstGeom>
                    <a:noFill/>
                  </pic:spPr>
                </pic:pic>
              </a:graphicData>
            </a:graphic>
            <wp14:sizeRelH relativeFrom="page">
              <wp14:pctWidth>0</wp14:pctWidth>
            </wp14:sizeRelH>
            <wp14:sizeRelV relativeFrom="page">
              <wp14:pctHeight>0</wp14:pctHeight>
            </wp14:sizeRelV>
          </wp:anchor>
        </w:drawing>
      </w:r>
      <w:r w:rsidRPr="003171C6">
        <w:rPr>
          <w:color w:val="FFFFFF" w:themeColor="background1"/>
          <w:sz w:val="36"/>
          <w:szCs w:val="36"/>
        </w:rPr>
        <w:t xml:space="preserve">Detailed </w:t>
      </w:r>
      <w:r w:rsidR="003171C6">
        <w:rPr>
          <w:color w:val="FFFFFF" w:themeColor="background1"/>
          <w:sz w:val="36"/>
          <w:szCs w:val="36"/>
        </w:rPr>
        <w:t>M</w:t>
      </w:r>
      <w:r w:rsidRPr="003171C6">
        <w:rPr>
          <w:color w:val="FFFFFF" w:themeColor="background1"/>
          <w:sz w:val="36"/>
          <w:szCs w:val="36"/>
        </w:rPr>
        <w:t xml:space="preserve">arket </w:t>
      </w:r>
      <w:r w:rsidR="003171C6">
        <w:rPr>
          <w:color w:val="FFFFFF" w:themeColor="background1"/>
          <w:sz w:val="36"/>
          <w:szCs w:val="36"/>
        </w:rPr>
        <w:t>F</w:t>
      </w:r>
      <w:r w:rsidRPr="003171C6">
        <w:rPr>
          <w:color w:val="FFFFFF" w:themeColor="background1"/>
          <w:sz w:val="36"/>
          <w:szCs w:val="36"/>
        </w:rPr>
        <w:t>igures</w:t>
      </w:r>
    </w:p>
    <w:p w:rsidR="001521CB" w:rsidRPr="00A16975" w:rsidRDefault="001521CB" w:rsidP="001521CB">
      <w:pPr>
        <w:rPr>
          <w:sz w:val="28"/>
        </w:rPr>
      </w:pPr>
    </w:p>
    <w:p w:rsidR="001521CB" w:rsidRPr="00A16975" w:rsidRDefault="001521CB" w:rsidP="001521CB">
      <w:pPr>
        <w:rPr>
          <w:sz w:val="28"/>
        </w:rPr>
      </w:pPr>
    </w:p>
    <w:p w:rsidR="003171C6" w:rsidRDefault="003171C6" w:rsidP="003171C6">
      <w:pPr>
        <w:pStyle w:val="Heading3"/>
        <w:rPr>
          <w:rFonts w:eastAsia="Times New Roman" w:cs="Times New Roman"/>
          <w:color w:val="2272A3" w:themeColor="accent4" w:themeShade="80"/>
          <w:sz w:val="32"/>
          <w:szCs w:val="20"/>
        </w:rPr>
      </w:pPr>
      <w:r w:rsidRPr="003171C6">
        <w:rPr>
          <w:rFonts w:eastAsia="Times New Roman" w:cs="Times New Roman"/>
          <w:color w:val="2272A3" w:themeColor="accent4" w:themeShade="80"/>
          <w:sz w:val="32"/>
          <w:szCs w:val="20"/>
        </w:rPr>
        <w:t>1. Victorian Declared Wholesale Market</w:t>
      </w:r>
    </w:p>
    <w:p w:rsidR="00EC2CB1" w:rsidRPr="00EF58A8" w:rsidRDefault="00EC2CB1" w:rsidP="00551D6B">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3"/>
      </w:r>
      <w:r w:rsidRPr="00EF58A8">
        <w:t xml:space="preserve"> which is the schedule at which most gas is traded. </w:t>
      </w:r>
    </w:p>
    <w:p w:rsidR="003171C6" w:rsidRDefault="00EC2CB1" w:rsidP="00551D6B">
      <w:pPr>
        <w:jc w:val="both"/>
      </w:pPr>
      <w:r w:rsidRPr="00EF58A8">
        <w:t>The main drivers</w:t>
      </w:r>
      <w:r w:rsidRPr="00EF58A8">
        <w:rPr>
          <w:rStyle w:val="FootnoteReference"/>
        </w:rPr>
        <w:footnoteReference w:id="4"/>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5"/>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A16975" w:rsidRDefault="00A16975" w:rsidP="00551D6B">
      <w:pPr>
        <w:jc w:val="both"/>
      </w:pPr>
      <w:r w:rsidRPr="00552F68">
        <w:t>Ancillary payments for gas injected above the market price are shown above in figure 3.</w:t>
      </w:r>
    </w:p>
    <w:p w:rsidR="003171C6" w:rsidRDefault="00EC2CB1" w:rsidP="003171C6">
      <w:pPr>
        <w:pStyle w:val="Caption"/>
        <w:numPr>
          <w:ilvl w:val="0"/>
          <w:numId w:val="29"/>
        </w:numPr>
        <w:ind w:left="709" w:hanging="709"/>
        <w:rPr>
          <w:color w:val="2272A3"/>
          <w:szCs w:val="24"/>
        </w:rPr>
      </w:pPr>
      <w:r w:rsidRPr="00DD0358">
        <w:rPr>
          <w:color w:val="2272A3"/>
        </w:rPr>
        <w:t>Prices by schedule</w:t>
      </w:r>
      <w:r w:rsidR="00817724">
        <w:rPr>
          <w:color w:val="2272A3"/>
        </w:rPr>
        <w:t xml:space="preserve"> </w:t>
      </w:r>
      <w:r w:rsidR="00817724" w:rsidRPr="00552F68">
        <w:rPr>
          <w:color w:val="2272A3"/>
          <w:szCs w:val="24"/>
        </w:rPr>
        <w:t>($/GJ)</w:t>
      </w:r>
    </w:p>
    <w:p w:rsidR="003171C6" w:rsidRPr="004C571B" w:rsidRDefault="00731860" w:rsidP="003171C6">
      <w:r w:rsidRPr="00731860">
        <w:rPr>
          <w:noProof/>
          <w:lang w:eastAsia="en-AU"/>
        </w:rPr>
        <w:drawing>
          <wp:inline distT="0" distB="0" distL="0" distR="0" wp14:anchorId="36BA5517" wp14:editId="255F33A4">
            <wp:extent cx="5731510" cy="1647889"/>
            <wp:effectExtent l="0" t="0" r="2540" b="9525"/>
            <wp:docPr id="14" name="Picture 14" descr="Figure 1.1 shows the five Victorian schedule prices for each day this week. The marker indicates the daily imbalance weighted average price for each day. For a more detailed description of this figure, please refer to the user guide." title="Prices by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1647889"/>
                    </a:xfrm>
                    <a:prstGeom prst="rect">
                      <a:avLst/>
                    </a:prstGeom>
                    <a:noFill/>
                    <a:ln>
                      <a:noFill/>
                    </a:ln>
                  </pic:spPr>
                </pic:pic>
              </a:graphicData>
            </a:graphic>
          </wp:inline>
        </w:drawing>
      </w:r>
    </w:p>
    <w:p w:rsidR="003171C6" w:rsidRPr="001521CB" w:rsidRDefault="00EC2CB1" w:rsidP="003171C6">
      <w:pPr>
        <w:pStyle w:val="Caption"/>
        <w:numPr>
          <w:ilvl w:val="0"/>
          <w:numId w:val="29"/>
        </w:numPr>
        <w:ind w:left="709" w:hanging="709"/>
      </w:pPr>
      <w:r w:rsidRPr="00DD0358">
        <w:rPr>
          <w:color w:val="2272A3"/>
        </w:rPr>
        <w:t>Demand forecasts</w:t>
      </w:r>
      <w:r w:rsidR="00817724">
        <w:rPr>
          <w:color w:val="2272A3"/>
        </w:rPr>
        <w:t xml:space="preserve"> </w:t>
      </w:r>
      <w:r w:rsidR="00817724" w:rsidRPr="00552F68">
        <w:rPr>
          <w:color w:val="2272A3"/>
          <w:szCs w:val="24"/>
        </w:rPr>
        <w:t>(TJ)</w:t>
      </w:r>
    </w:p>
    <w:p w:rsidR="003171C6" w:rsidRDefault="00731860" w:rsidP="003171C6">
      <w:r w:rsidRPr="00731860">
        <w:rPr>
          <w:noProof/>
          <w:lang w:eastAsia="en-AU"/>
        </w:rPr>
        <w:drawing>
          <wp:inline distT="0" distB="0" distL="0" distR="0" wp14:anchorId="6569417B" wp14:editId="1201F9FB">
            <wp:extent cx="5731510" cy="2130427"/>
            <wp:effectExtent l="0" t="0" r="2540" b="3175"/>
            <wp:docPr id="15" name="Picture 15" descr="Figure 1.2 shows the demand forecast used to calculate the five daily schedule prices for this week. For a more detailed description of this figure, please refer to the user guide." title="Demand forec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130427"/>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lastRenderedPageBreak/>
        <w:t>Injection bids by price bands</w:t>
      </w:r>
      <w:r w:rsidR="00817724">
        <w:rPr>
          <w:color w:val="2272A3"/>
        </w:rPr>
        <w:t xml:space="preserve"> </w:t>
      </w:r>
      <w:r w:rsidR="00817724">
        <w:rPr>
          <w:color w:val="2272A3"/>
          <w:szCs w:val="24"/>
        </w:rPr>
        <w:t>(</w:t>
      </w:r>
      <w:r w:rsidR="00817724" w:rsidRPr="00552F68">
        <w:rPr>
          <w:color w:val="2272A3"/>
          <w:szCs w:val="24"/>
        </w:rPr>
        <w:t>TJ)</w:t>
      </w:r>
    </w:p>
    <w:p w:rsidR="00EC2CB1" w:rsidRDefault="00731860" w:rsidP="003171C6">
      <w:r w:rsidRPr="00731860">
        <w:rPr>
          <w:noProof/>
          <w:lang w:eastAsia="en-AU"/>
        </w:rPr>
        <w:drawing>
          <wp:inline distT="0" distB="0" distL="0" distR="0" wp14:anchorId="533DB1B4" wp14:editId="00D732D1">
            <wp:extent cx="5731510" cy="2485019"/>
            <wp:effectExtent l="0" t="0" r="2540" b="0"/>
            <wp:docPr id="16" name="Picture 16" descr="Figure 1.3 shows the injection bids within certain price bands for each trading interval in Victoria this week. For a more detailed description of this figure, please refer to the user guide." title="Injection bids by price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485019"/>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Withdrawal bids by price bands</w:t>
      </w:r>
      <w:r w:rsidR="00817724">
        <w:rPr>
          <w:color w:val="2272A3"/>
        </w:rPr>
        <w:t xml:space="preserve"> </w:t>
      </w:r>
      <w:r w:rsidR="00817724" w:rsidRPr="00552F68">
        <w:rPr>
          <w:color w:val="2272A3"/>
          <w:szCs w:val="24"/>
        </w:rPr>
        <w:t>(TJ)</w:t>
      </w:r>
    </w:p>
    <w:p w:rsidR="00EC2CB1" w:rsidRDefault="00731860" w:rsidP="003171C6">
      <w:r w:rsidRPr="00731860">
        <w:rPr>
          <w:noProof/>
          <w:lang w:eastAsia="en-AU"/>
        </w:rPr>
        <w:drawing>
          <wp:inline distT="0" distB="0" distL="0" distR="0" wp14:anchorId="34D9D4A0" wp14:editId="23BECD54">
            <wp:extent cx="5731510" cy="1961153"/>
            <wp:effectExtent l="0" t="0" r="2540" b="1270"/>
            <wp:docPr id="18" name="Picture 18" descr="Figure 1.4 shows the withdrawal bids within certain price bands for each trading interval in Victoria this week. For a more detailed description of this figure, please refer to the user guide." title="Withdrawal bids by price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1961153"/>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Metered Injections by System Injection Point</w:t>
      </w:r>
      <w:r w:rsidR="00817724">
        <w:rPr>
          <w:color w:val="2272A3"/>
        </w:rPr>
        <w:t xml:space="preserve"> </w:t>
      </w:r>
      <w:r w:rsidR="00817724" w:rsidRPr="00552F68">
        <w:rPr>
          <w:color w:val="2272A3"/>
          <w:szCs w:val="24"/>
        </w:rPr>
        <w:t>(TJ)</w:t>
      </w:r>
    </w:p>
    <w:p w:rsidR="00EC2CB1" w:rsidRDefault="00731860" w:rsidP="003171C6">
      <w:r w:rsidRPr="00731860">
        <w:rPr>
          <w:noProof/>
          <w:lang w:eastAsia="en-AU"/>
        </w:rPr>
        <w:drawing>
          <wp:inline distT="0" distB="0" distL="0" distR="0" wp14:anchorId="3AB43B58" wp14:editId="2F5579EF">
            <wp:extent cx="5731510" cy="2145847"/>
            <wp:effectExtent l="0" t="0" r="2540" b="6985"/>
            <wp:docPr id="25" name="Picture 25" descr="Figure 1.5 shows the metered injections sorted by facility for each 4 hour interval in Victoria this week. For a more detailed description of this figure, please refer to the user guide." title="Metered injections by system injection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145847"/>
                    </a:xfrm>
                    <a:prstGeom prst="rect">
                      <a:avLst/>
                    </a:prstGeom>
                    <a:noFill/>
                    <a:ln>
                      <a:noFill/>
                    </a:ln>
                  </pic:spPr>
                </pic:pic>
              </a:graphicData>
            </a:graphic>
          </wp:inline>
        </w:drawing>
      </w:r>
    </w:p>
    <w:p w:rsidR="00EC2CB1" w:rsidRPr="00EF58A8" w:rsidRDefault="00EC2CB1" w:rsidP="00EC2CB1">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EC2CB1" w:rsidRPr="003171C6" w:rsidRDefault="00EC2CB1" w:rsidP="003171C6"/>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2</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Sydney STTM</w:t>
      </w:r>
    </w:p>
    <w:p w:rsidR="00EC2CB1" w:rsidRPr="00EF58A8" w:rsidRDefault="00EC2CB1" w:rsidP="00EC2CB1">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6"/>
      </w:r>
      <w:r w:rsidRPr="00EF58A8">
        <w:t xml:space="preserve"> Divergences in ex ante and ex post prices for a gas day may occur due to differences in scheduled (forecast) and allocated (actual) quantities.</w:t>
      </w:r>
      <w:r>
        <w:t xml:space="preserve"> Pipeline acronyms are defined in the </w:t>
      </w:r>
      <w:hyperlink r:id="rId20" w:history="1">
        <w:r>
          <w:rPr>
            <w:rStyle w:val="Hyperlink"/>
          </w:rPr>
          <w:t>user guide</w:t>
        </w:r>
      </w:hyperlink>
      <w:r>
        <w:t>.</w:t>
      </w:r>
    </w:p>
    <w:p w:rsidR="00EC2CB1" w:rsidRPr="00EF58A8" w:rsidRDefault="00EC2CB1" w:rsidP="00EC2CB1">
      <w:pPr>
        <w:pStyle w:val="AERbodytext"/>
        <w:spacing w:line="240" w:lineRule="auto"/>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7"/>
      </w:r>
      <w:r w:rsidRPr="00EF58A8">
        <w:t xml:space="preserve"> </w:t>
      </w:r>
    </w:p>
    <w:p w:rsidR="004C571B" w:rsidRDefault="00EC2CB1" w:rsidP="00551D6B">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4C571B" w:rsidRDefault="00EC2CB1" w:rsidP="004C571B">
      <w:pPr>
        <w:pStyle w:val="Caption"/>
        <w:numPr>
          <w:ilvl w:val="0"/>
          <w:numId w:val="30"/>
        </w:numPr>
        <w:ind w:left="709" w:hanging="709"/>
        <w:rPr>
          <w:color w:val="2272A3"/>
          <w:szCs w:val="24"/>
        </w:rPr>
      </w:pPr>
      <w:r w:rsidRPr="00362B9A">
        <w:rPr>
          <w:color w:val="2272A3"/>
          <w:szCs w:val="24"/>
        </w:rPr>
        <w:t>SYD STTM daily ex ante and ex post prices and quantities</w:t>
      </w:r>
    </w:p>
    <w:tbl>
      <w:tblPr>
        <w:tblStyle w:val="AERTable-Text"/>
        <w:tblW w:w="4994" w:type="pct"/>
        <w:tblLook w:val="04A0" w:firstRow="1" w:lastRow="0" w:firstColumn="1" w:lastColumn="0" w:noHBand="0" w:noVBand="1"/>
      </w:tblPr>
      <w:tblGrid>
        <w:gridCol w:w="2236"/>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211"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0"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0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89"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17"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0"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0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78"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731860" w:rsidRPr="00405CDE" w:rsidTr="00A226E9">
        <w:trPr>
          <w:trHeight w:val="510"/>
        </w:trPr>
        <w:tc>
          <w:tcPr>
            <w:tcW w:w="1211" w:type="pct"/>
            <w:tcBorders>
              <w:top w:val="nil"/>
              <w:bottom w:val="nil"/>
            </w:tcBorders>
            <w:vAlign w:val="center"/>
          </w:tcPr>
          <w:p w:rsidR="00731860" w:rsidRDefault="00731860">
            <w:pPr>
              <w:rPr>
                <w:rFonts w:cs="Arial"/>
                <w:sz w:val="20"/>
                <w:szCs w:val="20"/>
              </w:rPr>
            </w:pPr>
            <w:r>
              <w:rPr>
                <w:rFonts w:cs="Arial"/>
                <w:sz w:val="20"/>
                <w:szCs w:val="20"/>
              </w:rPr>
              <w:t>Ex ante price ($/GJ)</w:t>
            </w:r>
          </w:p>
        </w:tc>
        <w:tc>
          <w:tcPr>
            <w:tcW w:w="580" w:type="pct"/>
            <w:tcBorders>
              <w:top w:val="nil"/>
              <w:bottom w:val="nil"/>
            </w:tcBorders>
            <w:vAlign w:val="center"/>
          </w:tcPr>
          <w:p w:rsidR="00731860" w:rsidRDefault="00731860">
            <w:pPr>
              <w:jc w:val="center"/>
              <w:rPr>
                <w:rFonts w:cs="Arial"/>
                <w:sz w:val="20"/>
                <w:szCs w:val="20"/>
              </w:rPr>
            </w:pPr>
            <w:r>
              <w:rPr>
                <w:rFonts w:cs="Arial"/>
                <w:sz w:val="20"/>
                <w:szCs w:val="20"/>
              </w:rPr>
              <w:t>9.09</w:t>
            </w:r>
          </w:p>
        </w:tc>
        <w:tc>
          <w:tcPr>
            <w:tcW w:w="508" w:type="pct"/>
            <w:tcBorders>
              <w:top w:val="nil"/>
              <w:bottom w:val="nil"/>
            </w:tcBorders>
            <w:vAlign w:val="center"/>
          </w:tcPr>
          <w:p w:rsidR="00731860" w:rsidRDefault="00731860">
            <w:pPr>
              <w:jc w:val="center"/>
              <w:rPr>
                <w:rFonts w:cs="Arial"/>
                <w:sz w:val="20"/>
                <w:szCs w:val="20"/>
              </w:rPr>
            </w:pPr>
            <w:r>
              <w:rPr>
                <w:rFonts w:cs="Arial"/>
                <w:sz w:val="20"/>
                <w:szCs w:val="20"/>
              </w:rPr>
              <w:t>9.91</w:t>
            </w:r>
          </w:p>
        </w:tc>
        <w:tc>
          <w:tcPr>
            <w:tcW w:w="589" w:type="pct"/>
            <w:tcBorders>
              <w:top w:val="nil"/>
              <w:bottom w:val="nil"/>
            </w:tcBorders>
            <w:vAlign w:val="center"/>
          </w:tcPr>
          <w:p w:rsidR="00731860" w:rsidRDefault="00731860">
            <w:pPr>
              <w:jc w:val="center"/>
              <w:rPr>
                <w:rFonts w:cs="Arial"/>
                <w:sz w:val="20"/>
                <w:szCs w:val="20"/>
              </w:rPr>
            </w:pPr>
            <w:r>
              <w:rPr>
                <w:rFonts w:cs="Arial"/>
                <w:sz w:val="20"/>
                <w:szCs w:val="20"/>
              </w:rPr>
              <w:t>10.44</w:t>
            </w:r>
          </w:p>
        </w:tc>
        <w:tc>
          <w:tcPr>
            <w:tcW w:w="517" w:type="pct"/>
            <w:tcBorders>
              <w:top w:val="nil"/>
              <w:bottom w:val="nil"/>
            </w:tcBorders>
            <w:vAlign w:val="center"/>
          </w:tcPr>
          <w:p w:rsidR="00731860" w:rsidRDefault="00731860">
            <w:pPr>
              <w:jc w:val="center"/>
              <w:rPr>
                <w:rFonts w:cs="Arial"/>
                <w:sz w:val="20"/>
                <w:szCs w:val="20"/>
              </w:rPr>
            </w:pPr>
            <w:r>
              <w:rPr>
                <w:rFonts w:cs="Arial"/>
                <w:sz w:val="20"/>
                <w:szCs w:val="20"/>
              </w:rPr>
              <w:t>10.01</w:t>
            </w:r>
          </w:p>
        </w:tc>
        <w:tc>
          <w:tcPr>
            <w:tcW w:w="510" w:type="pct"/>
            <w:tcBorders>
              <w:top w:val="nil"/>
              <w:bottom w:val="nil"/>
            </w:tcBorders>
            <w:vAlign w:val="center"/>
          </w:tcPr>
          <w:p w:rsidR="00731860" w:rsidRDefault="00731860">
            <w:pPr>
              <w:jc w:val="center"/>
              <w:rPr>
                <w:rFonts w:cs="Arial"/>
                <w:sz w:val="20"/>
                <w:szCs w:val="20"/>
              </w:rPr>
            </w:pPr>
            <w:r>
              <w:rPr>
                <w:rFonts w:cs="Arial"/>
                <w:sz w:val="20"/>
                <w:szCs w:val="20"/>
              </w:rPr>
              <w:t>10.00</w:t>
            </w:r>
          </w:p>
        </w:tc>
        <w:tc>
          <w:tcPr>
            <w:tcW w:w="507" w:type="pct"/>
            <w:tcBorders>
              <w:top w:val="nil"/>
              <w:bottom w:val="nil"/>
            </w:tcBorders>
            <w:vAlign w:val="center"/>
          </w:tcPr>
          <w:p w:rsidR="00731860" w:rsidRDefault="00731860">
            <w:pPr>
              <w:jc w:val="center"/>
              <w:rPr>
                <w:rFonts w:cs="Arial"/>
                <w:sz w:val="20"/>
                <w:szCs w:val="20"/>
              </w:rPr>
            </w:pPr>
            <w:r>
              <w:rPr>
                <w:rFonts w:cs="Arial"/>
                <w:sz w:val="20"/>
                <w:szCs w:val="20"/>
              </w:rPr>
              <w:t>10.00</w:t>
            </w:r>
          </w:p>
        </w:tc>
        <w:tc>
          <w:tcPr>
            <w:tcW w:w="578" w:type="pct"/>
            <w:tcBorders>
              <w:top w:val="nil"/>
              <w:bottom w:val="nil"/>
            </w:tcBorders>
            <w:vAlign w:val="center"/>
          </w:tcPr>
          <w:p w:rsidR="00731860" w:rsidRDefault="00731860">
            <w:pPr>
              <w:jc w:val="center"/>
              <w:rPr>
                <w:rFonts w:cs="Arial"/>
                <w:sz w:val="20"/>
                <w:szCs w:val="20"/>
              </w:rPr>
            </w:pPr>
            <w:r>
              <w:rPr>
                <w:rFonts w:cs="Arial"/>
                <w:sz w:val="20"/>
                <w:szCs w:val="20"/>
              </w:rPr>
              <w:t>8.95</w:t>
            </w:r>
          </w:p>
        </w:tc>
      </w:tr>
      <w:tr w:rsidR="00731860"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nil"/>
            </w:tcBorders>
            <w:vAlign w:val="center"/>
          </w:tcPr>
          <w:p w:rsidR="00731860" w:rsidRDefault="00731860">
            <w:pPr>
              <w:rPr>
                <w:rFonts w:cs="Arial"/>
                <w:szCs w:val="20"/>
              </w:rPr>
            </w:pPr>
            <w:r>
              <w:rPr>
                <w:rFonts w:cs="Arial"/>
                <w:szCs w:val="20"/>
              </w:rPr>
              <w:t>Ex ante quantity (TJ)</w:t>
            </w:r>
          </w:p>
        </w:tc>
        <w:tc>
          <w:tcPr>
            <w:tcW w:w="580" w:type="pct"/>
            <w:tcBorders>
              <w:top w:val="nil"/>
              <w:bottom w:val="nil"/>
            </w:tcBorders>
            <w:vAlign w:val="center"/>
          </w:tcPr>
          <w:p w:rsidR="00731860" w:rsidRDefault="00731860">
            <w:pPr>
              <w:jc w:val="center"/>
              <w:rPr>
                <w:rFonts w:cs="Arial"/>
                <w:szCs w:val="20"/>
              </w:rPr>
            </w:pPr>
            <w:r>
              <w:rPr>
                <w:rFonts w:cs="Arial"/>
                <w:szCs w:val="20"/>
              </w:rPr>
              <w:t>206</w:t>
            </w:r>
          </w:p>
        </w:tc>
        <w:tc>
          <w:tcPr>
            <w:tcW w:w="508" w:type="pct"/>
            <w:tcBorders>
              <w:top w:val="nil"/>
              <w:bottom w:val="nil"/>
            </w:tcBorders>
            <w:vAlign w:val="center"/>
          </w:tcPr>
          <w:p w:rsidR="00731860" w:rsidRDefault="00731860">
            <w:pPr>
              <w:jc w:val="center"/>
              <w:rPr>
                <w:rFonts w:cs="Arial"/>
                <w:szCs w:val="20"/>
              </w:rPr>
            </w:pPr>
            <w:r>
              <w:rPr>
                <w:rFonts w:cs="Arial"/>
                <w:szCs w:val="20"/>
              </w:rPr>
              <w:t>229</w:t>
            </w:r>
          </w:p>
        </w:tc>
        <w:tc>
          <w:tcPr>
            <w:tcW w:w="589" w:type="pct"/>
            <w:tcBorders>
              <w:top w:val="nil"/>
              <w:bottom w:val="nil"/>
            </w:tcBorders>
            <w:vAlign w:val="center"/>
          </w:tcPr>
          <w:p w:rsidR="00731860" w:rsidRDefault="00731860">
            <w:pPr>
              <w:jc w:val="center"/>
              <w:rPr>
                <w:rFonts w:cs="Arial"/>
                <w:szCs w:val="20"/>
              </w:rPr>
            </w:pPr>
            <w:r>
              <w:rPr>
                <w:rFonts w:cs="Arial"/>
                <w:szCs w:val="20"/>
              </w:rPr>
              <w:t>243</w:t>
            </w:r>
          </w:p>
        </w:tc>
        <w:tc>
          <w:tcPr>
            <w:tcW w:w="517" w:type="pct"/>
            <w:tcBorders>
              <w:top w:val="nil"/>
              <w:bottom w:val="nil"/>
            </w:tcBorders>
            <w:vAlign w:val="center"/>
          </w:tcPr>
          <w:p w:rsidR="00731860" w:rsidRDefault="00731860">
            <w:pPr>
              <w:jc w:val="center"/>
              <w:rPr>
                <w:rFonts w:cs="Arial"/>
                <w:szCs w:val="20"/>
              </w:rPr>
            </w:pPr>
            <w:r>
              <w:rPr>
                <w:rFonts w:cs="Arial"/>
                <w:szCs w:val="20"/>
              </w:rPr>
              <w:t>238</w:t>
            </w:r>
          </w:p>
        </w:tc>
        <w:tc>
          <w:tcPr>
            <w:tcW w:w="510" w:type="pct"/>
            <w:tcBorders>
              <w:top w:val="nil"/>
              <w:bottom w:val="nil"/>
            </w:tcBorders>
            <w:vAlign w:val="center"/>
          </w:tcPr>
          <w:p w:rsidR="00731860" w:rsidRDefault="00731860">
            <w:pPr>
              <w:jc w:val="center"/>
              <w:rPr>
                <w:rFonts w:cs="Arial"/>
                <w:szCs w:val="20"/>
              </w:rPr>
            </w:pPr>
            <w:r>
              <w:rPr>
                <w:rFonts w:cs="Arial"/>
                <w:szCs w:val="20"/>
              </w:rPr>
              <w:t>241</w:t>
            </w:r>
          </w:p>
        </w:tc>
        <w:tc>
          <w:tcPr>
            <w:tcW w:w="507" w:type="pct"/>
            <w:tcBorders>
              <w:top w:val="nil"/>
              <w:bottom w:val="nil"/>
            </w:tcBorders>
            <w:vAlign w:val="center"/>
          </w:tcPr>
          <w:p w:rsidR="00731860" w:rsidRDefault="00731860">
            <w:pPr>
              <w:jc w:val="center"/>
              <w:rPr>
                <w:rFonts w:cs="Arial"/>
                <w:szCs w:val="20"/>
              </w:rPr>
            </w:pPr>
            <w:r>
              <w:rPr>
                <w:rFonts w:cs="Arial"/>
                <w:szCs w:val="20"/>
              </w:rPr>
              <w:t>210</w:t>
            </w:r>
          </w:p>
        </w:tc>
        <w:tc>
          <w:tcPr>
            <w:tcW w:w="578" w:type="pct"/>
            <w:tcBorders>
              <w:top w:val="nil"/>
              <w:bottom w:val="nil"/>
            </w:tcBorders>
            <w:vAlign w:val="center"/>
          </w:tcPr>
          <w:p w:rsidR="00731860" w:rsidRDefault="00731860">
            <w:pPr>
              <w:jc w:val="center"/>
              <w:rPr>
                <w:rFonts w:cs="Arial"/>
                <w:szCs w:val="20"/>
              </w:rPr>
            </w:pPr>
            <w:r>
              <w:rPr>
                <w:rFonts w:cs="Arial"/>
                <w:szCs w:val="20"/>
              </w:rPr>
              <w:t>179</w:t>
            </w:r>
          </w:p>
        </w:tc>
      </w:tr>
      <w:tr w:rsidR="00731860" w:rsidRPr="00405CDE" w:rsidTr="00A226E9">
        <w:trPr>
          <w:trHeight w:val="510"/>
        </w:trPr>
        <w:tc>
          <w:tcPr>
            <w:tcW w:w="1211" w:type="pct"/>
            <w:tcBorders>
              <w:top w:val="nil"/>
              <w:bottom w:val="nil"/>
            </w:tcBorders>
            <w:vAlign w:val="center"/>
          </w:tcPr>
          <w:p w:rsidR="00731860" w:rsidRDefault="00731860">
            <w:pPr>
              <w:rPr>
                <w:rFonts w:cs="Arial"/>
                <w:sz w:val="20"/>
                <w:szCs w:val="20"/>
              </w:rPr>
            </w:pPr>
            <w:r>
              <w:rPr>
                <w:rFonts w:cs="Arial"/>
                <w:sz w:val="20"/>
                <w:szCs w:val="20"/>
              </w:rPr>
              <w:t>Ex post price ($/GJ)</w:t>
            </w:r>
          </w:p>
        </w:tc>
        <w:tc>
          <w:tcPr>
            <w:tcW w:w="580" w:type="pct"/>
            <w:tcBorders>
              <w:top w:val="nil"/>
              <w:bottom w:val="nil"/>
            </w:tcBorders>
            <w:vAlign w:val="center"/>
          </w:tcPr>
          <w:p w:rsidR="00731860" w:rsidRDefault="00731860">
            <w:pPr>
              <w:jc w:val="center"/>
              <w:rPr>
                <w:rFonts w:cs="Arial"/>
                <w:sz w:val="20"/>
                <w:szCs w:val="20"/>
              </w:rPr>
            </w:pPr>
            <w:r>
              <w:rPr>
                <w:rFonts w:cs="Arial"/>
                <w:sz w:val="20"/>
                <w:szCs w:val="20"/>
              </w:rPr>
              <w:t>8.69</w:t>
            </w:r>
          </w:p>
        </w:tc>
        <w:tc>
          <w:tcPr>
            <w:tcW w:w="508" w:type="pct"/>
            <w:tcBorders>
              <w:top w:val="nil"/>
              <w:bottom w:val="nil"/>
            </w:tcBorders>
            <w:vAlign w:val="center"/>
          </w:tcPr>
          <w:p w:rsidR="00731860" w:rsidRDefault="00731860">
            <w:pPr>
              <w:jc w:val="center"/>
              <w:rPr>
                <w:rFonts w:cs="Arial"/>
                <w:sz w:val="20"/>
                <w:szCs w:val="20"/>
              </w:rPr>
            </w:pPr>
            <w:r>
              <w:rPr>
                <w:rFonts w:cs="Arial"/>
                <w:sz w:val="20"/>
                <w:szCs w:val="20"/>
              </w:rPr>
              <w:t>10.21</w:t>
            </w:r>
          </w:p>
        </w:tc>
        <w:tc>
          <w:tcPr>
            <w:tcW w:w="589" w:type="pct"/>
            <w:tcBorders>
              <w:top w:val="nil"/>
              <w:bottom w:val="nil"/>
            </w:tcBorders>
            <w:vAlign w:val="center"/>
          </w:tcPr>
          <w:p w:rsidR="00731860" w:rsidRDefault="00731860">
            <w:pPr>
              <w:jc w:val="center"/>
              <w:rPr>
                <w:rFonts w:cs="Arial"/>
                <w:sz w:val="20"/>
                <w:szCs w:val="20"/>
              </w:rPr>
            </w:pPr>
            <w:r>
              <w:rPr>
                <w:rFonts w:cs="Arial"/>
                <w:sz w:val="20"/>
                <w:szCs w:val="20"/>
              </w:rPr>
              <w:t>10.01</w:t>
            </w:r>
          </w:p>
        </w:tc>
        <w:tc>
          <w:tcPr>
            <w:tcW w:w="517" w:type="pct"/>
            <w:tcBorders>
              <w:top w:val="nil"/>
              <w:bottom w:val="nil"/>
            </w:tcBorders>
            <w:vAlign w:val="center"/>
          </w:tcPr>
          <w:p w:rsidR="00731860" w:rsidRDefault="00731860">
            <w:pPr>
              <w:jc w:val="center"/>
              <w:rPr>
                <w:rFonts w:cs="Arial"/>
                <w:sz w:val="20"/>
                <w:szCs w:val="20"/>
              </w:rPr>
            </w:pPr>
            <w:r>
              <w:rPr>
                <w:rFonts w:cs="Arial"/>
                <w:sz w:val="20"/>
                <w:szCs w:val="20"/>
              </w:rPr>
              <w:t>9.83</w:t>
            </w:r>
          </w:p>
        </w:tc>
        <w:tc>
          <w:tcPr>
            <w:tcW w:w="510" w:type="pct"/>
            <w:tcBorders>
              <w:top w:val="nil"/>
              <w:bottom w:val="nil"/>
            </w:tcBorders>
            <w:vAlign w:val="center"/>
          </w:tcPr>
          <w:p w:rsidR="00731860" w:rsidRDefault="00731860">
            <w:pPr>
              <w:jc w:val="center"/>
              <w:rPr>
                <w:rFonts w:cs="Arial"/>
                <w:sz w:val="20"/>
                <w:szCs w:val="20"/>
              </w:rPr>
            </w:pPr>
            <w:r>
              <w:rPr>
                <w:rFonts w:cs="Arial"/>
                <w:sz w:val="20"/>
                <w:szCs w:val="20"/>
              </w:rPr>
              <w:t>9.74</w:t>
            </w:r>
          </w:p>
        </w:tc>
        <w:tc>
          <w:tcPr>
            <w:tcW w:w="507" w:type="pct"/>
            <w:tcBorders>
              <w:top w:val="nil"/>
              <w:bottom w:val="nil"/>
            </w:tcBorders>
            <w:vAlign w:val="center"/>
          </w:tcPr>
          <w:p w:rsidR="00731860" w:rsidRDefault="00731860">
            <w:pPr>
              <w:jc w:val="center"/>
              <w:rPr>
                <w:rFonts w:cs="Arial"/>
                <w:sz w:val="20"/>
                <w:szCs w:val="20"/>
              </w:rPr>
            </w:pPr>
            <w:r>
              <w:rPr>
                <w:rFonts w:cs="Arial"/>
                <w:sz w:val="20"/>
                <w:szCs w:val="20"/>
              </w:rPr>
              <w:t>10.00</w:t>
            </w:r>
          </w:p>
        </w:tc>
        <w:tc>
          <w:tcPr>
            <w:tcW w:w="578" w:type="pct"/>
            <w:tcBorders>
              <w:top w:val="nil"/>
              <w:bottom w:val="nil"/>
            </w:tcBorders>
            <w:vAlign w:val="center"/>
          </w:tcPr>
          <w:p w:rsidR="00731860" w:rsidRDefault="00731860">
            <w:pPr>
              <w:jc w:val="center"/>
              <w:rPr>
                <w:rFonts w:cs="Arial"/>
                <w:sz w:val="20"/>
                <w:szCs w:val="20"/>
              </w:rPr>
            </w:pPr>
            <w:r>
              <w:rPr>
                <w:rFonts w:cs="Arial"/>
                <w:sz w:val="20"/>
                <w:szCs w:val="20"/>
              </w:rPr>
              <w:t>9.28</w:t>
            </w:r>
          </w:p>
        </w:tc>
      </w:tr>
      <w:tr w:rsidR="00731860"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single" w:sz="4" w:space="0" w:color="auto"/>
            </w:tcBorders>
            <w:vAlign w:val="center"/>
          </w:tcPr>
          <w:p w:rsidR="00731860" w:rsidRDefault="00731860">
            <w:pPr>
              <w:rPr>
                <w:rFonts w:cs="Arial"/>
                <w:szCs w:val="20"/>
              </w:rPr>
            </w:pPr>
            <w:r>
              <w:rPr>
                <w:rFonts w:cs="Arial"/>
                <w:szCs w:val="20"/>
              </w:rPr>
              <w:t>Ex post quantity (TJ)</w:t>
            </w:r>
          </w:p>
        </w:tc>
        <w:tc>
          <w:tcPr>
            <w:tcW w:w="580" w:type="pct"/>
            <w:tcBorders>
              <w:top w:val="nil"/>
              <w:bottom w:val="single" w:sz="4" w:space="0" w:color="auto"/>
            </w:tcBorders>
            <w:vAlign w:val="center"/>
          </w:tcPr>
          <w:p w:rsidR="00731860" w:rsidRDefault="00731860">
            <w:pPr>
              <w:jc w:val="center"/>
              <w:rPr>
                <w:rFonts w:cs="Arial"/>
                <w:szCs w:val="20"/>
              </w:rPr>
            </w:pPr>
            <w:r>
              <w:rPr>
                <w:rFonts w:cs="Arial"/>
                <w:szCs w:val="20"/>
              </w:rPr>
              <w:t>203</w:t>
            </w:r>
          </w:p>
        </w:tc>
        <w:tc>
          <w:tcPr>
            <w:tcW w:w="508" w:type="pct"/>
            <w:tcBorders>
              <w:top w:val="nil"/>
              <w:bottom w:val="single" w:sz="4" w:space="0" w:color="auto"/>
            </w:tcBorders>
            <w:vAlign w:val="center"/>
          </w:tcPr>
          <w:p w:rsidR="00731860" w:rsidRDefault="00731860">
            <w:pPr>
              <w:jc w:val="center"/>
              <w:rPr>
                <w:rFonts w:cs="Arial"/>
                <w:szCs w:val="20"/>
              </w:rPr>
            </w:pPr>
            <w:r>
              <w:rPr>
                <w:rFonts w:cs="Arial"/>
                <w:szCs w:val="20"/>
              </w:rPr>
              <w:t>230</w:t>
            </w:r>
          </w:p>
        </w:tc>
        <w:tc>
          <w:tcPr>
            <w:tcW w:w="589" w:type="pct"/>
            <w:tcBorders>
              <w:top w:val="nil"/>
              <w:bottom w:val="single" w:sz="4" w:space="0" w:color="auto"/>
            </w:tcBorders>
            <w:vAlign w:val="center"/>
          </w:tcPr>
          <w:p w:rsidR="00731860" w:rsidRDefault="00731860">
            <w:pPr>
              <w:jc w:val="center"/>
              <w:rPr>
                <w:rFonts w:cs="Arial"/>
                <w:szCs w:val="20"/>
              </w:rPr>
            </w:pPr>
            <w:r>
              <w:rPr>
                <w:rFonts w:cs="Arial"/>
                <w:szCs w:val="20"/>
              </w:rPr>
              <w:t>233</w:t>
            </w:r>
          </w:p>
        </w:tc>
        <w:tc>
          <w:tcPr>
            <w:tcW w:w="517" w:type="pct"/>
            <w:tcBorders>
              <w:top w:val="nil"/>
              <w:bottom w:val="single" w:sz="4" w:space="0" w:color="auto"/>
            </w:tcBorders>
            <w:vAlign w:val="center"/>
          </w:tcPr>
          <w:p w:rsidR="00731860" w:rsidRDefault="00731860">
            <w:pPr>
              <w:jc w:val="center"/>
              <w:rPr>
                <w:rFonts w:cs="Arial"/>
                <w:szCs w:val="20"/>
              </w:rPr>
            </w:pPr>
            <w:r>
              <w:rPr>
                <w:rFonts w:cs="Arial"/>
                <w:szCs w:val="20"/>
              </w:rPr>
              <w:t>233</w:t>
            </w:r>
          </w:p>
        </w:tc>
        <w:tc>
          <w:tcPr>
            <w:tcW w:w="510" w:type="pct"/>
            <w:tcBorders>
              <w:top w:val="nil"/>
              <w:bottom w:val="single" w:sz="4" w:space="0" w:color="auto"/>
            </w:tcBorders>
            <w:vAlign w:val="center"/>
          </w:tcPr>
          <w:p w:rsidR="00731860" w:rsidRDefault="00731860">
            <w:pPr>
              <w:jc w:val="center"/>
              <w:rPr>
                <w:rFonts w:cs="Arial"/>
                <w:szCs w:val="20"/>
              </w:rPr>
            </w:pPr>
            <w:r>
              <w:rPr>
                <w:rFonts w:cs="Arial"/>
                <w:szCs w:val="20"/>
              </w:rPr>
              <w:t>237</w:t>
            </w:r>
          </w:p>
        </w:tc>
        <w:tc>
          <w:tcPr>
            <w:tcW w:w="507" w:type="pct"/>
            <w:tcBorders>
              <w:top w:val="nil"/>
              <w:bottom w:val="single" w:sz="4" w:space="0" w:color="auto"/>
            </w:tcBorders>
            <w:vAlign w:val="center"/>
          </w:tcPr>
          <w:p w:rsidR="00731860" w:rsidRDefault="00731860">
            <w:pPr>
              <w:jc w:val="center"/>
              <w:rPr>
                <w:rFonts w:cs="Arial"/>
                <w:szCs w:val="20"/>
              </w:rPr>
            </w:pPr>
            <w:r>
              <w:rPr>
                <w:rFonts w:cs="Arial"/>
                <w:szCs w:val="20"/>
              </w:rPr>
              <w:t>216</w:t>
            </w:r>
          </w:p>
        </w:tc>
        <w:tc>
          <w:tcPr>
            <w:tcW w:w="578" w:type="pct"/>
            <w:tcBorders>
              <w:top w:val="nil"/>
              <w:bottom w:val="single" w:sz="4" w:space="0" w:color="auto"/>
            </w:tcBorders>
            <w:vAlign w:val="center"/>
          </w:tcPr>
          <w:p w:rsidR="00731860" w:rsidRDefault="00731860">
            <w:pPr>
              <w:jc w:val="center"/>
              <w:rPr>
                <w:rFonts w:cs="Arial"/>
                <w:szCs w:val="20"/>
              </w:rPr>
            </w:pPr>
            <w:r>
              <w:rPr>
                <w:rFonts w:cs="Arial"/>
                <w:szCs w:val="20"/>
              </w:rPr>
              <w:t>193</w:t>
            </w:r>
          </w:p>
        </w:tc>
      </w:tr>
    </w:tbl>
    <w:p w:rsidR="00EC2CB1" w:rsidRPr="001521CB" w:rsidRDefault="00EC2CB1" w:rsidP="00EC2CB1">
      <w:pPr>
        <w:pStyle w:val="Caption"/>
        <w:numPr>
          <w:ilvl w:val="0"/>
          <w:numId w:val="30"/>
        </w:numPr>
        <w:ind w:left="709" w:hanging="709"/>
      </w:pPr>
      <w:r w:rsidRPr="00DD0358">
        <w:rPr>
          <w:color w:val="2272A3"/>
          <w:szCs w:val="24"/>
        </w:rPr>
        <w:t>SYD daily hub offers and daily hub bids in price bands ($/GJ)</w:t>
      </w:r>
    </w:p>
    <w:p w:rsidR="00EC2CB1" w:rsidRDefault="004D1587" w:rsidP="00EC2CB1">
      <w:r w:rsidRPr="004D1587">
        <w:rPr>
          <w:noProof/>
          <w:lang w:eastAsia="en-AU"/>
        </w:rPr>
        <w:drawing>
          <wp:inline distT="0" distB="0" distL="0" distR="0" wp14:anchorId="32E8489A" wp14:editId="1435FB1D">
            <wp:extent cx="5731510" cy="2048040"/>
            <wp:effectExtent l="0" t="0" r="0" b="9525"/>
            <wp:docPr id="31" name="Picture 31" descr="Figure 2.2 shows the daily hub offers and bid in within certain price bands in Sydney this week. The line indicates the scheduled quantity for each day. For a more detailed description of this figure, please refer to the user guide." title="Sydney daily hub offers and daily hub bids in price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048040"/>
                    </a:xfrm>
                    <a:prstGeom prst="rect">
                      <a:avLst/>
                    </a:prstGeom>
                    <a:noFill/>
                    <a:ln>
                      <a:noFill/>
                    </a:ln>
                  </pic:spPr>
                </pic:pic>
              </a:graphicData>
            </a:graphic>
          </wp:inline>
        </w:drawing>
      </w:r>
    </w:p>
    <w:p w:rsidR="00EC2CB1" w:rsidRDefault="00EC2CB1" w:rsidP="00EC2CB1"/>
    <w:p w:rsidR="00EC2CB1" w:rsidRPr="001521CB" w:rsidRDefault="00EC2CB1" w:rsidP="00EC2CB1">
      <w:pPr>
        <w:pStyle w:val="Caption"/>
        <w:numPr>
          <w:ilvl w:val="0"/>
          <w:numId w:val="30"/>
        </w:numPr>
        <w:ind w:left="709" w:hanging="709"/>
      </w:pPr>
      <w:r w:rsidRPr="00DD0358">
        <w:rPr>
          <w:color w:val="2272A3"/>
          <w:szCs w:val="24"/>
        </w:rPr>
        <w:lastRenderedPageBreak/>
        <w:t>SYD net scheduled and allocated gas hub supply (excluding MOS)</w:t>
      </w:r>
    </w:p>
    <w:p w:rsidR="00EC2CB1" w:rsidRDefault="004D1587" w:rsidP="00EC2CB1">
      <w:r w:rsidRPr="004D1587">
        <w:rPr>
          <w:noProof/>
          <w:lang w:eastAsia="en-AU"/>
        </w:rPr>
        <w:drawing>
          <wp:inline distT="0" distB="0" distL="0" distR="0" wp14:anchorId="54F84441" wp14:editId="535F60CE">
            <wp:extent cx="5731510" cy="2560275"/>
            <wp:effectExtent l="0" t="0" r="2540" b="0"/>
            <wp:docPr id="32" name="Picture 32" descr="Figure 2.3 shows the daily scheduled and allocated quantities sorted by facility for Sydney this week. For a more detailed description of this figure, please refer to the user guide." title="Sydney net scheduled and allocated gas hub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560275"/>
                    </a:xfrm>
                    <a:prstGeom prst="rect">
                      <a:avLst/>
                    </a:prstGeom>
                    <a:noFill/>
                    <a:ln>
                      <a:noFill/>
                    </a:ln>
                  </pic:spPr>
                </pic:pic>
              </a:graphicData>
            </a:graphic>
          </wp:inline>
        </w:drawing>
      </w:r>
    </w:p>
    <w:p w:rsidR="00EC2CB1" w:rsidRPr="00552F68" w:rsidRDefault="00EC2CB1" w:rsidP="00EC2CB1">
      <w:pPr>
        <w:pStyle w:val="Caption"/>
        <w:numPr>
          <w:ilvl w:val="0"/>
          <w:numId w:val="30"/>
        </w:numPr>
        <w:ind w:left="1418" w:hanging="1418"/>
      </w:pPr>
      <w:r w:rsidRPr="00DD0358">
        <w:rPr>
          <w:color w:val="2272A3"/>
          <w:szCs w:val="24"/>
        </w:rPr>
        <w:t>SYD MOS allocations (TJ), service payments and commodity payments/charges ($</w:t>
      </w:r>
      <w:r w:rsidRPr="00552F68">
        <w:rPr>
          <w:color w:val="2272A3"/>
          <w:szCs w:val="24"/>
        </w:rPr>
        <w:t>000)</w:t>
      </w:r>
      <w:r w:rsidR="00914872" w:rsidRPr="00552F68">
        <w:rPr>
          <w:rStyle w:val="FootnoteReference"/>
          <w:color w:val="2272A3"/>
          <w:szCs w:val="24"/>
        </w:rPr>
        <w:footnoteReference w:id="8"/>
      </w:r>
    </w:p>
    <w:p w:rsidR="00EC2CB1" w:rsidRDefault="004D1587" w:rsidP="00EC2CB1">
      <w:r w:rsidRPr="004D1587">
        <w:rPr>
          <w:noProof/>
          <w:lang w:eastAsia="en-AU"/>
        </w:rPr>
        <w:drawing>
          <wp:inline distT="0" distB="0" distL="0" distR="0" wp14:anchorId="6F781491" wp14:editId="6CBA028C">
            <wp:extent cx="5731510" cy="2175579"/>
            <wp:effectExtent l="0" t="0" r="2540" b="0"/>
            <wp:docPr id="33" name="Picture 33" descr="Figure 2.4 shows the daily MOS allocations sorted by facility for each facility in Sydney this week. The figure also shows the daily breakdown of costs associated with the MOS provided. For a more detailed description of this figure, please refer to the user guide." title="Sydney MOS allocations, service payments and commodity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175579"/>
                    </a:xfrm>
                    <a:prstGeom prst="rect">
                      <a:avLst/>
                    </a:prstGeom>
                    <a:noFill/>
                    <a:ln>
                      <a:noFill/>
                    </a:ln>
                  </pic:spPr>
                </pic:pic>
              </a:graphicData>
            </a:graphic>
          </wp:inline>
        </w:drawing>
      </w:r>
    </w:p>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3</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Adelaide STTM</w:t>
      </w:r>
    </w:p>
    <w:p w:rsidR="00EC2CB1" w:rsidRPr="003625A6" w:rsidRDefault="00EC2CB1" w:rsidP="00EC2CB1">
      <w:pPr>
        <w:jc w:val="both"/>
      </w:pPr>
      <w:r>
        <w:t>The Adelaide STTM hub functions in the same way as the Sydney STTM hub.  The same data that was presented for the Sydney hub is presented for the Adelaide hub in the figures below.</w:t>
      </w:r>
    </w:p>
    <w:p w:rsidR="004C571B" w:rsidRDefault="00EC2CB1" w:rsidP="004C571B">
      <w:pPr>
        <w:pStyle w:val="Caption"/>
        <w:numPr>
          <w:ilvl w:val="0"/>
          <w:numId w:val="31"/>
        </w:numPr>
        <w:ind w:left="709" w:hanging="709"/>
        <w:rPr>
          <w:color w:val="2272A3"/>
          <w:szCs w:val="24"/>
        </w:rPr>
      </w:pPr>
      <w:r>
        <w:rPr>
          <w:color w:val="2272A3"/>
          <w:szCs w:val="24"/>
        </w:rPr>
        <w:t>ADL</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4D1587" w:rsidRPr="00405CDE" w:rsidTr="00A226E9">
        <w:trPr>
          <w:trHeight w:val="389"/>
        </w:trPr>
        <w:tc>
          <w:tcPr>
            <w:tcW w:w="1152" w:type="pct"/>
            <w:tcBorders>
              <w:top w:val="nil"/>
              <w:bottom w:val="nil"/>
            </w:tcBorders>
            <w:vAlign w:val="center"/>
          </w:tcPr>
          <w:p w:rsidR="004D1587" w:rsidRDefault="004D1587">
            <w:pPr>
              <w:rPr>
                <w:rFonts w:cs="Arial"/>
                <w:sz w:val="20"/>
                <w:szCs w:val="20"/>
              </w:rPr>
            </w:pPr>
            <w:r>
              <w:rPr>
                <w:rFonts w:cs="Arial"/>
                <w:sz w:val="20"/>
                <w:szCs w:val="20"/>
              </w:rPr>
              <w:t>Ex ante price ($/GJ)</w:t>
            </w:r>
          </w:p>
        </w:tc>
        <w:tc>
          <w:tcPr>
            <w:tcW w:w="589" w:type="pct"/>
            <w:tcBorders>
              <w:top w:val="nil"/>
              <w:bottom w:val="nil"/>
            </w:tcBorders>
            <w:vAlign w:val="center"/>
          </w:tcPr>
          <w:p w:rsidR="004D1587" w:rsidRDefault="004D1587">
            <w:pPr>
              <w:jc w:val="center"/>
              <w:rPr>
                <w:rFonts w:cs="Arial"/>
                <w:sz w:val="20"/>
                <w:szCs w:val="20"/>
              </w:rPr>
            </w:pPr>
            <w:r>
              <w:rPr>
                <w:rFonts w:cs="Arial"/>
                <w:sz w:val="20"/>
                <w:szCs w:val="20"/>
              </w:rPr>
              <w:t>8.19</w:t>
            </w:r>
          </w:p>
        </w:tc>
        <w:tc>
          <w:tcPr>
            <w:tcW w:w="516" w:type="pct"/>
            <w:tcBorders>
              <w:top w:val="nil"/>
              <w:bottom w:val="nil"/>
            </w:tcBorders>
            <w:vAlign w:val="center"/>
          </w:tcPr>
          <w:p w:rsidR="004D1587" w:rsidRDefault="004D1587">
            <w:pPr>
              <w:jc w:val="center"/>
              <w:rPr>
                <w:rFonts w:cs="Arial"/>
                <w:sz w:val="20"/>
                <w:szCs w:val="20"/>
              </w:rPr>
            </w:pPr>
            <w:r>
              <w:rPr>
                <w:rFonts w:cs="Arial"/>
                <w:sz w:val="20"/>
                <w:szCs w:val="20"/>
              </w:rPr>
              <w:t>8.39</w:t>
            </w:r>
          </w:p>
        </w:tc>
        <w:tc>
          <w:tcPr>
            <w:tcW w:w="598" w:type="pct"/>
            <w:tcBorders>
              <w:top w:val="nil"/>
              <w:bottom w:val="nil"/>
            </w:tcBorders>
            <w:vAlign w:val="center"/>
          </w:tcPr>
          <w:p w:rsidR="004D1587" w:rsidRDefault="004D1587">
            <w:pPr>
              <w:jc w:val="center"/>
              <w:rPr>
                <w:rFonts w:cs="Arial"/>
                <w:sz w:val="20"/>
                <w:szCs w:val="20"/>
              </w:rPr>
            </w:pPr>
            <w:r>
              <w:rPr>
                <w:rFonts w:cs="Arial"/>
                <w:sz w:val="20"/>
                <w:szCs w:val="20"/>
              </w:rPr>
              <w:t>8.88</w:t>
            </w:r>
          </w:p>
        </w:tc>
        <w:tc>
          <w:tcPr>
            <w:tcW w:w="525" w:type="pct"/>
            <w:tcBorders>
              <w:top w:val="nil"/>
              <w:bottom w:val="nil"/>
            </w:tcBorders>
            <w:vAlign w:val="center"/>
          </w:tcPr>
          <w:p w:rsidR="004D1587" w:rsidRDefault="004D1587">
            <w:pPr>
              <w:jc w:val="center"/>
              <w:rPr>
                <w:rFonts w:cs="Arial"/>
                <w:sz w:val="20"/>
                <w:szCs w:val="20"/>
              </w:rPr>
            </w:pPr>
            <w:r>
              <w:rPr>
                <w:rFonts w:cs="Arial"/>
                <w:sz w:val="20"/>
                <w:szCs w:val="20"/>
              </w:rPr>
              <w:t>8.97</w:t>
            </w:r>
          </w:p>
        </w:tc>
        <w:tc>
          <w:tcPr>
            <w:tcW w:w="518" w:type="pct"/>
            <w:tcBorders>
              <w:top w:val="nil"/>
              <w:bottom w:val="nil"/>
            </w:tcBorders>
            <w:vAlign w:val="center"/>
          </w:tcPr>
          <w:p w:rsidR="004D1587" w:rsidRDefault="004D1587">
            <w:pPr>
              <w:jc w:val="center"/>
              <w:rPr>
                <w:rFonts w:cs="Arial"/>
                <w:sz w:val="20"/>
                <w:szCs w:val="20"/>
              </w:rPr>
            </w:pPr>
            <w:r>
              <w:rPr>
                <w:rFonts w:cs="Arial"/>
                <w:sz w:val="20"/>
                <w:szCs w:val="20"/>
              </w:rPr>
              <w:t>8.51</w:t>
            </w:r>
          </w:p>
        </w:tc>
        <w:tc>
          <w:tcPr>
            <w:tcW w:w="515" w:type="pct"/>
            <w:tcBorders>
              <w:top w:val="nil"/>
              <w:bottom w:val="nil"/>
            </w:tcBorders>
            <w:vAlign w:val="center"/>
          </w:tcPr>
          <w:p w:rsidR="004D1587" w:rsidRDefault="004D1587">
            <w:pPr>
              <w:jc w:val="center"/>
              <w:rPr>
                <w:rFonts w:cs="Arial"/>
                <w:sz w:val="20"/>
                <w:szCs w:val="20"/>
              </w:rPr>
            </w:pPr>
            <w:r>
              <w:rPr>
                <w:rFonts w:cs="Arial"/>
                <w:sz w:val="20"/>
                <w:szCs w:val="20"/>
              </w:rPr>
              <w:t>9.44</w:t>
            </w:r>
          </w:p>
        </w:tc>
        <w:tc>
          <w:tcPr>
            <w:tcW w:w="587" w:type="pct"/>
            <w:tcBorders>
              <w:top w:val="nil"/>
              <w:bottom w:val="nil"/>
            </w:tcBorders>
            <w:vAlign w:val="center"/>
          </w:tcPr>
          <w:p w:rsidR="004D1587" w:rsidRDefault="004D1587">
            <w:pPr>
              <w:jc w:val="center"/>
              <w:rPr>
                <w:rFonts w:cs="Arial"/>
                <w:sz w:val="20"/>
                <w:szCs w:val="20"/>
              </w:rPr>
            </w:pPr>
            <w:r>
              <w:rPr>
                <w:rFonts w:cs="Arial"/>
                <w:sz w:val="20"/>
                <w:szCs w:val="20"/>
              </w:rPr>
              <w:t>8.87</w:t>
            </w:r>
          </w:p>
        </w:tc>
      </w:tr>
      <w:tr w:rsidR="004D1587" w:rsidRPr="00405CDE" w:rsidTr="00A226E9">
        <w:trPr>
          <w:cnfStyle w:val="000000010000" w:firstRow="0" w:lastRow="0" w:firstColumn="0" w:lastColumn="0" w:oddVBand="0" w:evenVBand="0" w:oddHBand="0" w:evenHBand="1" w:firstRowFirstColumn="0" w:firstRowLastColumn="0" w:lastRowFirstColumn="0" w:lastRowLastColumn="0"/>
          <w:trHeight w:val="325"/>
        </w:trPr>
        <w:tc>
          <w:tcPr>
            <w:tcW w:w="1152" w:type="pct"/>
            <w:tcBorders>
              <w:top w:val="nil"/>
              <w:bottom w:val="nil"/>
            </w:tcBorders>
            <w:vAlign w:val="center"/>
          </w:tcPr>
          <w:p w:rsidR="004D1587" w:rsidRDefault="004D1587">
            <w:pPr>
              <w:rPr>
                <w:rFonts w:cs="Arial"/>
                <w:szCs w:val="20"/>
              </w:rPr>
            </w:pPr>
            <w:r>
              <w:rPr>
                <w:rFonts w:cs="Arial"/>
                <w:szCs w:val="20"/>
              </w:rPr>
              <w:t>Ex ante quantity (TJ)</w:t>
            </w:r>
          </w:p>
        </w:tc>
        <w:tc>
          <w:tcPr>
            <w:tcW w:w="589" w:type="pct"/>
            <w:tcBorders>
              <w:top w:val="nil"/>
              <w:bottom w:val="nil"/>
            </w:tcBorders>
            <w:vAlign w:val="center"/>
          </w:tcPr>
          <w:p w:rsidR="004D1587" w:rsidRDefault="004D1587">
            <w:pPr>
              <w:jc w:val="center"/>
              <w:rPr>
                <w:rFonts w:cs="Arial"/>
                <w:szCs w:val="20"/>
              </w:rPr>
            </w:pPr>
            <w:r>
              <w:rPr>
                <w:rFonts w:cs="Arial"/>
                <w:szCs w:val="20"/>
              </w:rPr>
              <w:t>29</w:t>
            </w:r>
          </w:p>
        </w:tc>
        <w:tc>
          <w:tcPr>
            <w:tcW w:w="516" w:type="pct"/>
            <w:tcBorders>
              <w:top w:val="nil"/>
              <w:bottom w:val="nil"/>
            </w:tcBorders>
            <w:vAlign w:val="center"/>
          </w:tcPr>
          <w:p w:rsidR="004D1587" w:rsidRDefault="004D1587">
            <w:pPr>
              <w:jc w:val="center"/>
              <w:rPr>
                <w:rFonts w:cs="Arial"/>
                <w:szCs w:val="20"/>
              </w:rPr>
            </w:pPr>
            <w:r>
              <w:rPr>
                <w:rFonts w:cs="Arial"/>
                <w:szCs w:val="20"/>
              </w:rPr>
              <w:t>41</w:t>
            </w:r>
          </w:p>
        </w:tc>
        <w:tc>
          <w:tcPr>
            <w:tcW w:w="598" w:type="pct"/>
            <w:tcBorders>
              <w:top w:val="nil"/>
              <w:bottom w:val="nil"/>
            </w:tcBorders>
            <w:vAlign w:val="center"/>
          </w:tcPr>
          <w:p w:rsidR="004D1587" w:rsidRDefault="004D1587">
            <w:pPr>
              <w:jc w:val="center"/>
              <w:rPr>
                <w:rFonts w:cs="Arial"/>
                <w:szCs w:val="20"/>
              </w:rPr>
            </w:pPr>
            <w:r>
              <w:rPr>
                <w:rFonts w:cs="Arial"/>
                <w:szCs w:val="20"/>
              </w:rPr>
              <w:t>42</w:t>
            </w:r>
          </w:p>
        </w:tc>
        <w:tc>
          <w:tcPr>
            <w:tcW w:w="525" w:type="pct"/>
            <w:tcBorders>
              <w:top w:val="nil"/>
              <w:bottom w:val="nil"/>
            </w:tcBorders>
            <w:vAlign w:val="center"/>
          </w:tcPr>
          <w:p w:rsidR="004D1587" w:rsidRDefault="004D1587">
            <w:pPr>
              <w:jc w:val="center"/>
              <w:rPr>
                <w:rFonts w:cs="Arial"/>
                <w:szCs w:val="20"/>
              </w:rPr>
            </w:pPr>
            <w:r>
              <w:rPr>
                <w:rFonts w:cs="Arial"/>
                <w:szCs w:val="20"/>
              </w:rPr>
              <w:t>42</w:t>
            </w:r>
          </w:p>
        </w:tc>
        <w:tc>
          <w:tcPr>
            <w:tcW w:w="518" w:type="pct"/>
            <w:tcBorders>
              <w:top w:val="nil"/>
              <w:bottom w:val="nil"/>
            </w:tcBorders>
            <w:vAlign w:val="center"/>
          </w:tcPr>
          <w:p w:rsidR="004D1587" w:rsidRDefault="004D1587">
            <w:pPr>
              <w:jc w:val="center"/>
              <w:rPr>
                <w:rFonts w:cs="Arial"/>
                <w:szCs w:val="20"/>
              </w:rPr>
            </w:pPr>
            <w:r>
              <w:rPr>
                <w:rFonts w:cs="Arial"/>
                <w:szCs w:val="20"/>
              </w:rPr>
              <w:t>42</w:t>
            </w:r>
          </w:p>
        </w:tc>
        <w:tc>
          <w:tcPr>
            <w:tcW w:w="515" w:type="pct"/>
            <w:tcBorders>
              <w:top w:val="nil"/>
              <w:bottom w:val="nil"/>
            </w:tcBorders>
            <w:vAlign w:val="center"/>
          </w:tcPr>
          <w:p w:rsidR="004D1587" w:rsidRDefault="004D1587">
            <w:pPr>
              <w:jc w:val="center"/>
              <w:rPr>
                <w:rFonts w:cs="Arial"/>
                <w:szCs w:val="20"/>
              </w:rPr>
            </w:pPr>
            <w:r>
              <w:rPr>
                <w:rFonts w:cs="Arial"/>
                <w:szCs w:val="20"/>
              </w:rPr>
              <w:t>39</w:t>
            </w:r>
          </w:p>
        </w:tc>
        <w:tc>
          <w:tcPr>
            <w:tcW w:w="587" w:type="pct"/>
            <w:tcBorders>
              <w:top w:val="nil"/>
              <w:bottom w:val="nil"/>
            </w:tcBorders>
            <w:vAlign w:val="center"/>
          </w:tcPr>
          <w:p w:rsidR="004D1587" w:rsidRDefault="004D1587">
            <w:pPr>
              <w:jc w:val="center"/>
              <w:rPr>
                <w:rFonts w:cs="Arial"/>
                <w:szCs w:val="20"/>
              </w:rPr>
            </w:pPr>
            <w:r>
              <w:rPr>
                <w:rFonts w:cs="Arial"/>
                <w:szCs w:val="20"/>
              </w:rPr>
              <w:t>30</w:t>
            </w:r>
          </w:p>
        </w:tc>
      </w:tr>
      <w:tr w:rsidR="004D1587" w:rsidRPr="00405CDE" w:rsidTr="00A226E9">
        <w:trPr>
          <w:trHeight w:val="87"/>
        </w:trPr>
        <w:tc>
          <w:tcPr>
            <w:tcW w:w="1152" w:type="pct"/>
            <w:tcBorders>
              <w:top w:val="nil"/>
              <w:bottom w:val="nil"/>
            </w:tcBorders>
            <w:vAlign w:val="center"/>
          </w:tcPr>
          <w:p w:rsidR="004D1587" w:rsidRDefault="004D1587">
            <w:pPr>
              <w:rPr>
                <w:rFonts w:cs="Arial"/>
                <w:sz w:val="20"/>
                <w:szCs w:val="20"/>
              </w:rPr>
            </w:pPr>
            <w:r>
              <w:rPr>
                <w:rFonts w:cs="Arial"/>
                <w:sz w:val="20"/>
                <w:szCs w:val="20"/>
              </w:rPr>
              <w:t>Ex post price ($/GJ)</w:t>
            </w:r>
          </w:p>
        </w:tc>
        <w:tc>
          <w:tcPr>
            <w:tcW w:w="589" w:type="pct"/>
            <w:tcBorders>
              <w:top w:val="nil"/>
              <w:bottom w:val="nil"/>
            </w:tcBorders>
            <w:vAlign w:val="center"/>
          </w:tcPr>
          <w:p w:rsidR="004D1587" w:rsidRDefault="004D1587">
            <w:pPr>
              <w:jc w:val="center"/>
              <w:rPr>
                <w:rFonts w:cs="Arial"/>
                <w:sz w:val="20"/>
                <w:szCs w:val="20"/>
              </w:rPr>
            </w:pPr>
            <w:r>
              <w:rPr>
                <w:rFonts w:cs="Arial"/>
                <w:sz w:val="20"/>
                <w:szCs w:val="20"/>
              </w:rPr>
              <w:t>10.01</w:t>
            </w:r>
          </w:p>
        </w:tc>
        <w:tc>
          <w:tcPr>
            <w:tcW w:w="516" w:type="pct"/>
            <w:tcBorders>
              <w:top w:val="nil"/>
              <w:bottom w:val="nil"/>
            </w:tcBorders>
            <w:vAlign w:val="center"/>
          </w:tcPr>
          <w:p w:rsidR="004D1587" w:rsidRDefault="004D1587">
            <w:pPr>
              <w:jc w:val="center"/>
              <w:rPr>
                <w:rFonts w:cs="Arial"/>
                <w:sz w:val="20"/>
                <w:szCs w:val="20"/>
              </w:rPr>
            </w:pPr>
            <w:r>
              <w:rPr>
                <w:rFonts w:cs="Arial"/>
                <w:sz w:val="20"/>
                <w:szCs w:val="20"/>
              </w:rPr>
              <w:t>10.01</w:t>
            </w:r>
          </w:p>
        </w:tc>
        <w:tc>
          <w:tcPr>
            <w:tcW w:w="598" w:type="pct"/>
            <w:tcBorders>
              <w:top w:val="nil"/>
              <w:bottom w:val="nil"/>
            </w:tcBorders>
            <w:vAlign w:val="center"/>
          </w:tcPr>
          <w:p w:rsidR="004D1587" w:rsidRDefault="004D1587">
            <w:pPr>
              <w:jc w:val="center"/>
              <w:rPr>
                <w:rFonts w:cs="Arial"/>
                <w:sz w:val="20"/>
                <w:szCs w:val="20"/>
              </w:rPr>
            </w:pPr>
            <w:r>
              <w:rPr>
                <w:rFonts w:cs="Arial"/>
                <w:sz w:val="20"/>
                <w:szCs w:val="20"/>
              </w:rPr>
              <w:t>9.50</w:t>
            </w:r>
          </w:p>
        </w:tc>
        <w:tc>
          <w:tcPr>
            <w:tcW w:w="525" w:type="pct"/>
            <w:tcBorders>
              <w:top w:val="nil"/>
              <w:bottom w:val="nil"/>
            </w:tcBorders>
            <w:vAlign w:val="center"/>
          </w:tcPr>
          <w:p w:rsidR="004D1587" w:rsidRDefault="004D1587">
            <w:pPr>
              <w:jc w:val="center"/>
              <w:rPr>
                <w:rFonts w:cs="Arial"/>
                <w:sz w:val="20"/>
                <w:szCs w:val="20"/>
              </w:rPr>
            </w:pPr>
            <w:r>
              <w:rPr>
                <w:rFonts w:cs="Arial"/>
                <w:sz w:val="20"/>
                <w:szCs w:val="20"/>
              </w:rPr>
              <w:t>8.97</w:t>
            </w:r>
          </w:p>
        </w:tc>
        <w:tc>
          <w:tcPr>
            <w:tcW w:w="518" w:type="pct"/>
            <w:tcBorders>
              <w:top w:val="nil"/>
              <w:bottom w:val="nil"/>
            </w:tcBorders>
            <w:vAlign w:val="center"/>
          </w:tcPr>
          <w:p w:rsidR="004D1587" w:rsidRDefault="004D1587">
            <w:pPr>
              <w:jc w:val="center"/>
              <w:rPr>
                <w:rFonts w:cs="Arial"/>
                <w:sz w:val="20"/>
                <w:szCs w:val="20"/>
              </w:rPr>
            </w:pPr>
            <w:r>
              <w:rPr>
                <w:rFonts w:cs="Arial"/>
                <w:sz w:val="20"/>
                <w:szCs w:val="20"/>
              </w:rPr>
              <w:t>8.40</w:t>
            </w:r>
          </w:p>
        </w:tc>
        <w:tc>
          <w:tcPr>
            <w:tcW w:w="515" w:type="pct"/>
            <w:tcBorders>
              <w:top w:val="nil"/>
              <w:bottom w:val="nil"/>
            </w:tcBorders>
            <w:vAlign w:val="center"/>
          </w:tcPr>
          <w:p w:rsidR="004D1587" w:rsidRDefault="004D1587">
            <w:pPr>
              <w:jc w:val="center"/>
              <w:rPr>
                <w:rFonts w:cs="Arial"/>
                <w:sz w:val="20"/>
                <w:szCs w:val="20"/>
              </w:rPr>
            </w:pPr>
            <w:r>
              <w:rPr>
                <w:rFonts w:cs="Arial"/>
                <w:sz w:val="20"/>
                <w:szCs w:val="20"/>
              </w:rPr>
              <w:t>9.44</w:t>
            </w:r>
          </w:p>
        </w:tc>
        <w:tc>
          <w:tcPr>
            <w:tcW w:w="587" w:type="pct"/>
            <w:tcBorders>
              <w:top w:val="nil"/>
              <w:bottom w:val="nil"/>
            </w:tcBorders>
            <w:vAlign w:val="center"/>
          </w:tcPr>
          <w:p w:rsidR="004D1587" w:rsidRDefault="004D1587">
            <w:pPr>
              <w:jc w:val="center"/>
              <w:rPr>
                <w:rFonts w:cs="Arial"/>
                <w:sz w:val="20"/>
                <w:szCs w:val="20"/>
              </w:rPr>
            </w:pPr>
            <w:r>
              <w:rPr>
                <w:rFonts w:cs="Arial"/>
                <w:sz w:val="20"/>
                <w:szCs w:val="20"/>
              </w:rPr>
              <w:t>8.49</w:t>
            </w:r>
          </w:p>
        </w:tc>
      </w:tr>
      <w:tr w:rsidR="004D1587" w:rsidRPr="00405CDE" w:rsidTr="00A226E9">
        <w:trPr>
          <w:cnfStyle w:val="000000010000" w:firstRow="0" w:lastRow="0" w:firstColumn="0" w:lastColumn="0" w:oddVBand="0" w:evenVBand="0" w:oddHBand="0" w:evenHBand="1" w:firstRowFirstColumn="0" w:firstRowLastColumn="0" w:lastRowFirstColumn="0" w:lastRowLastColumn="0"/>
          <w:trHeight w:val="87"/>
        </w:trPr>
        <w:tc>
          <w:tcPr>
            <w:tcW w:w="1152" w:type="pct"/>
            <w:tcBorders>
              <w:top w:val="nil"/>
              <w:bottom w:val="single" w:sz="4" w:space="0" w:color="auto"/>
            </w:tcBorders>
            <w:vAlign w:val="center"/>
          </w:tcPr>
          <w:p w:rsidR="004D1587" w:rsidRDefault="004D1587">
            <w:pPr>
              <w:rPr>
                <w:rFonts w:cs="Arial"/>
                <w:szCs w:val="20"/>
              </w:rPr>
            </w:pPr>
            <w:r>
              <w:rPr>
                <w:rFonts w:cs="Arial"/>
                <w:szCs w:val="20"/>
              </w:rPr>
              <w:t>Ex post quantity (TJ)</w:t>
            </w:r>
          </w:p>
        </w:tc>
        <w:tc>
          <w:tcPr>
            <w:tcW w:w="589" w:type="pct"/>
            <w:tcBorders>
              <w:top w:val="nil"/>
              <w:bottom w:val="single" w:sz="4" w:space="0" w:color="auto"/>
            </w:tcBorders>
            <w:vAlign w:val="center"/>
          </w:tcPr>
          <w:p w:rsidR="004D1587" w:rsidRDefault="004D1587">
            <w:pPr>
              <w:jc w:val="center"/>
              <w:rPr>
                <w:rFonts w:cs="Arial"/>
                <w:szCs w:val="20"/>
              </w:rPr>
            </w:pPr>
            <w:r>
              <w:rPr>
                <w:rFonts w:cs="Arial"/>
                <w:szCs w:val="20"/>
              </w:rPr>
              <w:t>42</w:t>
            </w:r>
          </w:p>
        </w:tc>
        <w:tc>
          <w:tcPr>
            <w:tcW w:w="516" w:type="pct"/>
            <w:tcBorders>
              <w:top w:val="nil"/>
              <w:bottom w:val="single" w:sz="4" w:space="0" w:color="auto"/>
            </w:tcBorders>
            <w:vAlign w:val="center"/>
          </w:tcPr>
          <w:p w:rsidR="004D1587" w:rsidRDefault="004D1587">
            <w:pPr>
              <w:jc w:val="center"/>
              <w:rPr>
                <w:rFonts w:cs="Arial"/>
                <w:szCs w:val="20"/>
              </w:rPr>
            </w:pPr>
            <w:r>
              <w:rPr>
                <w:rFonts w:cs="Arial"/>
                <w:szCs w:val="20"/>
              </w:rPr>
              <w:t>51</w:t>
            </w:r>
          </w:p>
        </w:tc>
        <w:tc>
          <w:tcPr>
            <w:tcW w:w="598" w:type="pct"/>
            <w:tcBorders>
              <w:top w:val="nil"/>
              <w:bottom w:val="single" w:sz="4" w:space="0" w:color="auto"/>
            </w:tcBorders>
            <w:vAlign w:val="center"/>
          </w:tcPr>
          <w:p w:rsidR="004D1587" w:rsidRDefault="004D1587">
            <w:pPr>
              <w:jc w:val="center"/>
              <w:rPr>
                <w:rFonts w:cs="Arial"/>
                <w:szCs w:val="20"/>
              </w:rPr>
            </w:pPr>
            <w:r>
              <w:rPr>
                <w:rFonts w:cs="Arial"/>
                <w:szCs w:val="20"/>
              </w:rPr>
              <w:t>47</w:t>
            </w:r>
          </w:p>
        </w:tc>
        <w:tc>
          <w:tcPr>
            <w:tcW w:w="525" w:type="pct"/>
            <w:tcBorders>
              <w:top w:val="nil"/>
              <w:bottom w:val="single" w:sz="4" w:space="0" w:color="auto"/>
            </w:tcBorders>
            <w:vAlign w:val="center"/>
          </w:tcPr>
          <w:p w:rsidR="004D1587" w:rsidRDefault="004D1587">
            <w:pPr>
              <w:jc w:val="center"/>
              <w:rPr>
                <w:rFonts w:cs="Arial"/>
                <w:szCs w:val="20"/>
              </w:rPr>
            </w:pPr>
            <w:r>
              <w:rPr>
                <w:rFonts w:cs="Arial"/>
                <w:szCs w:val="20"/>
              </w:rPr>
              <w:t>44</w:t>
            </w:r>
          </w:p>
        </w:tc>
        <w:tc>
          <w:tcPr>
            <w:tcW w:w="518" w:type="pct"/>
            <w:tcBorders>
              <w:top w:val="nil"/>
              <w:bottom w:val="single" w:sz="4" w:space="0" w:color="auto"/>
            </w:tcBorders>
            <w:vAlign w:val="center"/>
          </w:tcPr>
          <w:p w:rsidR="004D1587" w:rsidRDefault="004D1587">
            <w:pPr>
              <w:jc w:val="center"/>
              <w:rPr>
                <w:rFonts w:cs="Arial"/>
                <w:szCs w:val="20"/>
              </w:rPr>
            </w:pPr>
            <w:r>
              <w:rPr>
                <w:rFonts w:cs="Arial"/>
                <w:szCs w:val="20"/>
              </w:rPr>
              <w:t>40</w:t>
            </w:r>
          </w:p>
        </w:tc>
        <w:tc>
          <w:tcPr>
            <w:tcW w:w="515" w:type="pct"/>
            <w:tcBorders>
              <w:top w:val="nil"/>
              <w:bottom w:val="single" w:sz="4" w:space="0" w:color="auto"/>
            </w:tcBorders>
            <w:vAlign w:val="center"/>
          </w:tcPr>
          <w:p w:rsidR="004D1587" w:rsidRDefault="004D1587">
            <w:pPr>
              <w:jc w:val="center"/>
              <w:rPr>
                <w:rFonts w:cs="Arial"/>
                <w:szCs w:val="20"/>
              </w:rPr>
            </w:pPr>
            <w:r>
              <w:rPr>
                <w:rFonts w:cs="Arial"/>
                <w:szCs w:val="20"/>
              </w:rPr>
              <w:t>39</w:t>
            </w:r>
          </w:p>
        </w:tc>
        <w:tc>
          <w:tcPr>
            <w:tcW w:w="587" w:type="pct"/>
            <w:tcBorders>
              <w:top w:val="nil"/>
              <w:bottom w:val="single" w:sz="4" w:space="0" w:color="auto"/>
            </w:tcBorders>
            <w:vAlign w:val="center"/>
          </w:tcPr>
          <w:p w:rsidR="004D1587" w:rsidRDefault="004D1587">
            <w:pPr>
              <w:jc w:val="center"/>
              <w:rPr>
                <w:rFonts w:cs="Arial"/>
                <w:szCs w:val="20"/>
              </w:rPr>
            </w:pPr>
            <w:r>
              <w:rPr>
                <w:rFonts w:cs="Arial"/>
                <w:szCs w:val="20"/>
              </w:rPr>
              <w:t>27</w:t>
            </w:r>
          </w:p>
        </w:tc>
      </w:tr>
    </w:tbl>
    <w:p w:rsidR="00EC2CB1" w:rsidRPr="001521CB" w:rsidRDefault="00EC2CB1" w:rsidP="00EC2CB1">
      <w:pPr>
        <w:pStyle w:val="Caption"/>
        <w:numPr>
          <w:ilvl w:val="0"/>
          <w:numId w:val="31"/>
        </w:numPr>
        <w:ind w:left="709" w:hanging="709"/>
      </w:pPr>
      <w:r w:rsidRPr="00DD0358">
        <w:rPr>
          <w:color w:val="2272A3"/>
          <w:szCs w:val="24"/>
        </w:rPr>
        <w:t>ADL daily hub offers and daily hub bids in price bands ($/GJ)</w:t>
      </w:r>
    </w:p>
    <w:p w:rsidR="00EC2CB1" w:rsidRDefault="004D1587" w:rsidP="00EC2CB1">
      <w:r w:rsidRPr="004D1587">
        <w:rPr>
          <w:noProof/>
          <w:lang w:eastAsia="en-AU"/>
        </w:rPr>
        <w:drawing>
          <wp:inline distT="0" distB="0" distL="0" distR="0" wp14:anchorId="568FDE67" wp14:editId="6853E657">
            <wp:extent cx="5731510" cy="1736473"/>
            <wp:effectExtent l="0" t="0" r="2540" b="0"/>
            <wp:docPr id="35" name="Picture 35" descr="Figure 3.2 shows the daily hub offers and bid in within certain price bands in Adelaide this week. The line indicates the scheduled quantity for each day. For a more detailed description of this figure, please refer to the user guide." title="Adelaide daily hub offers and daily hub bids in price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1736473"/>
                    </a:xfrm>
                    <a:prstGeom prst="rect">
                      <a:avLst/>
                    </a:prstGeom>
                    <a:noFill/>
                    <a:ln>
                      <a:noFill/>
                    </a:ln>
                  </pic:spPr>
                </pic:pic>
              </a:graphicData>
            </a:graphic>
          </wp:inline>
        </w:drawing>
      </w:r>
    </w:p>
    <w:p w:rsidR="00EC2CB1" w:rsidRPr="001521CB" w:rsidRDefault="00EC2CB1" w:rsidP="00EC2CB1">
      <w:pPr>
        <w:pStyle w:val="Caption"/>
        <w:numPr>
          <w:ilvl w:val="0"/>
          <w:numId w:val="31"/>
        </w:numPr>
        <w:ind w:left="709" w:hanging="709"/>
      </w:pPr>
      <w:r w:rsidRPr="00DD0358">
        <w:rPr>
          <w:color w:val="2272A3"/>
          <w:szCs w:val="24"/>
        </w:rPr>
        <w:t>ADL net scheduled and allocated gas hub supply (excluding MOS)</w:t>
      </w:r>
    </w:p>
    <w:p w:rsidR="00EC2CB1" w:rsidRDefault="00C66206" w:rsidP="00EC2CB1">
      <w:r>
        <w:rPr>
          <w:noProof/>
          <w:lang w:eastAsia="en-AU"/>
        </w:rPr>
        <w:drawing>
          <wp:inline distT="0" distB="0" distL="0" distR="0">
            <wp:extent cx="5736590" cy="1509395"/>
            <wp:effectExtent l="0" t="0" r="0" b="0"/>
            <wp:docPr id="43" name="Picture 43" descr="Figure 3.3 shows the daily scheduled and allocated quantities sorted by facility for Adelaide this week. For a more detailed description of this figure, please refer to the user guide." title="Adelaide net scheduled and allocated gas hub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6590" cy="1509395"/>
                    </a:xfrm>
                    <a:prstGeom prst="rect">
                      <a:avLst/>
                    </a:prstGeom>
                    <a:noFill/>
                    <a:ln>
                      <a:noFill/>
                    </a:ln>
                  </pic:spPr>
                </pic:pic>
              </a:graphicData>
            </a:graphic>
          </wp:inline>
        </w:drawing>
      </w:r>
    </w:p>
    <w:p w:rsidR="00EC2CB1" w:rsidRPr="001521CB" w:rsidRDefault="00EC2CB1" w:rsidP="00EC2CB1">
      <w:pPr>
        <w:pStyle w:val="Caption"/>
        <w:numPr>
          <w:ilvl w:val="0"/>
          <w:numId w:val="31"/>
        </w:numPr>
        <w:ind w:left="1418" w:hanging="1418"/>
      </w:pPr>
      <w:r w:rsidRPr="00DD0358">
        <w:rPr>
          <w:color w:val="2272A3"/>
          <w:szCs w:val="24"/>
        </w:rPr>
        <w:t>ADL MOS allocations (TJ), service payments and commodity payments/charges ($000)</w:t>
      </w:r>
    </w:p>
    <w:p w:rsidR="00EC2CB1" w:rsidRPr="00A226E9" w:rsidRDefault="004D1587" w:rsidP="00A226E9">
      <w:r w:rsidRPr="004D1587">
        <w:rPr>
          <w:noProof/>
          <w:lang w:eastAsia="en-AU"/>
        </w:rPr>
        <w:drawing>
          <wp:inline distT="0" distB="0" distL="0" distR="0" wp14:anchorId="6F050364" wp14:editId="2E600EBD">
            <wp:extent cx="5731510" cy="1805030"/>
            <wp:effectExtent l="0" t="0" r="2540" b="5080"/>
            <wp:docPr id="34" name="Picture 34" descr="Figure 3.4 shows the daily MOS allocations sorted by facility for each facility in Adelaide this week. The figure also shows the daily breakdown of costs associated with the MOS provided. For a more detailed description of this figure, please refer to the user guide." title="Adelaide MOS allocations, service payments and commodity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1805030"/>
                    </a:xfrm>
                    <a:prstGeom prst="rect">
                      <a:avLst/>
                    </a:prstGeom>
                    <a:noFill/>
                    <a:ln>
                      <a:noFill/>
                    </a:ln>
                  </pic:spPr>
                </pic:pic>
              </a:graphicData>
            </a:graphic>
          </wp:inline>
        </w:drawing>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4</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Brisbane STTM</w:t>
      </w:r>
    </w:p>
    <w:p w:rsidR="00EC2CB1" w:rsidRPr="003625A6" w:rsidRDefault="00EC2CB1" w:rsidP="00551D6B">
      <w:pPr>
        <w:jc w:val="both"/>
      </w:pPr>
      <w:r>
        <w:t>The Brisbane STTM hub functions in the same way as the Sydney STTM hub.  The same data that was presented for the Sydney hub is presented for the Brisbane hub in the figures below.</w:t>
      </w:r>
    </w:p>
    <w:p w:rsidR="004C571B" w:rsidRDefault="00EC2CB1" w:rsidP="00E16EDC">
      <w:pPr>
        <w:pStyle w:val="Caption"/>
        <w:numPr>
          <w:ilvl w:val="0"/>
          <w:numId w:val="32"/>
        </w:numPr>
        <w:ind w:left="709" w:hanging="709"/>
        <w:rPr>
          <w:color w:val="2272A3"/>
          <w:szCs w:val="24"/>
        </w:rPr>
      </w:pPr>
      <w:r>
        <w:rPr>
          <w:color w:val="2272A3"/>
          <w:szCs w:val="24"/>
        </w:rPr>
        <w:t>BRI</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4D1587" w:rsidRPr="00405CDE" w:rsidTr="00A226E9">
        <w:trPr>
          <w:trHeight w:val="510"/>
        </w:trPr>
        <w:tc>
          <w:tcPr>
            <w:tcW w:w="1152" w:type="pct"/>
            <w:tcBorders>
              <w:top w:val="nil"/>
              <w:bottom w:val="nil"/>
            </w:tcBorders>
            <w:vAlign w:val="center"/>
          </w:tcPr>
          <w:p w:rsidR="004D1587" w:rsidRDefault="004D1587">
            <w:pPr>
              <w:rPr>
                <w:rFonts w:cs="Arial"/>
                <w:sz w:val="20"/>
                <w:szCs w:val="20"/>
              </w:rPr>
            </w:pPr>
            <w:r>
              <w:rPr>
                <w:rFonts w:cs="Arial"/>
                <w:sz w:val="20"/>
                <w:szCs w:val="20"/>
              </w:rPr>
              <w:t>Ex ante price ($/GJ)</w:t>
            </w:r>
          </w:p>
        </w:tc>
        <w:tc>
          <w:tcPr>
            <w:tcW w:w="589" w:type="pct"/>
            <w:tcBorders>
              <w:top w:val="nil"/>
              <w:bottom w:val="nil"/>
            </w:tcBorders>
            <w:vAlign w:val="center"/>
          </w:tcPr>
          <w:p w:rsidR="004D1587" w:rsidRDefault="004D1587">
            <w:pPr>
              <w:jc w:val="center"/>
              <w:rPr>
                <w:rFonts w:cs="Arial"/>
                <w:sz w:val="20"/>
                <w:szCs w:val="20"/>
              </w:rPr>
            </w:pPr>
            <w:r>
              <w:rPr>
                <w:rFonts w:cs="Arial"/>
                <w:sz w:val="20"/>
                <w:szCs w:val="20"/>
              </w:rPr>
              <w:t>7.51</w:t>
            </w:r>
          </w:p>
        </w:tc>
        <w:tc>
          <w:tcPr>
            <w:tcW w:w="516" w:type="pct"/>
            <w:tcBorders>
              <w:top w:val="nil"/>
              <w:bottom w:val="nil"/>
            </w:tcBorders>
            <w:vAlign w:val="center"/>
          </w:tcPr>
          <w:p w:rsidR="004D1587" w:rsidRDefault="004D1587">
            <w:pPr>
              <w:jc w:val="center"/>
              <w:rPr>
                <w:rFonts w:cs="Arial"/>
                <w:sz w:val="20"/>
                <w:szCs w:val="20"/>
              </w:rPr>
            </w:pPr>
            <w:r>
              <w:rPr>
                <w:rFonts w:cs="Arial"/>
                <w:sz w:val="20"/>
                <w:szCs w:val="20"/>
              </w:rPr>
              <w:t>8.83</w:t>
            </w:r>
          </w:p>
        </w:tc>
        <w:tc>
          <w:tcPr>
            <w:tcW w:w="598" w:type="pct"/>
            <w:tcBorders>
              <w:top w:val="nil"/>
              <w:bottom w:val="nil"/>
            </w:tcBorders>
            <w:vAlign w:val="center"/>
          </w:tcPr>
          <w:p w:rsidR="004D1587" w:rsidRDefault="004D1587">
            <w:pPr>
              <w:jc w:val="center"/>
              <w:rPr>
                <w:rFonts w:cs="Arial"/>
                <w:sz w:val="20"/>
                <w:szCs w:val="20"/>
              </w:rPr>
            </w:pPr>
            <w:r>
              <w:rPr>
                <w:rFonts w:cs="Arial"/>
                <w:sz w:val="20"/>
                <w:szCs w:val="20"/>
              </w:rPr>
              <w:t>8.83</w:t>
            </w:r>
          </w:p>
        </w:tc>
        <w:tc>
          <w:tcPr>
            <w:tcW w:w="525" w:type="pct"/>
            <w:tcBorders>
              <w:top w:val="nil"/>
              <w:bottom w:val="nil"/>
            </w:tcBorders>
            <w:vAlign w:val="center"/>
          </w:tcPr>
          <w:p w:rsidR="004D1587" w:rsidRDefault="004D1587">
            <w:pPr>
              <w:jc w:val="center"/>
              <w:rPr>
                <w:rFonts w:cs="Arial"/>
                <w:sz w:val="20"/>
                <w:szCs w:val="20"/>
              </w:rPr>
            </w:pPr>
            <w:r>
              <w:rPr>
                <w:rFonts w:cs="Arial"/>
                <w:sz w:val="20"/>
                <w:szCs w:val="20"/>
              </w:rPr>
              <w:t>8.15</w:t>
            </w:r>
          </w:p>
        </w:tc>
        <w:tc>
          <w:tcPr>
            <w:tcW w:w="518" w:type="pct"/>
            <w:tcBorders>
              <w:top w:val="nil"/>
              <w:bottom w:val="nil"/>
            </w:tcBorders>
            <w:vAlign w:val="center"/>
          </w:tcPr>
          <w:p w:rsidR="004D1587" w:rsidRDefault="004D1587">
            <w:pPr>
              <w:jc w:val="center"/>
              <w:rPr>
                <w:rFonts w:cs="Arial"/>
                <w:sz w:val="20"/>
                <w:szCs w:val="20"/>
              </w:rPr>
            </w:pPr>
            <w:r>
              <w:rPr>
                <w:rFonts w:cs="Arial"/>
                <w:sz w:val="20"/>
                <w:szCs w:val="20"/>
              </w:rPr>
              <w:t>7.31</w:t>
            </w:r>
          </w:p>
        </w:tc>
        <w:tc>
          <w:tcPr>
            <w:tcW w:w="515" w:type="pct"/>
            <w:tcBorders>
              <w:top w:val="nil"/>
              <w:bottom w:val="nil"/>
            </w:tcBorders>
            <w:vAlign w:val="center"/>
          </w:tcPr>
          <w:p w:rsidR="004D1587" w:rsidRDefault="004D1587">
            <w:pPr>
              <w:jc w:val="center"/>
              <w:rPr>
                <w:rFonts w:cs="Arial"/>
                <w:sz w:val="20"/>
                <w:szCs w:val="20"/>
              </w:rPr>
            </w:pPr>
            <w:r>
              <w:rPr>
                <w:rFonts w:cs="Arial"/>
                <w:sz w:val="20"/>
                <w:szCs w:val="20"/>
              </w:rPr>
              <w:t>7.75</w:t>
            </w:r>
          </w:p>
        </w:tc>
        <w:tc>
          <w:tcPr>
            <w:tcW w:w="587" w:type="pct"/>
            <w:tcBorders>
              <w:top w:val="nil"/>
              <w:bottom w:val="nil"/>
            </w:tcBorders>
            <w:vAlign w:val="center"/>
          </w:tcPr>
          <w:p w:rsidR="004D1587" w:rsidRDefault="004D1587">
            <w:pPr>
              <w:jc w:val="center"/>
              <w:rPr>
                <w:rFonts w:cs="Arial"/>
                <w:sz w:val="20"/>
                <w:szCs w:val="20"/>
              </w:rPr>
            </w:pPr>
            <w:r>
              <w:rPr>
                <w:rFonts w:cs="Arial"/>
                <w:sz w:val="20"/>
                <w:szCs w:val="20"/>
              </w:rPr>
              <w:t>7.53</w:t>
            </w:r>
          </w:p>
        </w:tc>
      </w:tr>
      <w:tr w:rsidR="004D1587"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nil"/>
            </w:tcBorders>
            <w:vAlign w:val="center"/>
          </w:tcPr>
          <w:p w:rsidR="004D1587" w:rsidRDefault="004D1587">
            <w:pPr>
              <w:rPr>
                <w:rFonts w:cs="Arial"/>
                <w:szCs w:val="20"/>
              </w:rPr>
            </w:pPr>
            <w:r>
              <w:rPr>
                <w:rFonts w:cs="Arial"/>
                <w:szCs w:val="20"/>
              </w:rPr>
              <w:t>Ex ante quantity (TJ)</w:t>
            </w:r>
          </w:p>
        </w:tc>
        <w:tc>
          <w:tcPr>
            <w:tcW w:w="589" w:type="pct"/>
            <w:tcBorders>
              <w:top w:val="nil"/>
              <w:bottom w:val="nil"/>
            </w:tcBorders>
            <w:vAlign w:val="center"/>
          </w:tcPr>
          <w:p w:rsidR="004D1587" w:rsidRDefault="004D1587">
            <w:pPr>
              <w:jc w:val="center"/>
              <w:rPr>
                <w:rFonts w:cs="Arial"/>
                <w:szCs w:val="20"/>
              </w:rPr>
            </w:pPr>
            <w:r>
              <w:rPr>
                <w:rFonts w:cs="Arial"/>
                <w:szCs w:val="20"/>
              </w:rPr>
              <w:t>69</w:t>
            </w:r>
          </w:p>
        </w:tc>
        <w:tc>
          <w:tcPr>
            <w:tcW w:w="516" w:type="pct"/>
            <w:tcBorders>
              <w:top w:val="nil"/>
              <w:bottom w:val="nil"/>
            </w:tcBorders>
            <w:vAlign w:val="center"/>
          </w:tcPr>
          <w:p w:rsidR="004D1587" w:rsidRDefault="004D1587">
            <w:pPr>
              <w:jc w:val="center"/>
              <w:rPr>
                <w:rFonts w:cs="Arial"/>
                <w:szCs w:val="20"/>
              </w:rPr>
            </w:pPr>
            <w:r>
              <w:rPr>
                <w:rFonts w:cs="Arial"/>
                <w:szCs w:val="20"/>
              </w:rPr>
              <w:t>86</w:t>
            </w:r>
          </w:p>
        </w:tc>
        <w:tc>
          <w:tcPr>
            <w:tcW w:w="598" w:type="pct"/>
            <w:tcBorders>
              <w:top w:val="nil"/>
              <w:bottom w:val="nil"/>
            </w:tcBorders>
            <w:vAlign w:val="center"/>
          </w:tcPr>
          <w:p w:rsidR="004D1587" w:rsidRDefault="004D1587">
            <w:pPr>
              <w:jc w:val="center"/>
              <w:rPr>
                <w:rFonts w:cs="Arial"/>
                <w:szCs w:val="20"/>
              </w:rPr>
            </w:pPr>
            <w:r>
              <w:rPr>
                <w:rFonts w:cs="Arial"/>
                <w:szCs w:val="20"/>
              </w:rPr>
              <w:t>86</w:t>
            </w:r>
          </w:p>
        </w:tc>
        <w:tc>
          <w:tcPr>
            <w:tcW w:w="525" w:type="pct"/>
            <w:tcBorders>
              <w:top w:val="nil"/>
              <w:bottom w:val="nil"/>
            </w:tcBorders>
            <w:vAlign w:val="center"/>
          </w:tcPr>
          <w:p w:rsidR="004D1587" w:rsidRDefault="004D1587">
            <w:pPr>
              <w:jc w:val="center"/>
              <w:rPr>
                <w:rFonts w:cs="Arial"/>
                <w:szCs w:val="20"/>
              </w:rPr>
            </w:pPr>
            <w:r>
              <w:rPr>
                <w:rFonts w:cs="Arial"/>
                <w:szCs w:val="20"/>
              </w:rPr>
              <w:t>86</w:t>
            </w:r>
          </w:p>
        </w:tc>
        <w:tc>
          <w:tcPr>
            <w:tcW w:w="518" w:type="pct"/>
            <w:tcBorders>
              <w:top w:val="nil"/>
              <w:bottom w:val="nil"/>
            </w:tcBorders>
            <w:vAlign w:val="center"/>
          </w:tcPr>
          <w:p w:rsidR="004D1587" w:rsidRDefault="004D1587">
            <w:pPr>
              <w:jc w:val="center"/>
              <w:rPr>
                <w:rFonts w:cs="Arial"/>
                <w:szCs w:val="20"/>
              </w:rPr>
            </w:pPr>
            <w:r>
              <w:rPr>
                <w:rFonts w:cs="Arial"/>
                <w:szCs w:val="20"/>
              </w:rPr>
              <w:t>86</w:t>
            </w:r>
          </w:p>
        </w:tc>
        <w:tc>
          <w:tcPr>
            <w:tcW w:w="515" w:type="pct"/>
            <w:tcBorders>
              <w:top w:val="nil"/>
              <w:bottom w:val="nil"/>
            </w:tcBorders>
            <w:vAlign w:val="center"/>
          </w:tcPr>
          <w:p w:rsidR="004D1587" w:rsidRDefault="004D1587">
            <w:pPr>
              <w:jc w:val="center"/>
              <w:rPr>
                <w:rFonts w:cs="Arial"/>
                <w:szCs w:val="20"/>
              </w:rPr>
            </w:pPr>
            <w:r>
              <w:rPr>
                <w:rFonts w:cs="Arial"/>
                <w:szCs w:val="20"/>
              </w:rPr>
              <w:t>78</w:t>
            </w:r>
          </w:p>
        </w:tc>
        <w:tc>
          <w:tcPr>
            <w:tcW w:w="587" w:type="pct"/>
            <w:tcBorders>
              <w:top w:val="nil"/>
              <w:bottom w:val="nil"/>
            </w:tcBorders>
            <w:vAlign w:val="center"/>
          </w:tcPr>
          <w:p w:rsidR="004D1587" w:rsidRDefault="004D1587">
            <w:pPr>
              <w:jc w:val="center"/>
              <w:rPr>
                <w:rFonts w:cs="Arial"/>
                <w:szCs w:val="20"/>
              </w:rPr>
            </w:pPr>
            <w:r>
              <w:rPr>
                <w:rFonts w:cs="Arial"/>
                <w:szCs w:val="20"/>
              </w:rPr>
              <w:t>67</w:t>
            </w:r>
          </w:p>
        </w:tc>
      </w:tr>
      <w:tr w:rsidR="004D1587" w:rsidRPr="00405CDE" w:rsidTr="00A226E9">
        <w:trPr>
          <w:trHeight w:val="510"/>
        </w:trPr>
        <w:tc>
          <w:tcPr>
            <w:tcW w:w="1152" w:type="pct"/>
            <w:tcBorders>
              <w:top w:val="nil"/>
              <w:bottom w:val="nil"/>
            </w:tcBorders>
            <w:vAlign w:val="center"/>
          </w:tcPr>
          <w:p w:rsidR="004D1587" w:rsidRDefault="004D1587">
            <w:pPr>
              <w:rPr>
                <w:rFonts w:cs="Arial"/>
                <w:sz w:val="20"/>
                <w:szCs w:val="20"/>
              </w:rPr>
            </w:pPr>
            <w:r>
              <w:rPr>
                <w:rFonts w:cs="Arial"/>
                <w:sz w:val="20"/>
                <w:szCs w:val="20"/>
              </w:rPr>
              <w:t>Ex post price ($/GJ)</w:t>
            </w:r>
          </w:p>
        </w:tc>
        <w:tc>
          <w:tcPr>
            <w:tcW w:w="589" w:type="pct"/>
            <w:tcBorders>
              <w:top w:val="nil"/>
              <w:bottom w:val="nil"/>
            </w:tcBorders>
            <w:vAlign w:val="center"/>
          </w:tcPr>
          <w:p w:rsidR="004D1587" w:rsidRDefault="004D1587">
            <w:pPr>
              <w:jc w:val="center"/>
              <w:rPr>
                <w:rFonts w:cs="Arial"/>
                <w:sz w:val="20"/>
                <w:szCs w:val="20"/>
              </w:rPr>
            </w:pPr>
            <w:r>
              <w:rPr>
                <w:rFonts w:cs="Arial"/>
                <w:sz w:val="20"/>
                <w:szCs w:val="20"/>
              </w:rPr>
              <w:t>7.50</w:t>
            </w:r>
          </w:p>
        </w:tc>
        <w:tc>
          <w:tcPr>
            <w:tcW w:w="516" w:type="pct"/>
            <w:tcBorders>
              <w:top w:val="nil"/>
              <w:bottom w:val="nil"/>
            </w:tcBorders>
            <w:vAlign w:val="center"/>
          </w:tcPr>
          <w:p w:rsidR="004D1587" w:rsidRDefault="004D1587">
            <w:pPr>
              <w:jc w:val="center"/>
              <w:rPr>
                <w:rFonts w:cs="Arial"/>
                <w:sz w:val="20"/>
                <w:szCs w:val="20"/>
              </w:rPr>
            </w:pPr>
            <w:r>
              <w:rPr>
                <w:rFonts w:cs="Arial"/>
                <w:sz w:val="20"/>
                <w:szCs w:val="20"/>
              </w:rPr>
              <w:t>7.30</w:t>
            </w:r>
          </w:p>
        </w:tc>
        <w:tc>
          <w:tcPr>
            <w:tcW w:w="598" w:type="pct"/>
            <w:tcBorders>
              <w:top w:val="nil"/>
              <w:bottom w:val="nil"/>
            </w:tcBorders>
            <w:vAlign w:val="center"/>
          </w:tcPr>
          <w:p w:rsidR="004D1587" w:rsidRDefault="004D1587">
            <w:pPr>
              <w:jc w:val="center"/>
              <w:rPr>
                <w:rFonts w:cs="Arial"/>
                <w:sz w:val="20"/>
                <w:szCs w:val="20"/>
              </w:rPr>
            </w:pPr>
            <w:r>
              <w:rPr>
                <w:rFonts w:cs="Arial"/>
                <w:sz w:val="20"/>
                <w:szCs w:val="20"/>
              </w:rPr>
              <w:t>8.09</w:t>
            </w:r>
          </w:p>
        </w:tc>
        <w:tc>
          <w:tcPr>
            <w:tcW w:w="525" w:type="pct"/>
            <w:tcBorders>
              <w:top w:val="nil"/>
              <w:bottom w:val="nil"/>
            </w:tcBorders>
            <w:vAlign w:val="center"/>
          </w:tcPr>
          <w:p w:rsidR="004D1587" w:rsidRDefault="004D1587">
            <w:pPr>
              <w:jc w:val="center"/>
              <w:rPr>
                <w:rFonts w:cs="Arial"/>
                <w:sz w:val="20"/>
                <w:szCs w:val="20"/>
              </w:rPr>
            </w:pPr>
            <w:r>
              <w:rPr>
                <w:rFonts w:cs="Arial"/>
                <w:sz w:val="20"/>
                <w:szCs w:val="20"/>
              </w:rPr>
              <w:t>7.71</w:t>
            </w:r>
          </w:p>
        </w:tc>
        <w:tc>
          <w:tcPr>
            <w:tcW w:w="518" w:type="pct"/>
            <w:tcBorders>
              <w:top w:val="nil"/>
              <w:bottom w:val="nil"/>
            </w:tcBorders>
            <w:vAlign w:val="center"/>
          </w:tcPr>
          <w:p w:rsidR="004D1587" w:rsidRDefault="004D1587">
            <w:pPr>
              <w:jc w:val="center"/>
              <w:rPr>
                <w:rFonts w:cs="Arial"/>
                <w:sz w:val="20"/>
                <w:szCs w:val="20"/>
              </w:rPr>
            </w:pPr>
            <w:r>
              <w:rPr>
                <w:rFonts w:cs="Arial"/>
                <w:sz w:val="20"/>
                <w:szCs w:val="20"/>
              </w:rPr>
              <w:t>7.28</w:t>
            </w:r>
          </w:p>
        </w:tc>
        <w:tc>
          <w:tcPr>
            <w:tcW w:w="515" w:type="pct"/>
            <w:tcBorders>
              <w:top w:val="nil"/>
              <w:bottom w:val="nil"/>
            </w:tcBorders>
            <w:vAlign w:val="center"/>
          </w:tcPr>
          <w:p w:rsidR="004D1587" w:rsidRDefault="004D1587">
            <w:pPr>
              <w:jc w:val="center"/>
              <w:rPr>
                <w:rFonts w:cs="Arial"/>
                <w:sz w:val="20"/>
                <w:szCs w:val="20"/>
              </w:rPr>
            </w:pPr>
            <w:r>
              <w:rPr>
                <w:rFonts w:cs="Arial"/>
                <w:sz w:val="20"/>
                <w:szCs w:val="20"/>
              </w:rPr>
              <w:t>7.75</w:t>
            </w:r>
          </w:p>
        </w:tc>
        <w:tc>
          <w:tcPr>
            <w:tcW w:w="587" w:type="pct"/>
            <w:tcBorders>
              <w:top w:val="nil"/>
              <w:bottom w:val="nil"/>
            </w:tcBorders>
            <w:vAlign w:val="center"/>
          </w:tcPr>
          <w:p w:rsidR="004D1587" w:rsidRDefault="004D1587">
            <w:pPr>
              <w:jc w:val="center"/>
              <w:rPr>
                <w:rFonts w:cs="Arial"/>
                <w:sz w:val="20"/>
                <w:szCs w:val="20"/>
              </w:rPr>
            </w:pPr>
            <w:r>
              <w:rPr>
                <w:rFonts w:cs="Arial"/>
                <w:sz w:val="20"/>
                <w:szCs w:val="20"/>
              </w:rPr>
              <w:t>7.55</w:t>
            </w:r>
          </w:p>
        </w:tc>
      </w:tr>
      <w:tr w:rsidR="004D1587"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single" w:sz="4" w:space="0" w:color="auto"/>
            </w:tcBorders>
            <w:vAlign w:val="center"/>
          </w:tcPr>
          <w:p w:rsidR="004D1587" w:rsidRDefault="004D1587">
            <w:pPr>
              <w:rPr>
                <w:rFonts w:cs="Arial"/>
                <w:szCs w:val="20"/>
              </w:rPr>
            </w:pPr>
            <w:r>
              <w:rPr>
                <w:rFonts w:cs="Arial"/>
                <w:szCs w:val="20"/>
              </w:rPr>
              <w:t>Ex post quantity (TJ)</w:t>
            </w:r>
          </w:p>
        </w:tc>
        <w:tc>
          <w:tcPr>
            <w:tcW w:w="589" w:type="pct"/>
            <w:tcBorders>
              <w:top w:val="nil"/>
              <w:bottom w:val="single" w:sz="4" w:space="0" w:color="auto"/>
            </w:tcBorders>
            <w:vAlign w:val="center"/>
          </w:tcPr>
          <w:p w:rsidR="004D1587" w:rsidRDefault="004D1587">
            <w:pPr>
              <w:jc w:val="center"/>
              <w:rPr>
                <w:rFonts w:cs="Arial"/>
                <w:szCs w:val="20"/>
              </w:rPr>
            </w:pPr>
            <w:r>
              <w:rPr>
                <w:rFonts w:cs="Arial"/>
                <w:szCs w:val="20"/>
              </w:rPr>
              <w:t>66</w:t>
            </w:r>
          </w:p>
        </w:tc>
        <w:tc>
          <w:tcPr>
            <w:tcW w:w="516" w:type="pct"/>
            <w:tcBorders>
              <w:top w:val="nil"/>
              <w:bottom w:val="single" w:sz="4" w:space="0" w:color="auto"/>
            </w:tcBorders>
            <w:vAlign w:val="center"/>
          </w:tcPr>
          <w:p w:rsidR="004D1587" w:rsidRDefault="004D1587">
            <w:pPr>
              <w:jc w:val="center"/>
              <w:rPr>
                <w:rFonts w:cs="Arial"/>
                <w:szCs w:val="20"/>
              </w:rPr>
            </w:pPr>
            <w:r>
              <w:rPr>
                <w:rFonts w:cs="Arial"/>
                <w:szCs w:val="20"/>
              </w:rPr>
              <w:t>79</w:t>
            </w:r>
          </w:p>
        </w:tc>
        <w:tc>
          <w:tcPr>
            <w:tcW w:w="598" w:type="pct"/>
            <w:tcBorders>
              <w:top w:val="nil"/>
              <w:bottom w:val="single" w:sz="4" w:space="0" w:color="auto"/>
            </w:tcBorders>
            <w:vAlign w:val="center"/>
          </w:tcPr>
          <w:p w:rsidR="004D1587" w:rsidRDefault="004D1587">
            <w:pPr>
              <w:jc w:val="center"/>
              <w:rPr>
                <w:rFonts w:cs="Arial"/>
                <w:szCs w:val="20"/>
              </w:rPr>
            </w:pPr>
            <w:r>
              <w:rPr>
                <w:rFonts w:cs="Arial"/>
                <w:szCs w:val="20"/>
              </w:rPr>
              <w:t>79</w:t>
            </w:r>
          </w:p>
        </w:tc>
        <w:tc>
          <w:tcPr>
            <w:tcW w:w="525" w:type="pct"/>
            <w:tcBorders>
              <w:top w:val="nil"/>
              <w:bottom w:val="single" w:sz="4" w:space="0" w:color="auto"/>
            </w:tcBorders>
            <w:vAlign w:val="center"/>
          </w:tcPr>
          <w:p w:rsidR="004D1587" w:rsidRDefault="004D1587">
            <w:pPr>
              <w:jc w:val="center"/>
              <w:rPr>
                <w:rFonts w:cs="Arial"/>
                <w:szCs w:val="20"/>
              </w:rPr>
            </w:pPr>
            <w:r>
              <w:rPr>
                <w:rFonts w:cs="Arial"/>
                <w:szCs w:val="20"/>
              </w:rPr>
              <w:t>82</w:t>
            </w:r>
          </w:p>
        </w:tc>
        <w:tc>
          <w:tcPr>
            <w:tcW w:w="518" w:type="pct"/>
            <w:tcBorders>
              <w:top w:val="nil"/>
              <w:bottom w:val="single" w:sz="4" w:space="0" w:color="auto"/>
            </w:tcBorders>
            <w:vAlign w:val="center"/>
          </w:tcPr>
          <w:p w:rsidR="004D1587" w:rsidRDefault="004D1587">
            <w:pPr>
              <w:jc w:val="center"/>
              <w:rPr>
                <w:rFonts w:cs="Arial"/>
                <w:szCs w:val="20"/>
              </w:rPr>
            </w:pPr>
            <w:r>
              <w:rPr>
                <w:rFonts w:cs="Arial"/>
                <w:szCs w:val="20"/>
              </w:rPr>
              <w:t>82</w:t>
            </w:r>
          </w:p>
        </w:tc>
        <w:tc>
          <w:tcPr>
            <w:tcW w:w="515" w:type="pct"/>
            <w:tcBorders>
              <w:top w:val="nil"/>
              <w:bottom w:val="single" w:sz="4" w:space="0" w:color="auto"/>
            </w:tcBorders>
            <w:vAlign w:val="center"/>
          </w:tcPr>
          <w:p w:rsidR="004D1587" w:rsidRDefault="004D1587">
            <w:pPr>
              <w:jc w:val="center"/>
              <w:rPr>
                <w:rFonts w:cs="Arial"/>
                <w:szCs w:val="20"/>
              </w:rPr>
            </w:pPr>
            <w:r>
              <w:rPr>
                <w:rFonts w:cs="Arial"/>
                <w:szCs w:val="20"/>
              </w:rPr>
              <w:t>78</w:t>
            </w:r>
          </w:p>
        </w:tc>
        <w:tc>
          <w:tcPr>
            <w:tcW w:w="587" w:type="pct"/>
            <w:tcBorders>
              <w:top w:val="nil"/>
              <w:bottom w:val="single" w:sz="4" w:space="0" w:color="auto"/>
            </w:tcBorders>
            <w:vAlign w:val="center"/>
          </w:tcPr>
          <w:p w:rsidR="004D1587" w:rsidRDefault="004D1587">
            <w:pPr>
              <w:jc w:val="center"/>
              <w:rPr>
                <w:rFonts w:cs="Arial"/>
                <w:szCs w:val="20"/>
              </w:rPr>
            </w:pPr>
            <w:r>
              <w:rPr>
                <w:rFonts w:cs="Arial"/>
                <w:szCs w:val="20"/>
              </w:rPr>
              <w:t>71</w:t>
            </w:r>
          </w:p>
        </w:tc>
      </w:tr>
    </w:tbl>
    <w:p w:rsidR="004C571B" w:rsidRDefault="00EC2CB1" w:rsidP="00E16EDC">
      <w:pPr>
        <w:pStyle w:val="Caption"/>
        <w:numPr>
          <w:ilvl w:val="0"/>
          <w:numId w:val="32"/>
        </w:numPr>
        <w:ind w:left="709" w:hanging="709"/>
        <w:rPr>
          <w:color w:val="2272A3"/>
          <w:szCs w:val="24"/>
        </w:rPr>
      </w:pPr>
      <w:r w:rsidRPr="00DD0358">
        <w:rPr>
          <w:color w:val="2272A3"/>
          <w:szCs w:val="24"/>
        </w:rPr>
        <w:t>BRI daily hub offers and daily hub bids in price bands ($/GJ)</w:t>
      </w:r>
    </w:p>
    <w:p w:rsidR="00EC2CB1" w:rsidRPr="00EC2CB1" w:rsidRDefault="004D1587" w:rsidP="00EC2CB1">
      <w:r w:rsidRPr="004D1587">
        <w:rPr>
          <w:noProof/>
          <w:lang w:eastAsia="en-AU"/>
        </w:rPr>
        <w:drawing>
          <wp:inline distT="0" distB="0" distL="0" distR="0" wp14:anchorId="09F7BEF1" wp14:editId="0064EAF6">
            <wp:extent cx="5731510" cy="1728881"/>
            <wp:effectExtent l="0" t="0" r="2540" b="0"/>
            <wp:docPr id="38" name="Picture 38" descr="Figure 4.2 shows the daily hub offers and bid in within certain price bands in Brisbane this week. The line indicates the scheduled quantity for each day. For a more detailed description of this figure, please refer to the user guide." title="Brisbane daily hub offers and bids in price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1728881"/>
                    </a:xfrm>
                    <a:prstGeom prst="rect">
                      <a:avLst/>
                    </a:prstGeom>
                    <a:noFill/>
                    <a:ln>
                      <a:noFill/>
                    </a:ln>
                  </pic:spPr>
                </pic:pic>
              </a:graphicData>
            </a:graphic>
          </wp:inline>
        </w:drawing>
      </w:r>
    </w:p>
    <w:p w:rsidR="00EC2CB1" w:rsidRDefault="00EC2CB1" w:rsidP="00EC2CB1">
      <w:pPr>
        <w:pStyle w:val="Caption"/>
        <w:numPr>
          <w:ilvl w:val="0"/>
          <w:numId w:val="32"/>
        </w:numPr>
        <w:ind w:left="709" w:hanging="709"/>
        <w:rPr>
          <w:color w:val="2272A3"/>
          <w:szCs w:val="24"/>
        </w:rPr>
      </w:pPr>
      <w:r w:rsidRPr="00DD0358">
        <w:rPr>
          <w:color w:val="2272A3"/>
          <w:szCs w:val="24"/>
        </w:rPr>
        <w:t>BRI net scheduled and allocated gas hub supply (excluding MOS)</w:t>
      </w:r>
    </w:p>
    <w:p w:rsidR="00EC2CB1" w:rsidRPr="00EC2CB1" w:rsidRDefault="004D1587" w:rsidP="00EC2CB1">
      <w:r w:rsidRPr="004D1587">
        <w:rPr>
          <w:noProof/>
          <w:lang w:eastAsia="en-AU"/>
        </w:rPr>
        <w:drawing>
          <wp:inline distT="0" distB="0" distL="0" distR="0" wp14:anchorId="1DE91EAE" wp14:editId="134ABD79">
            <wp:extent cx="5731510" cy="1475789"/>
            <wp:effectExtent l="0" t="0" r="2540" b="0"/>
            <wp:docPr id="39" name="Picture 39" descr="Figure 4.3 shows the daily scheduled and allocated quantities sorted by facility for Brisbane this week. For a more detailed description of this figure, please refer to the user guide." title="Brisbane net scheduled and allocated gas hub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475789"/>
                    </a:xfrm>
                    <a:prstGeom prst="rect">
                      <a:avLst/>
                    </a:prstGeom>
                    <a:noFill/>
                    <a:ln>
                      <a:noFill/>
                    </a:ln>
                  </pic:spPr>
                </pic:pic>
              </a:graphicData>
            </a:graphic>
          </wp:inline>
        </w:drawing>
      </w:r>
    </w:p>
    <w:p w:rsidR="00EC2CB1" w:rsidRPr="001521CB" w:rsidRDefault="00EC2CB1" w:rsidP="00551D6B">
      <w:pPr>
        <w:pStyle w:val="Caption"/>
        <w:numPr>
          <w:ilvl w:val="0"/>
          <w:numId w:val="32"/>
        </w:numPr>
        <w:ind w:left="1418" w:hanging="1418"/>
      </w:pPr>
      <w:r w:rsidRPr="00DD0358">
        <w:rPr>
          <w:color w:val="2272A3"/>
          <w:szCs w:val="24"/>
        </w:rPr>
        <w:t>BRI MOS allocations (TJ), service payments and commodity payments/charges ($000)</w:t>
      </w:r>
    </w:p>
    <w:p w:rsidR="00551D6B" w:rsidRPr="00A226E9" w:rsidRDefault="004D1587" w:rsidP="00A226E9">
      <w:r w:rsidRPr="004D1587">
        <w:rPr>
          <w:noProof/>
          <w:lang w:eastAsia="en-AU"/>
        </w:rPr>
        <w:drawing>
          <wp:inline distT="0" distB="0" distL="0" distR="0" wp14:anchorId="4FC5A2EA" wp14:editId="6C07C212">
            <wp:extent cx="5731510" cy="1882673"/>
            <wp:effectExtent l="0" t="0" r="2540" b="3810"/>
            <wp:docPr id="40" name="Picture 40" descr="Figure 4.4 shows the daily MOS allocations sorted by facility for each facility in Brisbane this week. The figure also shows the daily breakdown of costs associated with the MOS provided. For a more detailed description of this figure, please refer to the user guide." title="Brisbane MOS allocations, service payments and commodity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882673"/>
                    </a:xfrm>
                    <a:prstGeom prst="rect">
                      <a:avLst/>
                    </a:prstGeom>
                    <a:noFill/>
                    <a:ln>
                      <a:noFill/>
                    </a:ln>
                  </pic:spPr>
                </pic:pic>
              </a:graphicData>
            </a:graphic>
          </wp:inline>
        </w:drawing>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5</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National Gas Bulletin Board</w:t>
      </w:r>
    </w:p>
    <w:p w:rsidR="00596DE3" w:rsidRDefault="00596DE3" w:rsidP="00596DE3">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9"/>
      </w:r>
      <w:r>
        <w:t xml:space="preserve"> from </w:t>
      </w:r>
      <w:r w:rsidRPr="00A475A2">
        <w:t xml:space="preserve">the Bulletin Board (changes from the </w:t>
      </w:r>
      <w:r>
        <w:t>previous week’s</w:t>
      </w:r>
      <w:r w:rsidRPr="00A475A2">
        <w:t xml:space="preserve"> average are shown in brackets).</w:t>
      </w:r>
      <w:r w:rsidRPr="00DF25FF">
        <w:t xml:space="preserve"> </w:t>
      </w:r>
      <w:r>
        <w:t>Average daily prices</w:t>
      </w:r>
      <w:r>
        <w:rPr>
          <w:rStyle w:val="FootnoteReference"/>
        </w:rPr>
        <w:footnoteReference w:id="10"/>
      </w:r>
      <w:r>
        <w:t xml:space="preserve"> are provided for gas markets and gas supply hubs. Average daily quantities are provided for gas powered generation for each region.</w:t>
      </w:r>
    </w:p>
    <w:p w:rsidR="00596DE3" w:rsidRDefault="00596DE3" w:rsidP="00596DE3">
      <w:pPr>
        <w:pStyle w:val="Caption"/>
        <w:numPr>
          <w:ilvl w:val="0"/>
          <w:numId w:val="33"/>
        </w:numPr>
        <w:ind w:left="1418" w:hanging="1418"/>
        <w:rPr>
          <w:color w:val="2272A3"/>
          <w:szCs w:val="24"/>
        </w:rPr>
      </w:pPr>
      <w:r w:rsidRPr="00DD0358">
        <w:rPr>
          <w:color w:val="2272A3"/>
          <w:szCs w:val="24"/>
        </w:rPr>
        <w:t xml:space="preserve">Gas market data ($/GJ, TJ); </w:t>
      </w:r>
      <w:r>
        <w:rPr>
          <w:color w:val="2272A3"/>
          <w:szCs w:val="24"/>
        </w:rPr>
        <w:t>Bulletin Board</w:t>
      </w:r>
      <w:r w:rsidRPr="00DD0358">
        <w:rPr>
          <w:color w:val="2272A3"/>
          <w:szCs w:val="24"/>
        </w:rPr>
        <w:t xml:space="preserve"> flows (TJ)</w:t>
      </w:r>
      <w:r>
        <w:rPr>
          <w:rStyle w:val="FootnoteReference"/>
          <w:color w:val="2272A3"/>
          <w:szCs w:val="24"/>
        </w:rPr>
        <w:footnoteReference w:id="11"/>
      </w:r>
    </w:p>
    <w:p w:rsidR="000C67DD" w:rsidRPr="000C67DD" w:rsidRDefault="00A8665E">
      <w:pPr>
        <w:spacing w:line="240" w:lineRule="auto"/>
      </w:pPr>
      <w:r w:rsidRPr="00A8665E">
        <w:rPr>
          <w:noProof/>
          <w:lang w:eastAsia="en-AU"/>
        </w:rPr>
        <w:drawing>
          <wp:inline distT="0" distB="0" distL="0" distR="0" wp14:anchorId="63AD4778" wp14:editId="099BB019">
            <wp:extent cx="5731510" cy="6263162"/>
            <wp:effectExtent l="0" t="0" r="2540" b="4445"/>
            <wp:docPr id="5" name="Picture 5" descr="Figure 5.1 shows the average daily Bulletin Board flows for this week compared to the previous week. It includes price data for gas markets across the east coast of Australia and gas powered generation usage estimates for each state.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6263162"/>
                    </a:xfrm>
                    <a:prstGeom prst="rect">
                      <a:avLst/>
                    </a:prstGeom>
                    <a:noFill/>
                    <a:ln>
                      <a:noFill/>
                    </a:ln>
                  </pic:spPr>
                </pic:pic>
              </a:graphicData>
            </a:graphic>
          </wp:inline>
        </w:drawing>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6</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Gas Supply Hub</w:t>
      </w:r>
    </w:p>
    <w:p w:rsidR="00596DE3" w:rsidRDefault="00596DE3" w:rsidP="00596DE3">
      <w:pPr>
        <w:jc w:val="both"/>
        <w:rPr>
          <w:color w:val="FF0000"/>
        </w:rPr>
      </w:pPr>
      <w:r w:rsidRPr="00DD0DBA">
        <w:t xml:space="preserve">The gas supply hub was established at Wallumbilla in March 2014 to facilitate the voluntary trading of gas between participants, with products listed for sale and purchase at delivery points on three major connecting pipelines at Wallumbilla – the </w:t>
      </w:r>
      <w:r w:rsidRPr="00DD0DBA">
        <w:rPr>
          <w:b/>
        </w:rPr>
        <w:t>QGP</w:t>
      </w:r>
      <w:r w:rsidRPr="00DD0DBA">
        <w:t xml:space="preserve">, the </w:t>
      </w:r>
      <w:r w:rsidRPr="00DD0DBA">
        <w:rPr>
          <w:b/>
        </w:rPr>
        <w:t>SWQP</w:t>
      </w:r>
      <w:r w:rsidRPr="00DD0DBA">
        <w:t xml:space="preserve"> and the </w:t>
      </w:r>
      <w:r w:rsidRPr="00DD0DBA">
        <w:rPr>
          <w:b/>
        </w:rPr>
        <w:t>RBP</w:t>
      </w:r>
      <w:r w:rsidRPr="00DD0DBA">
        <w:t xml:space="preserve">. </w:t>
      </w:r>
      <w:r w:rsidRPr="00552F68">
        <w:t>There are separate products for each pipeline (</w:t>
      </w:r>
      <w:r>
        <w:t>trading location</w:t>
      </w:r>
      <w:r w:rsidRPr="00552F68">
        <w:t>) and delivery period (daily, day-ahead, balance-of-day, weekly and monthly products).</w:t>
      </w:r>
      <w:r>
        <w:rPr>
          <w:rStyle w:val="FootnoteReference"/>
        </w:rPr>
        <w:footnoteReference w:id="12"/>
      </w:r>
      <w:r w:rsidRPr="00552F68">
        <w:rPr>
          <w:color w:val="FF0000"/>
        </w:rPr>
        <w:t xml:space="preserve"> </w:t>
      </w:r>
    </w:p>
    <w:p w:rsidR="00F435DF" w:rsidRPr="00D02A86" w:rsidRDefault="00596DE3" w:rsidP="00C06533">
      <w:pPr>
        <w:jc w:val="both"/>
      </w:pPr>
      <w:r w:rsidRPr="00DD0DBA">
        <w:t xml:space="preserve">The Moomba hub commenced operation from June 2016 to further facilitate trading on the </w:t>
      </w:r>
      <w:r w:rsidRPr="00DD0DBA">
        <w:rPr>
          <w:b/>
        </w:rPr>
        <w:t>MAP</w:t>
      </w:r>
      <w:r w:rsidRPr="00DD0DBA">
        <w:t xml:space="preserve"> and </w:t>
      </w:r>
      <w:r w:rsidRPr="00DD0DBA">
        <w:rPr>
          <w:b/>
        </w:rPr>
        <w:t>MSP</w:t>
      </w:r>
      <w:r w:rsidRPr="00DD0DBA">
        <w:t xml:space="preserve">, with trading between the two hubs </w:t>
      </w:r>
      <w:r>
        <w:t xml:space="preserve">on </w:t>
      </w:r>
      <w:r w:rsidRPr="00DD0DBA">
        <w:t>the SWQP</w:t>
      </w:r>
      <w:r>
        <w:t xml:space="preserve"> via a spread product (representing the price differential between the hubs). From October 2016, the addition of a Wallumbilla Compression Product was introduced to facilitate</w:t>
      </w:r>
      <w:r w:rsidRPr="003804B2">
        <w:t xml:space="preserve"> </w:t>
      </w:r>
      <w:r>
        <w:t xml:space="preserve">the supply </w:t>
      </w:r>
      <w:r w:rsidRPr="004A7BD7">
        <w:t>hub’s transition from three different trading locations into one</w:t>
      </w:r>
      <w:r>
        <w:t xml:space="preserve">. </w:t>
      </w:r>
    </w:p>
    <w:p w:rsidR="00835C8F" w:rsidRPr="00A8665E" w:rsidRDefault="00835C8F" w:rsidP="00C06533">
      <w:pPr>
        <w:jc w:val="both"/>
      </w:pPr>
      <w:r w:rsidRPr="00A8665E">
        <w:t>This week in t</w:t>
      </w:r>
      <w:r w:rsidR="00D02A86" w:rsidRPr="00A8665E">
        <w:t>he Wallumbilla hub there were 13 trades for 103.1</w:t>
      </w:r>
      <w:r w:rsidR="00A8665E">
        <w:t> </w:t>
      </w:r>
      <w:r w:rsidRPr="00A8665E">
        <w:t>TJ of gas at</w:t>
      </w:r>
      <w:r w:rsidR="0016509D" w:rsidRPr="00A8665E">
        <w:t xml:space="preserve"> </w:t>
      </w:r>
      <w:r w:rsidR="00D02A86" w:rsidRPr="00A8665E">
        <w:t>a volume weighted price of $8.55</w:t>
      </w:r>
      <w:r w:rsidR="0016509D" w:rsidRPr="00A8665E">
        <w:t>/GJ. Balance</w:t>
      </w:r>
      <w:r w:rsidR="00A8665E">
        <w:t>-</w:t>
      </w:r>
      <w:r w:rsidR="0016509D" w:rsidRPr="00A8665E">
        <w:t>of</w:t>
      </w:r>
      <w:r w:rsidR="00A8665E">
        <w:t>-</w:t>
      </w:r>
      <w:r w:rsidR="0016509D" w:rsidRPr="00A8665E">
        <w:t>day, day</w:t>
      </w:r>
      <w:r w:rsidR="00A8665E">
        <w:t>-</w:t>
      </w:r>
      <w:r w:rsidR="0016509D" w:rsidRPr="00A8665E">
        <w:t>ahead</w:t>
      </w:r>
      <w:r w:rsidR="00A8665E" w:rsidRPr="00A8665E">
        <w:t>, daily</w:t>
      </w:r>
      <w:r w:rsidR="0016509D" w:rsidRPr="00A8665E">
        <w:t xml:space="preserve"> </w:t>
      </w:r>
      <w:r w:rsidR="00FD1D68" w:rsidRPr="00A8665E">
        <w:t xml:space="preserve">and weekly </w:t>
      </w:r>
      <w:r w:rsidR="00C87CD0" w:rsidRPr="00A8665E">
        <w:t>products traded on the RBP (44.1</w:t>
      </w:r>
      <w:r w:rsidR="00A51B2B" w:rsidRPr="00A8665E">
        <w:t> </w:t>
      </w:r>
      <w:r w:rsidR="00C87CD0" w:rsidRPr="00A8665E">
        <w:t>TJ, $8.26</w:t>
      </w:r>
      <w:r w:rsidR="00FD1D68" w:rsidRPr="00A8665E">
        <w:t xml:space="preserve">/GJ) while balance of day, </w:t>
      </w:r>
      <w:r w:rsidR="00A8665E" w:rsidRPr="00A8665E">
        <w:t>day</w:t>
      </w:r>
      <w:r w:rsidR="00A8665E">
        <w:t>-</w:t>
      </w:r>
      <w:r w:rsidR="00A8665E" w:rsidRPr="00A8665E">
        <w:t xml:space="preserve">ahead </w:t>
      </w:r>
      <w:r w:rsidR="00FD1D68" w:rsidRPr="00A8665E">
        <w:t xml:space="preserve">and </w:t>
      </w:r>
      <w:r w:rsidR="00A8665E">
        <w:t xml:space="preserve">daily </w:t>
      </w:r>
      <w:r w:rsidR="00FD1D68" w:rsidRPr="00A8665E">
        <w:t>products tr</w:t>
      </w:r>
      <w:r w:rsidR="00C87CD0" w:rsidRPr="00A8665E">
        <w:t>aded on the SWQP (45 TJ, $8.55</w:t>
      </w:r>
      <w:r w:rsidR="00FD1D68" w:rsidRPr="00A8665E">
        <w:t>/GJ).</w:t>
      </w:r>
      <w:r w:rsidR="00A8665E">
        <w:t xml:space="preserve"> A weekly non-netted trade</w:t>
      </w:r>
      <w:r w:rsidR="000B6138">
        <w:t xml:space="preserve"> (WAL*)</w:t>
      </w:r>
      <w:r w:rsidR="00A8665E">
        <w:t xml:space="preserve"> for 14 TJ of gas was also recorded </w:t>
      </w:r>
      <w:r w:rsidR="000B6138">
        <w:t>on the RBP (in-pipe trade point) at $8.50/GJ.</w:t>
      </w:r>
      <w:r w:rsidR="00A8665E">
        <w:t xml:space="preserve"> </w:t>
      </w:r>
    </w:p>
    <w:p w:rsidR="000C1A94" w:rsidRPr="00E06937" w:rsidRDefault="00596DE3" w:rsidP="00551D6B">
      <w:pPr>
        <w:jc w:val="both"/>
      </w:pPr>
      <w:r w:rsidRPr="00552F68">
        <w:t>Figure 6.1 shows the quantity of gas traded by product type for each trading day on pipeline trading locations in the Wallumbilla and Moomba Gas Supply Hubs.</w:t>
      </w:r>
      <w:r>
        <w:rPr>
          <w:rStyle w:val="FootnoteReference"/>
        </w:rPr>
        <w:footnoteReference w:id="13"/>
      </w:r>
    </w:p>
    <w:p w:rsidR="00E16EDC" w:rsidRDefault="00F65699" w:rsidP="00E16EDC">
      <w:pPr>
        <w:pStyle w:val="Caption"/>
        <w:numPr>
          <w:ilvl w:val="0"/>
          <w:numId w:val="34"/>
        </w:numPr>
        <w:ind w:left="709" w:hanging="709"/>
        <w:rPr>
          <w:color w:val="2272A3"/>
          <w:szCs w:val="24"/>
        </w:rPr>
      </w:pPr>
      <w:r>
        <w:rPr>
          <w:color w:val="2272A3"/>
          <w:szCs w:val="24"/>
        </w:rPr>
        <w:t>GSH traded quantities</w:t>
      </w:r>
    </w:p>
    <w:p w:rsidR="00E16EDC" w:rsidRDefault="00F24B86" w:rsidP="00E16EDC">
      <w:r w:rsidRPr="00F24B86">
        <w:rPr>
          <w:noProof/>
          <w:lang w:eastAsia="en-AU"/>
        </w:rPr>
        <w:drawing>
          <wp:inline distT="0" distB="0" distL="0" distR="0" wp14:anchorId="683D71E1" wp14:editId="1846AFBD">
            <wp:extent cx="5731510" cy="3125521"/>
            <wp:effectExtent l="0" t="0" r="2540" b="0"/>
            <wp:docPr id="41" name="Picture 41" descr="Figure 6.1 shows the daily quantity of gas traded during the week at each trading location. In the Moomba hub, trading locations include registered facilities at MSP (SWQP) and MAP. In the Wallumbilla hub, trading locations include registered facilities at RBP, SWQP and QGP, and registered/alternate delivery points for non-netted product trades (WAL*)." title="Gas supply hub traded quant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3125521"/>
                    </a:xfrm>
                    <a:prstGeom prst="rect">
                      <a:avLst/>
                    </a:prstGeom>
                    <a:noFill/>
                    <a:ln>
                      <a:noFill/>
                    </a:ln>
                  </pic:spPr>
                </pic:pic>
              </a:graphicData>
            </a:graphic>
          </wp:inline>
        </w:drawing>
      </w:r>
    </w:p>
    <w:bookmarkEnd w:id="0"/>
    <w:bookmarkEnd w:id="1"/>
    <w:bookmarkEnd w:id="2"/>
    <w:bookmarkEnd w:id="3"/>
    <w:bookmarkEnd w:id="4"/>
    <w:bookmarkEnd w:id="5"/>
    <w:p w:rsidR="00275002" w:rsidRPr="009F2CAC" w:rsidRDefault="00275002" w:rsidP="00783D4E">
      <w:pPr>
        <w:pStyle w:val="Heading4notnumbered"/>
      </w:pPr>
      <w:r w:rsidRPr="00D92E07">
        <w:t>Australian Energy Regulator</w:t>
      </w:r>
      <w:r w:rsidR="005B0EF5" w:rsidRPr="00D92E07">
        <w:br/>
      </w:r>
      <w:r w:rsidR="00A76044">
        <w:t>April</w:t>
      </w:r>
      <w:r w:rsidR="00C06533">
        <w:t xml:space="preserve"> 2017</w:t>
      </w:r>
    </w:p>
    <w:sectPr w:rsidR="00275002" w:rsidRPr="009F2CAC" w:rsidSect="00A226E9">
      <w:footerReference w:type="even" r:id="rId32"/>
      <w:footerReference w:type="default" r:id="rId33"/>
      <w:footerReference w:type="first" r:id="rId34"/>
      <w:pgSz w:w="11906" w:h="16838"/>
      <w:pgMar w:top="709" w:right="1440" w:bottom="851" w:left="1440" w:header="708" w:footer="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41DA" w:rsidRDefault="00CF41DA" w:rsidP="004B4412">
      <w:pPr>
        <w:spacing w:before="0"/>
      </w:pPr>
      <w:r>
        <w:separator/>
      </w:r>
    </w:p>
  </w:endnote>
  <w:endnote w:type="continuationSeparator" w:id="0">
    <w:p w:rsidR="00CF41DA" w:rsidRDefault="00CF41DA"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1"/>
    <w:family w:val="roman"/>
    <w:notTrueType/>
    <w:pitch w:val="variable"/>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1DA" w:rsidRPr="00A91A9E" w:rsidRDefault="00CF41DA" w:rsidP="00275002">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CF41DA" w:rsidRDefault="00CF41DA"/>
  <w:p w:rsidR="00CF41DA" w:rsidRDefault="00CF41D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1DA" w:rsidRPr="00A94D89" w:rsidRDefault="00CF41DA" w:rsidP="00C06533">
    <w:pPr>
      <w:pStyle w:val="Footer"/>
      <w:pBdr>
        <w:top w:val="single" w:sz="4" w:space="1" w:color="auto"/>
      </w:pBdr>
      <w:tabs>
        <w:tab w:val="left" w:pos="2670"/>
      </w:tabs>
      <w:rPr>
        <w:rFonts w:cs="Arial"/>
        <w:i/>
      </w:rPr>
    </w:pPr>
    <w:r w:rsidRPr="00F52F00">
      <w:rPr>
        <w:rFonts w:cs="Arial"/>
        <w:i/>
      </w:rPr>
      <w:tab/>
    </w:r>
    <w:r>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0C4AD7">
      <w:rPr>
        <w:rFonts w:cs="Arial"/>
        <w:i/>
        <w:noProof/>
      </w:rPr>
      <w:t>12</w:t>
    </w:r>
    <w:r w:rsidRPr="001F1B78">
      <w:rPr>
        <w:rFonts w:cs="Arial"/>
        <w:i/>
        <w:noProof/>
      </w:rPr>
      <w:fldChar w:fldCharType="end"/>
    </w:r>
    <w:r w:rsidRPr="00F52F00">
      <w:rPr>
        <w:rFonts w:cs="Arial"/>
        <w:i/>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1DA" w:rsidRPr="00A94D89" w:rsidRDefault="00CF41DA" w:rsidP="00A94D89">
    <w:pPr>
      <w:pStyle w:val="Footer"/>
      <w:pBdr>
        <w:top w:val="single" w:sz="4" w:space="1" w:color="auto"/>
      </w:pBdr>
      <w:rPr>
        <w:rFonts w:cs="Arial"/>
        <w:i/>
      </w:rPr>
    </w:pPr>
    <w:r w:rsidRPr="00F52F00">
      <w:rPr>
        <w:rFonts w:cs="Arial"/>
        <w:i/>
      </w:rPr>
      <w:t>© Commonwealth of Australia</w:t>
    </w: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0C4AD7">
      <w:rPr>
        <w:rFonts w:cs="Arial"/>
        <w:i/>
        <w:noProof/>
      </w:rPr>
      <w:t>1</w:t>
    </w:r>
    <w:r w:rsidRPr="001F1B78">
      <w:rPr>
        <w:rFonts w:cs="Arial"/>
        <w:i/>
        <w:noProof/>
      </w:rPr>
      <w:fldChar w:fldCharType="end"/>
    </w:r>
    <w:r w:rsidRPr="00F52F00">
      <w:rPr>
        <w:rFonts w:cs="Arial"/>
        <w:i/>
      </w:rPr>
      <w:tab/>
      <w:t>AER reference: 392</w:t>
    </w:r>
    <w:r>
      <w:rPr>
        <w:rFonts w:cs="Arial"/>
        <w:i/>
      </w:rPr>
      <w:t>7</w:t>
    </w:r>
    <w:r w:rsidRPr="00F52F00">
      <w:rPr>
        <w:rFonts w:cs="Arial"/>
        <w:i/>
      </w:rPr>
      <w:t xml:space="preserve">0 – </w:t>
    </w:r>
    <w:r w:rsidRPr="007F43CB">
      <w:rPr>
        <w:rFonts w:cs="Arial"/>
        <w:i/>
        <w:szCs w:val="18"/>
      </w:rPr>
      <w:t>D1</w:t>
    </w:r>
    <w:r>
      <w:rPr>
        <w:rFonts w:cs="Arial"/>
        <w:i/>
        <w:szCs w:val="18"/>
      </w:rPr>
      <w:t>7</w:t>
    </w:r>
    <w:r w:rsidRPr="007F43CB">
      <w:rPr>
        <w:rFonts w:cs="Arial"/>
        <w:i/>
        <w:szCs w:val="18"/>
      </w:rPr>
      <w:t>/</w:t>
    </w:r>
    <w:r w:rsidR="00DB66B9">
      <w:rPr>
        <w:rFonts w:cs="Arial"/>
        <w:i/>
        <w:szCs w:val="18"/>
      </w:rPr>
      <w:t>46521</w:t>
    </w:r>
  </w:p>
  <w:p w:rsidR="00CF41DA" w:rsidRDefault="00CF41D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41DA" w:rsidRDefault="00CF41DA" w:rsidP="004B4412">
      <w:pPr>
        <w:spacing w:before="0"/>
      </w:pPr>
      <w:r>
        <w:separator/>
      </w:r>
    </w:p>
  </w:footnote>
  <w:footnote w:type="continuationSeparator" w:id="0">
    <w:p w:rsidR="00CF41DA" w:rsidRDefault="00CF41DA" w:rsidP="004B4412">
      <w:pPr>
        <w:spacing w:before="0"/>
      </w:pPr>
      <w:r>
        <w:continuationSeparator/>
      </w:r>
    </w:p>
  </w:footnote>
  <w:footnote w:id="1">
    <w:p w:rsidR="00CF41DA" w:rsidRPr="000835F4" w:rsidRDefault="00CF41DA" w:rsidP="000835F4">
      <w:pPr>
        <w:pStyle w:val="FootnoteText"/>
        <w:spacing w:before="0"/>
        <w:ind w:left="709" w:hanging="709"/>
        <w:jc w:val="both"/>
        <w:rPr>
          <w:szCs w:val="16"/>
        </w:rPr>
      </w:pPr>
      <w:r w:rsidRPr="00EC137F">
        <w:rPr>
          <w:rStyle w:val="FootnoteReference"/>
        </w:rPr>
        <w:footnoteRef/>
      </w:r>
      <w:r w:rsidR="00DB66B9">
        <w:t xml:space="preserve"> </w:t>
      </w:r>
      <w:r w:rsidRPr="00EC137F">
        <w:t xml:space="preserve">Average daily quantities are displayed for each region, with the exception of Gas Supply Hubs (GSH). </w:t>
      </w:r>
      <w:r w:rsidRPr="00EC137F">
        <w:rPr>
          <w:szCs w:val="16"/>
        </w:rPr>
        <w:t>The weighted average daily imbalance price applies for Victoria. The prices shown for the GSH in Wallumbilla and Moomba are volume weighted average prices for all products traded across the period. The total quantity contributing to the weighted price is displayed for these GSH.</w:t>
      </w:r>
    </w:p>
  </w:footnote>
  <w:footnote w:id="2">
    <w:p w:rsidR="00C57161" w:rsidRDefault="00C57161" w:rsidP="00C57161">
      <w:pPr>
        <w:pStyle w:val="FootnoteText"/>
        <w:ind w:left="709" w:hanging="709"/>
      </w:pPr>
      <w:r>
        <w:rPr>
          <w:rStyle w:val="FootnoteReference"/>
        </w:rPr>
        <w:footnoteRef/>
      </w:r>
      <w:r>
        <w:t xml:space="preserve"> </w:t>
      </w:r>
      <w:r>
        <w:tab/>
        <w:t>This is in comparison to the 2016/17 summer period leading up to 19 February, in which daily MOS payments averaged approximately $45,000.</w:t>
      </w:r>
    </w:p>
  </w:footnote>
  <w:footnote w:id="3">
    <w:p w:rsidR="00CF41DA" w:rsidRPr="00EC2CB1" w:rsidRDefault="00CF41DA"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Prices for subsequent schedules are applied only to the differences in scheduled quantities (imbalances) to calculate the weighted price. The 6 am price applies to the entire scheduled quantity in the initial schedule.</w:t>
      </w:r>
    </w:p>
  </w:footnote>
  <w:footnote w:id="4">
    <w:p w:rsidR="00CF41DA" w:rsidRPr="00EC2CB1" w:rsidRDefault="00CF41DA"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 price might also be affected by transmission or production (contractual) constraints limiting how much gas can be delivered from a locale or System Injection Point (SIP) from time to time.</w:t>
      </w:r>
    </w:p>
  </w:footnote>
  <w:footnote w:id="5">
    <w:p w:rsidR="00CF41DA" w:rsidRPr="00EC2CB1" w:rsidRDefault="00CF41DA"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These are Market Participants’ aggregate demand forecasts adjusted for any override as applied by AEMO from time to time. These forecasts must be scheduled and cannot respond to price like withdrawal bids.</w:t>
      </w:r>
    </w:p>
  </w:footnote>
  <w:footnote w:id="6">
    <w:p w:rsidR="00CF41DA" w:rsidRPr="00551D6B" w:rsidRDefault="00CF41DA" w:rsidP="00551D6B">
      <w:pPr>
        <w:pStyle w:val="FootnoteText"/>
        <w:spacing w:before="0"/>
        <w:ind w:left="709" w:hanging="709"/>
        <w:jc w:val="both"/>
        <w:rPr>
          <w:szCs w:val="16"/>
        </w:rPr>
      </w:pPr>
      <w:r w:rsidRPr="00551D6B">
        <w:rPr>
          <w:rStyle w:val="FootnoteReference"/>
          <w:szCs w:val="16"/>
        </w:rPr>
        <w:footnoteRef/>
      </w:r>
      <w:r w:rsidRPr="00551D6B">
        <w:rPr>
          <w:szCs w:val="16"/>
        </w:rPr>
        <w:t xml:space="preserve"> </w:t>
      </w:r>
      <w:r w:rsidRPr="00551D6B">
        <w:rPr>
          <w:szCs w:val="16"/>
        </w:rPr>
        <w:tab/>
        <w:t>The main driver of the amount of gas scheduled on a gas day is the ‘price-taker’ bid, which is forecast hub demand that cannot respond to price and which must be delivered, regardless of the price.</w:t>
      </w:r>
    </w:p>
  </w:footnote>
  <w:footnote w:id="7">
    <w:p w:rsidR="00CF41DA" w:rsidRPr="00551D6B" w:rsidRDefault="00CF41DA" w:rsidP="00551D6B">
      <w:pPr>
        <w:pStyle w:val="AERbodytext"/>
        <w:spacing w:before="0" w:line="240" w:lineRule="auto"/>
        <w:ind w:left="709" w:hanging="709"/>
        <w:rPr>
          <w:sz w:val="16"/>
          <w:szCs w:val="16"/>
        </w:rPr>
      </w:pPr>
      <w:r w:rsidRPr="00551D6B">
        <w:rPr>
          <w:rStyle w:val="FootnoteReference"/>
          <w:sz w:val="16"/>
          <w:szCs w:val="16"/>
        </w:rPr>
        <w:footnoteRef/>
      </w:r>
      <w:r w:rsidRPr="00551D6B">
        <w:rPr>
          <w:sz w:val="16"/>
          <w:szCs w:val="16"/>
        </w:rPr>
        <w:t xml:space="preserve"> </w:t>
      </w:r>
      <w:r w:rsidRPr="00551D6B">
        <w:rPr>
          <w:sz w:val="16"/>
          <w:szCs w:val="16"/>
        </w:rPr>
        <w:tab/>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8">
    <w:p w:rsidR="00CF41DA" w:rsidRPr="00552F68" w:rsidRDefault="00CF41DA" w:rsidP="00914872">
      <w:pPr>
        <w:pStyle w:val="FootnoteText"/>
        <w:ind w:left="709" w:hanging="709"/>
        <w:jc w:val="both"/>
      </w:pPr>
      <w:r w:rsidRPr="00552F68">
        <w:rPr>
          <w:rStyle w:val="FootnoteReference"/>
        </w:rPr>
        <w:footnoteRef/>
      </w:r>
      <w:r w:rsidRPr="00552F68">
        <w:t xml:space="preserve"> </w:t>
      </w:r>
      <w:r w:rsidRPr="00552F68">
        <w:tab/>
        <w:t>The commodity cost of MOS illustrated on the right of the figure represents the commodity quantity at the D+2 ex ante price. Commodity payments and charges for a given gas day relate to quantities traded two days earlier. That is, the commodity cost for services provided on Sunday will appear in the chart for Tuesday, when the D+2 price is set. In contrast, service payments are shown alongside the day they occurred.</w:t>
      </w:r>
    </w:p>
  </w:footnote>
  <w:footnote w:id="9">
    <w:p w:rsidR="00CF41DA" w:rsidRPr="0087350F" w:rsidRDefault="00CF41DA" w:rsidP="00596DE3">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b/>
          <w:szCs w:val="16"/>
        </w:rPr>
        <w:t>Domestic gas flows</w:t>
      </w:r>
      <w:r w:rsidRPr="0087350F">
        <w:rPr>
          <w:szCs w:val="16"/>
        </w:rPr>
        <w:t xml:space="preserve"> are calculated as the total of:  </w:t>
      </w:r>
      <w:r w:rsidRPr="0087350F">
        <w:rPr>
          <w:b/>
          <w:szCs w:val="16"/>
        </w:rPr>
        <w:t>SA</w:t>
      </w:r>
      <w:r w:rsidRPr="0087350F">
        <w:rPr>
          <w:szCs w:val="16"/>
        </w:rPr>
        <w:t xml:space="preserve"> = MAP + SEAGAS; </w:t>
      </w:r>
      <w:r w:rsidRPr="0087350F">
        <w:rPr>
          <w:b/>
          <w:szCs w:val="16"/>
        </w:rPr>
        <w:t>VIC</w:t>
      </w:r>
      <w:r w:rsidRPr="0087350F">
        <w:rPr>
          <w:szCs w:val="16"/>
        </w:rPr>
        <w:t xml:space="preserve"> = SWP + LMP + (absolute quantity of negative flows only on the ‘NSW-VIC interconnect’); </w:t>
      </w:r>
      <w:r w:rsidRPr="0087350F">
        <w:rPr>
          <w:b/>
          <w:szCs w:val="16"/>
        </w:rPr>
        <w:t>NSW/ACT</w:t>
      </w:r>
      <w:r w:rsidRPr="0087350F">
        <w:rPr>
          <w:szCs w:val="16"/>
        </w:rPr>
        <w:t xml:space="preserve"> = EGP + MSP; </w:t>
      </w:r>
      <w:r w:rsidRPr="0087350F">
        <w:rPr>
          <w:b/>
          <w:szCs w:val="16"/>
        </w:rPr>
        <w:t>TAS</w:t>
      </w:r>
      <w:r w:rsidRPr="0087350F">
        <w:rPr>
          <w:szCs w:val="16"/>
        </w:rPr>
        <w:t xml:space="preserve"> = TGP; </w:t>
      </w:r>
      <w:r w:rsidRPr="0087350F">
        <w:rPr>
          <w:b/>
          <w:szCs w:val="16"/>
        </w:rPr>
        <w:t>QLD (Brisbane)</w:t>
      </w:r>
      <w:r w:rsidRPr="0087350F">
        <w:rPr>
          <w:szCs w:val="16"/>
        </w:rPr>
        <w:t xml:space="preserve"> = RBP; </w:t>
      </w:r>
      <w:r w:rsidRPr="0087350F">
        <w:rPr>
          <w:b/>
          <w:szCs w:val="16"/>
        </w:rPr>
        <w:t>QLD (Mt Isa)</w:t>
      </w:r>
      <w:r w:rsidRPr="0087350F">
        <w:rPr>
          <w:szCs w:val="16"/>
        </w:rPr>
        <w:t xml:space="preserve"> = CGP; and </w:t>
      </w:r>
      <w:r w:rsidRPr="0087350F">
        <w:rPr>
          <w:b/>
          <w:szCs w:val="16"/>
        </w:rPr>
        <w:t>QLD (Gladstone)</w:t>
      </w:r>
      <w:r w:rsidRPr="0087350F">
        <w:rPr>
          <w:szCs w:val="16"/>
        </w:rPr>
        <w:t xml:space="preserve"> = QGP. </w:t>
      </w:r>
    </w:p>
    <w:p w:rsidR="00CF41DA" w:rsidRPr="0087350F" w:rsidRDefault="00CF41DA" w:rsidP="00596DE3">
      <w:pPr>
        <w:pStyle w:val="FootnoteText"/>
        <w:spacing w:before="0"/>
        <w:ind w:left="709"/>
        <w:jc w:val="both"/>
        <w:rPr>
          <w:szCs w:val="16"/>
        </w:rPr>
      </w:pPr>
      <w:r w:rsidRPr="0087350F">
        <w:rPr>
          <w:b/>
          <w:szCs w:val="16"/>
        </w:rPr>
        <w:t xml:space="preserve">Export gas flows </w:t>
      </w:r>
      <w:r w:rsidRPr="0087350F">
        <w:rPr>
          <w:szCs w:val="16"/>
        </w:rPr>
        <w:t>are calculated as the total of: the APLNG pipeline; the GLNG pipeline; and the Wallumbilla to Gladstone pipeline.</w:t>
      </w:r>
    </w:p>
    <w:p w:rsidR="00CF41DA" w:rsidRPr="0087350F" w:rsidRDefault="00CF41DA" w:rsidP="00596DE3">
      <w:pPr>
        <w:pStyle w:val="FootnoteText"/>
        <w:spacing w:before="0"/>
        <w:ind w:left="709"/>
        <w:jc w:val="both"/>
        <w:rPr>
          <w:szCs w:val="16"/>
        </w:rPr>
      </w:pPr>
      <w:r w:rsidRPr="0087350F">
        <w:rPr>
          <w:b/>
          <w:szCs w:val="16"/>
        </w:rPr>
        <w:t>GPG volumes</w:t>
      </w:r>
      <w:r w:rsidRPr="0087350F">
        <w:rPr>
          <w:szCs w:val="16"/>
        </w:rPr>
        <w:t xml:space="preserve"> may include gas usage that does not show up on Bulletin Board pipeline flows.</w:t>
      </w:r>
    </w:p>
  </w:footnote>
  <w:footnote w:id="10">
    <w:p w:rsidR="00CF41DA" w:rsidRPr="0087350F" w:rsidRDefault="00CF41DA" w:rsidP="00596DE3">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szCs w:val="16"/>
        </w:rPr>
        <w:t>GSH supply is the average daily volume of gas ‘traded’, while price is a volume weighted average.</w:t>
      </w:r>
      <w:r>
        <w:rPr>
          <w:szCs w:val="16"/>
        </w:rPr>
        <w:t xml:space="preserve"> Optional hub services (for compression and redirection) are shown separately from commodity trades.</w:t>
      </w:r>
    </w:p>
  </w:footnote>
  <w:footnote w:id="11">
    <w:p w:rsidR="00CF41DA" w:rsidRDefault="00CF41DA" w:rsidP="00596DE3">
      <w:pPr>
        <w:pStyle w:val="FootnoteText"/>
      </w:pPr>
      <w:r w:rsidRPr="00596DE3">
        <w:rPr>
          <w:rStyle w:val="FootnoteReference"/>
          <w:sz w:val="20"/>
        </w:rPr>
        <w:footnoteRef/>
      </w:r>
      <w:r w:rsidRPr="00596DE3">
        <w:rPr>
          <w:sz w:val="20"/>
        </w:rPr>
        <w:t xml:space="preserve"> </w:t>
      </w:r>
      <w:r w:rsidRPr="00596DE3">
        <w:rPr>
          <w:sz w:val="20"/>
        </w:rPr>
        <w:tab/>
      </w:r>
      <w:r>
        <w:t xml:space="preserve">Net flows are shown for Bulletin Board facilities, as outlined in the </w:t>
      </w:r>
      <w:hyperlink r:id="rId1" w:history="1">
        <w:r w:rsidRPr="00A952AA">
          <w:rPr>
            <w:rStyle w:val="Hyperlink"/>
            <w:sz w:val="16"/>
          </w:rPr>
          <w:t>user guide</w:t>
        </w:r>
      </w:hyperlink>
      <w:r>
        <w:t>.</w:t>
      </w:r>
    </w:p>
  </w:footnote>
  <w:footnote w:id="12">
    <w:p w:rsidR="00CF41DA" w:rsidRDefault="00CF41DA" w:rsidP="00596DE3">
      <w:pPr>
        <w:pStyle w:val="FootnoteText"/>
        <w:ind w:left="709" w:hanging="709"/>
        <w:jc w:val="both"/>
      </w:pPr>
      <w:r w:rsidRPr="00F978C8">
        <w:rPr>
          <w:rStyle w:val="FootnoteReference"/>
          <w:sz w:val="20"/>
        </w:rPr>
        <w:footnoteRef/>
      </w:r>
      <w:r w:rsidRPr="00F978C8">
        <w:rPr>
          <w:sz w:val="20"/>
        </w:rPr>
        <w:t xml:space="preserve"> </w:t>
      </w:r>
      <w:r w:rsidRPr="00F978C8">
        <w:rPr>
          <w:sz w:val="20"/>
        </w:rPr>
        <w:tab/>
      </w:r>
      <w:r>
        <w:t xml:space="preserve">Additional information on trading locations and available products is detailed in the </w:t>
      </w:r>
      <w:hyperlink r:id="rId2" w:history="1">
        <w:r w:rsidRPr="00A952AA">
          <w:rPr>
            <w:rStyle w:val="Hyperlink"/>
            <w:sz w:val="16"/>
          </w:rPr>
          <w:t>user guide</w:t>
        </w:r>
      </w:hyperlink>
      <w:r>
        <w:t>.</w:t>
      </w:r>
    </w:p>
  </w:footnote>
  <w:footnote w:id="13">
    <w:p w:rsidR="00CF41DA" w:rsidRDefault="00CF41DA" w:rsidP="00596DE3">
      <w:pPr>
        <w:pStyle w:val="FootnoteText"/>
        <w:ind w:left="709" w:hanging="709"/>
        <w:jc w:val="both"/>
      </w:pPr>
      <w:r w:rsidRPr="00F978C8">
        <w:rPr>
          <w:rStyle w:val="FootnoteReference"/>
          <w:sz w:val="20"/>
        </w:rPr>
        <w:footnoteRef/>
      </w:r>
      <w:r w:rsidRPr="00F978C8">
        <w:rPr>
          <w:sz w:val="20"/>
        </w:rPr>
        <w:t xml:space="preserve"> </w:t>
      </w:r>
      <w:r w:rsidRPr="00F978C8">
        <w:rPr>
          <w:sz w:val="20"/>
        </w:rPr>
        <w:tab/>
      </w:r>
      <w:r>
        <w:t>Non-netted (off-market) trades, allowing the selection of specific delivery point at a trading location, are denoted as WAL*.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0CCD3AE"/>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741816"/>
    <w:lvl w:ilvl="0">
      <w:start w:val="1"/>
      <w:numFmt w:val="lowerLetter"/>
      <w:pStyle w:val="ListNumber2"/>
      <w:lvlText w:val="%1)"/>
      <w:lvlJc w:val="left"/>
      <w:pPr>
        <w:ind w:left="36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25F1CAC"/>
    <w:multiLevelType w:val="hybridMultilevel"/>
    <w:tmpl w:val="62FA8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4E03282"/>
    <w:multiLevelType w:val="hybridMultilevel"/>
    <w:tmpl w:val="B7C2FE76"/>
    <w:lvl w:ilvl="0" w:tplc="F41A51E2">
      <w:start w:val="1"/>
      <w:numFmt w:val="decimal"/>
      <w:lvlText w:val="Figure 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281AC6"/>
    <w:multiLevelType w:val="hybridMultilevel"/>
    <w:tmpl w:val="83BAD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33E73B6"/>
    <w:multiLevelType w:val="hybridMultilevel"/>
    <w:tmpl w:val="80220B84"/>
    <w:lvl w:ilvl="0" w:tplc="F5987420">
      <w:start w:val="1"/>
      <w:numFmt w:val="decimal"/>
      <w:pStyle w:val="Numberedlist"/>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6991208"/>
    <w:multiLevelType w:val="hybridMultilevel"/>
    <w:tmpl w:val="55284E2C"/>
    <w:lvl w:ilvl="0" w:tplc="F07A3D8A">
      <w:start w:val="1"/>
      <w:numFmt w:val="decimal"/>
      <w:lvlText w:val="Figure 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7">
    <w:nsid w:val="1F844A98"/>
    <w:multiLevelType w:val="hybridMultilevel"/>
    <w:tmpl w:val="9A46145E"/>
    <w:lvl w:ilvl="0" w:tplc="AB546016">
      <w:start w:val="10"/>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25C9538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28F75099"/>
    <w:multiLevelType w:val="hybridMultilevel"/>
    <w:tmpl w:val="2E1E9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8CB5BD0"/>
    <w:multiLevelType w:val="hybridMultilevel"/>
    <w:tmpl w:val="0E2C1E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3396CE6"/>
    <w:multiLevelType w:val="hybridMultilevel"/>
    <w:tmpl w:val="6AF2555A"/>
    <w:lvl w:ilvl="0" w:tplc="D03C4C38">
      <w:start w:val="1"/>
      <w:numFmt w:val="decimal"/>
      <w:lvlText w:val="Figure 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7">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8">
    <w:nsid w:val="6C1C3940"/>
    <w:multiLevelType w:val="hybridMultilevel"/>
    <w:tmpl w:val="787CCB50"/>
    <w:lvl w:ilvl="0" w:tplc="4C920FA4">
      <w:start w:val="1"/>
      <w:numFmt w:val="decimal"/>
      <w:lvlText w:val="Figure 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ED40010"/>
    <w:multiLevelType w:val="hybridMultilevel"/>
    <w:tmpl w:val="C89CC66C"/>
    <w:lvl w:ilvl="0" w:tplc="7792B686">
      <w:start w:val="1"/>
      <w:numFmt w:val="decimal"/>
      <w:lvlText w:val="Figure 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05C4980"/>
    <w:multiLevelType w:val="hybridMultilevel"/>
    <w:tmpl w:val="027A3B86"/>
    <w:lvl w:ilvl="0" w:tplc="982A071C">
      <w:start w:val="1"/>
      <w:numFmt w:val="decimal"/>
      <w:lvlText w:val="Figure 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ACB7F6B"/>
    <w:multiLevelType w:val="hybridMultilevel"/>
    <w:tmpl w:val="0F2A3F9A"/>
    <w:lvl w:ilvl="0" w:tplc="1038B32C">
      <w:start w:val="1"/>
      <w:numFmt w:val="lowerRoman"/>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3">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33"/>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7"/>
  </w:num>
  <w:num w:numId="13">
    <w:abstractNumId w:val="21"/>
  </w:num>
  <w:num w:numId="14">
    <w:abstractNumId w:val="11"/>
  </w:num>
  <w:num w:numId="15">
    <w:abstractNumId w:val="16"/>
  </w:num>
  <w:num w:numId="16">
    <w:abstractNumId w:val="23"/>
  </w:num>
  <w:num w:numId="17">
    <w:abstractNumId w:val="19"/>
  </w:num>
  <w:num w:numId="18">
    <w:abstractNumId w:val="24"/>
  </w:num>
  <w:num w:numId="19">
    <w:abstractNumId w:val="31"/>
  </w:num>
  <w:num w:numId="20">
    <w:abstractNumId w:val="26"/>
  </w:num>
  <w:num w:numId="21">
    <w:abstractNumId w:val="15"/>
  </w:num>
  <w:num w:numId="22">
    <w:abstractNumId w:val="18"/>
  </w:num>
  <w:num w:numId="23">
    <w:abstractNumId w:val="22"/>
  </w:num>
  <w:num w:numId="24">
    <w:abstractNumId w:val="17"/>
  </w:num>
  <w:num w:numId="25">
    <w:abstractNumId w:val="32"/>
  </w:num>
  <w:num w:numId="26">
    <w:abstractNumId w:val="20"/>
  </w:num>
  <w:num w:numId="27">
    <w:abstractNumId w:val="9"/>
  </w:num>
  <w:num w:numId="28">
    <w:abstractNumId w:val="12"/>
  </w:num>
  <w:num w:numId="29">
    <w:abstractNumId w:val="14"/>
  </w:num>
  <w:num w:numId="30">
    <w:abstractNumId w:val="28"/>
  </w:num>
  <w:num w:numId="31">
    <w:abstractNumId w:val="29"/>
  </w:num>
  <w:num w:numId="32">
    <w:abstractNumId w:val="25"/>
  </w:num>
  <w:num w:numId="33">
    <w:abstractNumId w:val="30"/>
  </w:num>
  <w:num w:numId="3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720"/>
  <w:characterSpacingControl w:val="doNotCompress"/>
  <w:hdrShapeDefaults>
    <o:shapedefaults v:ext="edit" spidmax="164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9160\D17 46521  20170319 - 20170325 gas weekly report (WAL non-netted).DOCX"/>
  </w:docVars>
  <w:rsids>
    <w:rsidRoot w:val="00275002"/>
    <w:rsid w:val="00000817"/>
    <w:rsid w:val="00000BFE"/>
    <w:rsid w:val="00000CC3"/>
    <w:rsid w:val="00003169"/>
    <w:rsid w:val="00005D12"/>
    <w:rsid w:val="0000728F"/>
    <w:rsid w:val="00007624"/>
    <w:rsid w:val="000128E1"/>
    <w:rsid w:val="0001415C"/>
    <w:rsid w:val="000147C1"/>
    <w:rsid w:val="00014D5F"/>
    <w:rsid w:val="00017DD0"/>
    <w:rsid w:val="00021202"/>
    <w:rsid w:val="0002123D"/>
    <w:rsid w:val="00022F09"/>
    <w:rsid w:val="00023CDB"/>
    <w:rsid w:val="00024215"/>
    <w:rsid w:val="000242E7"/>
    <w:rsid w:val="00024369"/>
    <w:rsid w:val="00024C84"/>
    <w:rsid w:val="00026E0A"/>
    <w:rsid w:val="00030794"/>
    <w:rsid w:val="000308B1"/>
    <w:rsid w:val="000312E6"/>
    <w:rsid w:val="000316E7"/>
    <w:rsid w:val="0003354E"/>
    <w:rsid w:val="00033902"/>
    <w:rsid w:val="00033BE8"/>
    <w:rsid w:val="00034A40"/>
    <w:rsid w:val="0003564D"/>
    <w:rsid w:val="0003578C"/>
    <w:rsid w:val="00035A9A"/>
    <w:rsid w:val="00037A6F"/>
    <w:rsid w:val="00037EB9"/>
    <w:rsid w:val="00040E4C"/>
    <w:rsid w:val="00041A89"/>
    <w:rsid w:val="000422AB"/>
    <w:rsid w:val="00043FA7"/>
    <w:rsid w:val="000442BA"/>
    <w:rsid w:val="00044D80"/>
    <w:rsid w:val="000452BA"/>
    <w:rsid w:val="000461E2"/>
    <w:rsid w:val="0005123C"/>
    <w:rsid w:val="00051880"/>
    <w:rsid w:val="000528FD"/>
    <w:rsid w:val="00056949"/>
    <w:rsid w:val="000572DC"/>
    <w:rsid w:val="000576CD"/>
    <w:rsid w:val="00057973"/>
    <w:rsid w:val="00061ABD"/>
    <w:rsid w:val="00061CE2"/>
    <w:rsid w:val="00061E3B"/>
    <w:rsid w:val="00063247"/>
    <w:rsid w:val="00063473"/>
    <w:rsid w:val="00066157"/>
    <w:rsid w:val="000661AF"/>
    <w:rsid w:val="00070EAB"/>
    <w:rsid w:val="00070F9F"/>
    <w:rsid w:val="0007137B"/>
    <w:rsid w:val="000738F4"/>
    <w:rsid w:val="00074049"/>
    <w:rsid w:val="00074233"/>
    <w:rsid w:val="00074A4E"/>
    <w:rsid w:val="000758D3"/>
    <w:rsid w:val="000766E2"/>
    <w:rsid w:val="00077616"/>
    <w:rsid w:val="00077819"/>
    <w:rsid w:val="000835F4"/>
    <w:rsid w:val="00085663"/>
    <w:rsid w:val="00085EBF"/>
    <w:rsid w:val="00086CF3"/>
    <w:rsid w:val="00087C4A"/>
    <w:rsid w:val="00087CDC"/>
    <w:rsid w:val="00091FB4"/>
    <w:rsid w:val="0009584C"/>
    <w:rsid w:val="000961FA"/>
    <w:rsid w:val="0009653D"/>
    <w:rsid w:val="000A241B"/>
    <w:rsid w:val="000A29ED"/>
    <w:rsid w:val="000A4529"/>
    <w:rsid w:val="000A62B4"/>
    <w:rsid w:val="000A62D6"/>
    <w:rsid w:val="000A6F14"/>
    <w:rsid w:val="000B0311"/>
    <w:rsid w:val="000B364C"/>
    <w:rsid w:val="000B3C8A"/>
    <w:rsid w:val="000B6138"/>
    <w:rsid w:val="000C0472"/>
    <w:rsid w:val="000C1A94"/>
    <w:rsid w:val="000C4AD7"/>
    <w:rsid w:val="000C52E2"/>
    <w:rsid w:val="000C67DD"/>
    <w:rsid w:val="000D0486"/>
    <w:rsid w:val="000D122C"/>
    <w:rsid w:val="000D355E"/>
    <w:rsid w:val="000D3C77"/>
    <w:rsid w:val="000D4350"/>
    <w:rsid w:val="000D5ADE"/>
    <w:rsid w:val="000D68C5"/>
    <w:rsid w:val="000E1819"/>
    <w:rsid w:val="000E1A1B"/>
    <w:rsid w:val="000E2946"/>
    <w:rsid w:val="000E4F81"/>
    <w:rsid w:val="000E54D6"/>
    <w:rsid w:val="000E55C7"/>
    <w:rsid w:val="000E5B55"/>
    <w:rsid w:val="000E6C72"/>
    <w:rsid w:val="000E77BB"/>
    <w:rsid w:val="000E7D8C"/>
    <w:rsid w:val="000E7E24"/>
    <w:rsid w:val="000F189E"/>
    <w:rsid w:val="000F1956"/>
    <w:rsid w:val="000F1D61"/>
    <w:rsid w:val="000F48C1"/>
    <w:rsid w:val="000F56F6"/>
    <w:rsid w:val="000F5855"/>
    <w:rsid w:val="000F6FA7"/>
    <w:rsid w:val="000F77D6"/>
    <w:rsid w:val="00100142"/>
    <w:rsid w:val="00102B64"/>
    <w:rsid w:val="00105281"/>
    <w:rsid w:val="00105AF3"/>
    <w:rsid w:val="001107FF"/>
    <w:rsid w:val="00113430"/>
    <w:rsid w:val="00113AE0"/>
    <w:rsid w:val="001158FE"/>
    <w:rsid w:val="00115CCB"/>
    <w:rsid w:val="00116EB2"/>
    <w:rsid w:val="00117195"/>
    <w:rsid w:val="00120271"/>
    <w:rsid w:val="0012092C"/>
    <w:rsid w:val="00122831"/>
    <w:rsid w:val="001235DD"/>
    <w:rsid w:val="00124609"/>
    <w:rsid w:val="00125F4F"/>
    <w:rsid w:val="001270EB"/>
    <w:rsid w:val="00127CAB"/>
    <w:rsid w:val="00130196"/>
    <w:rsid w:val="0013057E"/>
    <w:rsid w:val="001337EF"/>
    <w:rsid w:val="00133FC8"/>
    <w:rsid w:val="00134BD7"/>
    <w:rsid w:val="00136716"/>
    <w:rsid w:val="00136A08"/>
    <w:rsid w:val="001373F1"/>
    <w:rsid w:val="001435CC"/>
    <w:rsid w:val="001436FC"/>
    <w:rsid w:val="001450FB"/>
    <w:rsid w:val="0014511E"/>
    <w:rsid w:val="00145982"/>
    <w:rsid w:val="00145ACE"/>
    <w:rsid w:val="00146F42"/>
    <w:rsid w:val="00151F61"/>
    <w:rsid w:val="001521CB"/>
    <w:rsid w:val="001539E0"/>
    <w:rsid w:val="0015451B"/>
    <w:rsid w:val="0015496E"/>
    <w:rsid w:val="00155113"/>
    <w:rsid w:val="0015602B"/>
    <w:rsid w:val="001566F6"/>
    <w:rsid w:val="001573E4"/>
    <w:rsid w:val="00160756"/>
    <w:rsid w:val="00162584"/>
    <w:rsid w:val="00164658"/>
    <w:rsid w:val="00164FB1"/>
    <w:rsid w:val="0016509D"/>
    <w:rsid w:val="00165247"/>
    <w:rsid w:val="001653F3"/>
    <w:rsid w:val="00165C87"/>
    <w:rsid w:val="001666AA"/>
    <w:rsid w:val="00166BD2"/>
    <w:rsid w:val="001711CC"/>
    <w:rsid w:val="0017232E"/>
    <w:rsid w:val="00173AE6"/>
    <w:rsid w:val="00173DC1"/>
    <w:rsid w:val="00174102"/>
    <w:rsid w:val="001756AF"/>
    <w:rsid w:val="00177121"/>
    <w:rsid w:val="001778E3"/>
    <w:rsid w:val="00180157"/>
    <w:rsid w:val="00181C46"/>
    <w:rsid w:val="001832C7"/>
    <w:rsid w:val="00186831"/>
    <w:rsid w:val="00186F77"/>
    <w:rsid w:val="001901A4"/>
    <w:rsid w:val="00190F24"/>
    <w:rsid w:val="00191C6F"/>
    <w:rsid w:val="00192441"/>
    <w:rsid w:val="001926A4"/>
    <w:rsid w:val="001934E9"/>
    <w:rsid w:val="00193ED7"/>
    <w:rsid w:val="001968BD"/>
    <w:rsid w:val="001A2C0A"/>
    <w:rsid w:val="001A3CDA"/>
    <w:rsid w:val="001A6790"/>
    <w:rsid w:val="001B0C3B"/>
    <w:rsid w:val="001B2363"/>
    <w:rsid w:val="001B3ABC"/>
    <w:rsid w:val="001B45A0"/>
    <w:rsid w:val="001B4A7D"/>
    <w:rsid w:val="001B684F"/>
    <w:rsid w:val="001B6C15"/>
    <w:rsid w:val="001C027D"/>
    <w:rsid w:val="001C13CD"/>
    <w:rsid w:val="001C17B3"/>
    <w:rsid w:val="001C1BC0"/>
    <w:rsid w:val="001C2EE8"/>
    <w:rsid w:val="001C3452"/>
    <w:rsid w:val="001C5079"/>
    <w:rsid w:val="001C5EF2"/>
    <w:rsid w:val="001C5F6B"/>
    <w:rsid w:val="001C6748"/>
    <w:rsid w:val="001D055E"/>
    <w:rsid w:val="001D0C65"/>
    <w:rsid w:val="001D0CE3"/>
    <w:rsid w:val="001D3A5B"/>
    <w:rsid w:val="001D5BEB"/>
    <w:rsid w:val="001D60FF"/>
    <w:rsid w:val="001D7698"/>
    <w:rsid w:val="001D7FB7"/>
    <w:rsid w:val="001E01B4"/>
    <w:rsid w:val="001E14C2"/>
    <w:rsid w:val="001E2F01"/>
    <w:rsid w:val="001E4665"/>
    <w:rsid w:val="001E48B3"/>
    <w:rsid w:val="001E5AEE"/>
    <w:rsid w:val="001E6FDD"/>
    <w:rsid w:val="001F03EF"/>
    <w:rsid w:val="001F0EC9"/>
    <w:rsid w:val="001F1548"/>
    <w:rsid w:val="001F1B78"/>
    <w:rsid w:val="001F22EE"/>
    <w:rsid w:val="001F2577"/>
    <w:rsid w:val="001F3530"/>
    <w:rsid w:val="001F492E"/>
    <w:rsid w:val="001F6DA3"/>
    <w:rsid w:val="001F7575"/>
    <w:rsid w:val="00201136"/>
    <w:rsid w:val="0020132A"/>
    <w:rsid w:val="00201C06"/>
    <w:rsid w:val="00203300"/>
    <w:rsid w:val="0020376D"/>
    <w:rsid w:val="002045E5"/>
    <w:rsid w:val="0020489F"/>
    <w:rsid w:val="002050F5"/>
    <w:rsid w:val="002062A9"/>
    <w:rsid w:val="002065C6"/>
    <w:rsid w:val="002072A2"/>
    <w:rsid w:val="00207D5B"/>
    <w:rsid w:val="0021027A"/>
    <w:rsid w:val="0021147E"/>
    <w:rsid w:val="00212D2F"/>
    <w:rsid w:val="00213CF6"/>
    <w:rsid w:val="00214FBA"/>
    <w:rsid w:val="0021500B"/>
    <w:rsid w:val="00215E19"/>
    <w:rsid w:val="002164FB"/>
    <w:rsid w:val="00216865"/>
    <w:rsid w:val="00217C29"/>
    <w:rsid w:val="002214D9"/>
    <w:rsid w:val="002216F5"/>
    <w:rsid w:val="00222F04"/>
    <w:rsid w:val="00224DB9"/>
    <w:rsid w:val="00224EE7"/>
    <w:rsid w:val="002276F0"/>
    <w:rsid w:val="00227C97"/>
    <w:rsid w:val="00230D26"/>
    <w:rsid w:val="00231C73"/>
    <w:rsid w:val="00232A71"/>
    <w:rsid w:val="00232FBD"/>
    <w:rsid w:val="002338A0"/>
    <w:rsid w:val="00237048"/>
    <w:rsid w:val="00240AA4"/>
    <w:rsid w:val="002427B3"/>
    <w:rsid w:val="00242C25"/>
    <w:rsid w:val="00243222"/>
    <w:rsid w:val="00243347"/>
    <w:rsid w:val="002438D9"/>
    <w:rsid w:val="00245913"/>
    <w:rsid w:val="00247473"/>
    <w:rsid w:val="00250859"/>
    <w:rsid w:val="002515C3"/>
    <w:rsid w:val="002516A1"/>
    <w:rsid w:val="00251745"/>
    <w:rsid w:val="00251C37"/>
    <w:rsid w:val="00251D74"/>
    <w:rsid w:val="00260FB9"/>
    <w:rsid w:val="00261C02"/>
    <w:rsid w:val="00262F65"/>
    <w:rsid w:val="00263AC0"/>
    <w:rsid w:val="002649D2"/>
    <w:rsid w:val="002649D8"/>
    <w:rsid w:val="00265486"/>
    <w:rsid w:val="0026772D"/>
    <w:rsid w:val="00270A51"/>
    <w:rsid w:val="00270AF4"/>
    <w:rsid w:val="0027318A"/>
    <w:rsid w:val="00275002"/>
    <w:rsid w:val="00275927"/>
    <w:rsid w:val="002762EA"/>
    <w:rsid w:val="00276A9F"/>
    <w:rsid w:val="00277570"/>
    <w:rsid w:val="002817AB"/>
    <w:rsid w:val="002828A0"/>
    <w:rsid w:val="00283BF8"/>
    <w:rsid w:val="0028440E"/>
    <w:rsid w:val="0028521F"/>
    <w:rsid w:val="00285B8A"/>
    <w:rsid w:val="00286866"/>
    <w:rsid w:val="00286874"/>
    <w:rsid w:val="00291658"/>
    <w:rsid w:val="0029246F"/>
    <w:rsid w:val="00294653"/>
    <w:rsid w:val="00294D01"/>
    <w:rsid w:val="00296B65"/>
    <w:rsid w:val="00296D07"/>
    <w:rsid w:val="00296DD3"/>
    <w:rsid w:val="002A0450"/>
    <w:rsid w:val="002A0AF0"/>
    <w:rsid w:val="002A1B5C"/>
    <w:rsid w:val="002A2900"/>
    <w:rsid w:val="002A3CF2"/>
    <w:rsid w:val="002A4EF8"/>
    <w:rsid w:val="002A7439"/>
    <w:rsid w:val="002A7729"/>
    <w:rsid w:val="002A7C78"/>
    <w:rsid w:val="002A7DEF"/>
    <w:rsid w:val="002B0749"/>
    <w:rsid w:val="002B0DAE"/>
    <w:rsid w:val="002B1949"/>
    <w:rsid w:val="002B1B50"/>
    <w:rsid w:val="002B3B2D"/>
    <w:rsid w:val="002B6FD1"/>
    <w:rsid w:val="002B720D"/>
    <w:rsid w:val="002C2278"/>
    <w:rsid w:val="002C2A63"/>
    <w:rsid w:val="002C341F"/>
    <w:rsid w:val="002C3E5B"/>
    <w:rsid w:val="002C42B0"/>
    <w:rsid w:val="002C4965"/>
    <w:rsid w:val="002C581B"/>
    <w:rsid w:val="002C621D"/>
    <w:rsid w:val="002C6B96"/>
    <w:rsid w:val="002C6DD3"/>
    <w:rsid w:val="002D104A"/>
    <w:rsid w:val="002D1734"/>
    <w:rsid w:val="002D37FB"/>
    <w:rsid w:val="002D484E"/>
    <w:rsid w:val="002D4A1F"/>
    <w:rsid w:val="002E29A0"/>
    <w:rsid w:val="002E5E33"/>
    <w:rsid w:val="002E6254"/>
    <w:rsid w:val="002E64AB"/>
    <w:rsid w:val="002F02A4"/>
    <w:rsid w:val="002F22FD"/>
    <w:rsid w:val="002F2481"/>
    <w:rsid w:val="002F3D02"/>
    <w:rsid w:val="002F4F34"/>
    <w:rsid w:val="002F7986"/>
    <w:rsid w:val="00300C0B"/>
    <w:rsid w:val="00302012"/>
    <w:rsid w:val="00302D83"/>
    <w:rsid w:val="003061FA"/>
    <w:rsid w:val="003062C2"/>
    <w:rsid w:val="00306DD8"/>
    <w:rsid w:val="00307F6D"/>
    <w:rsid w:val="003105F5"/>
    <w:rsid w:val="003106BC"/>
    <w:rsid w:val="0031318F"/>
    <w:rsid w:val="003152BD"/>
    <w:rsid w:val="003153EB"/>
    <w:rsid w:val="003171C6"/>
    <w:rsid w:val="003177A2"/>
    <w:rsid w:val="00317A81"/>
    <w:rsid w:val="003208C0"/>
    <w:rsid w:val="00321853"/>
    <w:rsid w:val="00322300"/>
    <w:rsid w:val="00323CE7"/>
    <w:rsid w:val="003243B4"/>
    <w:rsid w:val="003271B5"/>
    <w:rsid w:val="003274A9"/>
    <w:rsid w:val="0032770E"/>
    <w:rsid w:val="00331264"/>
    <w:rsid w:val="00332F5D"/>
    <w:rsid w:val="00334C8D"/>
    <w:rsid w:val="00336D50"/>
    <w:rsid w:val="003375A4"/>
    <w:rsid w:val="00337F4F"/>
    <w:rsid w:val="003401B9"/>
    <w:rsid w:val="00341169"/>
    <w:rsid w:val="00342870"/>
    <w:rsid w:val="00343BF7"/>
    <w:rsid w:val="003453C8"/>
    <w:rsid w:val="00346F05"/>
    <w:rsid w:val="0035089F"/>
    <w:rsid w:val="00350C95"/>
    <w:rsid w:val="003518B3"/>
    <w:rsid w:val="00351FDC"/>
    <w:rsid w:val="00352DA8"/>
    <w:rsid w:val="00354887"/>
    <w:rsid w:val="00354A9E"/>
    <w:rsid w:val="0035522A"/>
    <w:rsid w:val="00355875"/>
    <w:rsid w:val="00355CDD"/>
    <w:rsid w:val="00355D1A"/>
    <w:rsid w:val="00355D2F"/>
    <w:rsid w:val="00356706"/>
    <w:rsid w:val="00356E72"/>
    <w:rsid w:val="00361D84"/>
    <w:rsid w:val="00362ABA"/>
    <w:rsid w:val="003642AD"/>
    <w:rsid w:val="00366515"/>
    <w:rsid w:val="00367226"/>
    <w:rsid w:val="003715C8"/>
    <w:rsid w:val="00371F3A"/>
    <w:rsid w:val="003749F7"/>
    <w:rsid w:val="00375E24"/>
    <w:rsid w:val="00376373"/>
    <w:rsid w:val="00383C6B"/>
    <w:rsid w:val="003846F1"/>
    <w:rsid w:val="00384A55"/>
    <w:rsid w:val="00384B54"/>
    <w:rsid w:val="00386C86"/>
    <w:rsid w:val="003874F8"/>
    <w:rsid w:val="003904D2"/>
    <w:rsid w:val="00395B4C"/>
    <w:rsid w:val="00397EB2"/>
    <w:rsid w:val="003A0810"/>
    <w:rsid w:val="003A0CB8"/>
    <w:rsid w:val="003A1F17"/>
    <w:rsid w:val="003A3E2D"/>
    <w:rsid w:val="003A41E0"/>
    <w:rsid w:val="003A431D"/>
    <w:rsid w:val="003A4B6B"/>
    <w:rsid w:val="003A7DC0"/>
    <w:rsid w:val="003B0D56"/>
    <w:rsid w:val="003B282E"/>
    <w:rsid w:val="003B40ED"/>
    <w:rsid w:val="003B4804"/>
    <w:rsid w:val="003B4D9B"/>
    <w:rsid w:val="003B6F90"/>
    <w:rsid w:val="003C0710"/>
    <w:rsid w:val="003C24A9"/>
    <w:rsid w:val="003C2B22"/>
    <w:rsid w:val="003C2BC1"/>
    <w:rsid w:val="003C30E5"/>
    <w:rsid w:val="003C3C98"/>
    <w:rsid w:val="003C3D77"/>
    <w:rsid w:val="003C62E9"/>
    <w:rsid w:val="003C7164"/>
    <w:rsid w:val="003C7B5B"/>
    <w:rsid w:val="003C7EFA"/>
    <w:rsid w:val="003D30EE"/>
    <w:rsid w:val="003D5258"/>
    <w:rsid w:val="003E1341"/>
    <w:rsid w:val="003E3C33"/>
    <w:rsid w:val="003E47DC"/>
    <w:rsid w:val="003E521D"/>
    <w:rsid w:val="003E74FF"/>
    <w:rsid w:val="003E78A9"/>
    <w:rsid w:val="003F004E"/>
    <w:rsid w:val="003F0289"/>
    <w:rsid w:val="003F0CEC"/>
    <w:rsid w:val="003F3672"/>
    <w:rsid w:val="003F3BAF"/>
    <w:rsid w:val="003F54CB"/>
    <w:rsid w:val="003F57F1"/>
    <w:rsid w:val="003F5F74"/>
    <w:rsid w:val="003F66C5"/>
    <w:rsid w:val="003F75C8"/>
    <w:rsid w:val="00401B53"/>
    <w:rsid w:val="00402142"/>
    <w:rsid w:val="00403473"/>
    <w:rsid w:val="004034C5"/>
    <w:rsid w:val="00404492"/>
    <w:rsid w:val="00404504"/>
    <w:rsid w:val="00405B42"/>
    <w:rsid w:val="00407337"/>
    <w:rsid w:val="00410584"/>
    <w:rsid w:val="00411897"/>
    <w:rsid w:val="00412176"/>
    <w:rsid w:val="00414488"/>
    <w:rsid w:val="00414EA6"/>
    <w:rsid w:val="00415788"/>
    <w:rsid w:val="004157C0"/>
    <w:rsid w:val="00416641"/>
    <w:rsid w:val="004176E8"/>
    <w:rsid w:val="00421154"/>
    <w:rsid w:val="0042429B"/>
    <w:rsid w:val="00424809"/>
    <w:rsid w:val="004253D6"/>
    <w:rsid w:val="004265E8"/>
    <w:rsid w:val="004303EE"/>
    <w:rsid w:val="00436F76"/>
    <w:rsid w:val="00440D85"/>
    <w:rsid w:val="00441A99"/>
    <w:rsid w:val="00442767"/>
    <w:rsid w:val="00442A4F"/>
    <w:rsid w:val="00444A48"/>
    <w:rsid w:val="00450611"/>
    <w:rsid w:val="004507A1"/>
    <w:rsid w:val="0045129B"/>
    <w:rsid w:val="004518EA"/>
    <w:rsid w:val="00453327"/>
    <w:rsid w:val="00456C20"/>
    <w:rsid w:val="00462CFF"/>
    <w:rsid w:val="00465210"/>
    <w:rsid w:val="00470AF4"/>
    <w:rsid w:val="00470DEA"/>
    <w:rsid w:val="00470EE9"/>
    <w:rsid w:val="0047130B"/>
    <w:rsid w:val="00471992"/>
    <w:rsid w:val="00471E68"/>
    <w:rsid w:val="0047346C"/>
    <w:rsid w:val="00477821"/>
    <w:rsid w:val="0048018F"/>
    <w:rsid w:val="00480B4B"/>
    <w:rsid w:val="00480DA9"/>
    <w:rsid w:val="004831F8"/>
    <w:rsid w:val="00484B21"/>
    <w:rsid w:val="00485541"/>
    <w:rsid w:val="00485752"/>
    <w:rsid w:val="00485DC4"/>
    <w:rsid w:val="00485FA5"/>
    <w:rsid w:val="00487C10"/>
    <w:rsid w:val="004923CD"/>
    <w:rsid w:val="00492A06"/>
    <w:rsid w:val="00493B02"/>
    <w:rsid w:val="00494036"/>
    <w:rsid w:val="00495574"/>
    <w:rsid w:val="0049751C"/>
    <w:rsid w:val="004A0AB5"/>
    <w:rsid w:val="004A1061"/>
    <w:rsid w:val="004A1184"/>
    <w:rsid w:val="004A13A6"/>
    <w:rsid w:val="004A2770"/>
    <w:rsid w:val="004A364A"/>
    <w:rsid w:val="004B0718"/>
    <w:rsid w:val="004B104F"/>
    <w:rsid w:val="004B1708"/>
    <w:rsid w:val="004B231C"/>
    <w:rsid w:val="004B42A7"/>
    <w:rsid w:val="004B4412"/>
    <w:rsid w:val="004B5B3F"/>
    <w:rsid w:val="004C28B2"/>
    <w:rsid w:val="004C348C"/>
    <w:rsid w:val="004C4E90"/>
    <w:rsid w:val="004C571B"/>
    <w:rsid w:val="004C63B9"/>
    <w:rsid w:val="004C6486"/>
    <w:rsid w:val="004C690D"/>
    <w:rsid w:val="004C6C5B"/>
    <w:rsid w:val="004D1587"/>
    <w:rsid w:val="004D1774"/>
    <w:rsid w:val="004D4A76"/>
    <w:rsid w:val="004D5447"/>
    <w:rsid w:val="004D55BA"/>
    <w:rsid w:val="004E1B1C"/>
    <w:rsid w:val="004E1E95"/>
    <w:rsid w:val="004E2922"/>
    <w:rsid w:val="004E34E7"/>
    <w:rsid w:val="004E4142"/>
    <w:rsid w:val="004E6AFC"/>
    <w:rsid w:val="004E755C"/>
    <w:rsid w:val="004E7D10"/>
    <w:rsid w:val="004F171D"/>
    <w:rsid w:val="004F18F3"/>
    <w:rsid w:val="004F6D0A"/>
    <w:rsid w:val="004F6ED0"/>
    <w:rsid w:val="00501B85"/>
    <w:rsid w:val="0050244E"/>
    <w:rsid w:val="00502843"/>
    <w:rsid w:val="005029B5"/>
    <w:rsid w:val="00502D42"/>
    <w:rsid w:val="005033F6"/>
    <w:rsid w:val="005047F1"/>
    <w:rsid w:val="00505B5E"/>
    <w:rsid w:val="00506624"/>
    <w:rsid w:val="00510A43"/>
    <w:rsid w:val="0051778B"/>
    <w:rsid w:val="005177C0"/>
    <w:rsid w:val="00522360"/>
    <w:rsid w:val="00522486"/>
    <w:rsid w:val="00522668"/>
    <w:rsid w:val="00523AD2"/>
    <w:rsid w:val="00524513"/>
    <w:rsid w:val="00527551"/>
    <w:rsid w:val="005279B6"/>
    <w:rsid w:val="00530128"/>
    <w:rsid w:val="00530657"/>
    <w:rsid w:val="005323B2"/>
    <w:rsid w:val="00532467"/>
    <w:rsid w:val="0053491C"/>
    <w:rsid w:val="00534DD9"/>
    <w:rsid w:val="0053611E"/>
    <w:rsid w:val="0054102B"/>
    <w:rsid w:val="0054173F"/>
    <w:rsid w:val="0054254C"/>
    <w:rsid w:val="00543945"/>
    <w:rsid w:val="00543BEC"/>
    <w:rsid w:val="00544C6F"/>
    <w:rsid w:val="00546B16"/>
    <w:rsid w:val="00547DC4"/>
    <w:rsid w:val="005502E7"/>
    <w:rsid w:val="00551739"/>
    <w:rsid w:val="00551D6B"/>
    <w:rsid w:val="00552DA2"/>
    <w:rsid w:val="00552F68"/>
    <w:rsid w:val="00555667"/>
    <w:rsid w:val="005556B9"/>
    <w:rsid w:val="00556B64"/>
    <w:rsid w:val="005575B9"/>
    <w:rsid w:val="00560CE5"/>
    <w:rsid w:val="00562103"/>
    <w:rsid w:val="00562CEE"/>
    <w:rsid w:val="00562EF1"/>
    <w:rsid w:val="00564A4D"/>
    <w:rsid w:val="00565239"/>
    <w:rsid w:val="005656E2"/>
    <w:rsid w:val="00565F50"/>
    <w:rsid w:val="0056783F"/>
    <w:rsid w:val="005703C9"/>
    <w:rsid w:val="005707D4"/>
    <w:rsid w:val="00571680"/>
    <w:rsid w:val="00571B35"/>
    <w:rsid w:val="005722FF"/>
    <w:rsid w:val="00572D20"/>
    <w:rsid w:val="00572DEC"/>
    <w:rsid w:val="00573042"/>
    <w:rsid w:val="00574241"/>
    <w:rsid w:val="00575C43"/>
    <w:rsid w:val="00577A09"/>
    <w:rsid w:val="00577F68"/>
    <w:rsid w:val="00580E72"/>
    <w:rsid w:val="005810AE"/>
    <w:rsid w:val="005819F3"/>
    <w:rsid w:val="00582446"/>
    <w:rsid w:val="005839B3"/>
    <w:rsid w:val="00584D8F"/>
    <w:rsid w:val="00585D42"/>
    <w:rsid w:val="00587CFB"/>
    <w:rsid w:val="0059539A"/>
    <w:rsid w:val="00595613"/>
    <w:rsid w:val="00595ED0"/>
    <w:rsid w:val="00596275"/>
    <w:rsid w:val="00596DE3"/>
    <w:rsid w:val="005A1287"/>
    <w:rsid w:val="005A1339"/>
    <w:rsid w:val="005A3B2C"/>
    <w:rsid w:val="005A3F7E"/>
    <w:rsid w:val="005A404D"/>
    <w:rsid w:val="005A42D5"/>
    <w:rsid w:val="005A5467"/>
    <w:rsid w:val="005A5657"/>
    <w:rsid w:val="005A6CB0"/>
    <w:rsid w:val="005A6F22"/>
    <w:rsid w:val="005A731B"/>
    <w:rsid w:val="005B0461"/>
    <w:rsid w:val="005B0EF5"/>
    <w:rsid w:val="005B1402"/>
    <w:rsid w:val="005B1E3C"/>
    <w:rsid w:val="005B3A64"/>
    <w:rsid w:val="005B62AF"/>
    <w:rsid w:val="005B7F8F"/>
    <w:rsid w:val="005C26CC"/>
    <w:rsid w:val="005C3411"/>
    <w:rsid w:val="005C3D54"/>
    <w:rsid w:val="005C3DEC"/>
    <w:rsid w:val="005C4A13"/>
    <w:rsid w:val="005C4E3D"/>
    <w:rsid w:val="005C4F80"/>
    <w:rsid w:val="005C53C0"/>
    <w:rsid w:val="005C546A"/>
    <w:rsid w:val="005C553B"/>
    <w:rsid w:val="005C592F"/>
    <w:rsid w:val="005C5D2E"/>
    <w:rsid w:val="005C5E72"/>
    <w:rsid w:val="005D051E"/>
    <w:rsid w:val="005D24A9"/>
    <w:rsid w:val="005D2FBD"/>
    <w:rsid w:val="005D3BC7"/>
    <w:rsid w:val="005D5ECD"/>
    <w:rsid w:val="005D69AF"/>
    <w:rsid w:val="005E0B7E"/>
    <w:rsid w:val="005E2086"/>
    <w:rsid w:val="005E6FFA"/>
    <w:rsid w:val="005E7718"/>
    <w:rsid w:val="005F0661"/>
    <w:rsid w:val="005F0CD5"/>
    <w:rsid w:val="005F69C4"/>
    <w:rsid w:val="005F6ADE"/>
    <w:rsid w:val="005F702C"/>
    <w:rsid w:val="005F7247"/>
    <w:rsid w:val="00600B2D"/>
    <w:rsid w:val="00602A58"/>
    <w:rsid w:val="00602C7C"/>
    <w:rsid w:val="00603914"/>
    <w:rsid w:val="00604DB6"/>
    <w:rsid w:val="006057DD"/>
    <w:rsid w:val="00607BA0"/>
    <w:rsid w:val="00610304"/>
    <w:rsid w:val="00612006"/>
    <w:rsid w:val="00613324"/>
    <w:rsid w:val="00613DEC"/>
    <w:rsid w:val="00615619"/>
    <w:rsid w:val="00615C6B"/>
    <w:rsid w:val="00616CEC"/>
    <w:rsid w:val="00620B1B"/>
    <w:rsid w:val="00621545"/>
    <w:rsid w:val="0062525D"/>
    <w:rsid w:val="00626A3A"/>
    <w:rsid w:val="00626E1A"/>
    <w:rsid w:val="00627B2D"/>
    <w:rsid w:val="0063066D"/>
    <w:rsid w:val="006309A2"/>
    <w:rsid w:val="00630A15"/>
    <w:rsid w:val="00631560"/>
    <w:rsid w:val="006319C1"/>
    <w:rsid w:val="00632D6D"/>
    <w:rsid w:val="00634D01"/>
    <w:rsid w:val="0063567F"/>
    <w:rsid w:val="00636936"/>
    <w:rsid w:val="006411E6"/>
    <w:rsid w:val="00642C3E"/>
    <w:rsid w:val="00644F6E"/>
    <w:rsid w:val="006471D4"/>
    <w:rsid w:val="00647804"/>
    <w:rsid w:val="0065049E"/>
    <w:rsid w:val="00651005"/>
    <w:rsid w:val="0065226B"/>
    <w:rsid w:val="0065567D"/>
    <w:rsid w:val="006556AA"/>
    <w:rsid w:val="00656588"/>
    <w:rsid w:val="0065661E"/>
    <w:rsid w:val="006566B8"/>
    <w:rsid w:val="006569A5"/>
    <w:rsid w:val="006573B5"/>
    <w:rsid w:val="0066094A"/>
    <w:rsid w:val="00660F82"/>
    <w:rsid w:val="00661F88"/>
    <w:rsid w:val="006621AB"/>
    <w:rsid w:val="00663DAD"/>
    <w:rsid w:val="00665ACC"/>
    <w:rsid w:val="00665C0C"/>
    <w:rsid w:val="00666226"/>
    <w:rsid w:val="00667B09"/>
    <w:rsid w:val="0067180B"/>
    <w:rsid w:val="00673D15"/>
    <w:rsid w:val="006741D4"/>
    <w:rsid w:val="00675E21"/>
    <w:rsid w:val="00676679"/>
    <w:rsid w:val="00677233"/>
    <w:rsid w:val="006777D7"/>
    <w:rsid w:val="00685E71"/>
    <w:rsid w:val="00686411"/>
    <w:rsid w:val="00687AA8"/>
    <w:rsid w:val="00694FD6"/>
    <w:rsid w:val="0069547C"/>
    <w:rsid w:val="006956EC"/>
    <w:rsid w:val="006A0411"/>
    <w:rsid w:val="006A1226"/>
    <w:rsid w:val="006A20CE"/>
    <w:rsid w:val="006A21CD"/>
    <w:rsid w:val="006A35B0"/>
    <w:rsid w:val="006A6EDD"/>
    <w:rsid w:val="006A7C64"/>
    <w:rsid w:val="006B0C7B"/>
    <w:rsid w:val="006B0D12"/>
    <w:rsid w:val="006B245C"/>
    <w:rsid w:val="006B32F3"/>
    <w:rsid w:val="006B4CF9"/>
    <w:rsid w:val="006B4D9B"/>
    <w:rsid w:val="006B6CC3"/>
    <w:rsid w:val="006B77F5"/>
    <w:rsid w:val="006B7AC8"/>
    <w:rsid w:val="006C196C"/>
    <w:rsid w:val="006C1E8B"/>
    <w:rsid w:val="006C2373"/>
    <w:rsid w:val="006C318F"/>
    <w:rsid w:val="006C3620"/>
    <w:rsid w:val="006C41C4"/>
    <w:rsid w:val="006C447D"/>
    <w:rsid w:val="006C5B09"/>
    <w:rsid w:val="006C62B7"/>
    <w:rsid w:val="006D0C1E"/>
    <w:rsid w:val="006D1D94"/>
    <w:rsid w:val="006D3561"/>
    <w:rsid w:val="006D38CE"/>
    <w:rsid w:val="006D448B"/>
    <w:rsid w:val="006D550F"/>
    <w:rsid w:val="006D5B9F"/>
    <w:rsid w:val="006D6001"/>
    <w:rsid w:val="006D6AE2"/>
    <w:rsid w:val="006D7923"/>
    <w:rsid w:val="006E0523"/>
    <w:rsid w:val="006E1E7D"/>
    <w:rsid w:val="006E218F"/>
    <w:rsid w:val="006E244A"/>
    <w:rsid w:val="006E5F3E"/>
    <w:rsid w:val="006E78CF"/>
    <w:rsid w:val="006F0601"/>
    <w:rsid w:val="006F0B74"/>
    <w:rsid w:val="006F0D76"/>
    <w:rsid w:val="006F1044"/>
    <w:rsid w:val="006F3750"/>
    <w:rsid w:val="006F393C"/>
    <w:rsid w:val="006F3FCB"/>
    <w:rsid w:val="006F48AA"/>
    <w:rsid w:val="006F4C38"/>
    <w:rsid w:val="006F59F0"/>
    <w:rsid w:val="006F6C2D"/>
    <w:rsid w:val="00700DAB"/>
    <w:rsid w:val="00701CAB"/>
    <w:rsid w:val="007037F6"/>
    <w:rsid w:val="00704518"/>
    <w:rsid w:val="00704CA4"/>
    <w:rsid w:val="00707011"/>
    <w:rsid w:val="00707563"/>
    <w:rsid w:val="00710AAD"/>
    <w:rsid w:val="00711BF6"/>
    <w:rsid w:val="00712D03"/>
    <w:rsid w:val="007140F2"/>
    <w:rsid w:val="00716355"/>
    <w:rsid w:val="0071735A"/>
    <w:rsid w:val="0072073C"/>
    <w:rsid w:val="00720AB2"/>
    <w:rsid w:val="0072348C"/>
    <w:rsid w:val="007241D7"/>
    <w:rsid w:val="007247EC"/>
    <w:rsid w:val="00724827"/>
    <w:rsid w:val="00724A37"/>
    <w:rsid w:val="00724BF3"/>
    <w:rsid w:val="00727D4D"/>
    <w:rsid w:val="007303C3"/>
    <w:rsid w:val="00731860"/>
    <w:rsid w:val="00731F13"/>
    <w:rsid w:val="0073214E"/>
    <w:rsid w:val="0073561F"/>
    <w:rsid w:val="007356A7"/>
    <w:rsid w:val="00741247"/>
    <w:rsid w:val="00741D03"/>
    <w:rsid w:val="007426D5"/>
    <w:rsid w:val="00743223"/>
    <w:rsid w:val="00743977"/>
    <w:rsid w:val="00746063"/>
    <w:rsid w:val="00746E01"/>
    <w:rsid w:val="00747D2F"/>
    <w:rsid w:val="00751821"/>
    <w:rsid w:val="007532DD"/>
    <w:rsid w:val="00753ADA"/>
    <w:rsid w:val="00757A68"/>
    <w:rsid w:val="00760FD8"/>
    <w:rsid w:val="007618A3"/>
    <w:rsid w:val="00762D41"/>
    <w:rsid w:val="00763E5D"/>
    <w:rsid w:val="00764C7F"/>
    <w:rsid w:val="00767740"/>
    <w:rsid w:val="00771822"/>
    <w:rsid w:val="00772A95"/>
    <w:rsid w:val="00777EE6"/>
    <w:rsid w:val="00780452"/>
    <w:rsid w:val="00781A01"/>
    <w:rsid w:val="00782EEA"/>
    <w:rsid w:val="0078319A"/>
    <w:rsid w:val="0078327B"/>
    <w:rsid w:val="00783D4E"/>
    <w:rsid w:val="00783E1A"/>
    <w:rsid w:val="00784059"/>
    <w:rsid w:val="0078423F"/>
    <w:rsid w:val="00784A7E"/>
    <w:rsid w:val="007861E0"/>
    <w:rsid w:val="0079277A"/>
    <w:rsid w:val="0079310A"/>
    <w:rsid w:val="007959E7"/>
    <w:rsid w:val="00796597"/>
    <w:rsid w:val="00796C78"/>
    <w:rsid w:val="00796D6A"/>
    <w:rsid w:val="007A1135"/>
    <w:rsid w:val="007A1428"/>
    <w:rsid w:val="007A1AB0"/>
    <w:rsid w:val="007A33E8"/>
    <w:rsid w:val="007A6656"/>
    <w:rsid w:val="007A7264"/>
    <w:rsid w:val="007B1732"/>
    <w:rsid w:val="007B19EC"/>
    <w:rsid w:val="007B2C72"/>
    <w:rsid w:val="007B3F68"/>
    <w:rsid w:val="007B497F"/>
    <w:rsid w:val="007B57F8"/>
    <w:rsid w:val="007B742A"/>
    <w:rsid w:val="007B78AB"/>
    <w:rsid w:val="007C1C53"/>
    <w:rsid w:val="007C2EE8"/>
    <w:rsid w:val="007C62FE"/>
    <w:rsid w:val="007C6FE2"/>
    <w:rsid w:val="007D1133"/>
    <w:rsid w:val="007D2028"/>
    <w:rsid w:val="007D47B2"/>
    <w:rsid w:val="007D53A8"/>
    <w:rsid w:val="007D6FC9"/>
    <w:rsid w:val="007E07E1"/>
    <w:rsid w:val="007E1516"/>
    <w:rsid w:val="007E4904"/>
    <w:rsid w:val="007E4CB5"/>
    <w:rsid w:val="007E5597"/>
    <w:rsid w:val="007E74E0"/>
    <w:rsid w:val="007F066B"/>
    <w:rsid w:val="007F0F77"/>
    <w:rsid w:val="007F2BBD"/>
    <w:rsid w:val="007F2D03"/>
    <w:rsid w:val="007F3B2C"/>
    <w:rsid w:val="007F43CB"/>
    <w:rsid w:val="007F475F"/>
    <w:rsid w:val="007F4AB4"/>
    <w:rsid w:val="007F5457"/>
    <w:rsid w:val="008011F4"/>
    <w:rsid w:val="008033C4"/>
    <w:rsid w:val="00806C88"/>
    <w:rsid w:val="00807112"/>
    <w:rsid w:val="00807A5C"/>
    <w:rsid w:val="0081034E"/>
    <w:rsid w:val="0081253D"/>
    <w:rsid w:val="00812E7B"/>
    <w:rsid w:val="0081351D"/>
    <w:rsid w:val="00813CE4"/>
    <w:rsid w:val="0081592A"/>
    <w:rsid w:val="00817724"/>
    <w:rsid w:val="008238B2"/>
    <w:rsid w:val="008245E2"/>
    <w:rsid w:val="008257CA"/>
    <w:rsid w:val="008301E7"/>
    <w:rsid w:val="00830FB1"/>
    <w:rsid w:val="00831483"/>
    <w:rsid w:val="008344B4"/>
    <w:rsid w:val="008344F6"/>
    <w:rsid w:val="0083510F"/>
    <w:rsid w:val="00835C8F"/>
    <w:rsid w:val="008366CD"/>
    <w:rsid w:val="00836890"/>
    <w:rsid w:val="008402B5"/>
    <w:rsid w:val="00840C6C"/>
    <w:rsid w:val="00840FCC"/>
    <w:rsid w:val="008445D3"/>
    <w:rsid w:val="00845396"/>
    <w:rsid w:val="00847ED9"/>
    <w:rsid w:val="00851209"/>
    <w:rsid w:val="0085188E"/>
    <w:rsid w:val="00851B46"/>
    <w:rsid w:val="00852B3D"/>
    <w:rsid w:val="008556A5"/>
    <w:rsid w:val="00856965"/>
    <w:rsid w:val="00857917"/>
    <w:rsid w:val="00861AED"/>
    <w:rsid w:val="00864A9F"/>
    <w:rsid w:val="00867506"/>
    <w:rsid w:val="008707C1"/>
    <w:rsid w:val="00870903"/>
    <w:rsid w:val="0087280A"/>
    <w:rsid w:val="0087308C"/>
    <w:rsid w:val="0087350F"/>
    <w:rsid w:val="00873B1F"/>
    <w:rsid w:val="0087479D"/>
    <w:rsid w:val="0088120A"/>
    <w:rsid w:val="008837AC"/>
    <w:rsid w:val="00884D30"/>
    <w:rsid w:val="0088604D"/>
    <w:rsid w:val="00886319"/>
    <w:rsid w:val="00886662"/>
    <w:rsid w:val="00886BAB"/>
    <w:rsid w:val="00886CEC"/>
    <w:rsid w:val="00886FA8"/>
    <w:rsid w:val="00887EBF"/>
    <w:rsid w:val="008909FD"/>
    <w:rsid w:val="008934F4"/>
    <w:rsid w:val="00895878"/>
    <w:rsid w:val="00896C79"/>
    <w:rsid w:val="008A147B"/>
    <w:rsid w:val="008A157D"/>
    <w:rsid w:val="008A4DB6"/>
    <w:rsid w:val="008A587D"/>
    <w:rsid w:val="008A59AB"/>
    <w:rsid w:val="008A6198"/>
    <w:rsid w:val="008A7580"/>
    <w:rsid w:val="008A7E37"/>
    <w:rsid w:val="008B0D4C"/>
    <w:rsid w:val="008B22BE"/>
    <w:rsid w:val="008B416B"/>
    <w:rsid w:val="008B6DA5"/>
    <w:rsid w:val="008C094A"/>
    <w:rsid w:val="008C1149"/>
    <w:rsid w:val="008C1D7C"/>
    <w:rsid w:val="008C1FE0"/>
    <w:rsid w:val="008C4E0D"/>
    <w:rsid w:val="008C50F7"/>
    <w:rsid w:val="008C50FB"/>
    <w:rsid w:val="008C5486"/>
    <w:rsid w:val="008C6384"/>
    <w:rsid w:val="008C6B16"/>
    <w:rsid w:val="008D21CB"/>
    <w:rsid w:val="008D2CEE"/>
    <w:rsid w:val="008D3230"/>
    <w:rsid w:val="008D4820"/>
    <w:rsid w:val="008D4E23"/>
    <w:rsid w:val="008D6AC3"/>
    <w:rsid w:val="008E1E8E"/>
    <w:rsid w:val="008E2C54"/>
    <w:rsid w:val="008E535A"/>
    <w:rsid w:val="008E6CAE"/>
    <w:rsid w:val="008E7031"/>
    <w:rsid w:val="008F05DF"/>
    <w:rsid w:val="008F14C9"/>
    <w:rsid w:val="008F2DE1"/>
    <w:rsid w:val="008F2F48"/>
    <w:rsid w:val="008F4AD5"/>
    <w:rsid w:val="008F4C72"/>
    <w:rsid w:val="008F4DFD"/>
    <w:rsid w:val="008F6E27"/>
    <w:rsid w:val="008F6FC7"/>
    <w:rsid w:val="008F71C7"/>
    <w:rsid w:val="008F7954"/>
    <w:rsid w:val="009004F5"/>
    <w:rsid w:val="0090205B"/>
    <w:rsid w:val="0090239D"/>
    <w:rsid w:val="00902445"/>
    <w:rsid w:val="00903A78"/>
    <w:rsid w:val="009057E0"/>
    <w:rsid w:val="009064FC"/>
    <w:rsid w:val="0091130F"/>
    <w:rsid w:val="00913C7D"/>
    <w:rsid w:val="00914872"/>
    <w:rsid w:val="00914975"/>
    <w:rsid w:val="00914A87"/>
    <w:rsid w:val="00915BFF"/>
    <w:rsid w:val="0091710E"/>
    <w:rsid w:val="0092063C"/>
    <w:rsid w:val="0092084D"/>
    <w:rsid w:val="00921066"/>
    <w:rsid w:val="00921957"/>
    <w:rsid w:val="00922ACF"/>
    <w:rsid w:val="009233EE"/>
    <w:rsid w:val="00924207"/>
    <w:rsid w:val="0092422F"/>
    <w:rsid w:val="00925EDB"/>
    <w:rsid w:val="00932606"/>
    <w:rsid w:val="009335AE"/>
    <w:rsid w:val="00933B55"/>
    <w:rsid w:val="00936740"/>
    <w:rsid w:val="009377D8"/>
    <w:rsid w:val="00940393"/>
    <w:rsid w:val="0094150C"/>
    <w:rsid w:val="00941935"/>
    <w:rsid w:val="00942863"/>
    <w:rsid w:val="00944863"/>
    <w:rsid w:val="009456DC"/>
    <w:rsid w:val="00947919"/>
    <w:rsid w:val="0095059A"/>
    <w:rsid w:val="00950B15"/>
    <w:rsid w:val="0095158D"/>
    <w:rsid w:val="00952CF7"/>
    <w:rsid w:val="00953534"/>
    <w:rsid w:val="009540FA"/>
    <w:rsid w:val="00956C19"/>
    <w:rsid w:val="00957591"/>
    <w:rsid w:val="0095772E"/>
    <w:rsid w:val="00960AC5"/>
    <w:rsid w:val="00960C83"/>
    <w:rsid w:val="00963914"/>
    <w:rsid w:val="00963EC7"/>
    <w:rsid w:val="009661DE"/>
    <w:rsid w:val="009721AF"/>
    <w:rsid w:val="00972A40"/>
    <w:rsid w:val="00974CDB"/>
    <w:rsid w:val="009777E3"/>
    <w:rsid w:val="00981578"/>
    <w:rsid w:val="00981E7F"/>
    <w:rsid w:val="00982FEB"/>
    <w:rsid w:val="009837D1"/>
    <w:rsid w:val="00983EEC"/>
    <w:rsid w:val="009856B7"/>
    <w:rsid w:val="00985A66"/>
    <w:rsid w:val="0098646A"/>
    <w:rsid w:val="009920D2"/>
    <w:rsid w:val="009928BC"/>
    <w:rsid w:val="0099342A"/>
    <w:rsid w:val="009937B4"/>
    <w:rsid w:val="0099572C"/>
    <w:rsid w:val="009A090B"/>
    <w:rsid w:val="009A0A73"/>
    <w:rsid w:val="009A0EDF"/>
    <w:rsid w:val="009A14D0"/>
    <w:rsid w:val="009A3D22"/>
    <w:rsid w:val="009A4B08"/>
    <w:rsid w:val="009A574C"/>
    <w:rsid w:val="009A6D69"/>
    <w:rsid w:val="009B0884"/>
    <w:rsid w:val="009B1174"/>
    <w:rsid w:val="009B21F2"/>
    <w:rsid w:val="009B4E65"/>
    <w:rsid w:val="009B533B"/>
    <w:rsid w:val="009B5478"/>
    <w:rsid w:val="009B5D28"/>
    <w:rsid w:val="009B615C"/>
    <w:rsid w:val="009B69AA"/>
    <w:rsid w:val="009B74B0"/>
    <w:rsid w:val="009C01D7"/>
    <w:rsid w:val="009C05B5"/>
    <w:rsid w:val="009C1BE3"/>
    <w:rsid w:val="009C381D"/>
    <w:rsid w:val="009C4C5E"/>
    <w:rsid w:val="009C4FB9"/>
    <w:rsid w:val="009C6A83"/>
    <w:rsid w:val="009C77CC"/>
    <w:rsid w:val="009C7E88"/>
    <w:rsid w:val="009C7FDF"/>
    <w:rsid w:val="009D0843"/>
    <w:rsid w:val="009D0B16"/>
    <w:rsid w:val="009D3016"/>
    <w:rsid w:val="009D30B3"/>
    <w:rsid w:val="009D3902"/>
    <w:rsid w:val="009D47E3"/>
    <w:rsid w:val="009D633E"/>
    <w:rsid w:val="009D6B46"/>
    <w:rsid w:val="009E1209"/>
    <w:rsid w:val="009E1242"/>
    <w:rsid w:val="009E2520"/>
    <w:rsid w:val="009E2B88"/>
    <w:rsid w:val="009E464D"/>
    <w:rsid w:val="009E6668"/>
    <w:rsid w:val="009E7749"/>
    <w:rsid w:val="009E7AC6"/>
    <w:rsid w:val="009E7D2D"/>
    <w:rsid w:val="009F0336"/>
    <w:rsid w:val="009F0A79"/>
    <w:rsid w:val="009F1D03"/>
    <w:rsid w:val="009F1E42"/>
    <w:rsid w:val="009F2CAC"/>
    <w:rsid w:val="009F4806"/>
    <w:rsid w:val="009F4940"/>
    <w:rsid w:val="00A041F4"/>
    <w:rsid w:val="00A04451"/>
    <w:rsid w:val="00A04F9F"/>
    <w:rsid w:val="00A057D1"/>
    <w:rsid w:val="00A05BED"/>
    <w:rsid w:val="00A06AD1"/>
    <w:rsid w:val="00A06E0E"/>
    <w:rsid w:val="00A1210E"/>
    <w:rsid w:val="00A159BF"/>
    <w:rsid w:val="00A15E40"/>
    <w:rsid w:val="00A16975"/>
    <w:rsid w:val="00A16DAF"/>
    <w:rsid w:val="00A16F26"/>
    <w:rsid w:val="00A21F54"/>
    <w:rsid w:val="00A226E9"/>
    <w:rsid w:val="00A2302C"/>
    <w:rsid w:val="00A25353"/>
    <w:rsid w:val="00A26739"/>
    <w:rsid w:val="00A26C2F"/>
    <w:rsid w:val="00A30B76"/>
    <w:rsid w:val="00A3632A"/>
    <w:rsid w:val="00A42006"/>
    <w:rsid w:val="00A432BC"/>
    <w:rsid w:val="00A433FB"/>
    <w:rsid w:val="00A4478A"/>
    <w:rsid w:val="00A44852"/>
    <w:rsid w:val="00A45EAC"/>
    <w:rsid w:val="00A47A03"/>
    <w:rsid w:val="00A51B2B"/>
    <w:rsid w:val="00A52A18"/>
    <w:rsid w:val="00A5631E"/>
    <w:rsid w:val="00A575E8"/>
    <w:rsid w:val="00A57D04"/>
    <w:rsid w:val="00A57D69"/>
    <w:rsid w:val="00A60A26"/>
    <w:rsid w:val="00A61598"/>
    <w:rsid w:val="00A61DCF"/>
    <w:rsid w:val="00A63BF5"/>
    <w:rsid w:val="00A645F9"/>
    <w:rsid w:val="00A6477A"/>
    <w:rsid w:val="00A64EBB"/>
    <w:rsid w:val="00A672B8"/>
    <w:rsid w:val="00A6730F"/>
    <w:rsid w:val="00A679F2"/>
    <w:rsid w:val="00A70908"/>
    <w:rsid w:val="00A71AA6"/>
    <w:rsid w:val="00A75AAA"/>
    <w:rsid w:val="00A76044"/>
    <w:rsid w:val="00A81710"/>
    <w:rsid w:val="00A81EF8"/>
    <w:rsid w:val="00A8219E"/>
    <w:rsid w:val="00A84149"/>
    <w:rsid w:val="00A84E2D"/>
    <w:rsid w:val="00A84F46"/>
    <w:rsid w:val="00A8665E"/>
    <w:rsid w:val="00A86E14"/>
    <w:rsid w:val="00A871F4"/>
    <w:rsid w:val="00A87F90"/>
    <w:rsid w:val="00A912B1"/>
    <w:rsid w:val="00A91A4B"/>
    <w:rsid w:val="00A923DD"/>
    <w:rsid w:val="00A9455D"/>
    <w:rsid w:val="00A94D89"/>
    <w:rsid w:val="00A956AD"/>
    <w:rsid w:val="00A96CE0"/>
    <w:rsid w:val="00A971A0"/>
    <w:rsid w:val="00AA0CEB"/>
    <w:rsid w:val="00AA12D3"/>
    <w:rsid w:val="00AA39C0"/>
    <w:rsid w:val="00AA3A2C"/>
    <w:rsid w:val="00AA476F"/>
    <w:rsid w:val="00AA649A"/>
    <w:rsid w:val="00AA73F0"/>
    <w:rsid w:val="00AB6478"/>
    <w:rsid w:val="00AB6927"/>
    <w:rsid w:val="00AC0FE9"/>
    <w:rsid w:val="00AC1B2C"/>
    <w:rsid w:val="00AC1CF3"/>
    <w:rsid w:val="00AC242C"/>
    <w:rsid w:val="00AC3264"/>
    <w:rsid w:val="00AC48DA"/>
    <w:rsid w:val="00AC4BF5"/>
    <w:rsid w:val="00AD0424"/>
    <w:rsid w:val="00AD36D0"/>
    <w:rsid w:val="00AD3987"/>
    <w:rsid w:val="00AD3D69"/>
    <w:rsid w:val="00AD592F"/>
    <w:rsid w:val="00AD65C6"/>
    <w:rsid w:val="00AD6D98"/>
    <w:rsid w:val="00AD76AE"/>
    <w:rsid w:val="00AE0399"/>
    <w:rsid w:val="00AE18EA"/>
    <w:rsid w:val="00AE1BF1"/>
    <w:rsid w:val="00AE20B1"/>
    <w:rsid w:val="00AE2792"/>
    <w:rsid w:val="00AE317D"/>
    <w:rsid w:val="00AE33E0"/>
    <w:rsid w:val="00AF0CA1"/>
    <w:rsid w:val="00AF0DD2"/>
    <w:rsid w:val="00AF0ED5"/>
    <w:rsid w:val="00AF2AA2"/>
    <w:rsid w:val="00AF3A41"/>
    <w:rsid w:val="00AF46F3"/>
    <w:rsid w:val="00AF66A7"/>
    <w:rsid w:val="00AF7058"/>
    <w:rsid w:val="00AF7C0E"/>
    <w:rsid w:val="00B006D4"/>
    <w:rsid w:val="00B01BD3"/>
    <w:rsid w:val="00B02ED5"/>
    <w:rsid w:val="00B03817"/>
    <w:rsid w:val="00B057C8"/>
    <w:rsid w:val="00B06353"/>
    <w:rsid w:val="00B065C9"/>
    <w:rsid w:val="00B0779B"/>
    <w:rsid w:val="00B109DD"/>
    <w:rsid w:val="00B11C09"/>
    <w:rsid w:val="00B1285B"/>
    <w:rsid w:val="00B13048"/>
    <w:rsid w:val="00B135AC"/>
    <w:rsid w:val="00B14CE4"/>
    <w:rsid w:val="00B162BD"/>
    <w:rsid w:val="00B16A28"/>
    <w:rsid w:val="00B1716D"/>
    <w:rsid w:val="00B17A1D"/>
    <w:rsid w:val="00B207A0"/>
    <w:rsid w:val="00B20F61"/>
    <w:rsid w:val="00B211EE"/>
    <w:rsid w:val="00B23484"/>
    <w:rsid w:val="00B251A4"/>
    <w:rsid w:val="00B25887"/>
    <w:rsid w:val="00B26AAA"/>
    <w:rsid w:val="00B276D9"/>
    <w:rsid w:val="00B302BF"/>
    <w:rsid w:val="00B30D82"/>
    <w:rsid w:val="00B31071"/>
    <w:rsid w:val="00B33C7F"/>
    <w:rsid w:val="00B35810"/>
    <w:rsid w:val="00B35937"/>
    <w:rsid w:val="00B3773B"/>
    <w:rsid w:val="00B40D7F"/>
    <w:rsid w:val="00B4128D"/>
    <w:rsid w:val="00B41686"/>
    <w:rsid w:val="00B44E99"/>
    <w:rsid w:val="00B474EE"/>
    <w:rsid w:val="00B52EC8"/>
    <w:rsid w:val="00B55C24"/>
    <w:rsid w:val="00B56CF6"/>
    <w:rsid w:val="00B56E03"/>
    <w:rsid w:val="00B6278D"/>
    <w:rsid w:val="00B62BB5"/>
    <w:rsid w:val="00B63E2C"/>
    <w:rsid w:val="00B64DF7"/>
    <w:rsid w:val="00B652AF"/>
    <w:rsid w:val="00B65CAC"/>
    <w:rsid w:val="00B66E74"/>
    <w:rsid w:val="00B673A4"/>
    <w:rsid w:val="00B70A7F"/>
    <w:rsid w:val="00B70CA5"/>
    <w:rsid w:val="00B7397E"/>
    <w:rsid w:val="00B73C3A"/>
    <w:rsid w:val="00B752C5"/>
    <w:rsid w:val="00B8080B"/>
    <w:rsid w:val="00B82845"/>
    <w:rsid w:val="00B85D8A"/>
    <w:rsid w:val="00B87C39"/>
    <w:rsid w:val="00B87DD6"/>
    <w:rsid w:val="00B904FF"/>
    <w:rsid w:val="00B91BE8"/>
    <w:rsid w:val="00B92CD5"/>
    <w:rsid w:val="00B94E22"/>
    <w:rsid w:val="00B956D7"/>
    <w:rsid w:val="00B97CB7"/>
    <w:rsid w:val="00BA05DD"/>
    <w:rsid w:val="00BA1F27"/>
    <w:rsid w:val="00BA2E61"/>
    <w:rsid w:val="00BA390A"/>
    <w:rsid w:val="00BA3992"/>
    <w:rsid w:val="00BA3F19"/>
    <w:rsid w:val="00BA4665"/>
    <w:rsid w:val="00BB20BA"/>
    <w:rsid w:val="00BB2FB2"/>
    <w:rsid w:val="00BB3304"/>
    <w:rsid w:val="00BB4732"/>
    <w:rsid w:val="00BB51C2"/>
    <w:rsid w:val="00BB6815"/>
    <w:rsid w:val="00BB7780"/>
    <w:rsid w:val="00BC03BC"/>
    <w:rsid w:val="00BC1B6B"/>
    <w:rsid w:val="00BC42D6"/>
    <w:rsid w:val="00BC4CD2"/>
    <w:rsid w:val="00BC614B"/>
    <w:rsid w:val="00BC6398"/>
    <w:rsid w:val="00BC675F"/>
    <w:rsid w:val="00BC7CEE"/>
    <w:rsid w:val="00BD0BD0"/>
    <w:rsid w:val="00BD10B4"/>
    <w:rsid w:val="00BD1AD7"/>
    <w:rsid w:val="00BD1BCA"/>
    <w:rsid w:val="00BD26AE"/>
    <w:rsid w:val="00BD3446"/>
    <w:rsid w:val="00BD412C"/>
    <w:rsid w:val="00BD4E33"/>
    <w:rsid w:val="00BD545F"/>
    <w:rsid w:val="00BD5467"/>
    <w:rsid w:val="00BD6CD4"/>
    <w:rsid w:val="00BD7176"/>
    <w:rsid w:val="00BD71BD"/>
    <w:rsid w:val="00BE1F1B"/>
    <w:rsid w:val="00BE2075"/>
    <w:rsid w:val="00BE23A2"/>
    <w:rsid w:val="00BE2F8A"/>
    <w:rsid w:val="00BE377D"/>
    <w:rsid w:val="00BE3F55"/>
    <w:rsid w:val="00BE40E3"/>
    <w:rsid w:val="00BE47B5"/>
    <w:rsid w:val="00BE5AC5"/>
    <w:rsid w:val="00BE6087"/>
    <w:rsid w:val="00BE7DBC"/>
    <w:rsid w:val="00BF19CB"/>
    <w:rsid w:val="00BF1BF5"/>
    <w:rsid w:val="00BF1E45"/>
    <w:rsid w:val="00BF204C"/>
    <w:rsid w:val="00BF295F"/>
    <w:rsid w:val="00BF4639"/>
    <w:rsid w:val="00BF65C1"/>
    <w:rsid w:val="00BF771C"/>
    <w:rsid w:val="00C008E0"/>
    <w:rsid w:val="00C008FE"/>
    <w:rsid w:val="00C01734"/>
    <w:rsid w:val="00C01A15"/>
    <w:rsid w:val="00C024A5"/>
    <w:rsid w:val="00C030BB"/>
    <w:rsid w:val="00C03C71"/>
    <w:rsid w:val="00C04914"/>
    <w:rsid w:val="00C05C48"/>
    <w:rsid w:val="00C064A7"/>
    <w:rsid w:val="00C06533"/>
    <w:rsid w:val="00C075A3"/>
    <w:rsid w:val="00C07A89"/>
    <w:rsid w:val="00C101F2"/>
    <w:rsid w:val="00C11AE0"/>
    <w:rsid w:val="00C12A83"/>
    <w:rsid w:val="00C154C0"/>
    <w:rsid w:val="00C15CB2"/>
    <w:rsid w:val="00C15DA4"/>
    <w:rsid w:val="00C16B2C"/>
    <w:rsid w:val="00C1786D"/>
    <w:rsid w:val="00C17CB8"/>
    <w:rsid w:val="00C17F0D"/>
    <w:rsid w:val="00C17FC7"/>
    <w:rsid w:val="00C21CBD"/>
    <w:rsid w:val="00C238EB"/>
    <w:rsid w:val="00C24398"/>
    <w:rsid w:val="00C248B1"/>
    <w:rsid w:val="00C25A9A"/>
    <w:rsid w:val="00C273A6"/>
    <w:rsid w:val="00C30BBE"/>
    <w:rsid w:val="00C33543"/>
    <w:rsid w:val="00C34065"/>
    <w:rsid w:val="00C35876"/>
    <w:rsid w:val="00C361EB"/>
    <w:rsid w:val="00C41237"/>
    <w:rsid w:val="00C420D7"/>
    <w:rsid w:val="00C420EB"/>
    <w:rsid w:val="00C43C4F"/>
    <w:rsid w:val="00C452B9"/>
    <w:rsid w:val="00C466B4"/>
    <w:rsid w:val="00C46AB5"/>
    <w:rsid w:val="00C4709E"/>
    <w:rsid w:val="00C4712A"/>
    <w:rsid w:val="00C47DEE"/>
    <w:rsid w:val="00C47EC0"/>
    <w:rsid w:val="00C50EC2"/>
    <w:rsid w:val="00C51484"/>
    <w:rsid w:val="00C51BE7"/>
    <w:rsid w:val="00C532EF"/>
    <w:rsid w:val="00C538A9"/>
    <w:rsid w:val="00C53B5A"/>
    <w:rsid w:val="00C54CF3"/>
    <w:rsid w:val="00C54F5A"/>
    <w:rsid w:val="00C55452"/>
    <w:rsid w:val="00C56506"/>
    <w:rsid w:val="00C565C5"/>
    <w:rsid w:val="00C57161"/>
    <w:rsid w:val="00C5766F"/>
    <w:rsid w:val="00C601EF"/>
    <w:rsid w:val="00C60452"/>
    <w:rsid w:val="00C6191E"/>
    <w:rsid w:val="00C62797"/>
    <w:rsid w:val="00C6290C"/>
    <w:rsid w:val="00C63A42"/>
    <w:rsid w:val="00C66206"/>
    <w:rsid w:val="00C672E0"/>
    <w:rsid w:val="00C70205"/>
    <w:rsid w:val="00C729B4"/>
    <w:rsid w:val="00C73A47"/>
    <w:rsid w:val="00C73C83"/>
    <w:rsid w:val="00C74A11"/>
    <w:rsid w:val="00C80612"/>
    <w:rsid w:val="00C81324"/>
    <w:rsid w:val="00C81890"/>
    <w:rsid w:val="00C81A67"/>
    <w:rsid w:val="00C8473D"/>
    <w:rsid w:val="00C86679"/>
    <w:rsid w:val="00C86919"/>
    <w:rsid w:val="00C872DB"/>
    <w:rsid w:val="00C87867"/>
    <w:rsid w:val="00C87CD0"/>
    <w:rsid w:val="00C91830"/>
    <w:rsid w:val="00C9478B"/>
    <w:rsid w:val="00C950AF"/>
    <w:rsid w:val="00C9660A"/>
    <w:rsid w:val="00C96A92"/>
    <w:rsid w:val="00CA04F2"/>
    <w:rsid w:val="00CA0ECB"/>
    <w:rsid w:val="00CA4EE0"/>
    <w:rsid w:val="00CA51FE"/>
    <w:rsid w:val="00CA5E8D"/>
    <w:rsid w:val="00CA6B3A"/>
    <w:rsid w:val="00CA771A"/>
    <w:rsid w:val="00CA7D3F"/>
    <w:rsid w:val="00CB0FA5"/>
    <w:rsid w:val="00CB3F4F"/>
    <w:rsid w:val="00CB431D"/>
    <w:rsid w:val="00CB45EC"/>
    <w:rsid w:val="00CB666B"/>
    <w:rsid w:val="00CB695E"/>
    <w:rsid w:val="00CC1AC0"/>
    <w:rsid w:val="00CC1D64"/>
    <w:rsid w:val="00CC2C03"/>
    <w:rsid w:val="00CC2CA1"/>
    <w:rsid w:val="00CC3B19"/>
    <w:rsid w:val="00CC6516"/>
    <w:rsid w:val="00CC656F"/>
    <w:rsid w:val="00CC6738"/>
    <w:rsid w:val="00CD12C8"/>
    <w:rsid w:val="00CD2754"/>
    <w:rsid w:val="00CD40AD"/>
    <w:rsid w:val="00CD4E7F"/>
    <w:rsid w:val="00CD7184"/>
    <w:rsid w:val="00CE0A5F"/>
    <w:rsid w:val="00CE15A5"/>
    <w:rsid w:val="00CE1831"/>
    <w:rsid w:val="00CE1B68"/>
    <w:rsid w:val="00CE6345"/>
    <w:rsid w:val="00CE661E"/>
    <w:rsid w:val="00CE695E"/>
    <w:rsid w:val="00CE6F6D"/>
    <w:rsid w:val="00CF0B65"/>
    <w:rsid w:val="00CF0E01"/>
    <w:rsid w:val="00CF0E07"/>
    <w:rsid w:val="00CF36F5"/>
    <w:rsid w:val="00CF41DA"/>
    <w:rsid w:val="00CF455C"/>
    <w:rsid w:val="00CF4D2E"/>
    <w:rsid w:val="00CF5382"/>
    <w:rsid w:val="00CF62CA"/>
    <w:rsid w:val="00CF6F3C"/>
    <w:rsid w:val="00CF7BDF"/>
    <w:rsid w:val="00CF7D47"/>
    <w:rsid w:val="00D01CF0"/>
    <w:rsid w:val="00D02A86"/>
    <w:rsid w:val="00D0442A"/>
    <w:rsid w:val="00D0574C"/>
    <w:rsid w:val="00D05840"/>
    <w:rsid w:val="00D07128"/>
    <w:rsid w:val="00D10120"/>
    <w:rsid w:val="00D10E76"/>
    <w:rsid w:val="00D11721"/>
    <w:rsid w:val="00D11CB3"/>
    <w:rsid w:val="00D1516F"/>
    <w:rsid w:val="00D1614C"/>
    <w:rsid w:val="00D16710"/>
    <w:rsid w:val="00D20333"/>
    <w:rsid w:val="00D22BD4"/>
    <w:rsid w:val="00D22E23"/>
    <w:rsid w:val="00D2306D"/>
    <w:rsid w:val="00D250AC"/>
    <w:rsid w:val="00D268EE"/>
    <w:rsid w:val="00D270E1"/>
    <w:rsid w:val="00D323D0"/>
    <w:rsid w:val="00D32684"/>
    <w:rsid w:val="00D32767"/>
    <w:rsid w:val="00D33489"/>
    <w:rsid w:val="00D372FA"/>
    <w:rsid w:val="00D40B44"/>
    <w:rsid w:val="00D43663"/>
    <w:rsid w:val="00D44037"/>
    <w:rsid w:val="00D4594F"/>
    <w:rsid w:val="00D4681D"/>
    <w:rsid w:val="00D5111E"/>
    <w:rsid w:val="00D5124C"/>
    <w:rsid w:val="00D53F55"/>
    <w:rsid w:val="00D61388"/>
    <w:rsid w:val="00D613F3"/>
    <w:rsid w:val="00D615F9"/>
    <w:rsid w:val="00D61A54"/>
    <w:rsid w:val="00D62BAD"/>
    <w:rsid w:val="00D64DEA"/>
    <w:rsid w:val="00D65E49"/>
    <w:rsid w:val="00D65FAD"/>
    <w:rsid w:val="00D67D07"/>
    <w:rsid w:val="00D70F71"/>
    <w:rsid w:val="00D71771"/>
    <w:rsid w:val="00D725C2"/>
    <w:rsid w:val="00D73D17"/>
    <w:rsid w:val="00D74261"/>
    <w:rsid w:val="00D74971"/>
    <w:rsid w:val="00D80893"/>
    <w:rsid w:val="00D839A7"/>
    <w:rsid w:val="00D86899"/>
    <w:rsid w:val="00D87097"/>
    <w:rsid w:val="00D90FB7"/>
    <w:rsid w:val="00D92A31"/>
    <w:rsid w:val="00D92CF1"/>
    <w:rsid w:val="00D92D38"/>
    <w:rsid w:val="00D92E07"/>
    <w:rsid w:val="00D936B6"/>
    <w:rsid w:val="00D950F5"/>
    <w:rsid w:val="00D95177"/>
    <w:rsid w:val="00D96914"/>
    <w:rsid w:val="00D97657"/>
    <w:rsid w:val="00DA0C4C"/>
    <w:rsid w:val="00DA1CA3"/>
    <w:rsid w:val="00DA289D"/>
    <w:rsid w:val="00DA331C"/>
    <w:rsid w:val="00DA4BC4"/>
    <w:rsid w:val="00DA4E07"/>
    <w:rsid w:val="00DB0F93"/>
    <w:rsid w:val="00DB134D"/>
    <w:rsid w:val="00DB16A7"/>
    <w:rsid w:val="00DB196A"/>
    <w:rsid w:val="00DB20BF"/>
    <w:rsid w:val="00DB2353"/>
    <w:rsid w:val="00DB402D"/>
    <w:rsid w:val="00DB4CC4"/>
    <w:rsid w:val="00DB66B9"/>
    <w:rsid w:val="00DB6861"/>
    <w:rsid w:val="00DB7193"/>
    <w:rsid w:val="00DB7AB9"/>
    <w:rsid w:val="00DB7B59"/>
    <w:rsid w:val="00DB7FD1"/>
    <w:rsid w:val="00DC153A"/>
    <w:rsid w:val="00DC202C"/>
    <w:rsid w:val="00DC22E3"/>
    <w:rsid w:val="00DC24BF"/>
    <w:rsid w:val="00DC2907"/>
    <w:rsid w:val="00DC395C"/>
    <w:rsid w:val="00DC5E54"/>
    <w:rsid w:val="00DC693A"/>
    <w:rsid w:val="00DC7981"/>
    <w:rsid w:val="00DC7B5A"/>
    <w:rsid w:val="00DD15C2"/>
    <w:rsid w:val="00DD27EA"/>
    <w:rsid w:val="00DD33DE"/>
    <w:rsid w:val="00DD79F4"/>
    <w:rsid w:val="00DE13A4"/>
    <w:rsid w:val="00DE45B5"/>
    <w:rsid w:val="00DE4EFA"/>
    <w:rsid w:val="00DE5104"/>
    <w:rsid w:val="00DE5520"/>
    <w:rsid w:val="00DE5AB1"/>
    <w:rsid w:val="00DE6AA6"/>
    <w:rsid w:val="00DE7345"/>
    <w:rsid w:val="00DF02A4"/>
    <w:rsid w:val="00DF0714"/>
    <w:rsid w:val="00DF1C55"/>
    <w:rsid w:val="00DF2298"/>
    <w:rsid w:val="00DF2D42"/>
    <w:rsid w:val="00DF3C7E"/>
    <w:rsid w:val="00DF6E09"/>
    <w:rsid w:val="00DF7793"/>
    <w:rsid w:val="00E00EC9"/>
    <w:rsid w:val="00E03069"/>
    <w:rsid w:val="00E034A6"/>
    <w:rsid w:val="00E03725"/>
    <w:rsid w:val="00E04818"/>
    <w:rsid w:val="00E06442"/>
    <w:rsid w:val="00E06937"/>
    <w:rsid w:val="00E113E2"/>
    <w:rsid w:val="00E115DE"/>
    <w:rsid w:val="00E13056"/>
    <w:rsid w:val="00E135DB"/>
    <w:rsid w:val="00E13C85"/>
    <w:rsid w:val="00E15B15"/>
    <w:rsid w:val="00E15F74"/>
    <w:rsid w:val="00E16EDC"/>
    <w:rsid w:val="00E2257E"/>
    <w:rsid w:val="00E227A4"/>
    <w:rsid w:val="00E2374E"/>
    <w:rsid w:val="00E23993"/>
    <w:rsid w:val="00E24D12"/>
    <w:rsid w:val="00E2504E"/>
    <w:rsid w:val="00E25B8C"/>
    <w:rsid w:val="00E25F40"/>
    <w:rsid w:val="00E3279F"/>
    <w:rsid w:val="00E32A8C"/>
    <w:rsid w:val="00E333EF"/>
    <w:rsid w:val="00E334A4"/>
    <w:rsid w:val="00E35AE8"/>
    <w:rsid w:val="00E3678B"/>
    <w:rsid w:val="00E3724C"/>
    <w:rsid w:val="00E37E76"/>
    <w:rsid w:val="00E37F0B"/>
    <w:rsid w:val="00E40426"/>
    <w:rsid w:val="00E40B9C"/>
    <w:rsid w:val="00E42976"/>
    <w:rsid w:val="00E42DF3"/>
    <w:rsid w:val="00E43848"/>
    <w:rsid w:val="00E438D4"/>
    <w:rsid w:val="00E43BBA"/>
    <w:rsid w:val="00E4482C"/>
    <w:rsid w:val="00E4680F"/>
    <w:rsid w:val="00E46D48"/>
    <w:rsid w:val="00E47EAD"/>
    <w:rsid w:val="00E5181B"/>
    <w:rsid w:val="00E52107"/>
    <w:rsid w:val="00E52A27"/>
    <w:rsid w:val="00E54461"/>
    <w:rsid w:val="00E55C3C"/>
    <w:rsid w:val="00E56018"/>
    <w:rsid w:val="00E6018A"/>
    <w:rsid w:val="00E605DA"/>
    <w:rsid w:val="00E60A6A"/>
    <w:rsid w:val="00E65839"/>
    <w:rsid w:val="00E65C85"/>
    <w:rsid w:val="00E65CF4"/>
    <w:rsid w:val="00E66199"/>
    <w:rsid w:val="00E675DF"/>
    <w:rsid w:val="00E715D5"/>
    <w:rsid w:val="00E7180D"/>
    <w:rsid w:val="00E737E3"/>
    <w:rsid w:val="00E74532"/>
    <w:rsid w:val="00E7472E"/>
    <w:rsid w:val="00E755EC"/>
    <w:rsid w:val="00E761D6"/>
    <w:rsid w:val="00E7624D"/>
    <w:rsid w:val="00E809AC"/>
    <w:rsid w:val="00E8137D"/>
    <w:rsid w:val="00E823D9"/>
    <w:rsid w:val="00E82F64"/>
    <w:rsid w:val="00E8569F"/>
    <w:rsid w:val="00E86851"/>
    <w:rsid w:val="00E91678"/>
    <w:rsid w:val="00E91BED"/>
    <w:rsid w:val="00E926FC"/>
    <w:rsid w:val="00E95390"/>
    <w:rsid w:val="00E95CA7"/>
    <w:rsid w:val="00E96EFF"/>
    <w:rsid w:val="00EA1DEE"/>
    <w:rsid w:val="00EA3D42"/>
    <w:rsid w:val="00EA4DD9"/>
    <w:rsid w:val="00EA6B1B"/>
    <w:rsid w:val="00EB049F"/>
    <w:rsid w:val="00EB100D"/>
    <w:rsid w:val="00EB456D"/>
    <w:rsid w:val="00EB540F"/>
    <w:rsid w:val="00EB7D7F"/>
    <w:rsid w:val="00EC05BF"/>
    <w:rsid w:val="00EC0D58"/>
    <w:rsid w:val="00EC10A1"/>
    <w:rsid w:val="00EC137F"/>
    <w:rsid w:val="00EC24B0"/>
    <w:rsid w:val="00EC2CB1"/>
    <w:rsid w:val="00EC317E"/>
    <w:rsid w:val="00EC67D4"/>
    <w:rsid w:val="00EC7228"/>
    <w:rsid w:val="00EC7EB1"/>
    <w:rsid w:val="00ED3C5B"/>
    <w:rsid w:val="00ED4A25"/>
    <w:rsid w:val="00ED6E24"/>
    <w:rsid w:val="00EE164B"/>
    <w:rsid w:val="00EE28F3"/>
    <w:rsid w:val="00EE347F"/>
    <w:rsid w:val="00EE42C2"/>
    <w:rsid w:val="00EE46CE"/>
    <w:rsid w:val="00EE575A"/>
    <w:rsid w:val="00EF013A"/>
    <w:rsid w:val="00EF0E42"/>
    <w:rsid w:val="00EF0FE6"/>
    <w:rsid w:val="00EF1961"/>
    <w:rsid w:val="00EF3FB8"/>
    <w:rsid w:val="00EF5110"/>
    <w:rsid w:val="00EF62CA"/>
    <w:rsid w:val="00EF69CB"/>
    <w:rsid w:val="00F00587"/>
    <w:rsid w:val="00F019C5"/>
    <w:rsid w:val="00F02D9B"/>
    <w:rsid w:val="00F031FE"/>
    <w:rsid w:val="00F05EAD"/>
    <w:rsid w:val="00F06B5B"/>
    <w:rsid w:val="00F072C7"/>
    <w:rsid w:val="00F10CDA"/>
    <w:rsid w:val="00F113FD"/>
    <w:rsid w:val="00F13B99"/>
    <w:rsid w:val="00F13EAA"/>
    <w:rsid w:val="00F1535C"/>
    <w:rsid w:val="00F15882"/>
    <w:rsid w:val="00F15AB9"/>
    <w:rsid w:val="00F167CF"/>
    <w:rsid w:val="00F16858"/>
    <w:rsid w:val="00F1785E"/>
    <w:rsid w:val="00F20BD3"/>
    <w:rsid w:val="00F21080"/>
    <w:rsid w:val="00F248D0"/>
    <w:rsid w:val="00F24B86"/>
    <w:rsid w:val="00F26128"/>
    <w:rsid w:val="00F27967"/>
    <w:rsid w:val="00F32D35"/>
    <w:rsid w:val="00F336DF"/>
    <w:rsid w:val="00F3590E"/>
    <w:rsid w:val="00F36430"/>
    <w:rsid w:val="00F373A5"/>
    <w:rsid w:val="00F376D3"/>
    <w:rsid w:val="00F41384"/>
    <w:rsid w:val="00F42DB4"/>
    <w:rsid w:val="00F435DF"/>
    <w:rsid w:val="00F439CA"/>
    <w:rsid w:val="00F45B2F"/>
    <w:rsid w:val="00F47559"/>
    <w:rsid w:val="00F5112C"/>
    <w:rsid w:val="00F55548"/>
    <w:rsid w:val="00F55859"/>
    <w:rsid w:val="00F56E95"/>
    <w:rsid w:val="00F6043C"/>
    <w:rsid w:val="00F60561"/>
    <w:rsid w:val="00F61055"/>
    <w:rsid w:val="00F61AA8"/>
    <w:rsid w:val="00F61EEA"/>
    <w:rsid w:val="00F64A21"/>
    <w:rsid w:val="00F64C7B"/>
    <w:rsid w:val="00F64F82"/>
    <w:rsid w:val="00F65699"/>
    <w:rsid w:val="00F662F1"/>
    <w:rsid w:val="00F66967"/>
    <w:rsid w:val="00F676DD"/>
    <w:rsid w:val="00F70811"/>
    <w:rsid w:val="00F70D8D"/>
    <w:rsid w:val="00F71486"/>
    <w:rsid w:val="00F72F41"/>
    <w:rsid w:val="00F74CBC"/>
    <w:rsid w:val="00F75A26"/>
    <w:rsid w:val="00F766B3"/>
    <w:rsid w:val="00F77D49"/>
    <w:rsid w:val="00F8021A"/>
    <w:rsid w:val="00F805F3"/>
    <w:rsid w:val="00F83FAD"/>
    <w:rsid w:val="00F87EBA"/>
    <w:rsid w:val="00F90A80"/>
    <w:rsid w:val="00F91BC0"/>
    <w:rsid w:val="00F93027"/>
    <w:rsid w:val="00F946BA"/>
    <w:rsid w:val="00F94788"/>
    <w:rsid w:val="00F952A0"/>
    <w:rsid w:val="00F965FC"/>
    <w:rsid w:val="00F978C8"/>
    <w:rsid w:val="00FA25D4"/>
    <w:rsid w:val="00FA3830"/>
    <w:rsid w:val="00FA3C7F"/>
    <w:rsid w:val="00FA7736"/>
    <w:rsid w:val="00FA7920"/>
    <w:rsid w:val="00FB153F"/>
    <w:rsid w:val="00FB265D"/>
    <w:rsid w:val="00FB2690"/>
    <w:rsid w:val="00FB4068"/>
    <w:rsid w:val="00FB411D"/>
    <w:rsid w:val="00FB41E6"/>
    <w:rsid w:val="00FB45CF"/>
    <w:rsid w:val="00FB6C59"/>
    <w:rsid w:val="00FB74E2"/>
    <w:rsid w:val="00FC0060"/>
    <w:rsid w:val="00FC447B"/>
    <w:rsid w:val="00FC4CF7"/>
    <w:rsid w:val="00FC52AC"/>
    <w:rsid w:val="00FC54E6"/>
    <w:rsid w:val="00FC5EB3"/>
    <w:rsid w:val="00FC5FE0"/>
    <w:rsid w:val="00FC626F"/>
    <w:rsid w:val="00FC656F"/>
    <w:rsid w:val="00FC7B0B"/>
    <w:rsid w:val="00FD0763"/>
    <w:rsid w:val="00FD166D"/>
    <w:rsid w:val="00FD1D68"/>
    <w:rsid w:val="00FD22A2"/>
    <w:rsid w:val="00FD29EE"/>
    <w:rsid w:val="00FD2F97"/>
    <w:rsid w:val="00FD5316"/>
    <w:rsid w:val="00FD5614"/>
    <w:rsid w:val="00FD72DC"/>
    <w:rsid w:val="00FE07CB"/>
    <w:rsid w:val="00FE0BE1"/>
    <w:rsid w:val="00FE12E5"/>
    <w:rsid w:val="00FE1DE9"/>
    <w:rsid w:val="00FE292D"/>
    <w:rsid w:val="00FE39C2"/>
    <w:rsid w:val="00FE3E67"/>
    <w:rsid w:val="00FE4B6D"/>
    <w:rsid w:val="00FE602C"/>
    <w:rsid w:val="00FE64AE"/>
    <w:rsid w:val="00FE6FD3"/>
    <w:rsid w:val="00FE7E62"/>
    <w:rsid w:val="00FF2C56"/>
    <w:rsid w:val="00FF3373"/>
    <w:rsid w:val="00FF3980"/>
    <w:rsid w:val="00FF657C"/>
    <w:rsid w:val="00FF6EE1"/>
    <w:rsid w:val="00FF7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4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2484">
      <w:bodyDiv w:val="1"/>
      <w:marLeft w:val="0"/>
      <w:marRight w:val="0"/>
      <w:marTop w:val="0"/>
      <w:marBottom w:val="0"/>
      <w:divBdr>
        <w:top w:val="none" w:sz="0" w:space="0" w:color="auto"/>
        <w:left w:val="none" w:sz="0" w:space="0" w:color="auto"/>
        <w:bottom w:val="none" w:sz="0" w:space="0" w:color="auto"/>
        <w:right w:val="none" w:sz="0" w:space="0" w:color="auto"/>
      </w:divBdr>
    </w:div>
    <w:div w:id="300615641">
      <w:bodyDiv w:val="1"/>
      <w:marLeft w:val="0"/>
      <w:marRight w:val="0"/>
      <w:marTop w:val="0"/>
      <w:marBottom w:val="0"/>
      <w:divBdr>
        <w:top w:val="none" w:sz="0" w:space="0" w:color="auto"/>
        <w:left w:val="none" w:sz="0" w:space="0" w:color="auto"/>
        <w:bottom w:val="none" w:sz="0" w:space="0" w:color="auto"/>
        <w:right w:val="none" w:sz="0" w:space="0" w:color="auto"/>
      </w:divBdr>
    </w:div>
    <w:div w:id="326597061">
      <w:bodyDiv w:val="1"/>
      <w:marLeft w:val="0"/>
      <w:marRight w:val="0"/>
      <w:marTop w:val="0"/>
      <w:marBottom w:val="0"/>
      <w:divBdr>
        <w:top w:val="none" w:sz="0" w:space="0" w:color="auto"/>
        <w:left w:val="none" w:sz="0" w:space="0" w:color="auto"/>
        <w:bottom w:val="none" w:sz="0" w:space="0" w:color="auto"/>
        <w:right w:val="none" w:sz="0" w:space="0" w:color="auto"/>
      </w:divBdr>
    </w:div>
    <w:div w:id="361899807">
      <w:bodyDiv w:val="1"/>
      <w:marLeft w:val="0"/>
      <w:marRight w:val="0"/>
      <w:marTop w:val="0"/>
      <w:marBottom w:val="0"/>
      <w:divBdr>
        <w:top w:val="none" w:sz="0" w:space="0" w:color="auto"/>
        <w:left w:val="none" w:sz="0" w:space="0" w:color="auto"/>
        <w:bottom w:val="none" w:sz="0" w:space="0" w:color="auto"/>
        <w:right w:val="none" w:sz="0" w:space="0" w:color="auto"/>
      </w:divBdr>
    </w:div>
    <w:div w:id="368650552">
      <w:bodyDiv w:val="1"/>
      <w:marLeft w:val="0"/>
      <w:marRight w:val="0"/>
      <w:marTop w:val="0"/>
      <w:marBottom w:val="0"/>
      <w:divBdr>
        <w:top w:val="none" w:sz="0" w:space="0" w:color="auto"/>
        <w:left w:val="none" w:sz="0" w:space="0" w:color="auto"/>
        <w:bottom w:val="none" w:sz="0" w:space="0" w:color="auto"/>
        <w:right w:val="none" w:sz="0" w:space="0" w:color="auto"/>
      </w:divBdr>
    </w:div>
    <w:div w:id="370884515">
      <w:bodyDiv w:val="1"/>
      <w:marLeft w:val="0"/>
      <w:marRight w:val="0"/>
      <w:marTop w:val="0"/>
      <w:marBottom w:val="0"/>
      <w:divBdr>
        <w:top w:val="none" w:sz="0" w:space="0" w:color="auto"/>
        <w:left w:val="none" w:sz="0" w:space="0" w:color="auto"/>
        <w:bottom w:val="none" w:sz="0" w:space="0" w:color="auto"/>
        <w:right w:val="none" w:sz="0" w:space="0" w:color="auto"/>
      </w:divBdr>
    </w:div>
    <w:div w:id="492918306">
      <w:bodyDiv w:val="1"/>
      <w:marLeft w:val="0"/>
      <w:marRight w:val="0"/>
      <w:marTop w:val="0"/>
      <w:marBottom w:val="0"/>
      <w:divBdr>
        <w:top w:val="none" w:sz="0" w:space="0" w:color="auto"/>
        <w:left w:val="none" w:sz="0" w:space="0" w:color="auto"/>
        <w:bottom w:val="none" w:sz="0" w:space="0" w:color="auto"/>
        <w:right w:val="none" w:sz="0" w:space="0" w:color="auto"/>
      </w:divBdr>
    </w:div>
    <w:div w:id="551885407">
      <w:bodyDiv w:val="1"/>
      <w:marLeft w:val="0"/>
      <w:marRight w:val="0"/>
      <w:marTop w:val="0"/>
      <w:marBottom w:val="0"/>
      <w:divBdr>
        <w:top w:val="none" w:sz="0" w:space="0" w:color="auto"/>
        <w:left w:val="none" w:sz="0" w:space="0" w:color="auto"/>
        <w:bottom w:val="none" w:sz="0" w:space="0" w:color="auto"/>
        <w:right w:val="none" w:sz="0" w:space="0" w:color="auto"/>
      </w:divBdr>
    </w:div>
    <w:div w:id="607350953">
      <w:bodyDiv w:val="1"/>
      <w:marLeft w:val="0"/>
      <w:marRight w:val="0"/>
      <w:marTop w:val="0"/>
      <w:marBottom w:val="0"/>
      <w:divBdr>
        <w:top w:val="none" w:sz="0" w:space="0" w:color="auto"/>
        <w:left w:val="none" w:sz="0" w:space="0" w:color="auto"/>
        <w:bottom w:val="none" w:sz="0" w:space="0" w:color="auto"/>
        <w:right w:val="none" w:sz="0" w:space="0" w:color="auto"/>
      </w:divBdr>
      <w:divsChild>
        <w:div w:id="1477409511">
          <w:marLeft w:val="0"/>
          <w:marRight w:val="0"/>
          <w:marTop w:val="0"/>
          <w:marBottom w:val="0"/>
          <w:divBdr>
            <w:top w:val="none" w:sz="0" w:space="0" w:color="auto"/>
            <w:left w:val="none" w:sz="0" w:space="0" w:color="auto"/>
            <w:bottom w:val="none" w:sz="0" w:space="0" w:color="auto"/>
            <w:right w:val="none" w:sz="0" w:space="0" w:color="auto"/>
          </w:divBdr>
          <w:divsChild>
            <w:div w:id="1592464704">
              <w:marLeft w:val="0"/>
              <w:marRight w:val="0"/>
              <w:marTop w:val="0"/>
              <w:marBottom w:val="0"/>
              <w:divBdr>
                <w:top w:val="none" w:sz="0" w:space="0" w:color="auto"/>
                <w:left w:val="none" w:sz="0" w:space="0" w:color="auto"/>
                <w:bottom w:val="none" w:sz="0" w:space="0" w:color="auto"/>
                <w:right w:val="none" w:sz="0" w:space="0" w:color="auto"/>
              </w:divBdr>
              <w:divsChild>
                <w:div w:id="734359218">
                  <w:marLeft w:val="0"/>
                  <w:marRight w:val="0"/>
                  <w:marTop w:val="0"/>
                  <w:marBottom w:val="0"/>
                  <w:divBdr>
                    <w:top w:val="none" w:sz="0" w:space="0" w:color="auto"/>
                    <w:left w:val="none" w:sz="0" w:space="0" w:color="auto"/>
                    <w:bottom w:val="none" w:sz="0" w:space="0" w:color="auto"/>
                    <w:right w:val="none" w:sz="0" w:space="0" w:color="auto"/>
                  </w:divBdr>
                  <w:divsChild>
                    <w:div w:id="148524803">
                      <w:marLeft w:val="0"/>
                      <w:marRight w:val="0"/>
                      <w:marTop w:val="0"/>
                      <w:marBottom w:val="0"/>
                      <w:divBdr>
                        <w:top w:val="none" w:sz="0" w:space="0" w:color="auto"/>
                        <w:left w:val="none" w:sz="0" w:space="0" w:color="auto"/>
                        <w:bottom w:val="none" w:sz="0" w:space="0" w:color="auto"/>
                        <w:right w:val="none" w:sz="0" w:space="0" w:color="auto"/>
                      </w:divBdr>
                      <w:divsChild>
                        <w:div w:id="574323894">
                          <w:marLeft w:val="0"/>
                          <w:marRight w:val="0"/>
                          <w:marTop w:val="0"/>
                          <w:marBottom w:val="0"/>
                          <w:divBdr>
                            <w:top w:val="none" w:sz="0" w:space="0" w:color="auto"/>
                            <w:left w:val="none" w:sz="0" w:space="0" w:color="auto"/>
                            <w:bottom w:val="none" w:sz="0" w:space="0" w:color="auto"/>
                            <w:right w:val="none" w:sz="0" w:space="0" w:color="auto"/>
                          </w:divBdr>
                        </w:div>
                      </w:divsChild>
                    </w:div>
                    <w:div w:id="282813355">
                      <w:marLeft w:val="0"/>
                      <w:marRight w:val="0"/>
                      <w:marTop w:val="0"/>
                      <w:marBottom w:val="0"/>
                      <w:divBdr>
                        <w:top w:val="none" w:sz="0" w:space="0" w:color="auto"/>
                        <w:left w:val="none" w:sz="0" w:space="0" w:color="auto"/>
                        <w:bottom w:val="none" w:sz="0" w:space="0" w:color="auto"/>
                        <w:right w:val="none" w:sz="0" w:space="0" w:color="auto"/>
                      </w:divBdr>
                      <w:divsChild>
                        <w:div w:id="1136265507">
                          <w:marLeft w:val="0"/>
                          <w:marRight w:val="0"/>
                          <w:marTop w:val="0"/>
                          <w:marBottom w:val="0"/>
                          <w:divBdr>
                            <w:top w:val="none" w:sz="0" w:space="0" w:color="auto"/>
                            <w:left w:val="none" w:sz="0" w:space="0" w:color="auto"/>
                            <w:bottom w:val="none" w:sz="0" w:space="0" w:color="auto"/>
                            <w:right w:val="none" w:sz="0" w:space="0" w:color="auto"/>
                          </w:divBdr>
                        </w:div>
                      </w:divsChild>
                    </w:div>
                    <w:div w:id="1495608441">
                      <w:marLeft w:val="0"/>
                      <w:marRight w:val="0"/>
                      <w:marTop w:val="0"/>
                      <w:marBottom w:val="0"/>
                      <w:divBdr>
                        <w:top w:val="none" w:sz="0" w:space="0" w:color="auto"/>
                        <w:left w:val="none" w:sz="0" w:space="0" w:color="auto"/>
                        <w:bottom w:val="none" w:sz="0" w:space="0" w:color="auto"/>
                        <w:right w:val="none" w:sz="0" w:space="0" w:color="auto"/>
                      </w:divBdr>
                      <w:divsChild>
                        <w:div w:id="761222663">
                          <w:marLeft w:val="0"/>
                          <w:marRight w:val="0"/>
                          <w:marTop w:val="0"/>
                          <w:marBottom w:val="0"/>
                          <w:divBdr>
                            <w:top w:val="none" w:sz="0" w:space="0" w:color="auto"/>
                            <w:left w:val="none" w:sz="0" w:space="0" w:color="auto"/>
                            <w:bottom w:val="none" w:sz="0" w:space="0" w:color="auto"/>
                            <w:right w:val="none" w:sz="0" w:space="0" w:color="auto"/>
                          </w:divBdr>
                        </w:div>
                      </w:divsChild>
                    </w:div>
                    <w:div w:id="1695614408">
                      <w:marLeft w:val="0"/>
                      <w:marRight w:val="0"/>
                      <w:marTop w:val="0"/>
                      <w:marBottom w:val="0"/>
                      <w:divBdr>
                        <w:top w:val="none" w:sz="0" w:space="0" w:color="auto"/>
                        <w:left w:val="none" w:sz="0" w:space="0" w:color="auto"/>
                        <w:bottom w:val="none" w:sz="0" w:space="0" w:color="auto"/>
                        <w:right w:val="none" w:sz="0" w:space="0" w:color="auto"/>
                      </w:divBdr>
                      <w:divsChild>
                        <w:div w:id="938560433">
                          <w:marLeft w:val="0"/>
                          <w:marRight w:val="0"/>
                          <w:marTop w:val="0"/>
                          <w:marBottom w:val="0"/>
                          <w:divBdr>
                            <w:top w:val="none" w:sz="0" w:space="0" w:color="auto"/>
                            <w:left w:val="none" w:sz="0" w:space="0" w:color="auto"/>
                            <w:bottom w:val="none" w:sz="0" w:space="0" w:color="auto"/>
                            <w:right w:val="none" w:sz="0" w:space="0" w:color="auto"/>
                          </w:divBdr>
                        </w:div>
                      </w:divsChild>
                    </w:div>
                    <w:div w:id="1756435873">
                      <w:marLeft w:val="0"/>
                      <w:marRight w:val="0"/>
                      <w:marTop w:val="0"/>
                      <w:marBottom w:val="0"/>
                      <w:divBdr>
                        <w:top w:val="none" w:sz="0" w:space="0" w:color="auto"/>
                        <w:left w:val="none" w:sz="0" w:space="0" w:color="auto"/>
                        <w:bottom w:val="none" w:sz="0" w:space="0" w:color="auto"/>
                        <w:right w:val="none" w:sz="0" w:space="0" w:color="auto"/>
                      </w:divBdr>
                      <w:divsChild>
                        <w:div w:id="13355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089711">
      <w:bodyDiv w:val="1"/>
      <w:marLeft w:val="0"/>
      <w:marRight w:val="0"/>
      <w:marTop w:val="0"/>
      <w:marBottom w:val="0"/>
      <w:divBdr>
        <w:top w:val="none" w:sz="0" w:space="0" w:color="auto"/>
        <w:left w:val="none" w:sz="0" w:space="0" w:color="auto"/>
        <w:bottom w:val="none" w:sz="0" w:space="0" w:color="auto"/>
        <w:right w:val="none" w:sz="0" w:space="0" w:color="auto"/>
      </w:divBdr>
    </w:div>
    <w:div w:id="688801072">
      <w:bodyDiv w:val="1"/>
      <w:marLeft w:val="0"/>
      <w:marRight w:val="0"/>
      <w:marTop w:val="0"/>
      <w:marBottom w:val="0"/>
      <w:divBdr>
        <w:top w:val="none" w:sz="0" w:space="0" w:color="auto"/>
        <w:left w:val="none" w:sz="0" w:space="0" w:color="auto"/>
        <w:bottom w:val="none" w:sz="0" w:space="0" w:color="auto"/>
        <w:right w:val="none" w:sz="0" w:space="0" w:color="auto"/>
      </w:divBdr>
    </w:div>
    <w:div w:id="742337540">
      <w:bodyDiv w:val="1"/>
      <w:marLeft w:val="0"/>
      <w:marRight w:val="0"/>
      <w:marTop w:val="0"/>
      <w:marBottom w:val="0"/>
      <w:divBdr>
        <w:top w:val="none" w:sz="0" w:space="0" w:color="auto"/>
        <w:left w:val="none" w:sz="0" w:space="0" w:color="auto"/>
        <w:bottom w:val="none" w:sz="0" w:space="0" w:color="auto"/>
        <w:right w:val="none" w:sz="0" w:space="0" w:color="auto"/>
      </w:divBdr>
    </w:div>
    <w:div w:id="844250539">
      <w:bodyDiv w:val="1"/>
      <w:marLeft w:val="0"/>
      <w:marRight w:val="0"/>
      <w:marTop w:val="0"/>
      <w:marBottom w:val="0"/>
      <w:divBdr>
        <w:top w:val="none" w:sz="0" w:space="0" w:color="auto"/>
        <w:left w:val="none" w:sz="0" w:space="0" w:color="auto"/>
        <w:bottom w:val="none" w:sz="0" w:space="0" w:color="auto"/>
        <w:right w:val="none" w:sz="0" w:space="0" w:color="auto"/>
      </w:divBdr>
    </w:div>
    <w:div w:id="851798394">
      <w:bodyDiv w:val="1"/>
      <w:marLeft w:val="0"/>
      <w:marRight w:val="0"/>
      <w:marTop w:val="0"/>
      <w:marBottom w:val="0"/>
      <w:divBdr>
        <w:top w:val="none" w:sz="0" w:space="0" w:color="auto"/>
        <w:left w:val="none" w:sz="0" w:space="0" w:color="auto"/>
        <w:bottom w:val="none" w:sz="0" w:space="0" w:color="auto"/>
        <w:right w:val="none" w:sz="0" w:space="0" w:color="auto"/>
      </w:divBdr>
    </w:div>
    <w:div w:id="882669064">
      <w:bodyDiv w:val="1"/>
      <w:marLeft w:val="0"/>
      <w:marRight w:val="0"/>
      <w:marTop w:val="0"/>
      <w:marBottom w:val="0"/>
      <w:divBdr>
        <w:top w:val="none" w:sz="0" w:space="0" w:color="auto"/>
        <w:left w:val="none" w:sz="0" w:space="0" w:color="auto"/>
        <w:bottom w:val="none" w:sz="0" w:space="0" w:color="auto"/>
        <w:right w:val="none" w:sz="0" w:space="0" w:color="auto"/>
      </w:divBdr>
    </w:div>
    <w:div w:id="884219376">
      <w:bodyDiv w:val="1"/>
      <w:marLeft w:val="0"/>
      <w:marRight w:val="0"/>
      <w:marTop w:val="0"/>
      <w:marBottom w:val="0"/>
      <w:divBdr>
        <w:top w:val="none" w:sz="0" w:space="0" w:color="auto"/>
        <w:left w:val="none" w:sz="0" w:space="0" w:color="auto"/>
        <w:bottom w:val="none" w:sz="0" w:space="0" w:color="auto"/>
        <w:right w:val="none" w:sz="0" w:space="0" w:color="auto"/>
      </w:divBdr>
    </w:div>
    <w:div w:id="1022441387">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46876556">
      <w:bodyDiv w:val="1"/>
      <w:marLeft w:val="0"/>
      <w:marRight w:val="0"/>
      <w:marTop w:val="0"/>
      <w:marBottom w:val="0"/>
      <w:divBdr>
        <w:top w:val="none" w:sz="0" w:space="0" w:color="auto"/>
        <w:left w:val="none" w:sz="0" w:space="0" w:color="auto"/>
        <w:bottom w:val="none" w:sz="0" w:space="0" w:color="auto"/>
        <w:right w:val="none" w:sz="0" w:space="0" w:color="auto"/>
      </w:divBdr>
    </w:div>
    <w:div w:id="1086655771">
      <w:bodyDiv w:val="1"/>
      <w:marLeft w:val="0"/>
      <w:marRight w:val="0"/>
      <w:marTop w:val="0"/>
      <w:marBottom w:val="0"/>
      <w:divBdr>
        <w:top w:val="none" w:sz="0" w:space="0" w:color="auto"/>
        <w:left w:val="none" w:sz="0" w:space="0" w:color="auto"/>
        <w:bottom w:val="none" w:sz="0" w:space="0" w:color="auto"/>
        <w:right w:val="none" w:sz="0" w:space="0" w:color="auto"/>
      </w:divBdr>
    </w:div>
    <w:div w:id="1098868369">
      <w:bodyDiv w:val="1"/>
      <w:marLeft w:val="0"/>
      <w:marRight w:val="0"/>
      <w:marTop w:val="0"/>
      <w:marBottom w:val="0"/>
      <w:divBdr>
        <w:top w:val="none" w:sz="0" w:space="0" w:color="auto"/>
        <w:left w:val="none" w:sz="0" w:space="0" w:color="auto"/>
        <w:bottom w:val="none" w:sz="0" w:space="0" w:color="auto"/>
        <w:right w:val="none" w:sz="0" w:space="0" w:color="auto"/>
      </w:divBdr>
    </w:div>
    <w:div w:id="1222518291">
      <w:bodyDiv w:val="1"/>
      <w:marLeft w:val="0"/>
      <w:marRight w:val="0"/>
      <w:marTop w:val="0"/>
      <w:marBottom w:val="0"/>
      <w:divBdr>
        <w:top w:val="none" w:sz="0" w:space="0" w:color="auto"/>
        <w:left w:val="none" w:sz="0" w:space="0" w:color="auto"/>
        <w:bottom w:val="none" w:sz="0" w:space="0" w:color="auto"/>
        <w:right w:val="none" w:sz="0" w:space="0" w:color="auto"/>
      </w:divBdr>
    </w:div>
    <w:div w:id="1333071894">
      <w:bodyDiv w:val="1"/>
      <w:marLeft w:val="0"/>
      <w:marRight w:val="0"/>
      <w:marTop w:val="0"/>
      <w:marBottom w:val="0"/>
      <w:divBdr>
        <w:top w:val="none" w:sz="0" w:space="0" w:color="auto"/>
        <w:left w:val="none" w:sz="0" w:space="0" w:color="auto"/>
        <w:bottom w:val="none" w:sz="0" w:space="0" w:color="auto"/>
        <w:right w:val="none" w:sz="0" w:space="0" w:color="auto"/>
      </w:divBdr>
    </w:div>
    <w:div w:id="1355617737">
      <w:bodyDiv w:val="1"/>
      <w:marLeft w:val="0"/>
      <w:marRight w:val="0"/>
      <w:marTop w:val="0"/>
      <w:marBottom w:val="0"/>
      <w:divBdr>
        <w:top w:val="none" w:sz="0" w:space="0" w:color="auto"/>
        <w:left w:val="none" w:sz="0" w:space="0" w:color="auto"/>
        <w:bottom w:val="none" w:sz="0" w:space="0" w:color="auto"/>
        <w:right w:val="none" w:sz="0" w:space="0" w:color="auto"/>
      </w:divBdr>
    </w:div>
    <w:div w:id="1383939366">
      <w:bodyDiv w:val="1"/>
      <w:marLeft w:val="0"/>
      <w:marRight w:val="0"/>
      <w:marTop w:val="0"/>
      <w:marBottom w:val="0"/>
      <w:divBdr>
        <w:top w:val="none" w:sz="0" w:space="0" w:color="auto"/>
        <w:left w:val="none" w:sz="0" w:space="0" w:color="auto"/>
        <w:bottom w:val="none" w:sz="0" w:space="0" w:color="auto"/>
        <w:right w:val="none" w:sz="0" w:space="0" w:color="auto"/>
      </w:divBdr>
    </w:div>
    <w:div w:id="1406144921">
      <w:bodyDiv w:val="1"/>
      <w:marLeft w:val="0"/>
      <w:marRight w:val="0"/>
      <w:marTop w:val="0"/>
      <w:marBottom w:val="0"/>
      <w:divBdr>
        <w:top w:val="none" w:sz="0" w:space="0" w:color="auto"/>
        <w:left w:val="none" w:sz="0" w:space="0" w:color="auto"/>
        <w:bottom w:val="none" w:sz="0" w:space="0" w:color="auto"/>
        <w:right w:val="none" w:sz="0" w:space="0" w:color="auto"/>
      </w:divBdr>
    </w:div>
    <w:div w:id="1464157369">
      <w:bodyDiv w:val="1"/>
      <w:marLeft w:val="0"/>
      <w:marRight w:val="0"/>
      <w:marTop w:val="0"/>
      <w:marBottom w:val="0"/>
      <w:divBdr>
        <w:top w:val="none" w:sz="0" w:space="0" w:color="auto"/>
        <w:left w:val="none" w:sz="0" w:space="0" w:color="auto"/>
        <w:bottom w:val="none" w:sz="0" w:space="0" w:color="auto"/>
        <w:right w:val="none" w:sz="0" w:space="0" w:color="auto"/>
      </w:divBdr>
    </w:div>
    <w:div w:id="1481730809">
      <w:bodyDiv w:val="1"/>
      <w:marLeft w:val="0"/>
      <w:marRight w:val="0"/>
      <w:marTop w:val="0"/>
      <w:marBottom w:val="0"/>
      <w:divBdr>
        <w:top w:val="none" w:sz="0" w:space="0" w:color="auto"/>
        <w:left w:val="none" w:sz="0" w:space="0" w:color="auto"/>
        <w:bottom w:val="none" w:sz="0" w:space="0" w:color="auto"/>
        <w:right w:val="none" w:sz="0" w:space="0" w:color="auto"/>
      </w:divBdr>
    </w:div>
    <w:div w:id="1542669960">
      <w:bodyDiv w:val="1"/>
      <w:marLeft w:val="0"/>
      <w:marRight w:val="0"/>
      <w:marTop w:val="0"/>
      <w:marBottom w:val="0"/>
      <w:divBdr>
        <w:top w:val="none" w:sz="0" w:space="0" w:color="auto"/>
        <w:left w:val="none" w:sz="0" w:space="0" w:color="auto"/>
        <w:bottom w:val="none" w:sz="0" w:space="0" w:color="auto"/>
        <w:right w:val="none" w:sz="0" w:space="0" w:color="auto"/>
      </w:divBdr>
    </w:div>
    <w:div w:id="1580599939">
      <w:bodyDiv w:val="1"/>
      <w:marLeft w:val="0"/>
      <w:marRight w:val="0"/>
      <w:marTop w:val="0"/>
      <w:marBottom w:val="0"/>
      <w:divBdr>
        <w:top w:val="none" w:sz="0" w:space="0" w:color="auto"/>
        <w:left w:val="none" w:sz="0" w:space="0" w:color="auto"/>
        <w:bottom w:val="none" w:sz="0" w:space="0" w:color="auto"/>
        <w:right w:val="none" w:sz="0" w:space="0" w:color="auto"/>
      </w:divBdr>
    </w:div>
    <w:div w:id="1822455881">
      <w:bodyDiv w:val="1"/>
      <w:marLeft w:val="0"/>
      <w:marRight w:val="0"/>
      <w:marTop w:val="0"/>
      <w:marBottom w:val="0"/>
      <w:divBdr>
        <w:top w:val="none" w:sz="0" w:space="0" w:color="auto"/>
        <w:left w:val="none" w:sz="0" w:space="0" w:color="auto"/>
        <w:bottom w:val="none" w:sz="0" w:space="0" w:color="auto"/>
        <w:right w:val="none" w:sz="0" w:space="0" w:color="auto"/>
      </w:divBdr>
      <w:divsChild>
        <w:div w:id="560797537">
          <w:marLeft w:val="0"/>
          <w:marRight w:val="0"/>
          <w:marTop w:val="0"/>
          <w:marBottom w:val="0"/>
          <w:divBdr>
            <w:top w:val="none" w:sz="0" w:space="0" w:color="auto"/>
            <w:left w:val="none" w:sz="0" w:space="0" w:color="auto"/>
            <w:bottom w:val="none" w:sz="0" w:space="0" w:color="auto"/>
            <w:right w:val="none" w:sz="0" w:space="0" w:color="auto"/>
          </w:divBdr>
          <w:divsChild>
            <w:div w:id="593125470">
              <w:marLeft w:val="0"/>
              <w:marRight w:val="0"/>
              <w:marTop w:val="0"/>
              <w:marBottom w:val="0"/>
              <w:divBdr>
                <w:top w:val="none" w:sz="0" w:space="0" w:color="auto"/>
                <w:left w:val="none" w:sz="0" w:space="0" w:color="auto"/>
                <w:bottom w:val="none" w:sz="0" w:space="0" w:color="auto"/>
                <w:right w:val="none" w:sz="0" w:space="0" w:color="auto"/>
              </w:divBdr>
              <w:divsChild>
                <w:div w:id="1316841165">
                  <w:marLeft w:val="0"/>
                  <w:marRight w:val="0"/>
                  <w:marTop w:val="0"/>
                  <w:marBottom w:val="0"/>
                  <w:divBdr>
                    <w:top w:val="none" w:sz="0" w:space="0" w:color="auto"/>
                    <w:left w:val="none" w:sz="0" w:space="0" w:color="auto"/>
                    <w:bottom w:val="none" w:sz="0" w:space="0" w:color="auto"/>
                    <w:right w:val="none" w:sz="0" w:space="0" w:color="auto"/>
                  </w:divBdr>
                  <w:divsChild>
                    <w:div w:id="228424745">
                      <w:marLeft w:val="0"/>
                      <w:marRight w:val="0"/>
                      <w:marTop w:val="0"/>
                      <w:marBottom w:val="0"/>
                      <w:divBdr>
                        <w:top w:val="none" w:sz="0" w:space="0" w:color="auto"/>
                        <w:left w:val="none" w:sz="0" w:space="0" w:color="auto"/>
                        <w:bottom w:val="none" w:sz="0" w:space="0" w:color="auto"/>
                        <w:right w:val="none" w:sz="0" w:space="0" w:color="auto"/>
                      </w:divBdr>
                      <w:divsChild>
                        <w:div w:id="763839833">
                          <w:marLeft w:val="0"/>
                          <w:marRight w:val="0"/>
                          <w:marTop w:val="0"/>
                          <w:marBottom w:val="0"/>
                          <w:divBdr>
                            <w:top w:val="none" w:sz="0" w:space="0" w:color="auto"/>
                            <w:left w:val="none" w:sz="0" w:space="0" w:color="auto"/>
                            <w:bottom w:val="none" w:sz="0" w:space="0" w:color="auto"/>
                            <w:right w:val="none" w:sz="0" w:space="0" w:color="auto"/>
                          </w:divBdr>
                        </w:div>
                      </w:divsChild>
                    </w:div>
                    <w:div w:id="376928848">
                      <w:marLeft w:val="0"/>
                      <w:marRight w:val="0"/>
                      <w:marTop w:val="0"/>
                      <w:marBottom w:val="0"/>
                      <w:divBdr>
                        <w:top w:val="none" w:sz="0" w:space="0" w:color="auto"/>
                        <w:left w:val="none" w:sz="0" w:space="0" w:color="auto"/>
                        <w:bottom w:val="none" w:sz="0" w:space="0" w:color="auto"/>
                        <w:right w:val="none" w:sz="0" w:space="0" w:color="auto"/>
                      </w:divBdr>
                      <w:divsChild>
                        <w:div w:id="1865053153">
                          <w:marLeft w:val="0"/>
                          <w:marRight w:val="0"/>
                          <w:marTop w:val="0"/>
                          <w:marBottom w:val="0"/>
                          <w:divBdr>
                            <w:top w:val="none" w:sz="0" w:space="0" w:color="auto"/>
                            <w:left w:val="none" w:sz="0" w:space="0" w:color="auto"/>
                            <w:bottom w:val="none" w:sz="0" w:space="0" w:color="auto"/>
                            <w:right w:val="none" w:sz="0" w:space="0" w:color="auto"/>
                          </w:divBdr>
                        </w:div>
                      </w:divsChild>
                    </w:div>
                    <w:div w:id="869800885">
                      <w:marLeft w:val="0"/>
                      <w:marRight w:val="0"/>
                      <w:marTop w:val="0"/>
                      <w:marBottom w:val="0"/>
                      <w:divBdr>
                        <w:top w:val="none" w:sz="0" w:space="0" w:color="auto"/>
                        <w:left w:val="none" w:sz="0" w:space="0" w:color="auto"/>
                        <w:bottom w:val="none" w:sz="0" w:space="0" w:color="auto"/>
                        <w:right w:val="none" w:sz="0" w:space="0" w:color="auto"/>
                      </w:divBdr>
                      <w:divsChild>
                        <w:div w:id="1443502136">
                          <w:marLeft w:val="0"/>
                          <w:marRight w:val="0"/>
                          <w:marTop w:val="0"/>
                          <w:marBottom w:val="0"/>
                          <w:divBdr>
                            <w:top w:val="none" w:sz="0" w:space="0" w:color="auto"/>
                            <w:left w:val="none" w:sz="0" w:space="0" w:color="auto"/>
                            <w:bottom w:val="none" w:sz="0" w:space="0" w:color="auto"/>
                            <w:right w:val="none" w:sz="0" w:space="0" w:color="auto"/>
                          </w:divBdr>
                        </w:div>
                      </w:divsChild>
                    </w:div>
                    <w:div w:id="880243303">
                      <w:marLeft w:val="0"/>
                      <w:marRight w:val="0"/>
                      <w:marTop w:val="0"/>
                      <w:marBottom w:val="0"/>
                      <w:divBdr>
                        <w:top w:val="none" w:sz="0" w:space="0" w:color="auto"/>
                        <w:left w:val="none" w:sz="0" w:space="0" w:color="auto"/>
                        <w:bottom w:val="none" w:sz="0" w:space="0" w:color="auto"/>
                        <w:right w:val="none" w:sz="0" w:space="0" w:color="auto"/>
                      </w:divBdr>
                      <w:divsChild>
                        <w:div w:id="1872836296">
                          <w:marLeft w:val="0"/>
                          <w:marRight w:val="0"/>
                          <w:marTop w:val="0"/>
                          <w:marBottom w:val="0"/>
                          <w:divBdr>
                            <w:top w:val="none" w:sz="0" w:space="0" w:color="auto"/>
                            <w:left w:val="none" w:sz="0" w:space="0" w:color="auto"/>
                            <w:bottom w:val="none" w:sz="0" w:space="0" w:color="auto"/>
                            <w:right w:val="none" w:sz="0" w:space="0" w:color="auto"/>
                          </w:divBdr>
                        </w:div>
                      </w:divsChild>
                    </w:div>
                    <w:div w:id="1784616926">
                      <w:marLeft w:val="0"/>
                      <w:marRight w:val="0"/>
                      <w:marTop w:val="0"/>
                      <w:marBottom w:val="0"/>
                      <w:divBdr>
                        <w:top w:val="none" w:sz="0" w:space="0" w:color="auto"/>
                        <w:left w:val="none" w:sz="0" w:space="0" w:color="auto"/>
                        <w:bottom w:val="none" w:sz="0" w:space="0" w:color="auto"/>
                        <w:right w:val="none" w:sz="0" w:space="0" w:color="auto"/>
                      </w:divBdr>
                      <w:divsChild>
                        <w:div w:id="2601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92597">
      <w:bodyDiv w:val="1"/>
      <w:marLeft w:val="0"/>
      <w:marRight w:val="0"/>
      <w:marTop w:val="0"/>
      <w:marBottom w:val="0"/>
      <w:divBdr>
        <w:top w:val="none" w:sz="0" w:space="0" w:color="auto"/>
        <w:left w:val="none" w:sz="0" w:space="0" w:color="auto"/>
        <w:bottom w:val="none" w:sz="0" w:space="0" w:color="auto"/>
        <w:right w:val="none" w:sz="0" w:space="0" w:color="auto"/>
      </w:divBdr>
    </w:div>
    <w:div w:id="1848859156">
      <w:bodyDiv w:val="1"/>
      <w:marLeft w:val="0"/>
      <w:marRight w:val="0"/>
      <w:marTop w:val="0"/>
      <w:marBottom w:val="0"/>
      <w:divBdr>
        <w:top w:val="none" w:sz="0" w:space="0" w:color="auto"/>
        <w:left w:val="none" w:sz="0" w:space="0" w:color="auto"/>
        <w:bottom w:val="none" w:sz="0" w:space="0" w:color="auto"/>
        <w:right w:val="none" w:sz="0" w:space="0" w:color="auto"/>
      </w:divBdr>
    </w:div>
    <w:div w:id="1879587762">
      <w:bodyDiv w:val="1"/>
      <w:marLeft w:val="0"/>
      <w:marRight w:val="0"/>
      <w:marTop w:val="0"/>
      <w:marBottom w:val="0"/>
      <w:divBdr>
        <w:top w:val="none" w:sz="0" w:space="0" w:color="auto"/>
        <w:left w:val="none" w:sz="0" w:space="0" w:color="auto"/>
        <w:bottom w:val="none" w:sz="0" w:space="0" w:color="auto"/>
        <w:right w:val="none" w:sz="0" w:space="0" w:color="auto"/>
      </w:divBdr>
    </w:div>
    <w:div w:id="2029481601">
      <w:bodyDiv w:val="1"/>
      <w:marLeft w:val="0"/>
      <w:marRight w:val="0"/>
      <w:marTop w:val="0"/>
      <w:marBottom w:val="0"/>
      <w:divBdr>
        <w:top w:val="none" w:sz="0" w:space="0" w:color="auto"/>
        <w:left w:val="none" w:sz="0" w:space="0" w:color="auto"/>
        <w:bottom w:val="none" w:sz="0" w:space="0" w:color="auto"/>
        <w:right w:val="none" w:sz="0" w:space="0" w:color="auto"/>
      </w:divBdr>
    </w:div>
    <w:div w:id="2083333955">
      <w:bodyDiv w:val="1"/>
      <w:marLeft w:val="0"/>
      <w:marRight w:val="0"/>
      <w:marTop w:val="0"/>
      <w:marBottom w:val="0"/>
      <w:divBdr>
        <w:top w:val="none" w:sz="0" w:space="0" w:color="auto"/>
        <w:left w:val="none" w:sz="0" w:space="0" w:color="auto"/>
        <w:bottom w:val="none" w:sz="0" w:space="0" w:color="auto"/>
        <w:right w:val="none" w:sz="0" w:space="0" w:color="auto"/>
      </w:divBdr>
    </w:div>
    <w:div w:id="2116511574">
      <w:bodyDiv w:val="1"/>
      <w:marLeft w:val="0"/>
      <w:marRight w:val="0"/>
      <w:marTop w:val="0"/>
      <w:marBottom w:val="0"/>
      <w:divBdr>
        <w:top w:val="none" w:sz="0" w:space="0" w:color="auto"/>
        <w:left w:val="none" w:sz="0" w:space="0" w:color="auto"/>
        <w:bottom w:val="none" w:sz="0" w:space="0" w:color="auto"/>
        <w:right w:val="none" w:sz="0" w:space="0" w:color="auto"/>
      </w:divBdr>
      <w:divsChild>
        <w:div w:id="41172161">
          <w:marLeft w:val="0"/>
          <w:marRight w:val="0"/>
          <w:marTop w:val="0"/>
          <w:marBottom w:val="0"/>
          <w:divBdr>
            <w:top w:val="none" w:sz="0" w:space="0" w:color="auto"/>
            <w:left w:val="none" w:sz="0" w:space="0" w:color="auto"/>
            <w:bottom w:val="none" w:sz="0" w:space="0" w:color="auto"/>
            <w:right w:val="none" w:sz="0" w:space="0" w:color="auto"/>
          </w:divBdr>
          <w:divsChild>
            <w:div w:id="898325867">
              <w:marLeft w:val="0"/>
              <w:marRight w:val="0"/>
              <w:marTop w:val="0"/>
              <w:marBottom w:val="0"/>
              <w:divBdr>
                <w:top w:val="none" w:sz="0" w:space="0" w:color="auto"/>
                <w:left w:val="none" w:sz="0" w:space="0" w:color="auto"/>
                <w:bottom w:val="none" w:sz="0" w:space="0" w:color="auto"/>
                <w:right w:val="none" w:sz="0" w:space="0" w:color="auto"/>
              </w:divBdr>
            </w:div>
            <w:div w:id="2037462382">
              <w:marLeft w:val="0"/>
              <w:marRight w:val="0"/>
              <w:marTop w:val="0"/>
              <w:marBottom w:val="0"/>
              <w:divBdr>
                <w:top w:val="none" w:sz="0" w:space="0" w:color="auto"/>
                <w:left w:val="none" w:sz="0" w:space="0" w:color="auto"/>
                <w:bottom w:val="none" w:sz="0" w:space="0" w:color="auto"/>
                <w:right w:val="none" w:sz="0" w:space="0" w:color="auto"/>
              </w:divBdr>
            </w:div>
            <w:div w:id="1704093197">
              <w:marLeft w:val="0"/>
              <w:marRight w:val="0"/>
              <w:marTop w:val="0"/>
              <w:marBottom w:val="0"/>
              <w:divBdr>
                <w:top w:val="none" w:sz="0" w:space="0" w:color="auto"/>
                <w:left w:val="none" w:sz="0" w:space="0" w:color="auto"/>
                <w:bottom w:val="none" w:sz="0" w:space="0" w:color="auto"/>
                <w:right w:val="none" w:sz="0" w:space="0" w:color="auto"/>
              </w:divBdr>
            </w:div>
            <w:div w:id="382561846">
              <w:marLeft w:val="0"/>
              <w:marRight w:val="0"/>
              <w:marTop w:val="0"/>
              <w:marBottom w:val="0"/>
              <w:divBdr>
                <w:top w:val="none" w:sz="0" w:space="0" w:color="auto"/>
                <w:left w:val="none" w:sz="0" w:space="0" w:color="auto"/>
                <w:bottom w:val="none" w:sz="0" w:space="0" w:color="auto"/>
                <w:right w:val="none" w:sz="0" w:space="0" w:color="auto"/>
              </w:divBdr>
            </w:div>
            <w:div w:id="6914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www.aer.gov.au/node/451" TargetMode="External"/><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industry-information/industry-statistics" TargetMode="External"/><Relationship Id="rId24" Type="http://schemas.openxmlformats.org/officeDocument/2006/relationships/image" Target="media/image13.emf"/><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theme" Target="theme/theme1.xml"/><Relationship Id="rId10" Type="http://schemas.openxmlformats.org/officeDocument/2006/relationships/hyperlink" Target="http://www.aer.gov.au/wholesale-markets/market-performance" TargetMode="External"/><Relationship Id="rId19" Type="http://schemas.openxmlformats.org/officeDocument/2006/relationships/image" Target="media/image9.emf"/><Relationship Id="rId31" Type="http://schemas.openxmlformats.org/officeDocument/2006/relationships/image" Target="media/image20.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aer.gov.au/system/files/User%20guide%20to%20the%20AER%20gas%20weekly%20report%20-%20November%202016.pdf" TargetMode="External"/><Relationship Id="rId1" Type="http://schemas.openxmlformats.org/officeDocument/2006/relationships/hyperlink" Target="https://www.aer.gov.au/system/files/User%20guide%20to%20the%20AER%20gas%20weekly%20report%20-%20November%202016.pdf"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6983438B.dotm</Template>
  <TotalTime>0</TotalTime>
  <Pages>12</Pages>
  <Words>1831</Words>
  <Characters>10438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2017-04-12T05:29:00Z</dcterms:created>
  <dcterms:modified xsi:type="dcterms:W3CDTF">2017-04-12T05:32:00Z</dcterms:modified>
</cp:coreProperties>
</file>