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179C8362" wp14:editId="6A68FE59">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D56125" w:rsidP="00286866">
      <w:pPr>
        <w:pStyle w:val="Heading2"/>
        <w:rPr>
          <w:i/>
        </w:rPr>
      </w:pPr>
      <w:r w:rsidRPr="00D56125">
        <w:rPr>
          <w:sz w:val="36"/>
          <w:szCs w:val="36"/>
        </w:rPr>
        <w:t>2 – 8 October 2016</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6B245C" w:rsidRDefault="009B10E4" w:rsidP="00D56125">
      <w:pPr>
        <w:jc w:val="both"/>
      </w:pPr>
      <w:r>
        <w:t>Figure 1 shows a</w:t>
      </w:r>
      <w:r w:rsidR="006C45E0">
        <w:t xml:space="preserve">verage prices and demand retreated from the highs reported in </w:t>
      </w:r>
      <w:r w:rsidR="001E7720">
        <w:t>previous</w:t>
      </w:r>
      <w:r w:rsidR="006C45E0">
        <w:t xml:space="preserve"> weeks, however this was offset by </w:t>
      </w:r>
      <w:r w:rsidR="00E013E0">
        <w:t xml:space="preserve">several </w:t>
      </w:r>
      <w:r w:rsidR="007353C1">
        <w:t xml:space="preserve">intervals of </w:t>
      </w:r>
      <w:r w:rsidR="00E013E0">
        <w:t xml:space="preserve">high prices in the DWGM mid-week correlated to higher demand, and </w:t>
      </w:r>
      <w:r w:rsidR="006C45E0">
        <w:t>increases in the Brisbane STTM and Wallumbilla.</w:t>
      </w:r>
    </w:p>
    <w:p w:rsidR="006C45E0" w:rsidRDefault="006C45E0" w:rsidP="00D56125">
      <w:pPr>
        <w:jc w:val="both"/>
      </w:pPr>
      <w:r w:rsidRPr="00D56125">
        <w:t>The amount of gas delivered to Curtis Island on Monday 3 October was the highest to date at 3</w:t>
      </w:r>
      <w:r w:rsidR="00CD4FA2">
        <w:t> </w:t>
      </w:r>
      <w:r w:rsidRPr="00D56125">
        <w:t>518TJ</w:t>
      </w:r>
      <w:r>
        <w:t>.</w:t>
      </w:r>
    </w:p>
    <w:p w:rsidR="00EF75BA" w:rsidRDefault="00EF75BA" w:rsidP="00D56125">
      <w:pPr>
        <w:jc w:val="both"/>
      </w:pPr>
      <w:r>
        <w:t xml:space="preserve">A </w:t>
      </w:r>
      <w:r w:rsidR="00ED0469">
        <w:t>notable</w:t>
      </w:r>
      <w:r>
        <w:t xml:space="preserve"> increase in flow along the APLNG pipeline indicate</w:t>
      </w:r>
      <w:r w:rsidR="00731BDD">
        <w:t>d that APLNG wa</w:t>
      </w:r>
      <w:r>
        <w:t>s preparing to commence production from its second LNG train</w:t>
      </w:r>
      <w:r w:rsidR="003D7FEE">
        <w:t xml:space="preserve">; </w:t>
      </w:r>
      <w:r w:rsidR="00731BDD">
        <w:t xml:space="preserve">it shipped its first cargo </w:t>
      </w:r>
      <w:r w:rsidR="003D7FEE">
        <w:t xml:space="preserve">on </w:t>
      </w:r>
      <w:r w:rsidR="00731BDD">
        <w:t>10 October</w:t>
      </w:r>
      <w:r w:rsidR="003D7FEE">
        <w:t>.</w:t>
      </w:r>
      <w:r w:rsidR="00731BDD">
        <w:rPr>
          <w:rStyle w:val="FootnoteReference"/>
        </w:rPr>
        <w:footnoteReference w:id="1"/>
      </w:r>
    </w:p>
    <w:p w:rsidR="006C45E0" w:rsidRDefault="006C45E0" w:rsidP="00D56125">
      <w:pPr>
        <w:jc w:val="both"/>
      </w:pPr>
      <w:r>
        <w:t>Gas used for GPG across the NEM was materially down on the previous week.</w:t>
      </w:r>
    </w:p>
    <w:p w:rsidR="00703015" w:rsidRPr="000835F4" w:rsidRDefault="00703015" w:rsidP="00D56125">
      <w:pPr>
        <w:jc w:val="both"/>
      </w:pPr>
      <w:r>
        <w:t>A number of new reporting obligations came into effect on the Bulletin Board from 6 October, including the separate reporting of delivery and receipt information</w:t>
      </w:r>
      <w:r w:rsidR="002B5BD5">
        <w:t xml:space="preserve"> for each demand and production zone, uncontracted capacity outlooks and gas storage quantities.</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9C54FE" w:rsidRDefault="009C54FE">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lastRenderedPageBreak/>
        <w:t>Market overview</w:t>
      </w:r>
    </w:p>
    <w:p w:rsidR="009C54FE"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r w:rsidR="00EE7852">
        <w:fldChar w:fldCharType="begin"/>
      </w:r>
      <w:r w:rsidR="00EE7852">
        <w:instrText xml:space="preserve"> SEQ Figure \* ARABIC </w:instrText>
      </w:r>
      <w:r w:rsidR="00EE7852">
        <w:fldChar w:fldCharType="separate"/>
      </w:r>
      <w:r w:rsidR="001521CB">
        <w:rPr>
          <w:noProof/>
        </w:rPr>
        <w:t>1</w:t>
      </w:r>
      <w:r w:rsidR="00EE7852">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2"/>
      </w:r>
    </w:p>
    <w:tbl>
      <w:tblPr>
        <w:tblStyle w:val="AERTable-Text"/>
        <w:tblW w:w="4991" w:type="pct"/>
        <w:tblLayout w:type="fixed"/>
        <w:tblLook w:val="04A0" w:firstRow="1" w:lastRow="0" w:firstColumn="1" w:lastColumn="0" w:noHBand="0" w:noVBand="1"/>
      </w:tblPr>
      <w:tblGrid>
        <w:gridCol w:w="1382"/>
        <w:gridCol w:w="607"/>
        <w:gridCol w:w="814"/>
        <w:gridCol w:w="607"/>
        <w:gridCol w:w="769"/>
        <w:gridCol w:w="607"/>
        <w:gridCol w:w="572"/>
        <w:gridCol w:w="607"/>
        <w:gridCol w:w="670"/>
        <w:gridCol w:w="609"/>
        <w:gridCol w:w="662"/>
        <w:gridCol w:w="79"/>
        <w:gridCol w:w="480"/>
        <w:gridCol w:w="760"/>
      </w:tblGrid>
      <w:tr w:rsidR="00546B16" w:rsidRPr="002861A9" w:rsidTr="00C5766F">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770"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3"/>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534DD9" w:rsidRPr="002861A9" w:rsidTr="00534DD9">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2"/>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FD4CAE" w:rsidRPr="006A7228" w:rsidTr="00534DD9">
        <w:trPr>
          <w:trHeight w:val="510"/>
        </w:trPr>
        <w:tc>
          <w:tcPr>
            <w:tcW w:w="749" w:type="pct"/>
            <w:tcBorders>
              <w:top w:val="nil"/>
              <w:bottom w:val="nil"/>
            </w:tcBorders>
            <w:vAlign w:val="center"/>
          </w:tcPr>
          <w:p w:rsidR="00FD4CAE" w:rsidRDefault="00FD4CAE">
            <w:pPr>
              <w:rPr>
                <w:rFonts w:cs="Arial"/>
                <w:sz w:val="16"/>
                <w:szCs w:val="16"/>
              </w:rPr>
            </w:pPr>
            <w:r>
              <w:rPr>
                <w:rFonts w:cs="Arial"/>
                <w:sz w:val="16"/>
                <w:szCs w:val="16"/>
              </w:rPr>
              <w:t>02 Oct - 08 Oct 2016</w:t>
            </w:r>
          </w:p>
        </w:tc>
        <w:tc>
          <w:tcPr>
            <w:tcW w:w="329" w:type="pct"/>
            <w:tcBorders>
              <w:top w:val="nil"/>
              <w:bottom w:val="nil"/>
            </w:tcBorders>
            <w:vAlign w:val="center"/>
          </w:tcPr>
          <w:p w:rsidR="00FD4CAE" w:rsidRDefault="00FD4CAE">
            <w:pPr>
              <w:jc w:val="center"/>
              <w:rPr>
                <w:rFonts w:cs="Arial"/>
                <w:sz w:val="20"/>
                <w:szCs w:val="20"/>
              </w:rPr>
            </w:pPr>
            <w:r>
              <w:rPr>
                <w:rFonts w:cs="Arial"/>
                <w:sz w:val="20"/>
                <w:szCs w:val="20"/>
              </w:rPr>
              <w:t>6.17</w:t>
            </w:r>
          </w:p>
        </w:tc>
        <w:tc>
          <w:tcPr>
            <w:tcW w:w="441" w:type="pct"/>
            <w:tcBorders>
              <w:top w:val="nil"/>
              <w:bottom w:val="nil"/>
            </w:tcBorders>
            <w:vAlign w:val="center"/>
          </w:tcPr>
          <w:p w:rsidR="00FD4CAE" w:rsidRDefault="00FD4CAE">
            <w:pPr>
              <w:jc w:val="center"/>
              <w:rPr>
                <w:rFonts w:cs="Arial"/>
                <w:sz w:val="20"/>
                <w:szCs w:val="20"/>
              </w:rPr>
            </w:pPr>
            <w:r>
              <w:rPr>
                <w:rFonts w:cs="Arial"/>
                <w:sz w:val="20"/>
                <w:szCs w:val="20"/>
              </w:rPr>
              <w:t>535</w:t>
            </w:r>
          </w:p>
        </w:tc>
        <w:tc>
          <w:tcPr>
            <w:tcW w:w="329" w:type="pct"/>
            <w:tcBorders>
              <w:top w:val="nil"/>
              <w:bottom w:val="nil"/>
            </w:tcBorders>
            <w:vAlign w:val="center"/>
          </w:tcPr>
          <w:p w:rsidR="00FD4CAE" w:rsidRDefault="00FD4CAE">
            <w:pPr>
              <w:jc w:val="center"/>
              <w:rPr>
                <w:rFonts w:cs="Arial"/>
                <w:sz w:val="20"/>
                <w:szCs w:val="20"/>
              </w:rPr>
            </w:pPr>
            <w:r>
              <w:rPr>
                <w:rFonts w:cs="Arial"/>
                <w:sz w:val="20"/>
                <w:szCs w:val="20"/>
              </w:rPr>
              <w:t>5.64</w:t>
            </w:r>
          </w:p>
        </w:tc>
        <w:tc>
          <w:tcPr>
            <w:tcW w:w="417" w:type="pct"/>
            <w:tcBorders>
              <w:top w:val="nil"/>
              <w:bottom w:val="nil"/>
            </w:tcBorders>
            <w:vAlign w:val="center"/>
          </w:tcPr>
          <w:p w:rsidR="00FD4CAE" w:rsidRDefault="00FD4CAE">
            <w:pPr>
              <w:jc w:val="center"/>
              <w:rPr>
                <w:rFonts w:cs="Arial"/>
                <w:sz w:val="20"/>
                <w:szCs w:val="20"/>
              </w:rPr>
            </w:pPr>
            <w:r>
              <w:rPr>
                <w:rFonts w:cs="Arial"/>
                <w:sz w:val="20"/>
                <w:szCs w:val="20"/>
              </w:rPr>
              <w:t>230</w:t>
            </w:r>
          </w:p>
        </w:tc>
        <w:tc>
          <w:tcPr>
            <w:tcW w:w="329" w:type="pct"/>
            <w:tcBorders>
              <w:top w:val="nil"/>
              <w:bottom w:val="nil"/>
            </w:tcBorders>
            <w:vAlign w:val="center"/>
          </w:tcPr>
          <w:p w:rsidR="00FD4CAE" w:rsidRDefault="00FD4CAE">
            <w:pPr>
              <w:jc w:val="center"/>
              <w:rPr>
                <w:rFonts w:cs="Arial"/>
                <w:sz w:val="20"/>
                <w:szCs w:val="20"/>
              </w:rPr>
            </w:pPr>
            <w:r>
              <w:rPr>
                <w:rFonts w:cs="Arial"/>
                <w:sz w:val="20"/>
                <w:szCs w:val="20"/>
              </w:rPr>
              <w:t>5.98</w:t>
            </w:r>
          </w:p>
        </w:tc>
        <w:tc>
          <w:tcPr>
            <w:tcW w:w="310" w:type="pct"/>
            <w:tcBorders>
              <w:top w:val="nil"/>
              <w:bottom w:val="nil"/>
            </w:tcBorders>
            <w:vAlign w:val="center"/>
          </w:tcPr>
          <w:p w:rsidR="00FD4CAE" w:rsidRDefault="00FD4CAE">
            <w:pPr>
              <w:jc w:val="center"/>
              <w:rPr>
                <w:rFonts w:cs="Arial"/>
                <w:sz w:val="20"/>
                <w:szCs w:val="20"/>
              </w:rPr>
            </w:pPr>
            <w:r>
              <w:rPr>
                <w:rFonts w:cs="Arial"/>
                <w:sz w:val="20"/>
                <w:szCs w:val="20"/>
              </w:rPr>
              <w:t>58</w:t>
            </w:r>
          </w:p>
        </w:tc>
        <w:tc>
          <w:tcPr>
            <w:tcW w:w="329" w:type="pct"/>
            <w:tcBorders>
              <w:top w:val="nil"/>
              <w:bottom w:val="nil"/>
            </w:tcBorders>
            <w:vAlign w:val="center"/>
          </w:tcPr>
          <w:p w:rsidR="00FD4CAE" w:rsidRDefault="00FD4CAE">
            <w:pPr>
              <w:jc w:val="center"/>
              <w:rPr>
                <w:rFonts w:cs="Arial"/>
                <w:sz w:val="20"/>
                <w:szCs w:val="20"/>
              </w:rPr>
            </w:pPr>
            <w:r>
              <w:rPr>
                <w:rFonts w:cs="Arial"/>
                <w:sz w:val="20"/>
                <w:szCs w:val="20"/>
              </w:rPr>
              <w:t>5.75</w:t>
            </w:r>
          </w:p>
        </w:tc>
        <w:tc>
          <w:tcPr>
            <w:tcW w:w="363" w:type="pct"/>
            <w:tcBorders>
              <w:top w:val="nil"/>
              <w:bottom w:val="nil"/>
            </w:tcBorders>
            <w:vAlign w:val="center"/>
          </w:tcPr>
          <w:p w:rsidR="00FD4CAE" w:rsidRDefault="00FD4CAE">
            <w:pPr>
              <w:jc w:val="center"/>
              <w:rPr>
                <w:rFonts w:cs="Arial"/>
                <w:sz w:val="20"/>
                <w:szCs w:val="20"/>
              </w:rPr>
            </w:pPr>
            <w:r>
              <w:rPr>
                <w:rFonts w:cs="Arial"/>
                <w:sz w:val="20"/>
                <w:szCs w:val="20"/>
              </w:rPr>
              <w:t>79</w:t>
            </w:r>
          </w:p>
        </w:tc>
        <w:tc>
          <w:tcPr>
            <w:tcW w:w="330" w:type="pct"/>
            <w:tcBorders>
              <w:top w:val="nil"/>
              <w:bottom w:val="nil"/>
            </w:tcBorders>
            <w:vAlign w:val="center"/>
          </w:tcPr>
          <w:p w:rsidR="00FD4CAE" w:rsidRDefault="00FD4CAE">
            <w:pPr>
              <w:jc w:val="center"/>
              <w:rPr>
                <w:rFonts w:cs="Arial"/>
                <w:sz w:val="20"/>
                <w:szCs w:val="20"/>
              </w:rPr>
            </w:pPr>
            <w:r>
              <w:rPr>
                <w:rFonts w:cs="Arial"/>
                <w:sz w:val="20"/>
                <w:szCs w:val="20"/>
              </w:rPr>
              <w:t>5.53</w:t>
            </w:r>
          </w:p>
        </w:tc>
        <w:tc>
          <w:tcPr>
            <w:tcW w:w="359" w:type="pct"/>
            <w:tcBorders>
              <w:top w:val="nil"/>
              <w:bottom w:val="nil"/>
            </w:tcBorders>
            <w:vAlign w:val="center"/>
          </w:tcPr>
          <w:p w:rsidR="00FD4CAE" w:rsidRDefault="00FD4CAE">
            <w:pPr>
              <w:jc w:val="center"/>
              <w:rPr>
                <w:rFonts w:cs="Arial"/>
                <w:sz w:val="20"/>
                <w:szCs w:val="20"/>
              </w:rPr>
            </w:pPr>
            <w:r>
              <w:rPr>
                <w:rFonts w:cs="Arial"/>
                <w:sz w:val="20"/>
                <w:szCs w:val="20"/>
              </w:rPr>
              <w:t>207</w:t>
            </w:r>
          </w:p>
        </w:tc>
        <w:tc>
          <w:tcPr>
            <w:tcW w:w="303" w:type="pct"/>
            <w:gridSpan w:val="2"/>
            <w:tcBorders>
              <w:top w:val="nil"/>
              <w:bottom w:val="nil"/>
            </w:tcBorders>
            <w:vAlign w:val="center"/>
          </w:tcPr>
          <w:p w:rsidR="00FD4CAE" w:rsidRDefault="00FD4CAE">
            <w:pPr>
              <w:jc w:val="center"/>
              <w:rPr>
                <w:rFonts w:cs="Arial"/>
                <w:sz w:val="20"/>
                <w:szCs w:val="20"/>
              </w:rPr>
            </w:pPr>
            <w:r>
              <w:rPr>
                <w:rFonts w:cs="Arial"/>
                <w:sz w:val="20"/>
                <w:szCs w:val="20"/>
              </w:rPr>
              <w:t>-</w:t>
            </w:r>
          </w:p>
        </w:tc>
        <w:tc>
          <w:tcPr>
            <w:tcW w:w="412" w:type="pct"/>
            <w:tcBorders>
              <w:top w:val="nil"/>
              <w:bottom w:val="nil"/>
            </w:tcBorders>
            <w:vAlign w:val="center"/>
          </w:tcPr>
          <w:p w:rsidR="00FD4CAE" w:rsidRDefault="00FD4CAE">
            <w:pPr>
              <w:jc w:val="center"/>
              <w:rPr>
                <w:rFonts w:cs="Arial"/>
                <w:sz w:val="20"/>
                <w:szCs w:val="20"/>
              </w:rPr>
            </w:pPr>
            <w:r>
              <w:rPr>
                <w:rFonts w:cs="Arial"/>
                <w:sz w:val="20"/>
                <w:szCs w:val="20"/>
              </w:rPr>
              <w:t>-</w:t>
            </w:r>
          </w:p>
        </w:tc>
      </w:tr>
      <w:tr w:rsidR="00FD4CAE"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nil"/>
            </w:tcBorders>
            <w:vAlign w:val="center"/>
          </w:tcPr>
          <w:p w:rsidR="00FD4CAE" w:rsidRDefault="00FD4CAE">
            <w:pPr>
              <w:rPr>
                <w:rFonts w:cs="Arial"/>
                <w:sz w:val="16"/>
                <w:szCs w:val="16"/>
              </w:rPr>
            </w:pPr>
            <w:r>
              <w:rPr>
                <w:rFonts w:cs="Arial"/>
                <w:sz w:val="16"/>
                <w:szCs w:val="16"/>
              </w:rPr>
              <w:t>% change from previous week</w:t>
            </w:r>
          </w:p>
        </w:tc>
        <w:tc>
          <w:tcPr>
            <w:tcW w:w="329" w:type="pct"/>
            <w:tcBorders>
              <w:top w:val="nil"/>
              <w:bottom w:val="nil"/>
            </w:tcBorders>
            <w:vAlign w:val="center"/>
          </w:tcPr>
          <w:p w:rsidR="00FD4CAE" w:rsidRDefault="00FD4CAE">
            <w:pPr>
              <w:jc w:val="center"/>
              <w:rPr>
                <w:rFonts w:cs="Arial"/>
                <w:szCs w:val="20"/>
              </w:rPr>
            </w:pPr>
            <w:r>
              <w:rPr>
                <w:rFonts w:cs="Arial"/>
                <w:szCs w:val="20"/>
              </w:rPr>
              <w:t>-26</w:t>
            </w:r>
          </w:p>
        </w:tc>
        <w:tc>
          <w:tcPr>
            <w:tcW w:w="441" w:type="pct"/>
            <w:tcBorders>
              <w:top w:val="nil"/>
              <w:bottom w:val="nil"/>
            </w:tcBorders>
            <w:vAlign w:val="center"/>
          </w:tcPr>
          <w:p w:rsidR="00FD4CAE" w:rsidRDefault="00FD4CAE">
            <w:pPr>
              <w:jc w:val="center"/>
              <w:rPr>
                <w:rFonts w:cs="Arial"/>
                <w:szCs w:val="20"/>
              </w:rPr>
            </w:pPr>
            <w:r>
              <w:rPr>
                <w:rFonts w:cs="Arial"/>
                <w:szCs w:val="20"/>
              </w:rPr>
              <w:t>-17</w:t>
            </w:r>
          </w:p>
        </w:tc>
        <w:tc>
          <w:tcPr>
            <w:tcW w:w="329" w:type="pct"/>
            <w:tcBorders>
              <w:top w:val="nil"/>
              <w:bottom w:val="nil"/>
            </w:tcBorders>
            <w:vAlign w:val="center"/>
          </w:tcPr>
          <w:p w:rsidR="00FD4CAE" w:rsidRDefault="00FD4CAE">
            <w:pPr>
              <w:jc w:val="center"/>
              <w:rPr>
                <w:rFonts w:cs="Arial"/>
                <w:szCs w:val="20"/>
              </w:rPr>
            </w:pPr>
            <w:r>
              <w:rPr>
                <w:rFonts w:cs="Arial"/>
                <w:szCs w:val="20"/>
              </w:rPr>
              <w:t>-13</w:t>
            </w:r>
          </w:p>
        </w:tc>
        <w:tc>
          <w:tcPr>
            <w:tcW w:w="417" w:type="pct"/>
            <w:tcBorders>
              <w:top w:val="nil"/>
              <w:bottom w:val="nil"/>
            </w:tcBorders>
            <w:vAlign w:val="center"/>
          </w:tcPr>
          <w:p w:rsidR="00FD4CAE" w:rsidRDefault="00FD4CAE">
            <w:pPr>
              <w:jc w:val="center"/>
              <w:rPr>
                <w:rFonts w:cs="Arial"/>
                <w:szCs w:val="20"/>
              </w:rPr>
            </w:pPr>
            <w:r>
              <w:rPr>
                <w:rFonts w:cs="Arial"/>
                <w:szCs w:val="20"/>
              </w:rPr>
              <w:t>-6</w:t>
            </w:r>
          </w:p>
        </w:tc>
        <w:tc>
          <w:tcPr>
            <w:tcW w:w="329" w:type="pct"/>
            <w:tcBorders>
              <w:top w:val="nil"/>
              <w:bottom w:val="nil"/>
            </w:tcBorders>
            <w:vAlign w:val="center"/>
          </w:tcPr>
          <w:p w:rsidR="00FD4CAE" w:rsidRDefault="00FD4CAE">
            <w:pPr>
              <w:jc w:val="center"/>
              <w:rPr>
                <w:rFonts w:cs="Arial"/>
                <w:szCs w:val="20"/>
              </w:rPr>
            </w:pPr>
            <w:r>
              <w:rPr>
                <w:rFonts w:cs="Arial"/>
                <w:szCs w:val="20"/>
              </w:rPr>
              <w:t>-4</w:t>
            </w:r>
          </w:p>
        </w:tc>
        <w:tc>
          <w:tcPr>
            <w:tcW w:w="310" w:type="pct"/>
            <w:tcBorders>
              <w:top w:val="nil"/>
              <w:bottom w:val="nil"/>
            </w:tcBorders>
            <w:vAlign w:val="center"/>
          </w:tcPr>
          <w:p w:rsidR="00FD4CAE" w:rsidRDefault="00FD4CAE">
            <w:pPr>
              <w:jc w:val="center"/>
              <w:rPr>
                <w:rFonts w:cs="Arial"/>
                <w:szCs w:val="20"/>
              </w:rPr>
            </w:pPr>
            <w:r>
              <w:rPr>
                <w:rFonts w:cs="Arial"/>
                <w:szCs w:val="20"/>
              </w:rPr>
              <w:t>-24</w:t>
            </w:r>
          </w:p>
        </w:tc>
        <w:tc>
          <w:tcPr>
            <w:tcW w:w="329" w:type="pct"/>
            <w:tcBorders>
              <w:top w:val="nil"/>
              <w:bottom w:val="nil"/>
            </w:tcBorders>
            <w:vAlign w:val="center"/>
          </w:tcPr>
          <w:p w:rsidR="00FD4CAE" w:rsidRDefault="00FD4CAE">
            <w:pPr>
              <w:jc w:val="center"/>
              <w:rPr>
                <w:rFonts w:cs="Arial"/>
                <w:szCs w:val="20"/>
              </w:rPr>
            </w:pPr>
            <w:r>
              <w:rPr>
                <w:rFonts w:cs="Arial"/>
                <w:szCs w:val="20"/>
              </w:rPr>
              <w:t>30</w:t>
            </w:r>
          </w:p>
        </w:tc>
        <w:tc>
          <w:tcPr>
            <w:tcW w:w="363" w:type="pct"/>
            <w:tcBorders>
              <w:top w:val="nil"/>
              <w:bottom w:val="nil"/>
            </w:tcBorders>
            <w:vAlign w:val="center"/>
          </w:tcPr>
          <w:p w:rsidR="00FD4CAE" w:rsidRDefault="00FD4CAE">
            <w:pPr>
              <w:jc w:val="center"/>
              <w:rPr>
                <w:rFonts w:cs="Arial"/>
                <w:szCs w:val="20"/>
              </w:rPr>
            </w:pPr>
            <w:r>
              <w:rPr>
                <w:rFonts w:cs="Arial"/>
                <w:szCs w:val="20"/>
              </w:rPr>
              <w:t>-9</w:t>
            </w:r>
          </w:p>
        </w:tc>
        <w:tc>
          <w:tcPr>
            <w:tcW w:w="330" w:type="pct"/>
            <w:tcBorders>
              <w:top w:val="nil"/>
              <w:bottom w:val="nil"/>
            </w:tcBorders>
            <w:vAlign w:val="center"/>
          </w:tcPr>
          <w:p w:rsidR="00FD4CAE" w:rsidRDefault="00FD4CAE">
            <w:pPr>
              <w:jc w:val="center"/>
              <w:rPr>
                <w:rFonts w:cs="Arial"/>
                <w:szCs w:val="20"/>
              </w:rPr>
            </w:pPr>
            <w:r>
              <w:rPr>
                <w:rFonts w:cs="Arial"/>
                <w:szCs w:val="20"/>
              </w:rPr>
              <w:t>44</w:t>
            </w:r>
          </w:p>
        </w:tc>
        <w:tc>
          <w:tcPr>
            <w:tcW w:w="359" w:type="pct"/>
            <w:tcBorders>
              <w:top w:val="nil"/>
              <w:bottom w:val="nil"/>
            </w:tcBorders>
            <w:vAlign w:val="center"/>
          </w:tcPr>
          <w:p w:rsidR="00FD4CAE" w:rsidRDefault="00FD4CAE">
            <w:pPr>
              <w:jc w:val="center"/>
              <w:rPr>
                <w:rFonts w:cs="Arial"/>
                <w:szCs w:val="20"/>
              </w:rPr>
            </w:pPr>
            <w:r>
              <w:rPr>
                <w:rFonts w:cs="Arial"/>
                <w:szCs w:val="20"/>
              </w:rPr>
              <w:t>246</w:t>
            </w:r>
          </w:p>
        </w:tc>
        <w:tc>
          <w:tcPr>
            <w:tcW w:w="303" w:type="pct"/>
            <w:gridSpan w:val="2"/>
            <w:tcBorders>
              <w:top w:val="nil"/>
              <w:bottom w:val="nil"/>
            </w:tcBorders>
            <w:vAlign w:val="center"/>
          </w:tcPr>
          <w:p w:rsidR="00FD4CAE" w:rsidRDefault="00FD4CAE">
            <w:pPr>
              <w:jc w:val="center"/>
              <w:rPr>
                <w:rFonts w:cs="Arial"/>
                <w:szCs w:val="20"/>
              </w:rPr>
            </w:pPr>
            <w:r>
              <w:rPr>
                <w:rFonts w:cs="Arial"/>
                <w:szCs w:val="20"/>
              </w:rPr>
              <w:t>-</w:t>
            </w:r>
          </w:p>
        </w:tc>
        <w:tc>
          <w:tcPr>
            <w:tcW w:w="412" w:type="pct"/>
            <w:tcBorders>
              <w:top w:val="nil"/>
              <w:bottom w:val="nil"/>
            </w:tcBorders>
            <w:vAlign w:val="center"/>
          </w:tcPr>
          <w:p w:rsidR="00FD4CAE" w:rsidRDefault="00FD4CAE">
            <w:pPr>
              <w:jc w:val="center"/>
              <w:rPr>
                <w:rFonts w:cs="Arial"/>
                <w:szCs w:val="20"/>
              </w:rPr>
            </w:pPr>
            <w:r>
              <w:rPr>
                <w:rFonts w:cs="Arial"/>
                <w:szCs w:val="20"/>
              </w:rPr>
              <w:t>-</w:t>
            </w:r>
          </w:p>
        </w:tc>
      </w:tr>
      <w:tr w:rsidR="00FD4CAE" w:rsidRPr="006A7228" w:rsidTr="00534DD9">
        <w:trPr>
          <w:trHeight w:val="510"/>
        </w:trPr>
        <w:tc>
          <w:tcPr>
            <w:tcW w:w="749" w:type="pct"/>
            <w:tcBorders>
              <w:top w:val="nil"/>
              <w:bottom w:val="nil"/>
            </w:tcBorders>
            <w:vAlign w:val="center"/>
          </w:tcPr>
          <w:p w:rsidR="00FD4CAE" w:rsidRDefault="00FD4CAE">
            <w:pPr>
              <w:rPr>
                <w:rFonts w:cs="Arial"/>
                <w:sz w:val="16"/>
                <w:szCs w:val="16"/>
              </w:rPr>
            </w:pPr>
            <w:r>
              <w:rPr>
                <w:rFonts w:cs="Arial"/>
                <w:sz w:val="16"/>
                <w:szCs w:val="16"/>
              </w:rPr>
              <w:t>16-17 financial YTD</w:t>
            </w:r>
          </w:p>
        </w:tc>
        <w:tc>
          <w:tcPr>
            <w:tcW w:w="329" w:type="pct"/>
            <w:tcBorders>
              <w:top w:val="nil"/>
              <w:bottom w:val="nil"/>
            </w:tcBorders>
            <w:vAlign w:val="center"/>
          </w:tcPr>
          <w:p w:rsidR="00FD4CAE" w:rsidRDefault="00FD4CAE">
            <w:pPr>
              <w:jc w:val="center"/>
              <w:rPr>
                <w:rFonts w:cs="Arial"/>
                <w:sz w:val="20"/>
                <w:szCs w:val="20"/>
              </w:rPr>
            </w:pPr>
            <w:r>
              <w:rPr>
                <w:rFonts w:cs="Arial"/>
                <w:sz w:val="20"/>
                <w:szCs w:val="20"/>
              </w:rPr>
              <w:t>8.69</w:t>
            </w:r>
          </w:p>
        </w:tc>
        <w:tc>
          <w:tcPr>
            <w:tcW w:w="441" w:type="pct"/>
            <w:tcBorders>
              <w:top w:val="nil"/>
              <w:bottom w:val="nil"/>
            </w:tcBorders>
            <w:vAlign w:val="center"/>
          </w:tcPr>
          <w:p w:rsidR="00FD4CAE" w:rsidRDefault="00FD4CAE">
            <w:pPr>
              <w:jc w:val="center"/>
              <w:rPr>
                <w:rFonts w:cs="Arial"/>
                <w:sz w:val="20"/>
                <w:szCs w:val="20"/>
              </w:rPr>
            </w:pPr>
            <w:r>
              <w:rPr>
                <w:rFonts w:cs="Arial"/>
                <w:sz w:val="20"/>
                <w:szCs w:val="20"/>
              </w:rPr>
              <w:t>777</w:t>
            </w:r>
          </w:p>
        </w:tc>
        <w:tc>
          <w:tcPr>
            <w:tcW w:w="329" w:type="pct"/>
            <w:tcBorders>
              <w:top w:val="nil"/>
              <w:bottom w:val="nil"/>
            </w:tcBorders>
            <w:vAlign w:val="center"/>
          </w:tcPr>
          <w:p w:rsidR="00FD4CAE" w:rsidRDefault="00FD4CAE">
            <w:pPr>
              <w:jc w:val="center"/>
              <w:rPr>
                <w:rFonts w:cs="Arial"/>
                <w:sz w:val="20"/>
                <w:szCs w:val="20"/>
              </w:rPr>
            </w:pPr>
            <w:r>
              <w:rPr>
                <w:rFonts w:cs="Arial"/>
                <w:sz w:val="20"/>
                <w:szCs w:val="20"/>
              </w:rPr>
              <w:t>7.69</w:t>
            </w:r>
          </w:p>
        </w:tc>
        <w:tc>
          <w:tcPr>
            <w:tcW w:w="417" w:type="pct"/>
            <w:tcBorders>
              <w:top w:val="nil"/>
              <w:bottom w:val="nil"/>
            </w:tcBorders>
            <w:vAlign w:val="center"/>
          </w:tcPr>
          <w:p w:rsidR="00FD4CAE" w:rsidRDefault="00FD4CAE">
            <w:pPr>
              <w:jc w:val="center"/>
              <w:rPr>
                <w:rFonts w:cs="Arial"/>
                <w:sz w:val="20"/>
                <w:szCs w:val="20"/>
              </w:rPr>
            </w:pPr>
            <w:r>
              <w:rPr>
                <w:rFonts w:cs="Arial"/>
                <w:sz w:val="20"/>
                <w:szCs w:val="20"/>
              </w:rPr>
              <w:t>272</w:t>
            </w:r>
          </w:p>
        </w:tc>
        <w:tc>
          <w:tcPr>
            <w:tcW w:w="329" w:type="pct"/>
            <w:tcBorders>
              <w:top w:val="nil"/>
              <w:bottom w:val="nil"/>
            </w:tcBorders>
            <w:vAlign w:val="center"/>
          </w:tcPr>
          <w:p w:rsidR="00FD4CAE" w:rsidRDefault="00FD4CAE">
            <w:pPr>
              <w:jc w:val="center"/>
              <w:rPr>
                <w:rFonts w:cs="Arial"/>
                <w:sz w:val="20"/>
                <w:szCs w:val="20"/>
              </w:rPr>
            </w:pPr>
            <w:r>
              <w:rPr>
                <w:rFonts w:cs="Arial"/>
                <w:sz w:val="20"/>
                <w:szCs w:val="20"/>
              </w:rPr>
              <w:t>9.29</w:t>
            </w:r>
          </w:p>
        </w:tc>
        <w:tc>
          <w:tcPr>
            <w:tcW w:w="310" w:type="pct"/>
            <w:tcBorders>
              <w:top w:val="nil"/>
              <w:bottom w:val="nil"/>
            </w:tcBorders>
            <w:vAlign w:val="center"/>
          </w:tcPr>
          <w:p w:rsidR="00FD4CAE" w:rsidRDefault="00FD4CAE">
            <w:pPr>
              <w:jc w:val="center"/>
              <w:rPr>
                <w:rFonts w:cs="Arial"/>
                <w:sz w:val="20"/>
                <w:szCs w:val="20"/>
              </w:rPr>
            </w:pPr>
            <w:r>
              <w:rPr>
                <w:rFonts w:cs="Arial"/>
                <w:sz w:val="20"/>
                <w:szCs w:val="20"/>
              </w:rPr>
              <w:t>80</w:t>
            </w:r>
          </w:p>
        </w:tc>
        <w:tc>
          <w:tcPr>
            <w:tcW w:w="329" w:type="pct"/>
            <w:tcBorders>
              <w:top w:val="nil"/>
              <w:bottom w:val="nil"/>
            </w:tcBorders>
            <w:vAlign w:val="center"/>
          </w:tcPr>
          <w:p w:rsidR="00FD4CAE" w:rsidRDefault="00FD4CAE">
            <w:pPr>
              <w:jc w:val="center"/>
              <w:rPr>
                <w:rFonts w:cs="Arial"/>
                <w:sz w:val="20"/>
                <w:szCs w:val="20"/>
              </w:rPr>
            </w:pPr>
            <w:r>
              <w:rPr>
                <w:rFonts w:cs="Arial"/>
                <w:sz w:val="20"/>
                <w:szCs w:val="20"/>
              </w:rPr>
              <w:t>7.10</w:t>
            </w:r>
          </w:p>
        </w:tc>
        <w:tc>
          <w:tcPr>
            <w:tcW w:w="363" w:type="pct"/>
            <w:tcBorders>
              <w:top w:val="nil"/>
              <w:bottom w:val="nil"/>
            </w:tcBorders>
            <w:vAlign w:val="center"/>
          </w:tcPr>
          <w:p w:rsidR="00FD4CAE" w:rsidRDefault="00FD4CAE">
            <w:pPr>
              <w:jc w:val="center"/>
              <w:rPr>
                <w:rFonts w:cs="Arial"/>
                <w:sz w:val="20"/>
                <w:szCs w:val="20"/>
              </w:rPr>
            </w:pPr>
            <w:r>
              <w:rPr>
                <w:rFonts w:cs="Arial"/>
                <w:sz w:val="20"/>
                <w:szCs w:val="20"/>
              </w:rPr>
              <w:t>91</w:t>
            </w:r>
          </w:p>
        </w:tc>
        <w:tc>
          <w:tcPr>
            <w:tcW w:w="330" w:type="pct"/>
            <w:tcBorders>
              <w:top w:val="nil"/>
              <w:bottom w:val="nil"/>
            </w:tcBorders>
            <w:vAlign w:val="center"/>
          </w:tcPr>
          <w:p w:rsidR="00FD4CAE" w:rsidRDefault="00FD4CAE">
            <w:pPr>
              <w:jc w:val="center"/>
              <w:rPr>
                <w:rFonts w:cs="Arial"/>
                <w:sz w:val="20"/>
                <w:szCs w:val="20"/>
              </w:rPr>
            </w:pPr>
            <w:r>
              <w:rPr>
                <w:rFonts w:cs="Arial"/>
                <w:sz w:val="20"/>
                <w:szCs w:val="20"/>
              </w:rPr>
              <w:t>7.95</w:t>
            </w:r>
          </w:p>
        </w:tc>
        <w:tc>
          <w:tcPr>
            <w:tcW w:w="359" w:type="pct"/>
            <w:tcBorders>
              <w:top w:val="nil"/>
              <w:bottom w:val="nil"/>
            </w:tcBorders>
            <w:vAlign w:val="center"/>
          </w:tcPr>
          <w:p w:rsidR="00FD4CAE" w:rsidRDefault="00FD4CAE">
            <w:pPr>
              <w:jc w:val="center"/>
              <w:rPr>
                <w:rFonts w:cs="Arial"/>
                <w:sz w:val="20"/>
                <w:szCs w:val="20"/>
              </w:rPr>
            </w:pPr>
            <w:r>
              <w:rPr>
                <w:rFonts w:cs="Arial"/>
                <w:sz w:val="20"/>
                <w:szCs w:val="20"/>
              </w:rPr>
              <w:t>4164</w:t>
            </w:r>
          </w:p>
        </w:tc>
        <w:tc>
          <w:tcPr>
            <w:tcW w:w="303" w:type="pct"/>
            <w:gridSpan w:val="2"/>
            <w:tcBorders>
              <w:top w:val="nil"/>
              <w:bottom w:val="nil"/>
            </w:tcBorders>
            <w:vAlign w:val="center"/>
          </w:tcPr>
          <w:p w:rsidR="00FD4CAE" w:rsidRDefault="00FD4CAE">
            <w:pPr>
              <w:jc w:val="center"/>
              <w:rPr>
                <w:rFonts w:cs="Arial"/>
                <w:sz w:val="20"/>
                <w:szCs w:val="20"/>
              </w:rPr>
            </w:pPr>
            <w:r>
              <w:rPr>
                <w:rFonts w:cs="Arial"/>
                <w:sz w:val="20"/>
                <w:szCs w:val="20"/>
              </w:rPr>
              <w:t>-</w:t>
            </w:r>
          </w:p>
        </w:tc>
        <w:tc>
          <w:tcPr>
            <w:tcW w:w="412" w:type="pct"/>
            <w:tcBorders>
              <w:top w:val="nil"/>
              <w:bottom w:val="nil"/>
            </w:tcBorders>
            <w:vAlign w:val="center"/>
          </w:tcPr>
          <w:p w:rsidR="00FD4CAE" w:rsidRDefault="00FD4CAE">
            <w:pPr>
              <w:jc w:val="center"/>
              <w:rPr>
                <w:rFonts w:cs="Arial"/>
                <w:sz w:val="20"/>
                <w:szCs w:val="20"/>
              </w:rPr>
            </w:pPr>
            <w:r>
              <w:rPr>
                <w:rFonts w:cs="Arial"/>
                <w:sz w:val="20"/>
                <w:szCs w:val="20"/>
              </w:rPr>
              <w:t>-</w:t>
            </w:r>
          </w:p>
        </w:tc>
      </w:tr>
      <w:tr w:rsidR="00FD4CAE"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single" w:sz="4" w:space="0" w:color="auto"/>
            </w:tcBorders>
            <w:vAlign w:val="center"/>
          </w:tcPr>
          <w:p w:rsidR="00FD4CAE" w:rsidRDefault="00FD4CAE">
            <w:pPr>
              <w:rPr>
                <w:rFonts w:cs="Arial"/>
                <w:sz w:val="16"/>
                <w:szCs w:val="16"/>
              </w:rPr>
            </w:pPr>
            <w:r>
              <w:rPr>
                <w:rFonts w:cs="Arial"/>
                <w:sz w:val="16"/>
                <w:szCs w:val="16"/>
              </w:rPr>
              <w:t>% change from previous financial YTD</w:t>
            </w:r>
          </w:p>
        </w:tc>
        <w:tc>
          <w:tcPr>
            <w:tcW w:w="329" w:type="pct"/>
            <w:tcBorders>
              <w:top w:val="nil"/>
              <w:bottom w:val="single" w:sz="4" w:space="0" w:color="auto"/>
            </w:tcBorders>
            <w:vAlign w:val="center"/>
          </w:tcPr>
          <w:p w:rsidR="00FD4CAE" w:rsidRDefault="00FD4CAE">
            <w:pPr>
              <w:jc w:val="center"/>
              <w:rPr>
                <w:rFonts w:cs="Arial"/>
                <w:szCs w:val="20"/>
              </w:rPr>
            </w:pPr>
            <w:r>
              <w:rPr>
                <w:rFonts w:cs="Arial"/>
                <w:szCs w:val="20"/>
              </w:rPr>
              <w:t>91</w:t>
            </w:r>
          </w:p>
        </w:tc>
        <w:tc>
          <w:tcPr>
            <w:tcW w:w="441" w:type="pct"/>
            <w:tcBorders>
              <w:top w:val="nil"/>
              <w:bottom w:val="single" w:sz="4" w:space="0" w:color="auto"/>
            </w:tcBorders>
            <w:vAlign w:val="center"/>
          </w:tcPr>
          <w:p w:rsidR="00FD4CAE" w:rsidRDefault="00FD4CAE">
            <w:pPr>
              <w:jc w:val="center"/>
              <w:rPr>
                <w:rFonts w:cs="Arial"/>
                <w:szCs w:val="20"/>
              </w:rPr>
            </w:pPr>
            <w:r>
              <w:rPr>
                <w:rFonts w:cs="Arial"/>
                <w:szCs w:val="20"/>
              </w:rPr>
              <w:t>-8</w:t>
            </w:r>
          </w:p>
        </w:tc>
        <w:tc>
          <w:tcPr>
            <w:tcW w:w="329" w:type="pct"/>
            <w:tcBorders>
              <w:top w:val="nil"/>
              <w:bottom w:val="single" w:sz="4" w:space="0" w:color="auto"/>
            </w:tcBorders>
            <w:vAlign w:val="center"/>
          </w:tcPr>
          <w:p w:rsidR="00FD4CAE" w:rsidRDefault="00FD4CAE">
            <w:pPr>
              <w:jc w:val="center"/>
              <w:rPr>
                <w:rFonts w:cs="Arial"/>
                <w:szCs w:val="20"/>
              </w:rPr>
            </w:pPr>
            <w:r>
              <w:rPr>
                <w:rFonts w:cs="Arial"/>
                <w:szCs w:val="20"/>
              </w:rPr>
              <w:t>54</w:t>
            </w:r>
          </w:p>
        </w:tc>
        <w:tc>
          <w:tcPr>
            <w:tcW w:w="417" w:type="pct"/>
            <w:tcBorders>
              <w:top w:val="nil"/>
              <w:bottom w:val="single" w:sz="4" w:space="0" w:color="auto"/>
            </w:tcBorders>
            <w:vAlign w:val="center"/>
          </w:tcPr>
          <w:p w:rsidR="00FD4CAE" w:rsidRDefault="00FD4CAE">
            <w:pPr>
              <w:jc w:val="center"/>
              <w:rPr>
                <w:rFonts w:cs="Arial"/>
                <w:szCs w:val="20"/>
              </w:rPr>
            </w:pPr>
            <w:r>
              <w:rPr>
                <w:rFonts w:cs="Arial"/>
                <w:szCs w:val="20"/>
              </w:rPr>
              <w:t>1</w:t>
            </w:r>
          </w:p>
        </w:tc>
        <w:tc>
          <w:tcPr>
            <w:tcW w:w="329" w:type="pct"/>
            <w:tcBorders>
              <w:top w:val="nil"/>
              <w:bottom w:val="single" w:sz="4" w:space="0" w:color="auto"/>
            </w:tcBorders>
            <w:vAlign w:val="center"/>
          </w:tcPr>
          <w:p w:rsidR="00FD4CAE" w:rsidRDefault="00FD4CAE">
            <w:pPr>
              <w:jc w:val="center"/>
              <w:rPr>
                <w:rFonts w:cs="Arial"/>
                <w:szCs w:val="20"/>
              </w:rPr>
            </w:pPr>
            <w:r>
              <w:rPr>
                <w:rFonts w:cs="Arial"/>
                <w:szCs w:val="20"/>
              </w:rPr>
              <w:t>68</w:t>
            </w:r>
          </w:p>
        </w:tc>
        <w:tc>
          <w:tcPr>
            <w:tcW w:w="310" w:type="pct"/>
            <w:tcBorders>
              <w:top w:val="nil"/>
              <w:bottom w:val="single" w:sz="4" w:space="0" w:color="auto"/>
            </w:tcBorders>
            <w:vAlign w:val="center"/>
          </w:tcPr>
          <w:p w:rsidR="00FD4CAE" w:rsidRDefault="00FD4CAE">
            <w:pPr>
              <w:jc w:val="center"/>
              <w:rPr>
                <w:rFonts w:cs="Arial"/>
                <w:szCs w:val="20"/>
              </w:rPr>
            </w:pPr>
            <w:r>
              <w:rPr>
                <w:rFonts w:cs="Arial"/>
                <w:szCs w:val="20"/>
              </w:rPr>
              <w:t>-1</w:t>
            </w:r>
          </w:p>
        </w:tc>
        <w:tc>
          <w:tcPr>
            <w:tcW w:w="329" w:type="pct"/>
            <w:tcBorders>
              <w:top w:val="nil"/>
              <w:bottom w:val="single" w:sz="4" w:space="0" w:color="auto"/>
            </w:tcBorders>
            <w:vAlign w:val="center"/>
          </w:tcPr>
          <w:p w:rsidR="00FD4CAE" w:rsidRDefault="00FD4CAE">
            <w:pPr>
              <w:jc w:val="center"/>
              <w:rPr>
                <w:rFonts w:cs="Arial"/>
                <w:szCs w:val="20"/>
              </w:rPr>
            </w:pPr>
            <w:r>
              <w:rPr>
                <w:rFonts w:cs="Arial"/>
                <w:szCs w:val="20"/>
              </w:rPr>
              <w:t>73</w:t>
            </w:r>
          </w:p>
        </w:tc>
        <w:tc>
          <w:tcPr>
            <w:tcW w:w="363" w:type="pct"/>
            <w:tcBorders>
              <w:top w:val="nil"/>
              <w:bottom w:val="single" w:sz="4" w:space="0" w:color="auto"/>
            </w:tcBorders>
            <w:vAlign w:val="center"/>
          </w:tcPr>
          <w:p w:rsidR="00FD4CAE" w:rsidRDefault="00FD4CAE">
            <w:pPr>
              <w:jc w:val="center"/>
              <w:rPr>
                <w:rFonts w:cs="Arial"/>
                <w:szCs w:val="20"/>
              </w:rPr>
            </w:pPr>
            <w:r>
              <w:rPr>
                <w:rFonts w:cs="Arial"/>
                <w:szCs w:val="20"/>
              </w:rPr>
              <w:t>-4</w:t>
            </w:r>
          </w:p>
        </w:tc>
        <w:tc>
          <w:tcPr>
            <w:tcW w:w="330" w:type="pct"/>
            <w:tcBorders>
              <w:top w:val="nil"/>
              <w:bottom w:val="single" w:sz="4" w:space="0" w:color="auto"/>
            </w:tcBorders>
            <w:vAlign w:val="center"/>
          </w:tcPr>
          <w:p w:rsidR="00FD4CAE" w:rsidRDefault="00FD4CAE">
            <w:pPr>
              <w:jc w:val="center"/>
              <w:rPr>
                <w:rFonts w:cs="Arial"/>
                <w:szCs w:val="20"/>
              </w:rPr>
            </w:pPr>
            <w:r>
              <w:rPr>
                <w:rFonts w:cs="Arial"/>
                <w:szCs w:val="20"/>
              </w:rPr>
              <w:t>111</w:t>
            </w:r>
          </w:p>
        </w:tc>
        <w:tc>
          <w:tcPr>
            <w:tcW w:w="359" w:type="pct"/>
            <w:tcBorders>
              <w:top w:val="nil"/>
              <w:bottom w:val="single" w:sz="4" w:space="0" w:color="auto"/>
            </w:tcBorders>
            <w:vAlign w:val="center"/>
          </w:tcPr>
          <w:p w:rsidR="00FD4CAE" w:rsidRDefault="00FD4CAE">
            <w:pPr>
              <w:jc w:val="center"/>
              <w:rPr>
                <w:rFonts w:cs="Arial"/>
                <w:szCs w:val="20"/>
              </w:rPr>
            </w:pPr>
            <w:r>
              <w:rPr>
                <w:rFonts w:cs="Arial"/>
                <w:szCs w:val="20"/>
              </w:rPr>
              <w:t>34</w:t>
            </w:r>
          </w:p>
        </w:tc>
        <w:tc>
          <w:tcPr>
            <w:tcW w:w="303" w:type="pct"/>
            <w:gridSpan w:val="2"/>
            <w:tcBorders>
              <w:top w:val="nil"/>
              <w:bottom w:val="single" w:sz="4" w:space="0" w:color="auto"/>
            </w:tcBorders>
            <w:vAlign w:val="center"/>
          </w:tcPr>
          <w:p w:rsidR="00FD4CAE" w:rsidRDefault="00FD4CAE">
            <w:pPr>
              <w:jc w:val="center"/>
              <w:rPr>
                <w:rFonts w:cs="Arial"/>
                <w:szCs w:val="20"/>
              </w:rPr>
            </w:pPr>
            <w:r>
              <w:rPr>
                <w:rFonts w:cs="Arial"/>
                <w:szCs w:val="20"/>
              </w:rPr>
              <w:t>-</w:t>
            </w:r>
          </w:p>
        </w:tc>
        <w:tc>
          <w:tcPr>
            <w:tcW w:w="412" w:type="pct"/>
            <w:tcBorders>
              <w:top w:val="nil"/>
              <w:bottom w:val="single" w:sz="4" w:space="0" w:color="auto"/>
            </w:tcBorders>
            <w:vAlign w:val="center"/>
          </w:tcPr>
          <w:p w:rsidR="00FD4CAE" w:rsidRDefault="00FD4CAE">
            <w:pPr>
              <w:jc w:val="center"/>
              <w:rPr>
                <w:rFonts w:cs="Arial"/>
                <w:szCs w:val="20"/>
              </w:rPr>
            </w:pPr>
            <w:r>
              <w:rPr>
                <w:rFonts w:cs="Arial"/>
                <w:szCs w:val="20"/>
              </w:rPr>
              <w:t>-</w:t>
            </w:r>
          </w:p>
        </w:tc>
      </w:tr>
    </w:tbl>
    <w:p w:rsidR="00664299" w:rsidRDefault="00664299" w:rsidP="00A226E9">
      <w:pPr>
        <w:pStyle w:val="AERbodytext"/>
        <w:keepNext/>
      </w:pPr>
    </w:p>
    <w:p w:rsidR="001521CB" w:rsidRPr="008D4DAB" w:rsidRDefault="001521CB" w:rsidP="00A226E9">
      <w:pPr>
        <w:pStyle w:val="AERbodytext"/>
        <w:keepNext/>
      </w:pPr>
      <w:r w:rsidRPr="00EC137F">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r w:rsidR="00EE7852">
        <w:fldChar w:fldCharType="begin"/>
      </w:r>
      <w:r w:rsidR="00EE7852">
        <w:instrText xml:space="preserve"> SEQ Figure \* ARABIC </w:instrText>
      </w:r>
      <w:r w:rsidR="00EE7852">
        <w:fldChar w:fldCharType="separate"/>
      </w:r>
      <w:r>
        <w:rPr>
          <w:noProof/>
        </w:rPr>
        <w:t>2</w:t>
      </w:r>
      <w:r w:rsidR="00EE7852">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47517A" w:rsidP="001521CB">
      <w:r>
        <w:rPr>
          <w:noProof/>
          <w:lang w:eastAsia="en-AU"/>
        </w:rPr>
        <w:drawing>
          <wp:inline distT="0" distB="0" distL="0" distR="0" wp14:anchorId="58F27B91" wp14:editId="697B3E58">
            <wp:extent cx="5734050" cy="3552825"/>
            <wp:effectExtent l="0" t="0" r="0" b="9525"/>
            <wp:docPr id="6" name="Picture 6"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3552825"/>
                    </a:xfrm>
                    <a:prstGeom prst="rect">
                      <a:avLst/>
                    </a:prstGeom>
                    <a:noFill/>
                    <a:ln>
                      <a:noFill/>
                    </a:ln>
                  </pic:spPr>
                </pic:pic>
              </a:graphicData>
            </a:graphic>
          </wp:inline>
        </w:drawing>
      </w:r>
    </w:p>
    <w:p w:rsidR="001521CB" w:rsidRPr="008D4DAB" w:rsidRDefault="001521CB" w:rsidP="00F26128">
      <w:pPr>
        <w:pStyle w:val="AERbodytext"/>
      </w:pPr>
      <w:r w:rsidRPr="00EC137F">
        <w:lastRenderedPageBreak/>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r w:rsidR="00EE7852">
        <w:fldChar w:fldCharType="begin"/>
      </w:r>
      <w:r w:rsidR="00EE7852">
        <w:instrText xml:space="preserve"> SEQ Figure \* ARABIC </w:instrText>
      </w:r>
      <w:r w:rsidR="00EE7852">
        <w:fldChar w:fldCharType="separate"/>
      </w:r>
      <w:r>
        <w:rPr>
          <w:noProof/>
        </w:rPr>
        <w:t>3</w:t>
      </w:r>
      <w:r w:rsidR="00EE7852">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791140" w:rsidRPr="00405CDE" w:rsidTr="00534DD9">
        <w:trPr>
          <w:trHeight w:val="510"/>
        </w:trPr>
        <w:tc>
          <w:tcPr>
            <w:tcW w:w="1585" w:type="pct"/>
            <w:tcBorders>
              <w:top w:val="nil"/>
              <w:bottom w:val="nil"/>
            </w:tcBorders>
            <w:vAlign w:val="center"/>
          </w:tcPr>
          <w:p w:rsidR="00791140" w:rsidRDefault="00791140">
            <w:pPr>
              <w:rPr>
                <w:rFonts w:cs="Arial"/>
                <w:sz w:val="16"/>
                <w:szCs w:val="16"/>
              </w:rPr>
            </w:pPr>
            <w:r>
              <w:rPr>
                <w:rFonts w:cs="Arial"/>
                <w:sz w:val="16"/>
                <w:szCs w:val="16"/>
              </w:rPr>
              <w:t>02 Oct - 08 Oct 2016</w:t>
            </w:r>
          </w:p>
        </w:tc>
        <w:tc>
          <w:tcPr>
            <w:tcW w:w="993" w:type="pct"/>
            <w:tcBorders>
              <w:top w:val="nil"/>
              <w:bottom w:val="nil"/>
            </w:tcBorders>
            <w:vAlign w:val="center"/>
          </w:tcPr>
          <w:p w:rsidR="00791140" w:rsidRDefault="00791140">
            <w:pPr>
              <w:jc w:val="center"/>
              <w:rPr>
                <w:rFonts w:cs="Arial"/>
                <w:sz w:val="20"/>
                <w:szCs w:val="20"/>
              </w:rPr>
            </w:pPr>
            <w:r>
              <w:rPr>
                <w:rFonts w:cs="Arial"/>
                <w:sz w:val="20"/>
                <w:szCs w:val="20"/>
              </w:rPr>
              <w:t>-</w:t>
            </w:r>
          </w:p>
        </w:tc>
        <w:tc>
          <w:tcPr>
            <w:tcW w:w="758" w:type="pct"/>
            <w:tcBorders>
              <w:top w:val="nil"/>
              <w:bottom w:val="nil"/>
            </w:tcBorders>
            <w:vAlign w:val="center"/>
          </w:tcPr>
          <w:p w:rsidR="00791140" w:rsidRDefault="00791140">
            <w:pPr>
              <w:jc w:val="center"/>
              <w:rPr>
                <w:rFonts w:cs="Arial"/>
                <w:sz w:val="20"/>
                <w:szCs w:val="20"/>
              </w:rPr>
            </w:pPr>
            <w:r>
              <w:rPr>
                <w:rFonts w:cs="Arial"/>
                <w:sz w:val="20"/>
                <w:szCs w:val="20"/>
              </w:rPr>
              <w:t>37.20</w:t>
            </w:r>
          </w:p>
        </w:tc>
        <w:tc>
          <w:tcPr>
            <w:tcW w:w="831" w:type="pct"/>
            <w:tcBorders>
              <w:top w:val="nil"/>
              <w:bottom w:val="nil"/>
            </w:tcBorders>
            <w:vAlign w:val="center"/>
          </w:tcPr>
          <w:p w:rsidR="00791140" w:rsidRDefault="00791140">
            <w:pPr>
              <w:jc w:val="center"/>
              <w:rPr>
                <w:rFonts w:cs="Arial"/>
                <w:sz w:val="20"/>
                <w:szCs w:val="20"/>
              </w:rPr>
            </w:pPr>
            <w:r>
              <w:rPr>
                <w:rFonts w:cs="Arial"/>
                <w:sz w:val="20"/>
                <w:szCs w:val="20"/>
              </w:rPr>
              <w:t>40.61</w:t>
            </w:r>
          </w:p>
        </w:tc>
        <w:tc>
          <w:tcPr>
            <w:tcW w:w="833" w:type="pct"/>
            <w:tcBorders>
              <w:top w:val="nil"/>
              <w:bottom w:val="nil"/>
            </w:tcBorders>
            <w:vAlign w:val="center"/>
          </w:tcPr>
          <w:p w:rsidR="00791140" w:rsidRDefault="00791140">
            <w:pPr>
              <w:jc w:val="center"/>
              <w:rPr>
                <w:rFonts w:cs="Arial"/>
                <w:sz w:val="20"/>
                <w:szCs w:val="20"/>
              </w:rPr>
            </w:pPr>
            <w:r>
              <w:rPr>
                <w:rFonts w:cs="Arial"/>
                <w:sz w:val="20"/>
                <w:szCs w:val="20"/>
              </w:rPr>
              <w:t>1.81</w:t>
            </w:r>
          </w:p>
        </w:tc>
      </w:tr>
      <w:tr w:rsidR="00791140"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791140" w:rsidRDefault="00791140">
            <w:pPr>
              <w:rPr>
                <w:rFonts w:cs="Arial"/>
                <w:sz w:val="16"/>
                <w:szCs w:val="16"/>
              </w:rPr>
            </w:pPr>
            <w:r>
              <w:rPr>
                <w:rFonts w:cs="Arial"/>
                <w:sz w:val="16"/>
                <w:szCs w:val="16"/>
              </w:rPr>
              <w:t>% change from previous week</w:t>
            </w:r>
          </w:p>
        </w:tc>
        <w:tc>
          <w:tcPr>
            <w:tcW w:w="993" w:type="pct"/>
            <w:tcBorders>
              <w:top w:val="nil"/>
              <w:bottom w:val="nil"/>
            </w:tcBorders>
            <w:vAlign w:val="center"/>
          </w:tcPr>
          <w:p w:rsidR="00791140" w:rsidRDefault="00791140">
            <w:pPr>
              <w:jc w:val="center"/>
              <w:rPr>
                <w:rFonts w:cs="Arial"/>
                <w:szCs w:val="20"/>
              </w:rPr>
            </w:pPr>
            <w:r>
              <w:rPr>
                <w:rFonts w:cs="Arial"/>
                <w:szCs w:val="20"/>
              </w:rPr>
              <w:t>-</w:t>
            </w:r>
          </w:p>
        </w:tc>
        <w:tc>
          <w:tcPr>
            <w:tcW w:w="758" w:type="pct"/>
            <w:tcBorders>
              <w:top w:val="nil"/>
              <w:bottom w:val="nil"/>
            </w:tcBorders>
            <w:vAlign w:val="center"/>
          </w:tcPr>
          <w:p w:rsidR="00791140" w:rsidRDefault="00791140">
            <w:pPr>
              <w:jc w:val="center"/>
              <w:rPr>
                <w:rFonts w:cs="Arial"/>
                <w:szCs w:val="20"/>
              </w:rPr>
            </w:pPr>
            <w:r>
              <w:rPr>
                <w:rFonts w:cs="Arial"/>
                <w:szCs w:val="20"/>
              </w:rPr>
              <w:t>-21</w:t>
            </w:r>
          </w:p>
        </w:tc>
        <w:tc>
          <w:tcPr>
            <w:tcW w:w="831" w:type="pct"/>
            <w:tcBorders>
              <w:top w:val="nil"/>
              <w:bottom w:val="nil"/>
            </w:tcBorders>
            <w:vAlign w:val="center"/>
          </w:tcPr>
          <w:p w:rsidR="00791140" w:rsidRDefault="00791140">
            <w:pPr>
              <w:jc w:val="center"/>
              <w:rPr>
                <w:rFonts w:cs="Arial"/>
                <w:szCs w:val="20"/>
              </w:rPr>
            </w:pPr>
            <w:r>
              <w:rPr>
                <w:rFonts w:cs="Arial"/>
                <w:szCs w:val="20"/>
              </w:rPr>
              <w:t>-34</w:t>
            </w:r>
          </w:p>
        </w:tc>
        <w:tc>
          <w:tcPr>
            <w:tcW w:w="833" w:type="pct"/>
            <w:tcBorders>
              <w:top w:val="nil"/>
              <w:bottom w:val="nil"/>
            </w:tcBorders>
            <w:vAlign w:val="center"/>
          </w:tcPr>
          <w:p w:rsidR="00791140" w:rsidRDefault="00791140">
            <w:pPr>
              <w:jc w:val="center"/>
              <w:rPr>
                <w:rFonts w:cs="Arial"/>
                <w:szCs w:val="20"/>
              </w:rPr>
            </w:pPr>
            <w:r>
              <w:rPr>
                <w:rFonts w:cs="Arial"/>
                <w:szCs w:val="20"/>
              </w:rPr>
              <w:t>55</w:t>
            </w:r>
          </w:p>
        </w:tc>
      </w:tr>
      <w:tr w:rsidR="00791140" w:rsidRPr="00405CDE" w:rsidTr="00534DD9">
        <w:trPr>
          <w:trHeight w:val="510"/>
        </w:trPr>
        <w:tc>
          <w:tcPr>
            <w:tcW w:w="1585" w:type="pct"/>
            <w:tcBorders>
              <w:top w:val="nil"/>
              <w:bottom w:val="nil"/>
            </w:tcBorders>
            <w:vAlign w:val="center"/>
          </w:tcPr>
          <w:p w:rsidR="00791140" w:rsidRDefault="00791140">
            <w:pPr>
              <w:rPr>
                <w:rFonts w:cs="Arial"/>
                <w:sz w:val="16"/>
                <w:szCs w:val="16"/>
              </w:rPr>
            </w:pPr>
            <w:r>
              <w:rPr>
                <w:rFonts w:cs="Arial"/>
                <w:sz w:val="16"/>
                <w:szCs w:val="16"/>
              </w:rPr>
              <w:t>16-17 financial YTD</w:t>
            </w:r>
          </w:p>
        </w:tc>
        <w:tc>
          <w:tcPr>
            <w:tcW w:w="993" w:type="pct"/>
            <w:tcBorders>
              <w:top w:val="nil"/>
              <w:bottom w:val="nil"/>
            </w:tcBorders>
            <w:vAlign w:val="center"/>
          </w:tcPr>
          <w:p w:rsidR="00791140" w:rsidRDefault="00791140">
            <w:pPr>
              <w:jc w:val="center"/>
              <w:rPr>
                <w:rFonts w:cs="Arial"/>
                <w:sz w:val="20"/>
                <w:szCs w:val="20"/>
              </w:rPr>
            </w:pPr>
            <w:r>
              <w:rPr>
                <w:rFonts w:cs="Arial"/>
                <w:sz w:val="20"/>
                <w:szCs w:val="20"/>
              </w:rPr>
              <w:t> </w:t>
            </w:r>
          </w:p>
        </w:tc>
        <w:tc>
          <w:tcPr>
            <w:tcW w:w="758" w:type="pct"/>
            <w:tcBorders>
              <w:top w:val="nil"/>
              <w:bottom w:val="nil"/>
            </w:tcBorders>
            <w:vAlign w:val="center"/>
          </w:tcPr>
          <w:p w:rsidR="00791140" w:rsidRDefault="00791140">
            <w:pPr>
              <w:jc w:val="center"/>
              <w:rPr>
                <w:rFonts w:cs="Arial"/>
                <w:sz w:val="20"/>
                <w:szCs w:val="20"/>
              </w:rPr>
            </w:pPr>
            <w:r>
              <w:rPr>
                <w:rFonts w:cs="Arial"/>
                <w:sz w:val="20"/>
                <w:szCs w:val="20"/>
              </w:rPr>
              <w:t>66.18</w:t>
            </w:r>
          </w:p>
        </w:tc>
        <w:tc>
          <w:tcPr>
            <w:tcW w:w="831" w:type="pct"/>
            <w:tcBorders>
              <w:top w:val="nil"/>
              <w:bottom w:val="nil"/>
            </w:tcBorders>
            <w:vAlign w:val="center"/>
          </w:tcPr>
          <w:p w:rsidR="00791140" w:rsidRDefault="00791140">
            <w:pPr>
              <w:jc w:val="center"/>
              <w:rPr>
                <w:rFonts w:cs="Arial"/>
                <w:sz w:val="20"/>
                <w:szCs w:val="20"/>
              </w:rPr>
            </w:pPr>
            <w:r>
              <w:rPr>
                <w:rFonts w:cs="Arial"/>
                <w:sz w:val="20"/>
                <w:szCs w:val="20"/>
              </w:rPr>
              <w:t>28.49</w:t>
            </w:r>
          </w:p>
        </w:tc>
        <w:tc>
          <w:tcPr>
            <w:tcW w:w="833" w:type="pct"/>
            <w:tcBorders>
              <w:top w:val="nil"/>
              <w:bottom w:val="nil"/>
            </w:tcBorders>
            <w:vAlign w:val="center"/>
          </w:tcPr>
          <w:p w:rsidR="00791140" w:rsidRDefault="00791140">
            <w:pPr>
              <w:jc w:val="center"/>
              <w:rPr>
                <w:rFonts w:cs="Arial"/>
                <w:sz w:val="20"/>
                <w:szCs w:val="20"/>
              </w:rPr>
            </w:pPr>
            <w:r>
              <w:rPr>
                <w:rFonts w:cs="Arial"/>
                <w:sz w:val="20"/>
                <w:szCs w:val="20"/>
              </w:rPr>
              <w:t>1.38</w:t>
            </w:r>
          </w:p>
        </w:tc>
      </w:tr>
      <w:tr w:rsidR="00791140"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791140" w:rsidRDefault="00791140">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791140" w:rsidRDefault="00791140">
            <w:pPr>
              <w:jc w:val="center"/>
              <w:rPr>
                <w:rFonts w:cs="Arial"/>
                <w:szCs w:val="20"/>
              </w:rPr>
            </w:pPr>
            <w:r>
              <w:rPr>
                <w:rFonts w:cs="Arial"/>
                <w:szCs w:val="20"/>
              </w:rPr>
              <w:t> </w:t>
            </w:r>
          </w:p>
        </w:tc>
        <w:tc>
          <w:tcPr>
            <w:tcW w:w="758" w:type="pct"/>
            <w:tcBorders>
              <w:top w:val="nil"/>
              <w:bottom w:val="single" w:sz="4" w:space="0" w:color="auto"/>
            </w:tcBorders>
            <w:vAlign w:val="center"/>
          </w:tcPr>
          <w:p w:rsidR="00791140" w:rsidRDefault="00791140">
            <w:pPr>
              <w:jc w:val="center"/>
              <w:rPr>
                <w:rFonts w:cs="Arial"/>
                <w:szCs w:val="20"/>
              </w:rPr>
            </w:pPr>
            <w:r>
              <w:rPr>
                <w:rFonts w:cs="Arial"/>
                <w:szCs w:val="20"/>
              </w:rPr>
              <w:t>154</w:t>
            </w:r>
          </w:p>
        </w:tc>
        <w:tc>
          <w:tcPr>
            <w:tcW w:w="831" w:type="pct"/>
            <w:tcBorders>
              <w:top w:val="nil"/>
              <w:bottom w:val="single" w:sz="4" w:space="0" w:color="auto"/>
            </w:tcBorders>
            <w:vAlign w:val="center"/>
          </w:tcPr>
          <w:p w:rsidR="00791140" w:rsidRDefault="00791140">
            <w:pPr>
              <w:jc w:val="center"/>
              <w:rPr>
                <w:rFonts w:cs="Arial"/>
                <w:szCs w:val="20"/>
              </w:rPr>
            </w:pPr>
            <w:r>
              <w:rPr>
                <w:rFonts w:cs="Arial"/>
                <w:szCs w:val="20"/>
              </w:rPr>
              <w:t>120</w:t>
            </w:r>
          </w:p>
        </w:tc>
        <w:tc>
          <w:tcPr>
            <w:tcW w:w="833" w:type="pct"/>
            <w:tcBorders>
              <w:top w:val="nil"/>
              <w:bottom w:val="single" w:sz="4" w:space="0" w:color="auto"/>
            </w:tcBorders>
            <w:vAlign w:val="center"/>
          </w:tcPr>
          <w:p w:rsidR="00791140" w:rsidRDefault="00791140">
            <w:pPr>
              <w:jc w:val="center"/>
              <w:rPr>
                <w:rFonts w:cs="Arial"/>
                <w:szCs w:val="20"/>
              </w:rPr>
            </w:pPr>
            <w:r>
              <w:rPr>
                <w:rFonts w:cs="Arial"/>
                <w:szCs w:val="20"/>
              </w:rPr>
              <w:t>-2</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664299" w:rsidRDefault="00664299" w:rsidP="00F26128">
      <w:pPr>
        <w:keepNext/>
      </w:pPr>
    </w:p>
    <w:p w:rsidR="004C571B" w:rsidRPr="00552F68" w:rsidRDefault="004C571B" w:rsidP="00F26128">
      <w:pPr>
        <w:keepNext/>
      </w:pPr>
      <w:r w:rsidRPr="00552F68">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r w:rsidR="00EE7852">
        <w:fldChar w:fldCharType="begin"/>
      </w:r>
      <w:r w:rsidR="00EE7852">
        <w:instrText xml:space="preserve"> SEQ Figure \* ARABIC </w:instrText>
      </w:r>
      <w:r w:rsidR="00EE7852">
        <w:fldChar w:fldCharType="separate"/>
      </w:r>
      <w:r w:rsidR="00587CFB" w:rsidRPr="00552F68">
        <w:rPr>
          <w:noProof/>
        </w:rPr>
        <w:t>4</w:t>
      </w:r>
      <w:r w:rsidR="00EE7852">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p>
    <w:tbl>
      <w:tblPr>
        <w:tblStyle w:val="AERTable-Text"/>
        <w:tblW w:w="4920" w:type="pct"/>
        <w:tblLayout w:type="fixed"/>
        <w:tblLook w:val="04A0" w:firstRow="1" w:lastRow="0" w:firstColumn="1" w:lastColumn="0" w:noHBand="0" w:noVBand="1"/>
      </w:tblPr>
      <w:tblGrid>
        <w:gridCol w:w="1391"/>
        <w:gridCol w:w="708"/>
        <w:gridCol w:w="629"/>
        <w:gridCol w:w="646"/>
        <w:gridCol w:w="620"/>
        <w:gridCol w:w="646"/>
        <w:gridCol w:w="624"/>
        <w:gridCol w:w="571"/>
        <w:gridCol w:w="620"/>
        <w:gridCol w:w="597"/>
        <w:gridCol w:w="711"/>
        <w:gridCol w:w="618"/>
        <w:gridCol w:w="713"/>
      </w:tblGrid>
      <w:tr w:rsidR="00346249" w:rsidRPr="00E16EDC" w:rsidTr="006C5133">
        <w:trPr>
          <w:cnfStyle w:val="100000000000" w:firstRow="1" w:lastRow="0" w:firstColumn="0" w:lastColumn="0" w:oddVBand="0" w:evenVBand="0" w:oddHBand="0" w:evenHBand="0" w:firstRowFirstColumn="0" w:firstRowLastColumn="0" w:lastRowFirstColumn="0" w:lastRowLastColumn="0"/>
          <w:trHeight w:val="404"/>
          <w:tblHeader/>
        </w:trPr>
        <w:tc>
          <w:tcPr>
            <w:tcW w:w="765" w:type="pct"/>
            <w:tcBorders>
              <w:bottom w:val="nil"/>
            </w:tcBorders>
            <w:vAlign w:val="center"/>
          </w:tcPr>
          <w:p w:rsidR="00346249" w:rsidRPr="00E16EDC" w:rsidRDefault="00346249" w:rsidP="006C5133">
            <w:pPr>
              <w:pStyle w:val="TableHeading"/>
              <w:spacing w:before="120" w:after="0" w:line="240" w:lineRule="auto"/>
              <w:jc w:val="center"/>
              <w:rPr>
                <w:rFonts w:cs="Arial"/>
                <w:sz w:val="20"/>
                <w:szCs w:val="20"/>
              </w:rPr>
            </w:pPr>
          </w:p>
        </w:tc>
        <w:tc>
          <w:tcPr>
            <w:tcW w:w="735" w:type="pct"/>
            <w:gridSpan w:val="2"/>
            <w:tcBorders>
              <w:bottom w:val="nil"/>
            </w:tcBorders>
            <w:vAlign w:val="center"/>
          </w:tcPr>
          <w:p w:rsidR="00346249" w:rsidRPr="00E16EDC" w:rsidRDefault="00346249" w:rsidP="006C5133">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696" w:type="pct"/>
            <w:gridSpan w:val="2"/>
            <w:tcBorders>
              <w:bottom w:val="nil"/>
            </w:tcBorders>
            <w:vAlign w:val="center"/>
          </w:tcPr>
          <w:p w:rsidR="00346249" w:rsidRPr="00E16EDC" w:rsidRDefault="00346249" w:rsidP="006C5133">
            <w:pPr>
              <w:spacing w:before="120" w:after="0" w:line="240" w:lineRule="auto"/>
              <w:jc w:val="center"/>
              <w:rPr>
                <w:rFonts w:cs="Arial"/>
                <w:bCs/>
                <w:color w:val="FFFFFF"/>
                <w:sz w:val="20"/>
                <w:szCs w:val="20"/>
              </w:rPr>
            </w:pPr>
            <w:r>
              <w:rPr>
                <w:rFonts w:cs="Arial"/>
                <w:bCs/>
                <w:color w:val="FFFFFF"/>
                <w:sz w:val="20"/>
                <w:szCs w:val="20"/>
              </w:rPr>
              <w:t>SWQP</w:t>
            </w:r>
          </w:p>
        </w:tc>
        <w:tc>
          <w:tcPr>
            <w:tcW w:w="698" w:type="pct"/>
            <w:gridSpan w:val="2"/>
            <w:tcBorders>
              <w:bottom w:val="nil"/>
            </w:tcBorders>
            <w:vAlign w:val="center"/>
          </w:tcPr>
          <w:p w:rsidR="00346249" w:rsidRPr="00E16EDC" w:rsidRDefault="00346249" w:rsidP="006C5133">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655" w:type="pct"/>
            <w:gridSpan w:val="2"/>
            <w:tcBorders>
              <w:bottom w:val="nil"/>
            </w:tcBorders>
            <w:vAlign w:val="center"/>
          </w:tcPr>
          <w:p w:rsidR="00346249" w:rsidRPr="00E16EDC" w:rsidRDefault="00346249" w:rsidP="006C5133">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19" w:type="pct"/>
            <w:gridSpan w:val="2"/>
            <w:tcBorders>
              <w:bottom w:val="nil"/>
            </w:tcBorders>
            <w:vAlign w:val="center"/>
          </w:tcPr>
          <w:p w:rsidR="00346249" w:rsidRPr="00E16EDC" w:rsidRDefault="00346249" w:rsidP="006C5133">
            <w:pPr>
              <w:spacing w:before="120" w:after="0" w:line="240" w:lineRule="auto"/>
              <w:jc w:val="center"/>
              <w:rPr>
                <w:rFonts w:cs="Arial"/>
                <w:bCs/>
                <w:color w:val="FFFFFF"/>
                <w:sz w:val="20"/>
                <w:szCs w:val="20"/>
              </w:rPr>
            </w:pPr>
            <w:r w:rsidRPr="00E16EDC">
              <w:rPr>
                <w:rFonts w:cs="Arial"/>
                <w:bCs/>
                <w:color w:val="FFFFFF"/>
                <w:sz w:val="20"/>
                <w:szCs w:val="20"/>
              </w:rPr>
              <w:t>QGP</w:t>
            </w:r>
          </w:p>
        </w:tc>
        <w:tc>
          <w:tcPr>
            <w:tcW w:w="732" w:type="pct"/>
            <w:gridSpan w:val="2"/>
            <w:tcBorders>
              <w:bottom w:val="nil"/>
            </w:tcBorders>
            <w:vAlign w:val="center"/>
          </w:tcPr>
          <w:p w:rsidR="00346249" w:rsidRPr="00E16EDC" w:rsidRDefault="00346249" w:rsidP="006C5133">
            <w:pPr>
              <w:spacing w:before="120" w:after="0" w:line="240" w:lineRule="auto"/>
              <w:jc w:val="center"/>
              <w:rPr>
                <w:rFonts w:cs="Arial"/>
                <w:bCs/>
                <w:color w:val="FFFFFF"/>
                <w:sz w:val="20"/>
                <w:szCs w:val="20"/>
              </w:rPr>
            </w:pPr>
            <w:r>
              <w:rPr>
                <w:rFonts w:cs="Arial"/>
                <w:bCs/>
                <w:color w:val="FFFFFF"/>
                <w:sz w:val="20"/>
                <w:szCs w:val="20"/>
              </w:rPr>
              <w:t>WAL non</w:t>
            </w:r>
            <w:r>
              <w:rPr>
                <w:rFonts w:cs="Arial"/>
                <w:bCs/>
                <w:color w:val="FFFFFF"/>
                <w:sz w:val="20"/>
                <w:szCs w:val="20"/>
              </w:rPr>
              <w:noBreakHyphen/>
              <w:t>netted</w:t>
            </w:r>
          </w:p>
        </w:tc>
      </w:tr>
      <w:tr w:rsidR="00346249" w:rsidRPr="00587CFB" w:rsidTr="006C5133">
        <w:trPr>
          <w:cnfStyle w:val="100000000000" w:firstRow="1" w:lastRow="0" w:firstColumn="0" w:lastColumn="0" w:oddVBand="0" w:evenVBand="0" w:oddHBand="0" w:evenHBand="0" w:firstRowFirstColumn="0" w:firstRowLastColumn="0" w:lastRowFirstColumn="0" w:lastRowLastColumn="0"/>
          <w:trHeight w:val="1134"/>
          <w:tblHeader/>
        </w:trPr>
        <w:tc>
          <w:tcPr>
            <w:tcW w:w="765" w:type="pct"/>
            <w:tcBorders>
              <w:bottom w:val="nil"/>
            </w:tcBorders>
            <w:vAlign w:val="center"/>
          </w:tcPr>
          <w:p w:rsidR="00346249" w:rsidRPr="00587CFB" w:rsidRDefault="00346249" w:rsidP="006C5133">
            <w:pPr>
              <w:pStyle w:val="TableHeading"/>
              <w:jc w:val="center"/>
              <w:rPr>
                <w:rFonts w:cs="Arial"/>
                <w:sz w:val="20"/>
                <w:szCs w:val="20"/>
              </w:rPr>
            </w:pPr>
          </w:p>
        </w:tc>
        <w:tc>
          <w:tcPr>
            <w:tcW w:w="389" w:type="pct"/>
            <w:tcBorders>
              <w:bottom w:val="nil"/>
            </w:tcBorders>
            <w:textDirection w:val="btLr"/>
            <w:vAlign w:val="center"/>
            <w:hideMark/>
          </w:tcPr>
          <w:p w:rsidR="00346249" w:rsidRPr="00587CFB" w:rsidRDefault="00346249" w:rsidP="006C5133">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6" w:type="pct"/>
            <w:tcBorders>
              <w:bottom w:val="nil"/>
            </w:tcBorders>
            <w:textDirection w:val="btLr"/>
            <w:vAlign w:val="center"/>
            <w:hideMark/>
          </w:tcPr>
          <w:p w:rsidR="00346249" w:rsidRPr="00587CFB" w:rsidRDefault="00346249" w:rsidP="006C5133">
            <w:pPr>
              <w:ind w:left="113" w:right="113"/>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textDirection w:val="btLr"/>
            <w:vAlign w:val="center"/>
            <w:hideMark/>
          </w:tcPr>
          <w:p w:rsidR="00346249" w:rsidRPr="00587CFB" w:rsidRDefault="00346249" w:rsidP="006C5133">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1" w:type="pct"/>
            <w:tcBorders>
              <w:bottom w:val="nil"/>
            </w:tcBorders>
            <w:textDirection w:val="btLr"/>
            <w:vAlign w:val="center"/>
          </w:tcPr>
          <w:p w:rsidR="00346249" w:rsidRPr="00587CFB" w:rsidRDefault="00346249" w:rsidP="006C5133">
            <w:pPr>
              <w:ind w:left="113" w:right="113"/>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textDirection w:val="btLr"/>
            <w:vAlign w:val="center"/>
          </w:tcPr>
          <w:p w:rsidR="00346249" w:rsidRPr="00587CFB" w:rsidRDefault="00346249" w:rsidP="006C5133">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3" w:type="pct"/>
            <w:tcBorders>
              <w:bottom w:val="nil"/>
            </w:tcBorders>
            <w:textDirection w:val="btLr"/>
            <w:vAlign w:val="center"/>
          </w:tcPr>
          <w:p w:rsidR="00346249" w:rsidRPr="00587CFB" w:rsidRDefault="00346249" w:rsidP="006C5133">
            <w:pPr>
              <w:ind w:left="113" w:right="113"/>
              <w:jc w:val="center"/>
              <w:rPr>
                <w:rFonts w:cs="Arial"/>
                <w:bCs/>
                <w:color w:val="FFFFFF"/>
                <w:sz w:val="14"/>
                <w:szCs w:val="20"/>
                <w:highlight w:val="cyan"/>
              </w:rPr>
            </w:pPr>
            <w:r>
              <w:rPr>
                <w:rFonts w:cs="Arial"/>
                <w:bCs/>
                <w:color w:val="FFFFFF"/>
                <w:sz w:val="14"/>
                <w:szCs w:val="20"/>
              </w:rPr>
              <w:t>Quantity</w:t>
            </w:r>
          </w:p>
        </w:tc>
        <w:tc>
          <w:tcPr>
            <w:tcW w:w="314" w:type="pct"/>
            <w:tcBorders>
              <w:bottom w:val="nil"/>
            </w:tcBorders>
            <w:textDirection w:val="btLr"/>
            <w:vAlign w:val="center"/>
          </w:tcPr>
          <w:p w:rsidR="00346249" w:rsidRPr="00587CFB" w:rsidRDefault="00346249" w:rsidP="006C5133">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1" w:type="pct"/>
            <w:tcBorders>
              <w:bottom w:val="nil"/>
            </w:tcBorders>
            <w:textDirection w:val="btLr"/>
            <w:vAlign w:val="center"/>
          </w:tcPr>
          <w:p w:rsidR="00346249" w:rsidRPr="00587CFB" w:rsidRDefault="00346249" w:rsidP="006C5133">
            <w:pPr>
              <w:ind w:left="113" w:right="113"/>
              <w:jc w:val="center"/>
              <w:rPr>
                <w:rFonts w:cs="Arial"/>
                <w:bCs/>
                <w:color w:val="FFFFFF"/>
                <w:sz w:val="14"/>
                <w:szCs w:val="20"/>
                <w:highlight w:val="cyan"/>
              </w:rPr>
            </w:pPr>
            <w:r>
              <w:rPr>
                <w:rFonts w:cs="Arial"/>
                <w:bCs/>
                <w:color w:val="FFFFFF"/>
                <w:sz w:val="14"/>
                <w:szCs w:val="20"/>
              </w:rPr>
              <w:t>Quantity</w:t>
            </w:r>
          </w:p>
        </w:tc>
        <w:tc>
          <w:tcPr>
            <w:tcW w:w="328" w:type="pct"/>
            <w:tcBorders>
              <w:bottom w:val="nil"/>
            </w:tcBorders>
            <w:textDirection w:val="btLr"/>
            <w:vAlign w:val="center"/>
          </w:tcPr>
          <w:p w:rsidR="00346249" w:rsidRPr="00587CFB" w:rsidRDefault="00346249" w:rsidP="006C5133">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91" w:type="pct"/>
            <w:tcBorders>
              <w:bottom w:val="nil"/>
            </w:tcBorders>
            <w:textDirection w:val="btLr"/>
            <w:vAlign w:val="center"/>
          </w:tcPr>
          <w:p w:rsidR="00346249" w:rsidRPr="00587CFB" w:rsidRDefault="00346249" w:rsidP="006C5133">
            <w:pPr>
              <w:ind w:left="113" w:right="113"/>
              <w:jc w:val="center"/>
              <w:rPr>
                <w:rFonts w:cs="Arial"/>
                <w:bCs/>
                <w:color w:val="FFFFFF"/>
                <w:sz w:val="14"/>
                <w:szCs w:val="20"/>
                <w:highlight w:val="cyan"/>
              </w:rPr>
            </w:pPr>
            <w:r>
              <w:rPr>
                <w:rFonts w:cs="Arial"/>
                <w:bCs/>
                <w:color w:val="FFFFFF"/>
                <w:sz w:val="14"/>
                <w:szCs w:val="20"/>
              </w:rPr>
              <w:t>Quantity</w:t>
            </w:r>
          </w:p>
        </w:tc>
        <w:tc>
          <w:tcPr>
            <w:tcW w:w="340" w:type="pct"/>
            <w:tcBorders>
              <w:bottom w:val="nil"/>
            </w:tcBorders>
            <w:textDirection w:val="btLr"/>
            <w:vAlign w:val="center"/>
          </w:tcPr>
          <w:p w:rsidR="00346249" w:rsidRPr="00587CFB" w:rsidRDefault="00346249" w:rsidP="006C5133">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92" w:type="pct"/>
            <w:tcBorders>
              <w:bottom w:val="nil"/>
            </w:tcBorders>
            <w:textDirection w:val="btLr"/>
            <w:vAlign w:val="center"/>
          </w:tcPr>
          <w:p w:rsidR="00346249" w:rsidRPr="00587CFB" w:rsidRDefault="00346249" w:rsidP="006C5133">
            <w:pPr>
              <w:ind w:left="113" w:right="113"/>
              <w:jc w:val="center"/>
              <w:rPr>
                <w:rFonts w:cs="Arial"/>
                <w:bCs/>
                <w:color w:val="FFFFFF"/>
                <w:sz w:val="14"/>
                <w:szCs w:val="20"/>
                <w:highlight w:val="cyan"/>
              </w:rPr>
            </w:pPr>
            <w:r>
              <w:rPr>
                <w:rFonts w:cs="Arial"/>
                <w:bCs/>
                <w:color w:val="FFFFFF"/>
                <w:sz w:val="14"/>
                <w:szCs w:val="20"/>
              </w:rPr>
              <w:t>Quantity</w:t>
            </w:r>
          </w:p>
        </w:tc>
      </w:tr>
      <w:tr w:rsidR="00346249" w:rsidTr="006C5133">
        <w:trPr>
          <w:trHeight w:val="510"/>
        </w:trPr>
        <w:tc>
          <w:tcPr>
            <w:tcW w:w="765" w:type="pct"/>
            <w:tcBorders>
              <w:top w:val="nil"/>
              <w:bottom w:val="nil"/>
            </w:tcBorders>
            <w:vAlign w:val="center"/>
          </w:tcPr>
          <w:p w:rsidR="00346249" w:rsidRPr="000B4AD5" w:rsidRDefault="00346249" w:rsidP="006C5133">
            <w:pPr>
              <w:rPr>
                <w:rFonts w:cs="Arial"/>
                <w:b/>
                <w:bCs/>
                <w:sz w:val="16"/>
                <w:szCs w:val="20"/>
              </w:rPr>
            </w:pPr>
            <w:r w:rsidRPr="000B4AD5">
              <w:rPr>
                <w:rFonts w:cs="Arial"/>
                <w:b/>
                <w:bCs/>
                <w:sz w:val="16"/>
                <w:szCs w:val="20"/>
              </w:rPr>
              <w:t>Balance of day</w:t>
            </w:r>
          </w:p>
        </w:tc>
        <w:tc>
          <w:tcPr>
            <w:tcW w:w="389"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5.60</w:t>
            </w:r>
          </w:p>
        </w:tc>
        <w:tc>
          <w:tcPr>
            <w:tcW w:w="346"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3.8</w:t>
            </w:r>
          </w:p>
        </w:tc>
        <w:tc>
          <w:tcPr>
            <w:tcW w:w="355"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5.70</w:t>
            </w:r>
          </w:p>
        </w:tc>
        <w:tc>
          <w:tcPr>
            <w:tcW w:w="341"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3.4</w:t>
            </w:r>
          </w:p>
        </w:tc>
        <w:tc>
          <w:tcPr>
            <w:tcW w:w="355"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w:t>
            </w:r>
          </w:p>
        </w:tc>
        <w:tc>
          <w:tcPr>
            <w:tcW w:w="343"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w:t>
            </w:r>
          </w:p>
        </w:tc>
        <w:tc>
          <w:tcPr>
            <w:tcW w:w="314"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w:t>
            </w:r>
          </w:p>
        </w:tc>
        <w:tc>
          <w:tcPr>
            <w:tcW w:w="341"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w:t>
            </w:r>
          </w:p>
        </w:tc>
        <w:tc>
          <w:tcPr>
            <w:tcW w:w="328"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w:t>
            </w:r>
          </w:p>
        </w:tc>
        <w:tc>
          <w:tcPr>
            <w:tcW w:w="391"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w:t>
            </w:r>
          </w:p>
        </w:tc>
        <w:tc>
          <w:tcPr>
            <w:tcW w:w="340"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w:t>
            </w:r>
          </w:p>
        </w:tc>
        <w:tc>
          <w:tcPr>
            <w:tcW w:w="392"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w:t>
            </w:r>
          </w:p>
        </w:tc>
      </w:tr>
      <w:tr w:rsidR="00346249" w:rsidTr="006C5133">
        <w:trPr>
          <w:cnfStyle w:val="000000010000" w:firstRow="0" w:lastRow="0" w:firstColumn="0" w:lastColumn="0" w:oddVBand="0" w:evenVBand="0" w:oddHBand="0" w:evenHBand="1" w:firstRowFirstColumn="0" w:firstRowLastColumn="0" w:lastRowFirstColumn="0" w:lastRowLastColumn="0"/>
          <w:trHeight w:val="510"/>
        </w:trPr>
        <w:tc>
          <w:tcPr>
            <w:tcW w:w="765" w:type="pct"/>
            <w:tcBorders>
              <w:top w:val="nil"/>
              <w:bottom w:val="nil"/>
            </w:tcBorders>
            <w:vAlign w:val="center"/>
          </w:tcPr>
          <w:p w:rsidR="00346249" w:rsidRPr="000B4AD5" w:rsidRDefault="00346249" w:rsidP="006C5133">
            <w:pPr>
              <w:rPr>
                <w:rFonts w:cs="Arial"/>
                <w:b/>
                <w:bCs/>
                <w:sz w:val="16"/>
                <w:szCs w:val="20"/>
              </w:rPr>
            </w:pPr>
            <w:r w:rsidRPr="000B4AD5">
              <w:rPr>
                <w:rFonts w:cs="Arial"/>
                <w:b/>
                <w:bCs/>
                <w:sz w:val="16"/>
                <w:szCs w:val="20"/>
              </w:rPr>
              <w:t>Daily</w:t>
            </w:r>
          </w:p>
        </w:tc>
        <w:tc>
          <w:tcPr>
            <w:tcW w:w="389" w:type="pct"/>
            <w:tcBorders>
              <w:top w:val="nil"/>
              <w:bottom w:val="nil"/>
            </w:tcBorders>
            <w:vAlign w:val="center"/>
          </w:tcPr>
          <w:p w:rsidR="00346249" w:rsidRDefault="00346249" w:rsidP="00346249">
            <w:pPr>
              <w:ind w:left="-115" w:right="-102"/>
              <w:jc w:val="center"/>
              <w:rPr>
                <w:rFonts w:cs="Arial"/>
                <w:szCs w:val="20"/>
              </w:rPr>
            </w:pPr>
            <w:r>
              <w:rPr>
                <w:rFonts w:cs="Arial"/>
                <w:szCs w:val="20"/>
              </w:rPr>
              <w:t>-</w:t>
            </w:r>
          </w:p>
        </w:tc>
        <w:tc>
          <w:tcPr>
            <w:tcW w:w="346" w:type="pct"/>
            <w:tcBorders>
              <w:top w:val="nil"/>
              <w:bottom w:val="nil"/>
            </w:tcBorders>
            <w:vAlign w:val="center"/>
          </w:tcPr>
          <w:p w:rsidR="00346249" w:rsidRDefault="00346249" w:rsidP="00346249">
            <w:pPr>
              <w:ind w:left="-115" w:right="-102"/>
              <w:jc w:val="center"/>
              <w:rPr>
                <w:rFonts w:cs="Arial"/>
                <w:szCs w:val="20"/>
              </w:rPr>
            </w:pPr>
            <w:r>
              <w:rPr>
                <w:rFonts w:cs="Arial"/>
                <w:szCs w:val="20"/>
              </w:rPr>
              <w:t>-</w:t>
            </w:r>
          </w:p>
        </w:tc>
        <w:tc>
          <w:tcPr>
            <w:tcW w:w="355" w:type="pct"/>
            <w:tcBorders>
              <w:top w:val="nil"/>
              <w:bottom w:val="nil"/>
            </w:tcBorders>
            <w:vAlign w:val="center"/>
          </w:tcPr>
          <w:p w:rsidR="00346249" w:rsidRDefault="00346249" w:rsidP="00346249">
            <w:pPr>
              <w:ind w:left="-115" w:right="-102"/>
              <w:jc w:val="center"/>
              <w:rPr>
                <w:rFonts w:cs="Arial"/>
                <w:szCs w:val="20"/>
              </w:rPr>
            </w:pPr>
            <w:r>
              <w:rPr>
                <w:rFonts w:cs="Arial"/>
                <w:szCs w:val="20"/>
              </w:rPr>
              <w:t>5.60</w:t>
            </w:r>
          </w:p>
        </w:tc>
        <w:tc>
          <w:tcPr>
            <w:tcW w:w="341" w:type="pct"/>
            <w:tcBorders>
              <w:top w:val="nil"/>
              <w:bottom w:val="nil"/>
            </w:tcBorders>
            <w:vAlign w:val="center"/>
          </w:tcPr>
          <w:p w:rsidR="00346249" w:rsidRDefault="00346249" w:rsidP="00346249">
            <w:pPr>
              <w:ind w:left="-115" w:right="-102"/>
              <w:jc w:val="center"/>
              <w:rPr>
                <w:rFonts w:cs="Arial"/>
                <w:szCs w:val="20"/>
              </w:rPr>
            </w:pPr>
            <w:r>
              <w:rPr>
                <w:rFonts w:cs="Arial"/>
                <w:szCs w:val="20"/>
              </w:rPr>
              <w:t>75.0</w:t>
            </w:r>
          </w:p>
        </w:tc>
        <w:tc>
          <w:tcPr>
            <w:tcW w:w="355" w:type="pct"/>
            <w:tcBorders>
              <w:top w:val="nil"/>
              <w:bottom w:val="nil"/>
            </w:tcBorders>
            <w:vAlign w:val="center"/>
          </w:tcPr>
          <w:p w:rsidR="00346249" w:rsidRDefault="00346249" w:rsidP="00346249">
            <w:pPr>
              <w:ind w:left="-115" w:right="-102"/>
              <w:jc w:val="center"/>
              <w:rPr>
                <w:rFonts w:cs="Arial"/>
                <w:szCs w:val="20"/>
              </w:rPr>
            </w:pPr>
            <w:r>
              <w:rPr>
                <w:rFonts w:cs="Arial"/>
                <w:szCs w:val="20"/>
              </w:rPr>
              <w:t>-</w:t>
            </w:r>
          </w:p>
        </w:tc>
        <w:tc>
          <w:tcPr>
            <w:tcW w:w="343" w:type="pct"/>
            <w:tcBorders>
              <w:top w:val="nil"/>
              <w:bottom w:val="nil"/>
            </w:tcBorders>
            <w:vAlign w:val="center"/>
          </w:tcPr>
          <w:p w:rsidR="00346249" w:rsidRDefault="00346249" w:rsidP="00346249">
            <w:pPr>
              <w:ind w:left="-115" w:right="-102"/>
              <w:jc w:val="center"/>
              <w:rPr>
                <w:rFonts w:cs="Arial"/>
                <w:szCs w:val="20"/>
              </w:rPr>
            </w:pPr>
            <w:r>
              <w:rPr>
                <w:rFonts w:cs="Arial"/>
                <w:szCs w:val="20"/>
              </w:rPr>
              <w:t>-</w:t>
            </w:r>
          </w:p>
        </w:tc>
        <w:tc>
          <w:tcPr>
            <w:tcW w:w="314" w:type="pct"/>
            <w:tcBorders>
              <w:top w:val="nil"/>
              <w:bottom w:val="nil"/>
            </w:tcBorders>
            <w:vAlign w:val="center"/>
          </w:tcPr>
          <w:p w:rsidR="00346249" w:rsidRDefault="00346249" w:rsidP="00346249">
            <w:pPr>
              <w:ind w:left="-115" w:right="-102"/>
              <w:jc w:val="center"/>
              <w:rPr>
                <w:rFonts w:cs="Arial"/>
                <w:szCs w:val="20"/>
              </w:rPr>
            </w:pPr>
            <w:r>
              <w:rPr>
                <w:rFonts w:cs="Arial"/>
                <w:szCs w:val="20"/>
              </w:rPr>
              <w:t>-</w:t>
            </w:r>
          </w:p>
        </w:tc>
        <w:tc>
          <w:tcPr>
            <w:tcW w:w="341" w:type="pct"/>
            <w:tcBorders>
              <w:top w:val="nil"/>
              <w:bottom w:val="nil"/>
            </w:tcBorders>
            <w:vAlign w:val="center"/>
          </w:tcPr>
          <w:p w:rsidR="00346249" w:rsidRDefault="00346249" w:rsidP="00346249">
            <w:pPr>
              <w:ind w:left="-115" w:right="-102"/>
              <w:jc w:val="center"/>
              <w:rPr>
                <w:rFonts w:cs="Arial"/>
                <w:szCs w:val="20"/>
              </w:rPr>
            </w:pPr>
            <w:r>
              <w:rPr>
                <w:rFonts w:cs="Arial"/>
                <w:szCs w:val="20"/>
              </w:rPr>
              <w:t>-</w:t>
            </w:r>
          </w:p>
        </w:tc>
        <w:tc>
          <w:tcPr>
            <w:tcW w:w="328" w:type="pct"/>
            <w:tcBorders>
              <w:top w:val="nil"/>
              <w:bottom w:val="nil"/>
            </w:tcBorders>
            <w:vAlign w:val="center"/>
          </w:tcPr>
          <w:p w:rsidR="00346249" w:rsidRDefault="00346249" w:rsidP="00346249">
            <w:pPr>
              <w:ind w:left="-115" w:right="-102"/>
              <w:jc w:val="center"/>
              <w:rPr>
                <w:rFonts w:cs="Arial"/>
                <w:szCs w:val="20"/>
              </w:rPr>
            </w:pPr>
            <w:r>
              <w:rPr>
                <w:rFonts w:cs="Arial"/>
                <w:szCs w:val="20"/>
              </w:rPr>
              <w:t>-</w:t>
            </w:r>
          </w:p>
        </w:tc>
        <w:tc>
          <w:tcPr>
            <w:tcW w:w="391" w:type="pct"/>
            <w:tcBorders>
              <w:top w:val="nil"/>
              <w:bottom w:val="nil"/>
            </w:tcBorders>
            <w:vAlign w:val="center"/>
          </w:tcPr>
          <w:p w:rsidR="00346249" w:rsidRDefault="00346249" w:rsidP="00346249">
            <w:pPr>
              <w:ind w:left="-115" w:right="-102"/>
              <w:jc w:val="center"/>
              <w:rPr>
                <w:rFonts w:cs="Arial"/>
                <w:szCs w:val="20"/>
              </w:rPr>
            </w:pPr>
            <w:r>
              <w:rPr>
                <w:rFonts w:cs="Arial"/>
                <w:szCs w:val="20"/>
              </w:rPr>
              <w:t>-</w:t>
            </w:r>
          </w:p>
        </w:tc>
        <w:tc>
          <w:tcPr>
            <w:tcW w:w="340" w:type="pct"/>
            <w:tcBorders>
              <w:top w:val="nil"/>
              <w:bottom w:val="nil"/>
            </w:tcBorders>
            <w:vAlign w:val="center"/>
          </w:tcPr>
          <w:p w:rsidR="00346249" w:rsidRDefault="00346249" w:rsidP="00346249">
            <w:pPr>
              <w:ind w:left="-115" w:right="-102"/>
              <w:jc w:val="center"/>
              <w:rPr>
                <w:rFonts w:cs="Arial"/>
                <w:szCs w:val="20"/>
              </w:rPr>
            </w:pPr>
            <w:r>
              <w:rPr>
                <w:rFonts w:cs="Arial"/>
                <w:szCs w:val="20"/>
              </w:rPr>
              <w:t>5.50</w:t>
            </w:r>
          </w:p>
        </w:tc>
        <w:tc>
          <w:tcPr>
            <w:tcW w:w="392" w:type="pct"/>
            <w:tcBorders>
              <w:top w:val="nil"/>
              <w:bottom w:val="nil"/>
            </w:tcBorders>
            <w:vAlign w:val="center"/>
          </w:tcPr>
          <w:p w:rsidR="00346249" w:rsidRDefault="00346249" w:rsidP="00346249">
            <w:pPr>
              <w:ind w:left="-115" w:right="-102"/>
              <w:jc w:val="center"/>
              <w:rPr>
                <w:rFonts w:cs="Arial"/>
                <w:szCs w:val="20"/>
              </w:rPr>
            </w:pPr>
            <w:r>
              <w:rPr>
                <w:rFonts w:cs="Arial"/>
                <w:szCs w:val="20"/>
              </w:rPr>
              <w:t>112.0</w:t>
            </w:r>
          </w:p>
        </w:tc>
      </w:tr>
      <w:tr w:rsidR="00346249" w:rsidTr="006C5133">
        <w:trPr>
          <w:trHeight w:val="510"/>
        </w:trPr>
        <w:tc>
          <w:tcPr>
            <w:tcW w:w="765" w:type="pct"/>
            <w:tcBorders>
              <w:top w:val="nil"/>
              <w:bottom w:val="nil"/>
            </w:tcBorders>
            <w:vAlign w:val="center"/>
          </w:tcPr>
          <w:p w:rsidR="00346249" w:rsidRPr="000B4AD5" w:rsidRDefault="00346249" w:rsidP="006C5133">
            <w:pPr>
              <w:rPr>
                <w:rFonts w:cs="Arial"/>
                <w:b/>
                <w:bCs/>
                <w:sz w:val="16"/>
                <w:szCs w:val="20"/>
              </w:rPr>
            </w:pPr>
            <w:r w:rsidRPr="000B4AD5">
              <w:rPr>
                <w:rFonts w:cs="Arial"/>
                <w:b/>
                <w:bCs/>
                <w:sz w:val="16"/>
                <w:szCs w:val="20"/>
              </w:rPr>
              <w:t>Day ahead</w:t>
            </w:r>
          </w:p>
        </w:tc>
        <w:tc>
          <w:tcPr>
            <w:tcW w:w="389"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5.18</w:t>
            </w:r>
          </w:p>
        </w:tc>
        <w:tc>
          <w:tcPr>
            <w:tcW w:w="346"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8.0</w:t>
            </w:r>
          </w:p>
        </w:tc>
        <w:tc>
          <w:tcPr>
            <w:tcW w:w="355"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5.60</w:t>
            </w:r>
          </w:p>
        </w:tc>
        <w:tc>
          <w:tcPr>
            <w:tcW w:w="341"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5.0</w:t>
            </w:r>
          </w:p>
        </w:tc>
        <w:tc>
          <w:tcPr>
            <w:tcW w:w="355"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w:t>
            </w:r>
          </w:p>
        </w:tc>
        <w:tc>
          <w:tcPr>
            <w:tcW w:w="343"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w:t>
            </w:r>
          </w:p>
        </w:tc>
        <w:tc>
          <w:tcPr>
            <w:tcW w:w="314"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w:t>
            </w:r>
          </w:p>
        </w:tc>
        <w:tc>
          <w:tcPr>
            <w:tcW w:w="341"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w:t>
            </w:r>
          </w:p>
        </w:tc>
        <w:tc>
          <w:tcPr>
            <w:tcW w:w="328"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w:t>
            </w:r>
          </w:p>
        </w:tc>
        <w:tc>
          <w:tcPr>
            <w:tcW w:w="391"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w:t>
            </w:r>
          </w:p>
        </w:tc>
        <w:tc>
          <w:tcPr>
            <w:tcW w:w="340"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w:t>
            </w:r>
          </w:p>
        </w:tc>
        <w:tc>
          <w:tcPr>
            <w:tcW w:w="392" w:type="pct"/>
            <w:tcBorders>
              <w:top w:val="nil"/>
              <w:bottom w:val="nil"/>
            </w:tcBorders>
            <w:vAlign w:val="center"/>
          </w:tcPr>
          <w:p w:rsidR="00346249" w:rsidRDefault="00346249" w:rsidP="00346249">
            <w:pPr>
              <w:ind w:left="-115" w:right="-102"/>
              <w:jc w:val="center"/>
              <w:rPr>
                <w:rFonts w:cs="Arial"/>
                <w:sz w:val="20"/>
                <w:szCs w:val="20"/>
              </w:rPr>
            </w:pPr>
            <w:r>
              <w:rPr>
                <w:rFonts w:cs="Arial"/>
                <w:sz w:val="20"/>
                <w:szCs w:val="20"/>
              </w:rPr>
              <w:t>-</w:t>
            </w:r>
          </w:p>
        </w:tc>
      </w:tr>
      <w:tr w:rsidR="00346249" w:rsidTr="006C5133">
        <w:trPr>
          <w:cnfStyle w:val="000000010000" w:firstRow="0" w:lastRow="0" w:firstColumn="0" w:lastColumn="0" w:oddVBand="0" w:evenVBand="0" w:oddHBand="0" w:evenHBand="1" w:firstRowFirstColumn="0" w:firstRowLastColumn="0" w:lastRowFirstColumn="0" w:lastRowLastColumn="0"/>
          <w:trHeight w:val="510"/>
        </w:trPr>
        <w:tc>
          <w:tcPr>
            <w:tcW w:w="765" w:type="pct"/>
            <w:tcBorders>
              <w:top w:val="nil"/>
              <w:bottom w:val="nil"/>
            </w:tcBorders>
            <w:vAlign w:val="center"/>
          </w:tcPr>
          <w:p w:rsidR="00346249" w:rsidRPr="000B4AD5" w:rsidRDefault="00346249" w:rsidP="006C5133">
            <w:pPr>
              <w:rPr>
                <w:rFonts w:cs="Arial"/>
                <w:b/>
                <w:bCs/>
                <w:sz w:val="16"/>
                <w:szCs w:val="20"/>
              </w:rPr>
            </w:pPr>
            <w:r w:rsidRPr="000B4AD5">
              <w:rPr>
                <w:rFonts w:cs="Arial"/>
                <w:b/>
                <w:bCs/>
                <w:sz w:val="16"/>
                <w:szCs w:val="20"/>
              </w:rPr>
              <w:t>Weekly</w:t>
            </w:r>
          </w:p>
        </w:tc>
        <w:tc>
          <w:tcPr>
            <w:tcW w:w="389" w:type="pct"/>
            <w:tcBorders>
              <w:top w:val="nil"/>
              <w:bottom w:val="nil"/>
            </w:tcBorders>
            <w:vAlign w:val="center"/>
          </w:tcPr>
          <w:p w:rsidR="00346249" w:rsidRDefault="00346249" w:rsidP="00346249">
            <w:pPr>
              <w:ind w:left="-115" w:right="-102"/>
              <w:jc w:val="center"/>
              <w:rPr>
                <w:rFonts w:cs="Arial"/>
                <w:szCs w:val="20"/>
              </w:rPr>
            </w:pPr>
            <w:r>
              <w:rPr>
                <w:rFonts w:cs="Arial"/>
                <w:szCs w:val="20"/>
              </w:rPr>
              <w:t>-</w:t>
            </w:r>
          </w:p>
        </w:tc>
        <w:tc>
          <w:tcPr>
            <w:tcW w:w="346" w:type="pct"/>
            <w:tcBorders>
              <w:top w:val="nil"/>
              <w:bottom w:val="nil"/>
            </w:tcBorders>
            <w:vAlign w:val="center"/>
          </w:tcPr>
          <w:p w:rsidR="00346249" w:rsidRDefault="00346249" w:rsidP="00346249">
            <w:pPr>
              <w:ind w:left="-115" w:right="-102"/>
              <w:jc w:val="center"/>
              <w:rPr>
                <w:rFonts w:cs="Arial"/>
                <w:szCs w:val="20"/>
              </w:rPr>
            </w:pPr>
            <w:r>
              <w:rPr>
                <w:rFonts w:cs="Arial"/>
                <w:szCs w:val="20"/>
              </w:rPr>
              <w:t>-</w:t>
            </w:r>
          </w:p>
        </w:tc>
        <w:tc>
          <w:tcPr>
            <w:tcW w:w="355" w:type="pct"/>
            <w:tcBorders>
              <w:top w:val="nil"/>
              <w:bottom w:val="nil"/>
            </w:tcBorders>
            <w:vAlign w:val="center"/>
          </w:tcPr>
          <w:p w:rsidR="00346249" w:rsidRDefault="00346249" w:rsidP="00346249">
            <w:pPr>
              <w:ind w:left="-115" w:right="-102"/>
              <w:jc w:val="center"/>
              <w:rPr>
                <w:rFonts w:cs="Arial"/>
                <w:szCs w:val="20"/>
              </w:rPr>
            </w:pPr>
            <w:r>
              <w:rPr>
                <w:rFonts w:cs="Arial"/>
                <w:szCs w:val="20"/>
              </w:rPr>
              <w:t>-</w:t>
            </w:r>
          </w:p>
        </w:tc>
        <w:tc>
          <w:tcPr>
            <w:tcW w:w="341" w:type="pct"/>
            <w:tcBorders>
              <w:top w:val="nil"/>
              <w:bottom w:val="nil"/>
            </w:tcBorders>
            <w:vAlign w:val="center"/>
          </w:tcPr>
          <w:p w:rsidR="00346249" w:rsidRDefault="00346249" w:rsidP="00346249">
            <w:pPr>
              <w:ind w:left="-115" w:right="-102"/>
              <w:jc w:val="center"/>
              <w:rPr>
                <w:rFonts w:cs="Arial"/>
                <w:szCs w:val="20"/>
              </w:rPr>
            </w:pPr>
            <w:r>
              <w:rPr>
                <w:rFonts w:cs="Arial"/>
                <w:szCs w:val="20"/>
              </w:rPr>
              <w:t>-</w:t>
            </w:r>
          </w:p>
        </w:tc>
        <w:tc>
          <w:tcPr>
            <w:tcW w:w="355" w:type="pct"/>
            <w:tcBorders>
              <w:top w:val="nil"/>
              <w:bottom w:val="nil"/>
            </w:tcBorders>
            <w:vAlign w:val="center"/>
          </w:tcPr>
          <w:p w:rsidR="00346249" w:rsidRDefault="00346249" w:rsidP="00346249">
            <w:pPr>
              <w:ind w:left="-115" w:right="-102"/>
              <w:jc w:val="center"/>
              <w:rPr>
                <w:rFonts w:cs="Arial"/>
                <w:szCs w:val="20"/>
              </w:rPr>
            </w:pPr>
            <w:r>
              <w:rPr>
                <w:rFonts w:cs="Arial"/>
                <w:szCs w:val="20"/>
              </w:rPr>
              <w:t>-</w:t>
            </w:r>
          </w:p>
        </w:tc>
        <w:tc>
          <w:tcPr>
            <w:tcW w:w="343" w:type="pct"/>
            <w:tcBorders>
              <w:top w:val="nil"/>
              <w:bottom w:val="nil"/>
            </w:tcBorders>
            <w:vAlign w:val="center"/>
          </w:tcPr>
          <w:p w:rsidR="00346249" w:rsidRDefault="00346249" w:rsidP="00346249">
            <w:pPr>
              <w:ind w:left="-115" w:right="-102"/>
              <w:jc w:val="center"/>
              <w:rPr>
                <w:rFonts w:cs="Arial"/>
                <w:szCs w:val="20"/>
              </w:rPr>
            </w:pPr>
            <w:r>
              <w:rPr>
                <w:rFonts w:cs="Arial"/>
                <w:szCs w:val="20"/>
              </w:rPr>
              <w:t>-</w:t>
            </w:r>
          </w:p>
        </w:tc>
        <w:tc>
          <w:tcPr>
            <w:tcW w:w="314" w:type="pct"/>
            <w:tcBorders>
              <w:top w:val="nil"/>
              <w:bottom w:val="nil"/>
            </w:tcBorders>
            <w:vAlign w:val="center"/>
          </w:tcPr>
          <w:p w:rsidR="00346249" w:rsidRDefault="00346249" w:rsidP="00346249">
            <w:pPr>
              <w:ind w:left="-115" w:right="-102"/>
              <w:jc w:val="center"/>
              <w:rPr>
                <w:rFonts w:cs="Arial"/>
                <w:szCs w:val="20"/>
              </w:rPr>
            </w:pPr>
            <w:r>
              <w:rPr>
                <w:rFonts w:cs="Arial"/>
                <w:szCs w:val="20"/>
              </w:rPr>
              <w:t>-</w:t>
            </w:r>
          </w:p>
        </w:tc>
        <w:tc>
          <w:tcPr>
            <w:tcW w:w="341" w:type="pct"/>
            <w:tcBorders>
              <w:top w:val="nil"/>
              <w:bottom w:val="nil"/>
            </w:tcBorders>
            <w:vAlign w:val="center"/>
          </w:tcPr>
          <w:p w:rsidR="00346249" w:rsidRDefault="00346249" w:rsidP="00346249">
            <w:pPr>
              <w:ind w:left="-115" w:right="-102"/>
              <w:jc w:val="center"/>
              <w:rPr>
                <w:rFonts w:cs="Arial"/>
                <w:szCs w:val="20"/>
              </w:rPr>
            </w:pPr>
            <w:r>
              <w:rPr>
                <w:rFonts w:cs="Arial"/>
                <w:szCs w:val="20"/>
              </w:rPr>
              <w:t>-</w:t>
            </w:r>
          </w:p>
        </w:tc>
        <w:tc>
          <w:tcPr>
            <w:tcW w:w="328" w:type="pct"/>
            <w:tcBorders>
              <w:top w:val="nil"/>
              <w:bottom w:val="nil"/>
            </w:tcBorders>
            <w:vAlign w:val="center"/>
          </w:tcPr>
          <w:p w:rsidR="00346249" w:rsidRDefault="00346249" w:rsidP="00346249">
            <w:pPr>
              <w:ind w:left="-115" w:right="-102"/>
              <w:jc w:val="center"/>
              <w:rPr>
                <w:rFonts w:cs="Arial"/>
                <w:szCs w:val="20"/>
              </w:rPr>
            </w:pPr>
            <w:r>
              <w:rPr>
                <w:rFonts w:cs="Arial"/>
                <w:szCs w:val="20"/>
              </w:rPr>
              <w:t>-</w:t>
            </w:r>
          </w:p>
        </w:tc>
        <w:tc>
          <w:tcPr>
            <w:tcW w:w="391" w:type="pct"/>
            <w:tcBorders>
              <w:top w:val="nil"/>
              <w:bottom w:val="nil"/>
            </w:tcBorders>
            <w:vAlign w:val="center"/>
          </w:tcPr>
          <w:p w:rsidR="00346249" w:rsidRDefault="00346249" w:rsidP="00346249">
            <w:pPr>
              <w:ind w:left="-115" w:right="-102"/>
              <w:jc w:val="center"/>
              <w:rPr>
                <w:rFonts w:cs="Arial"/>
                <w:szCs w:val="20"/>
              </w:rPr>
            </w:pPr>
            <w:r>
              <w:rPr>
                <w:rFonts w:cs="Arial"/>
                <w:szCs w:val="20"/>
              </w:rPr>
              <w:t>-</w:t>
            </w:r>
          </w:p>
        </w:tc>
        <w:tc>
          <w:tcPr>
            <w:tcW w:w="340" w:type="pct"/>
            <w:tcBorders>
              <w:top w:val="nil"/>
              <w:bottom w:val="nil"/>
            </w:tcBorders>
            <w:vAlign w:val="center"/>
          </w:tcPr>
          <w:p w:rsidR="00346249" w:rsidRDefault="00346249" w:rsidP="00346249">
            <w:pPr>
              <w:ind w:left="-115" w:right="-102"/>
              <w:jc w:val="center"/>
              <w:rPr>
                <w:rFonts w:cs="Arial"/>
                <w:szCs w:val="20"/>
              </w:rPr>
            </w:pPr>
            <w:r>
              <w:rPr>
                <w:rFonts w:cs="Arial"/>
                <w:szCs w:val="20"/>
              </w:rPr>
              <w:t>-</w:t>
            </w:r>
          </w:p>
        </w:tc>
        <w:tc>
          <w:tcPr>
            <w:tcW w:w="392" w:type="pct"/>
            <w:tcBorders>
              <w:top w:val="nil"/>
              <w:bottom w:val="nil"/>
            </w:tcBorders>
            <w:vAlign w:val="center"/>
          </w:tcPr>
          <w:p w:rsidR="00346249" w:rsidRDefault="00346249" w:rsidP="00346249">
            <w:pPr>
              <w:ind w:left="-115" w:right="-102"/>
              <w:jc w:val="center"/>
              <w:rPr>
                <w:rFonts w:cs="Arial"/>
                <w:szCs w:val="20"/>
              </w:rPr>
            </w:pPr>
            <w:r>
              <w:rPr>
                <w:rFonts w:cs="Arial"/>
                <w:szCs w:val="20"/>
              </w:rPr>
              <w:t>-</w:t>
            </w:r>
          </w:p>
        </w:tc>
      </w:tr>
      <w:tr w:rsidR="00346249" w:rsidTr="006C5133">
        <w:trPr>
          <w:trHeight w:val="510"/>
        </w:trPr>
        <w:tc>
          <w:tcPr>
            <w:tcW w:w="765" w:type="pct"/>
            <w:tcBorders>
              <w:top w:val="nil"/>
              <w:bottom w:val="single" w:sz="4" w:space="0" w:color="auto"/>
            </w:tcBorders>
            <w:vAlign w:val="center"/>
          </w:tcPr>
          <w:p w:rsidR="00346249" w:rsidRPr="000B4AD5" w:rsidRDefault="00346249" w:rsidP="006C5133">
            <w:pPr>
              <w:rPr>
                <w:rFonts w:cs="Arial"/>
                <w:b/>
                <w:bCs/>
                <w:sz w:val="16"/>
                <w:szCs w:val="20"/>
              </w:rPr>
            </w:pPr>
            <w:r w:rsidRPr="000B4AD5">
              <w:rPr>
                <w:rFonts w:cs="Arial"/>
                <w:b/>
                <w:bCs/>
                <w:sz w:val="16"/>
                <w:szCs w:val="20"/>
              </w:rPr>
              <w:t>Monthly</w:t>
            </w:r>
          </w:p>
        </w:tc>
        <w:tc>
          <w:tcPr>
            <w:tcW w:w="389" w:type="pct"/>
            <w:tcBorders>
              <w:top w:val="nil"/>
              <w:bottom w:val="single" w:sz="4" w:space="0" w:color="auto"/>
            </w:tcBorders>
            <w:vAlign w:val="center"/>
          </w:tcPr>
          <w:p w:rsidR="00346249" w:rsidRDefault="00346249" w:rsidP="00346249">
            <w:pPr>
              <w:ind w:left="-115" w:right="-102"/>
              <w:jc w:val="center"/>
              <w:rPr>
                <w:rFonts w:cs="Arial"/>
                <w:sz w:val="20"/>
                <w:szCs w:val="20"/>
              </w:rPr>
            </w:pPr>
            <w:r>
              <w:rPr>
                <w:rFonts w:cs="Arial"/>
                <w:sz w:val="20"/>
                <w:szCs w:val="20"/>
              </w:rPr>
              <w:t>-</w:t>
            </w:r>
          </w:p>
        </w:tc>
        <w:tc>
          <w:tcPr>
            <w:tcW w:w="346" w:type="pct"/>
            <w:tcBorders>
              <w:top w:val="nil"/>
              <w:bottom w:val="single" w:sz="4" w:space="0" w:color="auto"/>
            </w:tcBorders>
            <w:vAlign w:val="center"/>
          </w:tcPr>
          <w:p w:rsidR="00346249" w:rsidRDefault="00346249" w:rsidP="00346249">
            <w:pPr>
              <w:ind w:left="-115" w:right="-102"/>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346249" w:rsidRDefault="00346249" w:rsidP="00346249">
            <w:pPr>
              <w:ind w:left="-115" w:right="-102"/>
              <w:jc w:val="center"/>
              <w:rPr>
                <w:rFonts w:cs="Arial"/>
                <w:sz w:val="20"/>
                <w:szCs w:val="20"/>
              </w:rPr>
            </w:pPr>
            <w:r>
              <w:rPr>
                <w:rFonts w:cs="Arial"/>
                <w:sz w:val="20"/>
                <w:szCs w:val="20"/>
              </w:rPr>
              <w:t>-</w:t>
            </w:r>
          </w:p>
        </w:tc>
        <w:tc>
          <w:tcPr>
            <w:tcW w:w="341" w:type="pct"/>
            <w:tcBorders>
              <w:top w:val="nil"/>
              <w:bottom w:val="single" w:sz="4" w:space="0" w:color="auto"/>
            </w:tcBorders>
            <w:vAlign w:val="center"/>
          </w:tcPr>
          <w:p w:rsidR="00346249" w:rsidRDefault="00346249" w:rsidP="00346249">
            <w:pPr>
              <w:ind w:left="-115" w:right="-102"/>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346249" w:rsidRDefault="00346249" w:rsidP="00346249">
            <w:pPr>
              <w:ind w:left="-115" w:right="-102"/>
              <w:jc w:val="center"/>
              <w:rPr>
                <w:rFonts w:cs="Arial"/>
                <w:sz w:val="20"/>
                <w:szCs w:val="20"/>
              </w:rPr>
            </w:pPr>
            <w:r>
              <w:rPr>
                <w:rFonts w:cs="Arial"/>
                <w:sz w:val="20"/>
                <w:szCs w:val="20"/>
              </w:rPr>
              <w:t>-</w:t>
            </w:r>
          </w:p>
        </w:tc>
        <w:tc>
          <w:tcPr>
            <w:tcW w:w="343" w:type="pct"/>
            <w:tcBorders>
              <w:top w:val="nil"/>
              <w:bottom w:val="single" w:sz="4" w:space="0" w:color="auto"/>
            </w:tcBorders>
            <w:vAlign w:val="center"/>
          </w:tcPr>
          <w:p w:rsidR="00346249" w:rsidRDefault="00346249" w:rsidP="00346249">
            <w:pPr>
              <w:ind w:left="-115" w:right="-102"/>
              <w:jc w:val="center"/>
              <w:rPr>
                <w:rFonts w:cs="Arial"/>
                <w:sz w:val="20"/>
                <w:szCs w:val="20"/>
              </w:rPr>
            </w:pPr>
            <w:r>
              <w:rPr>
                <w:rFonts w:cs="Arial"/>
                <w:sz w:val="20"/>
                <w:szCs w:val="20"/>
              </w:rPr>
              <w:t>-</w:t>
            </w:r>
          </w:p>
        </w:tc>
        <w:tc>
          <w:tcPr>
            <w:tcW w:w="314" w:type="pct"/>
            <w:tcBorders>
              <w:top w:val="nil"/>
              <w:bottom w:val="single" w:sz="4" w:space="0" w:color="auto"/>
            </w:tcBorders>
            <w:vAlign w:val="center"/>
          </w:tcPr>
          <w:p w:rsidR="00346249" w:rsidRDefault="00346249" w:rsidP="00346249">
            <w:pPr>
              <w:ind w:left="-115" w:right="-102"/>
              <w:jc w:val="center"/>
              <w:rPr>
                <w:rFonts w:cs="Arial"/>
                <w:sz w:val="20"/>
                <w:szCs w:val="20"/>
              </w:rPr>
            </w:pPr>
            <w:r>
              <w:rPr>
                <w:rFonts w:cs="Arial"/>
                <w:sz w:val="20"/>
                <w:szCs w:val="20"/>
              </w:rPr>
              <w:t>-</w:t>
            </w:r>
          </w:p>
        </w:tc>
        <w:tc>
          <w:tcPr>
            <w:tcW w:w="341" w:type="pct"/>
            <w:tcBorders>
              <w:top w:val="nil"/>
              <w:bottom w:val="single" w:sz="4" w:space="0" w:color="auto"/>
            </w:tcBorders>
            <w:vAlign w:val="center"/>
          </w:tcPr>
          <w:p w:rsidR="00346249" w:rsidRDefault="00346249" w:rsidP="00346249">
            <w:pPr>
              <w:ind w:left="-115" w:right="-102"/>
              <w:jc w:val="center"/>
              <w:rPr>
                <w:rFonts w:cs="Arial"/>
                <w:sz w:val="20"/>
                <w:szCs w:val="20"/>
              </w:rPr>
            </w:pPr>
            <w:r>
              <w:rPr>
                <w:rFonts w:cs="Arial"/>
                <w:sz w:val="20"/>
                <w:szCs w:val="20"/>
              </w:rPr>
              <w:t>-</w:t>
            </w:r>
          </w:p>
        </w:tc>
        <w:tc>
          <w:tcPr>
            <w:tcW w:w="328" w:type="pct"/>
            <w:tcBorders>
              <w:top w:val="nil"/>
              <w:bottom w:val="single" w:sz="4" w:space="0" w:color="auto"/>
            </w:tcBorders>
            <w:vAlign w:val="center"/>
          </w:tcPr>
          <w:p w:rsidR="00346249" w:rsidRDefault="00346249" w:rsidP="00346249">
            <w:pPr>
              <w:ind w:left="-115" w:right="-102"/>
              <w:jc w:val="center"/>
              <w:rPr>
                <w:rFonts w:cs="Arial"/>
                <w:sz w:val="20"/>
                <w:szCs w:val="20"/>
              </w:rPr>
            </w:pPr>
            <w:r>
              <w:rPr>
                <w:rFonts w:cs="Arial"/>
                <w:sz w:val="20"/>
                <w:szCs w:val="20"/>
              </w:rPr>
              <w:t>-</w:t>
            </w:r>
          </w:p>
        </w:tc>
        <w:tc>
          <w:tcPr>
            <w:tcW w:w="391" w:type="pct"/>
            <w:tcBorders>
              <w:top w:val="nil"/>
              <w:bottom w:val="single" w:sz="4" w:space="0" w:color="auto"/>
            </w:tcBorders>
            <w:vAlign w:val="center"/>
          </w:tcPr>
          <w:p w:rsidR="00346249" w:rsidRDefault="00346249" w:rsidP="00346249">
            <w:pPr>
              <w:ind w:left="-115" w:right="-102"/>
              <w:jc w:val="center"/>
              <w:rPr>
                <w:rFonts w:cs="Arial"/>
                <w:sz w:val="20"/>
                <w:szCs w:val="20"/>
              </w:rPr>
            </w:pPr>
            <w:r>
              <w:rPr>
                <w:rFonts w:cs="Arial"/>
                <w:sz w:val="20"/>
                <w:szCs w:val="20"/>
              </w:rPr>
              <w:t>-</w:t>
            </w:r>
          </w:p>
        </w:tc>
        <w:tc>
          <w:tcPr>
            <w:tcW w:w="340" w:type="pct"/>
            <w:tcBorders>
              <w:top w:val="nil"/>
              <w:bottom w:val="single" w:sz="4" w:space="0" w:color="auto"/>
            </w:tcBorders>
            <w:vAlign w:val="center"/>
          </w:tcPr>
          <w:p w:rsidR="00346249" w:rsidRDefault="00346249" w:rsidP="00346249">
            <w:pPr>
              <w:ind w:left="-115" w:right="-102"/>
              <w:jc w:val="center"/>
              <w:rPr>
                <w:rFonts w:cs="Arial"/>
                <w:sz w:val="20"/>
                <w:szCs w:val="20"/>
              </w:rPr>
            </w:pPr>
            <w:r>
              <w:rPr>
                <w:rFonts w:cs="Arial"/>
                <w:sz w:val="20"/>
                <w:szCs w:val="20"/>
              </w:rPr>
              <w:t>-</w:t>
            </w:r>
          </w:p>
        </w:tc>
        <w:tc>
          <w:tcPr>
            <w:tcW w:w="392" w:type="pct"/>
            <w:tcBorders>
              <w:top w:val="nil"/>
              <w:bottom w:val="single" w:sz="4" w:space="0" w:color="auto"/>
            </w:tcBorders>
            <w:vAlign w:val="center"/>
          </w:tcPr>
          <w:p w:rsidR="00346249" w:rsidRDefault="00346249" w:rsidP="00346249">
            <w:pPr>
              <w:ind w:left="-115" w:right="-102"/>
              <w:jc w:val="center"/>
              <w:rPr>
                <w:rFonts w:cs="Arial"/>
                <w:sz w:val="20"/>
                <w:szCs w:val="20"/>
              </w:rPr>
            </w:pPr>
            <w:r>
              <w:rPr>
                <w:rFonts w:cs="Arial"/>
                <w:sz w:val="20"/>
                <w:szCs w:val="20"/>
              </w:rPr>
              <w:t>-</w:t>
            </w:r>
          </w:p>
        </w:tc>
      </w:tr>
    </w:tbl>
    <w:p w:rsidR="001934E9" w:rsidRDefault="001934E9" w:rsidP="00A226E9">
      <w:pPr>
        <w:keepNext/>
      </w:pPr>
      <w:r w:rsidRPr="00552F68">
        <w:lastRenderedPageBreak/>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EE7852">
        <w:fldChar w:fldCharType="begin"/>
      </w:r>
      <w:r w:rsidR="00EE7852">
        <w:instrText xml:space="preserve"> SEQ Figure \* ARABIC </w:instrText>
      </w:r>
      <w:r w:rsidR="00EE7852">
        <w:fldChar w:fldCharType="separate"/>
      </w:r>
      <w:r w:rsidR="00587CFB">
        <w:rPr>
          <w:noProof/>
        </w:rPr>
        <w:t>5</w:t>
      </w:r>
      <w:r w:rsidR="00EE7852">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47517A" w:rsidP="00E16EDC">
      <w:r w:rsidRPr="0047517A">
        <w:rPr>
          <w:noProof/>
          <w:lang w:eastAsia="en-AU"/>
        </w:rPr>
        <w:drawing>
          <wp:inline distT="0" distB="0" distL="0" distR="0" wp14:anchorId="3813998D" wp14:editId="62F6790F">
            <wp:extent cx="5731510" cy="3179062"/>
            <wp:effectExtent l="0" t="0" r="2540" b="2540"/>
            <wp:docPr id="7" name="Picture 7" descr="Figure 5 shows the daily quantity of gas flowed on each of the three Queensland LNG export pipelines. Quantities of gas supplied by production facilities in the Roma region owned by these pipelines are also shown, grouped for each participant (APLNG, GLNG/Santos and QCLNG/Q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755CD6" w:rsidRDefault="00755CD6" w:rsidP="00E85217">
      <w:pPr>
        <w:jc w:val="both"/>
      </w:pPr>
      <w:r w:rsidRPr="00755CD6">
        <w:t>Th</w:t>
      </w:r>
      <w:r>
        <w:t>ere</w:t>
      </w:r>
      <w:r w:rsidRPr="00755CD6">
        <w:t xml:space="preserve"> was high</w:t>
      </w:r>
      <w:r>
        <w:t xml:space="preserve"> </w:t>
      </w:r>
      <w:r w:rsidRPr="00755CD6">
        <w:t xml:space="preserve">interest </w:t>
      </w:r>
      <w:r>
        <w:t xml:space="preserve">this </w:t>
      </w:r>
      <w:r w:rsidRPr="00755CD6">
        <w:t xml:space="preserve">week </w:t>
      </w:r>
      <w:r>
        <w:t>in</w:t>
      </w:r>
      <w:r w:rsidRPr="00755CD6">
        <w:t xml:space="preserve"> the</w:t>
      </w:r>
      <w:r w:rsidR="00C31577">
        <w:t xml:space="preserve"> new</w:t>
      </w:r>
      <w:r w:rsidRPr="00755CD6">
        <w:t xml:space="preserve"> </w:t>
      </w:r>
      <w:r>
        <w:t>Gas Bulletin Board (</w:t>
      </w:r>
      <w:r w:rsidRPr="00755CD6">
        <w:t>GBB</w:t>
      </w:r>
      <w:r>
        <w:t xml:space="preserve">) with </w:t>
      </w:r>
      <w:r w:rsidRPr="00755CD6">
        <w:t xml:space="preserve">changes live into </w:t>
      </w:r>
      <w:r w:rsidR="00C31577">
        <w:t>p</w:t>
      </w:r>
      <w:r w:rsidRPr="00755CD6">
        <w:t>roduction</w:t>
      </w:r>
      <w:r>
        <w:t xml:space="preserve"> consisting of e</w:t>
      </w:r>
      <w:r w:rsidRPr="00755CD6">
        <w:t xml:space="preserve">nhanced </w:t>
      </w:r>
      <w:r>
        <w:t>i</w:t>
      </w:r>
      <w:r w:rsidRPr="00755CD6">
        <w:t>nformation for Gas</w:t>
      </w:r>
      <w:r>
        <w:t xml:space="preserve"> Transmission Pipeline </w:t>
      </w:r>
      <w:r w:rsidR="00C31577">
        <w:t>flows and c</w:t>
      </w:r>
      <w:r>
        <w:t xml:space="preserve">apacities, </w:t>
      </w:r>
      <w:r w:rsidR="00C31577">
        <w:t xml:space="preserve">and </w:t>
      </w:r>
      <w:r w:rsidR="007E0F93">
        <w:t>S</w:t>
      </w:r>
      <w:r w:rsidR="00C31577">
        <w:t xml:space="preserve">torage </w:t>
      </w:r>
      <w:r w:rsidR="007E0F93">
        <w:t>F</w:t>
      </w:r>
      <w:r w:rsidR="00C31577">
        <w:t>acility</w:t>
      </w:r>
      <w:r w:rsidR="00C31577" w:rsidRPr="00C31577">
        <w:t xml:space="preserve"> actual daily storage volumes as well as dail</w:t>
      </w:r>
      <w:r w:rsidR="00C31577">
        <w:t>y injection and withdrawals</w:t>
      </w:r>
      <w:r>
        <w:t>.</w:t>
      </w:r>
      <w:r w:rsidR="00C31577">
        <w:t xml:space="preserve"> Reporting obligations also include a </w:t>
      </w:r>
      <w:r w:rsidR="00C31577" w:rsidRPr="0092468A">
        <w:rPr>
          <w:lang w:val="en-US"/>
        </w:rPr>
        <w:t>12 month uncontracted capacity outlook</w:t>
      </w:r>
      <w:r w:rsidR="00C31577">
        <w:rPr>
          <w:lang w:val="en-US"/>
        </w:rPr>
        <w:t>.</w:t>
      </w:r>
    </w:p>
    <w:p w:rsidR="006D20B3" w:rsidRDefault="006C45E0" w:rsidP="00E85217">
      <w:pPr>
        <w:jc w:val="both"/>
      </w:pPr>
      <w:r>
        <w:t>The Longford plant returned to full capacity by Sunday evening 2 October following a full plant outage 1 October</w:t>
      </w:r>
      <w:r w:rsidR="006C5133">
        <w:t>.</w:t>
      </w:r>
      <w:r w:rsidR="00346249">
        <w:rPr>
          <w:rStyle w:val="FootnoteReference"/>
        </w:rPr>
        <w:footnoteReference w:id="3"/>
      </w:r>
      <w:r w:rsidR="003571F0">
        <w:t xml:space="preserve"> </w:t>
      </w:r>
      <w:r w:rsidR="001F65C2">
        <w:t xml:space="preserve">The DWGM saw a large decrease in 6am price </w:t>
      </w:r>
      <w:r w:rsidR="003571F0">
        <w:t xml:space="preserve">($2.50/GJ) </w:t>
      </w:r>
      <w:r w:rsidR="001F65C2">
        <w:t>on Sunday 2 October coinciding with participants bidding higher than usual quantities at low prices, possibly due to the uncertainty of Longford operating at reduced capacity.</w:t>
      </w:r>
      <w:r w:rsidR="006C5133">
        <w:t xml:space="preserve"> </w:t>
      </w:r>
    </w:p>
    <w:p w:rsidR="006D20B3" w:rsidRDefault="006C5133" w:rsidP="00E85217">
      <w:pPr>
        <w:jc w:val="both"/>
      </w:pPr>
      <w:r>
        <w:t>Figure 2.3 shows there was also a significant quantity of gas scheduled on the EGP into Sydney on 2 October which may have been influenced by similar factors.</w:t>
      </w:r>
      <w:r w:rsidR="008F59F5">
        <w:rPr>
          <w:rStyle w:val="FootnoteReference"/>
        </w:rPr>
        <w:footnoteReference w:id="4"/>
      </w:r>
      <w:r w:rsidR="006D20B3">
        <w:t xml:space="preserve"> More than 10 TJ of decrease MOS was allocated on the EGP on the day due to over forecasting. The Sydney and Adelaide markets each had three days of MOS payments above $50 000 during the week.</w:t>
      </w:r>
    </w:p>
    <w:p w:rsidR="009C54FE" w:rsidRDefault="00755CD6" w:rsidP="00E85217">
      <w:pPr>
        <w:spacing w:line="240" w:lineRule="auto"/>
        <w:jc w:val="both"/>
        <w:rPr>
          <w:rFonts w:eastAsiaTheme="majorEastAsia" w:cstheme="majorBidi"/>
          <w:b/>
          <w:bCs/>
          <w:color w:val="FFFFFF" w:themeColor="background1"/>
          <w:sz w:val="36"/>
          <w:szCs w:val="36"/>
        </w:rPr>
      </w:pPr>
      <w:r w:rsidRPr="00463921">
        <w:t xml:space="preserve">There were several days of high prices in the </w:t>
      </w:r>
      <w:r w:rsidR="006C5133">
        <w:t>Victorian market</w:t>
      </w:r>
      <w:r w:rsidR="006C5133" w:rsidRPr="00463921">
        <w:t xml:space="preserve"> </w:t>
      </w:r>
      <w:r w:rsidRPr="00463921">
        <w:t>with $12.2</w:t>
      </w:r>
      <w:r w:rsidR="00E85217">
        <w:t>9</w:t>
      </w:r>
      <w:r w:rsidRPr="00463921">
        <w:t>/GJ at</w:t>
      </w:r>
      <w:r w:rsidR="006C5133">
        <w:t xml:space="preserve"> the</w:t>
      </w:r>
      <w:r w:rsidRPr="00463921">
        <w:t xml:space="preserve"> 10</w:t>
      </w:r>
      <w:r w:rsidR="006C5133">
        <w:t> pm</w:t>
      </w:r>
      <w:r w:rsidRPr="00463921">
        <w:t xml:space="preserve"> schedule on </w:t>
      </w:r>
      <w:r w:rsidR="006C5133">
        <w:t>Tu</w:t>
      </w:r>
      <w:r w:rsidR="006C5133" w:rsidRPr="00463921">
        <w:t xml:space="preserve">esday </w:t>
      </w:r>
      <w:r w:rsidRPr="00463921">
        <w:t>(</w:t>
      </w:r>
      <w:r w:rsidR="00E85217">
        <w:t>4 </w:t>
      </w:r>
      <w:r w:rsidRPr="00463921">
        <w:t xml:space="preserve">October) and prices between $12.58/GJ and $17.69/GJ </w:t>
      </w:r>
      <w:r w:rsidR="006C5133">
        <w:t>from</w:t>
      </w:r>
      <w:r w:rsidRPr="00463921">
        <w:t xml:space="preserve"> 10</w:t>
      </w:r>
      <w:r w:rsidR="006C5133">
        <w:t> am</w:t>
      </w:r>
      <w:r w:rsidRPr="00463921">
        <w:t xml:space="preserve"> on </w:t>
      </w:r>
      <w:r w:rsidR="006C5133">
        <w:t>Wedne</w:t>
      </w:r>
      <w:r w:rsidR="006C5133" w:rsidRPr="00463921">
        <w:t xml:space="preserve">sday </w:t>
      </w:r>
      <w:r w:rsidRPr="00463921">
        <w:t>(</w:t>
      </w:r>
      <w:r w:rsidR="00E85217">
        <w:t>5 </w:t>
      </w:r>
      <w:r w:rsidRPr="00463921">
        <w:t>October)</w:t>
      </w:r>
      <w:r w:rsidR="006C5133">
        <w:t xml:space="preserve"> as gas was sourced from Iona</w:t>
      </w:r>
      <w:r w:rsidR="00E85217">
        <w:t>.</w:t>
      </w:r>
      <w:r w:rsidR="009C54FE">
        <w:rPr>
          <w:color w:val="FFFFFF" w:themeColor="background1"/>
          <w:sz w:val="36"/>
          <w:szCs w:val="36"/>
        </w:rP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248F0F30" wp14:editId="1F467D01">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5"/>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6"/>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7"/>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A85990" w:rsidP="003171C6">
      <w:r w:rsidRPr="00A85990">
        <w:rPr>
          <w:noProof/>
          <w:lang w:eastAsia="en-AU"/>
        </w:rPr>
        <w:drawing>
          <wp:inline distT="0" distB="0" distL="0" distR="0" wp14:anchorId="6E365DA9" wp14:editId="36B4157B">
            <wp:extent cx="5731510" cy="1650203"/>
            <wp:effectExtent l="0" t="0" r="2540" b="7620"/>
            <wp:docPr id="9" name="Picture 9"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A85990" w:rsidP="003171C6">
      <w:r w:rsidRPr="00A85990">
        <w:rPr>
          <w:noProof/>
          <w:lang w:eastAsia="en-AU"/>
        </w:rPr>
        <w:drawing>
          <wp:inline distT="0" distB="0" distL="0" distR="0" wp14:anchorId="35A8D78A" wp14:editId="2961AA64">
            <wp:extent cx="5731510" cy="2132322"/>
            <wp:effectExtent l="0" t="0" r="2540" b="1905"/>
            <wp:docPr id="10" name="Picture 10"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A85990" w:rsidP="003171C6">
      <w:r w:rsidRPr="00A85990">
        <w:rPr>
          <w:noProof/>
          <w:lang w:eastAsia="en-AU"/>
        </w:rPr>
        <w:drawing>
          <wp:inline distT="0" distB="0" distL="0" distR="0" wp14:anchorId="22D28F54" wp14:editId="02D14A8F">
            <wp:extent cx="5731510" cy="2486687"/>
            <wp:effectExtent l="0" t="0" r="2540" b="8890"/>
            <wp:docPr id="11" name="Picture 11"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A85990" w:rsidP="003171C6">
      <w:r w:rsidRPr="00A85990">
        <w:rPr>
          <w:noProof/>
          <w:lang w:eastAsia="en-AU"/>
        </w:rPr>
        <w:drawing>
          <wp:inline distT="0" distB="0" distL="0" distR="0" wp14:anchorId="3225F68A" wp14:editId="756FD483">
            <wp:extent cx="5731510" cy="1958582"/>
            <wp:effectExtent l="0" t="0" r="2540" b="3810"/>
            <wp:docPr id="12" name="Picture 12"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A85990" w:rsidP="003171C6">
      <w:r w:rsidRPr="00A85990">
        <w:rPr>
          <w:noProof/>
          <w:lang w:eastAsia="en-AU"/>
        </w:rPr>
        <w:drawing>
          <wp:inline distT="0" distB="0" distL="0" distR="0" wp14:anchorId="5E38A843" wp14:editId="3E9C0A27">
            <wp:extent cx="5731510" cy="2142691"/>
            <wp:effectExtent l="0" t="0" r="2540" b="0"/>
            <wp:docPr id="17" name="Picture 17"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8"/>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9"/>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A85990" w:rsidRPr="00405CDE" w:rsidTr="00A226E9">
        <w:trPr>
          <w:trHeight w:val="510"/>
        </w:trPr>
        <w:tc>
          <w:tcPr>
            <w:tcW w:w="1211" w:type="pct"/>
            <w:tcBorders>
              <w:top w:val="nil"/>
              <w:bottom w:val="nil"/>
            </w:tcBorders>
            <w:vAlign w:val="center"/>
          </w:tcPr>
          <w:p w:rsidR="00A85990" w:rsidRDefault="00A85990">
            <w:pPr>
              <w:rPr>
                <w:rFonts w:cs="Arial"/>
                <w:sz w:val="20"/>
                <w:szCs w:val="20"/>
              </w:rPr>
            </w:pPr>
            <w:r>
              <w:rPr>
                <w:rFonts w:cs="Arial"/>
                <w:sz w:val="20"/>
                <w:szCs w:val="20"/>
              </w:rPr>
              <w:t>Ex ante price ($/GJ)</w:t>
            </w:r>
          </w:p>
        </w:tc>
        <w:tc>
          <w:tcPr>
            <w:tcW w:w="580" w:type="pct"/>
            <w:tcBorders>
              <w:top w:val="nil"/>
              <w:bottom w:val="nil"/>
            </w:tcBorders>
            <w:vAlign w:val="center"/>
          </w:tcPr>
          <w:p w:rsidR="00A85990" w:rsidRDefault="00A85990">
            <w:pPr>
              <w:jc w:val="center"/>
              <w:rPr>
                <w:rFonts w:cs="Arial"/>
                <w:sz w:val="20"/>
                <w:szCs w:val="20"/>
              </w:rPr>
            </w:pPr>
            <w:r>
              <w:rPr>
                <w:rFonts w:cs="Arial"/>
                <w:sz w:val="20"/>
                <w:szCs w:val="20"/>
              </w:rPr>
              <w:t>5.26</w:t>
            </w:r>
          </w:p>
        </w:tc>
        <w:tc>
          <w:tcPr>
            <w:tcW w:w="508" w:type="pct"/>
            <w:tcBorders>
              <w:top w:val="nil"/>
              <w:bottom w:val="nil"/>
            </w:tcBorders>
            <w:vAlign w:val="center"/>
          </w:tcPr>
          <w:p w:rsidR="00A85990" w:rsidRDefault="00A85990">
            <w:pPr>
              <w:jc w:val="center"/>
              <w:rPr>
                <w:rFonts w:cs="Arial"/>
                <w:sz w:val="20"/>
                <w:szCs w:val="20"/>
              </w:rPr>
            </w:pPr>
            <w:r>
              <w:rPr>
                <w:rFonts w:cs="Arial"/>
                <w:sz w:val="20"/>
                <w:szCs w:val="20"/>
              </w:rPr>
              <w:t>5.01</w:t>
            </w:r>
          </w:p>
        </w:tc>
        <w:tc>
          <w:tcPr>
            <w:tcW w:w="589" w:type="pct"/>
            <w:tcBorders>
              <w:top w:val="nil"/>
              <w:bottom w:val="nil"/>
            </w:tcBorders>
            <w:vAlign w:val="center"/>
          </w:tcPr>
          <w:p w:rsidR="00A85990" w:rsidRDefault="00A85990">
            <w:pPr>
              <w:jc w:val="center"/>
              <w:rPr>
                <w:rFonts w:cs="Arial"/>
                <w:sz w:val="20"/>
                <w:szCs w:val="20"/>
              </w:rPr>
            </w:pPr>
            <w:r>
              <w:rPr>
                <w:rFonts w:cs="Arial"/>
                <w:sz w:val="20"/>
                <w:szCs w:val="20"/>
              </w:rPr>
              <w:t>6.38</w:t>
            </w:r>
          </w:p>
        </w:tc>
        <w:tc>
          <w:tcPr>
            <w:tcW w:w="517" w:type="pct"/>
            <w:tcBorders>
              <w:top w:val="nil"/>
              <w:bottom w:val="nil"/>
            </w:tcBorders>
            <w:vAlign w:val="center"/>
          </w:tcPr>
          <w:p w:rsidR="00A85990" w:rsidRDefault="00A85990">
            <w:pPr>
              <w:jc w:val="center"/>
              <w:rPr>
                <w:rFonts w:cs="Arial"/>
                <w:sz w:val="20"/>
                <w:szCs w:val="20"/>
              </w:rPr>
            </w:pPr>
            <w:r>
              <w:rPr>
                <w:rFonts w:cs="Arial"/>
                <w:sz w:val="20"/>
                <w:szCs w:val="20"/>
              </w:rPr>
              <w:t>5.98</w:t>
            </w:r>
          </w:p>
        </w:tc>
        <w:tc>
          <w:tcPr>
            <w:tcW w:w="510" w:type="pct"/>
            <w:tcBorders>
              <w:top w:val="nil"/>
              <w:bottom w:val="nil"/>
            </w:tcBorders>
            <w:vAlign w:val="center"/>
          </w:tcPr>
          <w:p w:rsidR="00A85990" w:rsidRDefault="00A85990">
            <w:pPr>
              <w:jc w:val="center"/>
              <w:rPr>
                <w:rFonts w:cs="Arial"/>
                <w:sz w:val="20"/>
                <w:szCs w:val="20"/>
              </w:rPr>
            </w:pPr>
            <w:r>
              <w:rPr>
                <w:rFonts w:cs="Arial"/>
                <w:sz w:val="20"/>
                <w:szCs w:val="20"/>
              </w:rPr>
              <w:t>5.81</w:t>
            </w:r>
          </w:p>
        </w:tc>
        <w:tc>
          <w:tcPr>
            <w:tcW w:w="507" w:type="pct"/>
            <w:tcBorders>
              <w:top w:val="nil"/>
              <w:bottom w:val="nil"/>
            </w:tcBorders>
            <w:vAlign w:val="center"/>
          </w:tcPr>
          <w:p w:rsidR="00A85990" w:rsidRDefault="00A85990">
            <w:pPr>
              <w:jc w:val="center"/>
              <w:rPr>
                <w:rFonts w:cs="Arial"/>
                <w:sz w:val="20"/>
                <w:szCs w:val="20"/>
              </w:rPr>
            </w:pPr>
            <w:r>
              <w:rPr>
                <w:rFonts w:cs="Arial"/>
                <w:sz w:val="20"/>
                <w:szCs w:val="20"/>
              </w:rPr>
              <w:t>5.81</w:t>
            </w:r>
          </w:p>
        </w:tc>
        <w:tc>
          <w:tcPr>
            <w:tcW w:w="578" w:type="pct"/>
            <w:tcBorders>
              <w:top w:val="nil"/>
              <w:bottom w:val="nil"/>
            </w:tcBorders>
            <w:vAlign w:val="center"/>
          </w:tcPr>
          <w:p w:rsidR="00A85990" w:rsidRDefault="00A85990">
            <w:pPr>
              <w:jc w:val="center"/>
              <w:rPr>
                <w:rFonts w:cs="Arial"/>
                <w:sz w:val="20"/>
                <w:szCs w:val="20"/>
              </w:rPr>
            </w:pPr>
            <w:r>
              <w:rPr>
                <w:rFonts w:cs="Arial"/>
                <w:sz w:val="20"/>
                <w:szCs w:val="20"/>
              </w:rPr>
              <w:t>5.20</w:t>
            </w:r>
          </w:p>
        </w:tc>
      </w:tr>
      <w:tr w:rsidR="00A85990"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A85990" w:rsidRDefault="00A85990">
            <w:pPr>
              <w:rPr>
                <w:rFonts w:cs="Arial"/>
                <w:szCs w:val="20"/>
              </w:rPr>
            </w:pPr>
            <w:r>
              <w:rPr>
                <w:rFonts w:cs="Arial"/>
                <w:szCs w:val="20"/>
              </w:rPr>
              <w:t>Ex ante quantity (TJ)</w:t>
            </w:r>
          </w:p>
        </w:tc>
        <w:tc>
          <w:tcPr>
            <w:tcW w:w="580" w:type="pct"/>
            <w:tcBorders>
              <w:top w:val="nil"/>
              <w:bottom w:val="nil"/>
            </w:tcBorders>
            <w:vAlign w:val="center"/>
          </w:tcPr>
          <w:p w:rsidR="00A85990" w:rsidRDefault="00A85990">
            <w:pPr>
              <w:jc w:val="center"/>
              <w:rPr>
                <w:rFonts w:cs="Arial"/>
                <w:szCs w:val="20"/>
              </w:rPr>
            </w:pPr>
            <w:r>
              <w:rPr>
                <w:rFonts w:cs="Arial"/>
                <w:szCs w:val="20"/>
              </w:rPr>
              <w:t>211</w:t>
            </w:r>
          </w:p>
        </w:tc>
        <w:tc>
          <w:tcPr>
            <w:tcW w:w="508" w:type="pct"/>
            <w:tcBorders>
              <w:top w:val="nil"/>
              <w:bottom w:val="nil"/>
            </w:tcBorders>
            <w:vAlign w:val="center"/>
          </w:tcPr>
          <w:p w:rsidR="00A85990" w:rsidRDefault="00A85990">
            <w:pPr>
              <w:jc w:val="center"/>
              <w:rPr>
                <w:rFonts w:cs="Arial"/>
                <w:szCs w:val="20"/>
              </w:rPr>
            </w:pPr>
            <w:r>
              <w:rPr>
                <w:rFonts w:cs="Arial"/>
                <w:szCs w:val="20"/>
              </w:rPr>
              <w:t>216</w:t>
            </w:r>
          </w:p>
        </w:tc>
        <w:tc>
          <w:tcPr>
            <w:tcW w:w="589" w:type="pct"/>
            <w:tcBorders>
              <w:top w:val="nil"/>
              <w:bottom w:val="nil"/>
            </w:tcBorders>
            <w:vAlign w:val="center"/>
          </w:tcPr>
          <w:p w:rsidR="00A85990" w:rsidRDefault="00A85990">
            <w:pPr>
              <w:jc w:val="center"/>
              <w:rPr>
                <w:rFonts w:cs="Arial"/>
                <w:szCs w:val="20"/>
              </w:rPr>
            </w:pPr>
            <w:r>
              <w:rPr>
                <w:rFonts w:cs="Arial"/>
                <w:szCs w:val="20"/>
              </w:rPr>
              <w:t>240</w:t>
            </w:r>
          </w:p>
        </w:tc>
        <w:tc>
          <w:tcPr>
            <w:tcW w:w="517" w:type="pct"/>
            <w:tcBorders>
              <w:top w:val="nil"/>
              <w:bottom w:val="nil"/>
            </w:tcBorders>
            <w:vAlign w:val="center"/>
          </w:tcPr>
          <w:p w:rsidR="00A85990" w:rsidRDefault="00A85990">
            <w:pPr>
              <w:jc w:val="center"/>
              <w:rPr>
                <w:rFonts w:cs="Arial"/>
                <w:szCs w:val="20"/>
              </w:rPr>
            </w:pPr>
            <w:r>
              <w:rPr>
                <w:rFonts w:cs="Arial"/>
                <w:szCs w:val="20"/>
              </w:rPr>
              <w:t>244</w:t>
            </w:r>
          </w:p>
        </w:tc>
        <w:tc>
          <w:tcPr>
            <w:tcW w:w="510" w:type="pct"/>
            <w:tcBorders>
              <w:top w:val="nil"/>
              <w:bottom w:val="nil"/>
            </w:tcBorders>
            <w:vAlign w:val="center"/>
          </w:tcPr>
          <w:p w:rsidR="00A85990" w:rsidRDefault="00A85990">
            <w:pPr>
              <w:jc w:val="center"/>
              <w:rPr>
                <w:rFonts w:cs="Arial"/>
                <w:szCs w:val="20"/>
              </w:rPr>
            </w:pPr>
            <w:r>
              <w:rPr>
                <w:rFonts w:cs="Arial"/>
                <w:szCs w:val="20"/>
              </w:rPr>
              <w:t>244</w:t>
            </w:r>
          </w:p>
        </w:tc>
        <w:tc>
          <w:tcPr>
            <w:tcW w:w="507" w:type="pct"/>
            <w:tcBorders>
              <w:top w:val="nil"/>
              <w:bottom w:val="nil"/>
            </w:tcBorders>
            <w:vAlign w:val="center"/>
          </w:tcPr>
          <w:p w:rsidR="00A85990" w:rsidRDefault="00A85990">
            <w:pPr>
              <w:jc w:val="center"/>
              <w:rPr>
                <w:rFonts w:cs="Arial"/>
                <w:szCs w:val="20"/>
              </w:rPr>
            </w:pPr>
            <w:r>
              <w:rPr>
                <w:rFonts w:cs="Arial"/>
                <w:szCs w:val="20"/>
              </w:rPr>
              <w:t>234</w:t>
            </w:r>
          </w:p>
        </w:tc>
        <w:tc>
          <w:tcPr>
            <w:tcW w:w="578" w:type="pct"/>
            <w:tcBorders>
              <w:top w:val="nil"/>
              <w:bottom w:val="nil"/>
            </w:tcBorders>
            <w:vAlign w:val="center"/>
          </w:tcPr>
          <w:p w:rsidR="00A85990" w:rsidRDefault="00A85990">
            <w:pPr>
              <w:jc w:val="center"/>
              <w:rPr>
                <w:rFonts w:cs="Arial"/>
                <w:szCs w:val="20"/>
              </w:rPr>
            </w:pPr>
            <w:r>
              <w:rPr>
                <w:rFonts w:cs="Arial"/>
                <w:szCs w:val="20"/>
              </w:rPr>
              <w:t>217</w:t>
            </w:r>
          </w:p>
        </w:tc>
      </w:tr>
      <w:tr w:rsidR="00A85990" w:rsidRPr="00405CDE" w:rsidTr="00A226E9">
        <w:trPr>
          <w:trHeight w:val="510"/>
        </w:trPr>
        <w:tc>
          <w:tcPr>
            <w:tcW w:w="1211" w:type="pct"/>
            <w:tcBorders>
              <w:top w:val="nil"/>
              <w:bottom w:val="nil"/>
            </w:tcBorders>
            <w:vAlign w:val="center"/>
          </w:tcPr>
          <w:p w:rsidR="00A85990" w:rsidRDefault="00A85990">
            <w:pPr>
              <w:rPr>
                <w:rFonts w:cs="Arial"/>
                <w:sz w:val="20"/>
                <w:szCs w:val="20"/>
              </w:rPr>
            </w:pPr>
            <w:r>
              <w:rPr>
                <w:rFonts w:cs="Arial"/>
                <w:sz w:val="20"/>
                <w:szCs w:val="20"/>
              </w:rPr>
              <w:t>Ex post price ($/GJ)</w:t>
            </w:r>
          </w:p>
        </w:tc>
        <w:tc>
          <w:tcPr>
            <w:tcW w:w="580" w:type="pct"/>
            <w:tcBorders>
              <w:top w:val="nil"/>
              <w:bottom w:val="nil"/>
            </w:tcBorders>
            <w:vAlign w:val="center"/>
          </w:tcPr>
          <w:p w:rsidR="00A85990" w:rsidRDefault="00A85990">
            <w:pPr>
              <w:jc w:val="center"/>
              <w:rPr>
                <w:rFonts w:cs="Arial"/>
                <w:sz w:val="20"/>
                <w:szCs w:val="20"/>
              </w:rPr>
            </w:pPr>
            <w:r>
              <w:rPr>
                <w:rFonts w:cs="Arial"/>
                <w:sz w:val="20"/>
                <w:szCs w:val="20"/>
              </w:rPr>
              <w:t>4.70</w:t>
            </w:r>
          </w:p>
        </w:tc>
        <w:tc>
          <w:tcPr>
            <w:tcW w:w="508" w:type="pct"/>
            <w:tcBorders>
              <w:top w:val="nil"/>
              <w:bottom w:val="nil"/>
            </w:tcBorders>
            <w:vAlign w:val="center"/>
          </w:tcPr>
          <w:p w:rsidR="00A85990" w:rsidRDefault="00A85990">
            <w:pPr>
              <w:jc w:val="center"/>
              <w:rPr>
                <w:rFonts w:cs="Arial"/>
                <w:sz w:val="20"/>
                <w:szCs w:val="20"/>
              </w:rPr>
            </w:pPr>
            <w:r>
              <w:rPr>
                <w:rFonts w:cs="Arial"/>
                <w:sz w:val="20"/>
                <w:szCs w:val="20"/>
              </w:rPr>
              <w:t>4.06</w:t>
            </w:r>
          </w:p>
        </w:tc>
        <w:tc>
          <w:tcPr>
            <w:tcW w:w="589" w:type="pct"/>
            <w:tcBorders>
              <w:top w:val="nil"/>
              <w:bottom w:val="nil"/>
            </w:tcBorders>
            <w:vAlign w:val="center"/>
          </w:tcPr>
          <w:p w:rsidR="00A85990" w:rsidRDefault="00A85990">
            <w:pPr>
              <w:jc w:val="center"/>
              <w:rPr>
                <w:rFonts w:cs="Arial"/>
                <w:sz w:val="20"/>
                <w:szCs w:val="20"/>
              </w:rPr>
            </w:pPr>
            <w:r>
              <w:rPr>
                <w:rFonts w:cs="Arial"/>
                <w:sz w:val="20"/>
                <w:szCs w:val="20"/>
              </w:rPr>
              <w:t>5.99</w:t>
            </w:r>
          </w:p>
        </w:tc>
        <w:tc>
          <w:tcPr>
            <w:tcW w:w="517" w:type="pct"/>
            <w:tcBorders>
              <w:top w:val="nil"/>
              <w:bottom w:val="nil"/>
            </w:tcBorders>
            <w:vAlign w:val="center"/>
          </w:tcPr>
          <w:p w:rsidR="00A85990" w:rsidRDefault="00A85990">
            <w:pPr>
              <w:jc w:val="center"/>
              <w:rPr>
                <w:rFonts w:cs="Arial"/>
                <w:sz w:val="20"/>
                <w:szCs w:val="20"/>
              </w:rPr>
            </w:pPr>
            <w:r>
              <w:rPr>
                <w:rFonts w:cs="Arial"/>
                <w:sz w:val="20"/>
                <w:szCs w:val="20"/>
              </w:rPr>
              <w:t>5.98</w:t>
            </w:r>
          </w:p>
        </w:tc>
        <w:tc>
          <w:tcPr>
            <w:tcW w:w="510" w:type="pct"/>
            <w:tcBorders>
              <w:top w:val="nil"/>
              <w:bottom w:val="nil"/>
            </w:tcBorders>
            <w:vAlign w:val="center"/>
          </w:tcPr>
          <w:p w:rsidR="00A85990" w:rsidRDefault="00A85990">
            <w:pPr>
              <w:jc w:val="center"/>
              <w:rPr>
                <w:rFonts w:cs="Arial"/>
                <w:sz w:val="20"/>
                <w:szCs w:val="20"/>
              </w:rPr>
            </w:pPr>
            <w:r>
              <w:rPr>
                <w:rFonts w:cs="Arial"/>
                <w:sz w:val="20"/>
                <w:szCs w:val="20"/>
              </w:rPr>
              <w:t>5.81</w:t>
            </w:r>
          </w:p>
        </w:tc>
        <w:tc>
          <w:tcPr>
            <w:tcW w:w="507" w:type="pct"/>
            <w:tcBorders>
              <w:top w:val="nil"/>
              <w:bottom w:val="nil"/>
            </w:tcBorders>
            <w:vAlign w:val="center"/>
          </w:tcPr>
          <w:p w:rsidR="00A85990" w:rsidRDefault="00A85990">
            <w:pPr>
              <w:jc w:val="center"/>
              <w:rPr>
                <w:rFonts w:cs="Arial"/>
                <w:sz w:val="20"/>
                <w:szCs w:val="20"/>
              </w:rPr>
            </w:pPr>
            <w:r>
              <w:rPr>
                <w:rFonts w:cs="Arial"/>
                <w:sz w:val="20"/>
                <w:szCs w:val="20"/>
              </w:rPr>
              <w:t>5.81</w:t>
            </w:r>
          </w:p>
        </w:tc>
        <w:tc>
          <w:tcPr>
            <w:tcW w:w="578" w:type="pct"/>
            <w:tcBorders>
              <w:top w:val="nil"/>
              <w:bottom w:val="nil"/>
            </w:tcBorders>
            <w:vAlign w:val="center"/>
          </w:tcPr>
          <w:p w:rsidR="00A85990" w:rsidRDefault="00A85990">
            <w:pPr>
              <w:jc w:val="center"/>
              <w:rPr>
                <w:rFonts w:cs="Arial"/>
                <w:sz w:val="20"/>
                <w:szCs w:val="20"/>
              </w:rPr>
            </w:pPr>
            <w:r>
              <w:rPr>
                <w:rFonts w:cs="Arial"/>
                <w:sz w:val="20"/>
                <w:szCs w:val="20"/>
              </w:rPr>
              <w:t>4.70</w:t>
            </w:r>
          </w:p>
        </w:tc>
      </w:tr>
      <w:tr w:rsidR="00A85990"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A85990" w:rsidRDefault="00A85990">
            <w:pPr>
              <w:rPr>
                <w:rFonts w:cs="Arial"/>
                <w:szCs w:val="20"/>
              </w:rPr>
            </w:pPr>
            <w:r>
              <w:rPr>
                <w:rFonts w:cs="Arial"/>
                <w:szCs w:val="20"/>
              </w:rPr>
              <w:t>Ex post quantity (TJ)</w:t>
            </w:r>
          </w:p>
        </w:tc>
        <w:tc>
          <w:tcPr>
            <w:tcW w:w="580" w:type="pct"/>
            <w:tcBorders>
              <w:top w:val="nil"/>
              <w:bottom w:val="single" w:sz="4" w:space="0" w:color="auto"/>
            </w:tcBorders>
            <w:vAlign w:val="center"/>
          </w:tcPr>
          <w:p w:rsidR="00A85990" w:rsidRDefault="00A85990">
            <w:pPr>
              <w:jc w:val="center"/>
              <w:rPr>
                <w:rFonts w:cs="Arial"/>
                <w:szCs w:val="20"/>
              </w:rPr>
            </w:pPr>
            <w:r>
              <w:rPr>
                <w:rFonts w:cs="Arial"/>
                <w:szCs w:val="20"/>
              </w:rPr>
              <w:t>198</w:t>
            </w:r>
          </w:p>
        </w:tc>
        <w:tc>
          <w:tcPr>
            <w:tcW w:w="508" w:type="pct"/>
            <w:tcBorders>
              <w:top w:val="nil"/>
              <w:bottom w:val="single" w:sz="4" w:space="0" w:color="auto"/>
            </w:tcBorders>
            <w:vAlign w:val="center"/>
          </w:tcPr>
          <w:p w:rsidR="00A85990" w:rsidRDefault="00A85990">
            <w:pPr>
              <w:jc w:val="center"/>
              <w:rPr>
                <w:rFonts w:cs="Arial"/>
                <w:szCs w:val="20"/>
              </w:rPr>
            </w:pPr>
            <w:r>
              <w:rPr>
                <w:rFonts w:cs="Arial"/>
                <w:szCs w:val="20"/>
              </w:rPr>
              <w:t>208</w:t>
            </w:r>
          </w:p>
        </w:tc>
        <w:tc>
          <w:tcPr>
            <w:tcW w:w="589" w:type="pct"/>
            <w:tcBorders>
              <w:top w:val="nil"/>
              <w:bottom w:val="single" w:sz="4" w:space="0" w:color="auto"/>
            </w:tcBorders>
            <w:vAlign w:val="center"/>
          </w:tcPr>
          <w:p w:rsidR="00A85990" w:rsidRDefault="00A85990">
            <w:pPr>
              <w:jc w:val="center"/>
              <w:rPr>
                <w:rFonts w:cs="Arial"/>
                <w:szCs w:val="20"/>
              </w:rPr>
            </w:pPr>
            <w:r>
              <w:rPr>
                <w:rFonts w:cs="Arial"/>
                <w:szCs w:val="20"/>
              </w:rPr>
              <w:t>234</w:t>
            </w:r>
          </w:p>
        </w:tc>
        <w:tc>
          <w:tcPr>
            <w:tcW w:w="517" w:type="pct"/>
            <w:tcBorders>
              <w:top w:val="nil"/>
              <w:bottom w:val="single" w:sz="4" w:space="0" w:color="auto"/>
            </w:tcBorders>
            <w:vAlign w:val="center"/>
          </w:tcPr>
          <w:p w:rsidR="00A85990" w:rsidRDefault="00A85990">
            <w:pPr>
              <w:jc w:val="center"/>
              <w:rPr>
                <w:rFonts w:cs="Arial"/>
                <w:szCs w:val="20"/>
              </w:rPr>
            </w:pPr>
            <w:r>
              <w:rPr>
                <w:rFonts w:cs="Arial"/>
                <w:szCs w:val="20"/>
              </w:rPr>
              <w:t>239</w:t>
            </w:r>
          </w:p>
        </w:tc>
        <w:tc>
          <w:tcPr>
            <w:tcW w:w="510" w:type="pct"/>
            <w:tcBorders>
              <w:top w:val="nil"/>
              <w:bottom w:val="single" w:sz="4" w:space="0" w:color="auto"/>
            </w:tcBorders>
            <w:vAlign w:val="center"/>
          </w:tcPr>
          <w:p w:rsidR="00A85990" w:rsidRDefault="00A85990">
            <w:pPr>
              <w:jc w:val="center"/>
              <w:rPr>
                <w:rFonts w:cs="Arial"/>
                <w:szCs w:val="20"/>
              </w:rPr>
            </w:pPr>
            <w:r>
              <w:rPr>
                <w:rFonts w:cs="Arial"/>
                <w:szCs w:val="20"/>
              </w:rPr>
              <w:t>236</w:t>
            </w:r>
          </w:p>
        </w:tc>
        <w:tc>
          <w:tcPr>
            <w:tcW w:w="507" w:type="pct"/>
            <w:tcBorders>
              <w:top w:val="nil"/>
              <w:bottom w:val="single" w:sz="4" w:space="0" w:color="auto"/>
            </w:tcBorders>
            <w:vAlign w:val="center"/>
          </w:tcPr>
          <w:p w:rsidR="00A85990" w:rsidRDefault="00A85990">
            <w:pPr>
              <w:jc w:val="center"/>
              <w:rPr>
                <w:rFonts w:cs="Arial"/>
                <w:szCs w:val="20"/>
              </w:rPr>
            </w:pPr>
            <w:r>
              <w:rPr>
                <w:rFonts w:cs="Arial"/>
                <w:szCs w:val="20"/>
              </w:rPr>
              <w:t>243</w:t>
            </w:r>
          </w:p>
        </w:tc>
        <w:tc>
          <w:tcPr>
            <w:tcW w:w="578" w:type="pct"/>
            <w:tcBorders>
              <w:top w:val="nil"/>
              <w:bottom w:val="single" w:sz="4" w:space="0" w:color="auto"/>
            </w:tcBorders>
            <w:vAlign w:val="center"/>
          </w:tcPr>
          <w:p w:rsidR="00A85990" w:rsidRDefault="00A85990">
            <w:pPr>
              <w:jc w:val="center"/>
              <w:rPr>
                <w:rFonts w:cs="Arial"/>
                <w:szCs w:val="20"/>
              </w:rPr>
            </w:pPr>
            <w:r>
              <w:rPr>
                <w:rFonts w:cs="Arial"/>
                <w:szCs w:val="20"/>
              </w:rPr>
              <w:t>208</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A85990" w:rsidP="00EC2CB1">
      <w:r w:rsidRPr="00A85990">
        <w:rPr>
          <w:noProof/>
          <w:lang w:eastAsia="en-AU"/>
        </w:rPr>
        <w:drawing>
          <wp:inline distT="0" distB="0" distL="0" distR="0" wp14:anchorId="033E3EA8" wp14:editId="05F66743">
            <wp:extent cx="5731510" cy="2046203"/>
            <wp:effectExtent l="0" t="0" r="0" b="0"/>
            <wp:docPr id="19" name="Picture 19"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A85990" w:rsidP="00EC2CB1">
      <w:r w:rsidRPr="00A85990">
        <w:rPr>
          <w:noProof/>
          <w:lang w:eastAsia="en-AU"/>
        </w:rPr>
        <w:drawing>
          <wp:inline distT="0" distB="0" distL="0" distR="0" wp14:anchorId="58E4199B" wp14:editId="41B73CD9">
            <wp:extent cx="5731510" cy="2555336"/>
            <wp:effectExtent l="0" t="0" r="2540" b="0"/>
            <wp:docPr id="21" name="Picture 21"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10"/>
      </w:r>
    </w:p>
    <w:p w:rsidR="00EC2CB1" w:rsidRDefault="001503E8" w:rsidP="00EC2CB1">
      <w:r w:rsidRPr="001503E8">
        <w:rPr>
          <w:noProof/>
          <w:lang w:eastAsia="en-AU"/>
        </w:rPr>
        <w:drawing>
          <wp:inline distT="0" distB="0" distL="0" distR="0" wp14:anchorId="2DA63876" wp14:editId="5CD0C25C">
            <wp:extent cx="5731510" cy="2175613"/>
            <wp:effectExtent l="0" t="0" r="2540" b="0"/>
            <wp:docPr id="22" name="Picture 22"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7B28E9" w:rsidRPr="00405CDE" w:rsidTr="00A226E9">
        <w:trPr>
          <w:trHeight w:val="389"/>
        </w:trPr>
        <w:tc>
          <w:tcPr>
            <w:tcW w:w="1152" w:type="pct"/>
            <w:tcBorders>
              <w:top w:val="nil"/>
              <w:bottom w:val="nil"/>
            </w:tcBorders>
            <w:vAlign w:val="center"/>
          </w:tcPr>
          <w:p w:rsidR="007B28E9" w:rsidRDefault="007B28E9">
            <w:pPr>
              <w:rPr>
                <w:rFonts w:cs="Arial"/>
                <w:sz w:val="20"/>
                <w:szCs w:val="20"/>
              </w:rPr>
            </w:pPr>
            <w:r>
              <w:rPr>
                <w:rFonts w:cs="Arial"/>
                <w:sz w:val="20"/>
                <w:szCs w:val="20"/>
              </w:rPr>
              <w:t>Ex ante price ($/GJ)</w:t>
            </w:r>
          </w:p>
        </w:tc>
        <w:tc>
          <w:tcPr>
            <w:tcW w:w="589" w:type="pct"/>
            <w:tcBorders>
              <w:top w:val="nil"/>
              <w:bottom w:val="nil"/>
            </w:tcBorders>
            <w:vAlign w:val="center"/>
          </w:tcPr>
          <w:p w:rsidR="007B28E9" w:rsidRDefault="007B28E9">
            <w:pPr>
              <w:jc w:val="center"/>
              <w:rPr>
                <w:rFonts w:cs="Arial"/>
                <w:sz w:val="20"/>
                <w:szCs w:val="20"/>
              </w:rPr>
            </w:pPr>
            <w:r>
              <w:rPr>
                <w:rFonts w:cs="Arial"/>
                <w:sz w:val="20"/>
                <w:szCs w:val="20"/>
              </w:rPr>
              <w:t>7.99</w:t>
            </w:r>
          </w:p>
        </w:tc>
        <w:tc>
          <w:tcPr>
            <w:tcW w:w="516" w:type="pct"/>
            <w:tcBorders>
              <w:top w:val="nil"/>
              <w:bottom w:val="nil"/>
            </w:tcBorders>
            <w:vAlign w:val="center"/>
          </w:tcPr>
          <w:p w:rsidR="007B28E9" w:rsidRDefault="007B28E9">
            <w:pPr>
              <w:jc w:val="center"/>
              <w:rPr>
                <w:rFonts w:cs="Arial"/>
                <w:sz w:val="20"/>
                <w:szCs w:val="20"/>
              </w:rPr>
            </w:pPr>
            <w:r>
              <w:rPr>
                <w:rFonts w:cs="Arial"/>
                <w:sz w:val="20"/>
                <w:szCs w:val="20"/>
              </w:rPr>
              <w:t>6.62</w:t>
            </w:r>
          </w:p>
        </w:tc>
        <w:tc>
          <w:tcPr>
            <w:tcW w:w="598" w:type="pct"/>
            <w:tcBorders>
              <w:top w:val="nil"/>
              <w:bottom w:val="nil"/>
            </w:tcBorders>
            <w:vAlign w:val="center"/>
          </w:tcPr>
          <w:p w:rsidR="007B28E9" w:rsidRDefault="007B28E9">
            <w:pPr>
              <w:jc w:val="center"/>
              <w:rPr>
                <w:rFonts w:cs="Arial"/>
                <w:sz w:val="20"/>
                <w:szCs w:val="20"/>
              </w:rPr>
            </w:pPr>
            <w:r>
              <w:rPr>
                <w:rFonts w:cs="Arial"/>
                <w:sz w:val="20"/>
                <w:szCs w:val="20"/>
              </w:rPr>
              <w:t>4.22</w:t>
            </w:r>
          </w:p>
        </w:tc>
        <w:tc>
          <w:tcPr>
            <w:tcW w:w="525" w:type="pct"/>
            <w:tcBorders>
              <w:top w:val="nil"/>
              <w:bottom w:val="nil"/>
            </w:tcBorders>
            <w:vAlign w:val="center"/>
          </w:tcPr>
          <w:p w:rsidR="007B28E9" w:rsidRDefault="007B28E9">
            <w:pPr>
              <w:jc w:val="center"/>
              <w:rPr>
                <w:rFonts w:cs="Arial"/>
                <w:sz w:val="20"/>
                <w:szCs w:val="20"/>
              </w:rPr>
            </w:pPr>
            <w:r>
              <w:rPr>
                <w:rFonts w:cs="Arial"/>
                <w:sz w:val="20"/>
                <w:szCs w:val="20"/>
              </w:rPr>
              <w:t>5.84</w:t>
            </w:r>
          </w:p>
        </w:tc>
        <w:tc>
          <w:tcPr>
            <w:tcW w:w="518" w:type="pct"/>
            <w:tcBorders>
              <w:top w:val="nil"/>
              <w:bottom w:val="nil"/>
            </w:tcBorders>
            <w:vAlign w:val="center"/>
          </w:tcPr>
          <w:p w:rsidR="007B28E9" w:rsidRDefault="007B28E9">
            <w:pPr>
              <w:jc w:val="center"/>
              <w:rPr>
                <w:rFonts w:cs="Arial"/>
                <w:sz w:val="20"/>
                <w:szCs w:val="20"/>
              </w:rPr>
            </w:pPr>
            <w:r>
              <w:rPr>
                <w:rFonts w:cs="Arial"/>
                <w:sz w:val="20"/>
                <w:szCs w:val="20"/>
              </w:rPr>
              <w:t>5.87</w:t>
            </w:r>
          </w:p>
        </w:tc>
        <w:tc>
          <w:tcPr>
            <w:tcW w:w="515" w:type="pct"/>
            <w:tcBorders>
              <w:top w:val="nil"/>
              <w:bottom w:val="nil"/>
            </w:tcBorders>
            <w:vAlign w:val="center"/>
          </w:tcPr>
          <w:p w:rsidR="007B28E9" w:rsidRDefault="007B28E9">
            <w:pPr>
              <w:jc w:val="center"/>
              <w:rPr>
                <w:rFonts w:cs="Arial"/>
                <w:sz w:val="20"/>
                <w:szCs w:val="20"/>
              </w:rPr>
            </w:pPr>
            <w:r>
              <w:rPr>
                <w:rFonts w:cs="Arial"/>
                <w:sz w:val="20"/>
                <w:szCs w:val="20"/>
              </w:rPr>
              <w:t>5.76</w:t>
            </w:r>
          </w:p>
        </w:tc>
        <w:tc>
          <w:tcPr>
            <w:tcW w:w="587" w:type="pct"/>
            <w:tcBorders>
              <w:top w:val="nil"/>
              <w:bottom w:val="nil"/>
            </w:tcBorders>
            <w:vAlign w:val="center"/>
          </w:tcPr>
          <w:p w:rsidR="007B28E9" w:rsidRDefault="007B28E9">
            <w:pPr>
              <w:jc w:val="center"/>
              <w:rPr>
                <w:rFonts w:cs="Arial"/>
                <w:sz w:val="20"/>
                <w:szCs w:val="20"/>
              </w:rPr>
            </w:pPr>
            <w:r>
              <w:rPr>
                <w:rFonts w:cs="Arial"/>
                <w:sz w:val="20"/>
                <w:szCs w:val="20"/>
              </w:rPr>
              <w:t>5.55</w:t>
            </w:r>
          </w:p>
        </w:tc>
      </w:tr>
      <w:tr w:rsidR="007B28E9"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7B28E9" w:rsidRDefault="007B28E9">
            <w:pPr>
              <w:rPr>
                <w:rFonts w:cs="Arial"/>
                <w:szCs w:val="20"/>
              </w:rPr>
            </w:pPr>
            <w:r>
              <w:rPr>
                <w:rFonts w:cs="Arial"/>
                <w:szCs w:val="20"/>
              </w:rPr>
              <w:t>Ex ante quantity (TJ)</w:t>
            </w:r>
          </w:p>
        </w:tc>
        <w:tc>
          <w:tcPr>
            <w:tcW w:w="589" w:type="pct"/>
            <w:tcBorders>
              <w:top w:val="nil"/>
              <w:bottom w:val="nil"/>
            </w:tcBorders>
            <w:vAlign w:val="center"/>
          </w:tcPr>
          <w:p w:rsidR="007B28E9" w:rsidRDefault="007B28E9">
            <w:pPr>
              <w:jc w:val="center"/>
              <w:rPr>
                <w:rFonts w:cs="Arial"/>
                <w:szCs w:val="20"/>
              </w:rPr>
            </w:pPr>
            <w:r>
              <w:rPr>
                <w:rFonts w:cs="Arial"/>
                <w:szCs w:val="20"/>
              </w:rPr>
              <w:t>57</w:t>
            </w:r>
          </w:p>
        </w:tc>
        <w:tc>
          <w:tcPr>
            <w:tcW w:w="516" w:type="pct"/>
            <w:tcBorders>
              <w:top w:val="nil"/>
              <w:bottom w:val="nil"/>
            </w:tcBorders>
            <w:vAlign w:val="center"/>
          </w:tcPr>
          <w:p w:rsidR="007B28E9" w:rsidRDefault="007B28E9">
            <w:pPr>
              <w:jc w:val="center"/>
              <w:rPr>
                <w:rFonts w:cs="Arial"/>
                <w:szCs w:val="20"/>
              </w:rPr>
            </w:pPr>
            <w:r>
              <w:rPr>
                <w:rFonts w:cs="Arial"/>
                <w:szCs w:val="20"/>
              </w:rPr>
              <w:t>64</w:t>
            </w:r>
          </w:p>
        </w:tc>
        <w:tc>
          <w:tcPr>
            <w:tcW w:w="598" w:type="pct"/>
            <w:tcBorders>
              <w:top w:val="nil"/>
              <w:bottom w:val="nil"/>
            </w:tcBorders>
            <w:vAlign w:val="center"/>
          </w:tcPr>
          <w:p w:rsidR="007B28E9" w:rsidRDefault="007B28E9">
            <w:pPr>
              <w:jc w:val="center"/>
              <w:rPr>
                <w:rFonts w:cs="Arial"/>
                <w:szCs w:val="20"/>
              </w:rPr>
            </w:pPr>
            <w:r>
              <w:rPr>
                <w:rFonts w:cs="Arial"/>
                <w:szCs w:val="20"/>
              </w:rPr>
              <w:t>75</w:t>
            </w:r>
          </w:p>
        </w:tc>
        <w:tc>
          <w:tcPr>
            <w:tcW w:w="525" w:type="pct"/>
            <w:tcBorders>
              <w:top w:val="nil"/>
              <w:bottom w:val="nil"/>
            </w:tcBorders>
            <w:vAlign w:val="center"/>
          </w:tcPr>
          <w:p w:rsidR="007B28E9" w:rsidRDefault="007B28E9">
            <w:pPr>
              <w:jc w:val="center"/>
              <w:rPr>
                <w:rFonts w:cs="Arial"/>
                <w:szCs w:val="20"/>
              </w:rPr>
            </w:pPr>
            <w:r>
              <w:rPr>
                <w:rFonts w:cs="Arial"/>
                <w:szCs w:val="20"/>
              </w:rPr>
              <w:t>62</w:t>
            </w:r>
          </w:p>
        </w:tc>
        <w:tc>
          <w:tcPr>
            <w:tcW w:w="518" w:type="pct"/>
            <w:tcBorders>
              <w:top w:val="nil"/>
              <w:bottom w:val="nil"/>
            </w:tcBorders>
            <w:vAlign w:val="center"/>
          </w:tcPr>
          <w:p w:rsidR="007B28E9" w:rsidRDefault="007B28E9">
            <w:pPr>
              <w:jc w:val="center"/>
              <w:rPr>
                <w:rFonts w:cs="Arial"/>
                <w:szCs w:val="20"/>
              </w:rPr>
            </w:pPr>
            <w:r>
              <w:rPr>
                <w:rFonts w:cs="Arial"/>
                <w:szCs w:val="20"/>
              </w:rPr>
              <w:t>55</w:t>
            </w:r>
          </w:p>
        </w:tc>
        <w:tc>
          <w:tcPr>
            <w:tcW w:w="515" w:type="pct"/>
            <w:tcBorders>
              <w:top w:val="nil"/>
              <w:bottom w:val="nil"/>
            </w:tcBorders>
            <w:vAlign w:val="center"/>
          </w:tcPr>
          <w:p w:rsidR="007B28E9" w:rsidRDefault="007B28E9">
            <w:pPr>
              <w:jc w:val="center"/>
              <w:rPr>
                <w:rFonts w:cs="Arial"/>
                <w:szCs w:val="20"/>
              </w:rPr>
            </w:pPr>
            <w:r>
              <w:rPr>
                <w:rFonts w:cs="Arial"/>
                <w:szCs w:val="20"/>
              </w:rPr>
              <w:t>51</w:t>
            </w:r>
          </w:p>
        </w:tc>
        <w:tc>
          <w:tcPr>
            <w:tcW w:w="587" w:type="pct"/>
            <w:tcBorders>
              <w:top w:val="nil"/>
              <w:bottom w:val="nil"/>
            </w:tcBorders>
            <w:vAlign w:val="center"/>
          </w:tcPr>
          <w:p w:rsidR="007B28E9" w:rsidRDefault="007B28E9">
            <w:pPr>
              <w:jc w:val="center"/>
              <w:rPr>
                <w:rFonts w:cs="Arial"/>
                <w:szCs w:val="20"/>
              </w:rPr>
            </w:pPr>
            <w:r>
              <w:rPr>
                <w:rFonts w:cs="Arial"/>
                <w:szCs w:val="20"/>
              </w:rPr>
              <w:t>39</w:t>
            </w:r>
          </w:p>
        </w:tc>
      </w:tr>
      <w:tr w:rsidR="007B28E9" w:rsidRPr="00405CDE" w:rsidTr="00A226E9">
        <w:trPr>
          <w:trHeight w:val="87"/>
        </w:trPr>
        <w:tc>
          <w:tcPr>
            <w:tcW w:w="1152" w:type="pct"/>
            <w:tcBorders>
              <w:top w:val="nil"/>
              <w:bottom w:val="nil"/>
            </w:tcBorders>
            <w:vAlign w:val="center"/>
          </w:tcPr>
          <w:p w:rsidR="007B28E9" w:rsidRDefault="007B28E9">
            <w:pPr>
              <w:rPr>
                <w:rFonts w:cs="Arial"/>
                <w:sz w:val="20"/>
                <w:szCs w:val="20"/>
              </w:rPr>
            </w:pPr>
            <w:r>
              <w:rPr>
                <w:rFonts w:cs="Arial"/>
                <w:sz w:val="20"/>
                <w:szCs w:val="20"/>
              </w:rPr>
              <w:t>Ex post price ($/GJ)</w:t>
            </w:r>
          </w:p>
        </w:tc>
        <w:tc>
          <w:tcPr>
            <w:tcW w:w="589" w:type="pct"/>
            <w:tcBorders>
              <w:top w:val="nil"/>
              <w:bottom w:val="nil"/>
            </w:tcBorders>
            <w:vAlign w:val="center"/>
          </w:tcPr>
          <w:p w:rsidR="007B28E9" w:rsidRDefault="007B28E9">
            <w:pPr>
              <w:jc w:val="center"/>
              <w:rPr>
                <w:rFonts w:cs="Arial"/>
                <w:sz w:val="20"/>
                <w:szCs w:val="20"/>
              </w:rPr>
            </w:pPr>
            <w:r>
              <w:rPr>
                <w:rFonts w:cs="Arial"/>
                <w:sz w:val="20"/>
                <w:szCs w:val="20"/>
              </w:rPr>
              <w:t>7.99</w:t>
            </w:r>
          </w:p>
        </w:tc>
        <w:tc>
          <w:tcPr>
            <w:tcW w:w="516" w:type="pct"/>
            <w:tcBorders>
              <w:top w:val="nil"/>
              <w:bottom w:val="nil"/>
            </w:tcBorders>
            <w:vAlign w:val="center"/>
          </w:tcPr>
          <w:p w:rsidR="007B28E9" w:rsidRDefault="007B28E9">
            <w:pPr>
              <w:jc w:val="center"/>
              <w:rPr>
                <w:rFonts w:cs="Arial"/>
                <w:sz w:val="20"/>
                <w:szCs w:val="20"/>
              </w:rPr>
            </w:pPr>
            <w:r>
              <w:rPr>
                <w:rFonts w:cs="Arial"/>
                <w:sz w:val="20"/>
                <w:szCs w:val="20"/>
              </w:rPr>
              <w:t>7.34</w:t>
            </w:r>
          </w:p>
        </w:tc>
        <w:tc>
          <w:tcPr>
            <w:tcW w:w="598" w:type="pct"/>
            <w:tcBorders>
              <w:top w:val="nil"/>
              <w:bottom w:val="nil"/>
            </w:tcBorders>
            <w:vAlign w:val="center"/>
          </w:tcPr>
          <w:p w:rsidR="007B28E9" w:rsidRDefault="007B28E9">
            <w:pPr>
              <w:jc w:val="center"/>
              <w:rPr>
                <w:rFonts w:cs="Arial"/>
                <w:sz w:val="20"/>
                <w:szCs w:val="20"/>
              </w:rPr>
            </w:pPr>
            <w:r>
              <w:rPr>
                <w:rFonts w:cs="Arial"/>
                <w:sz w:val="20"/>
                <w:szCs w:val="20"/>
              </w:rPr>
              <w:t>4.50</w:t>
            </w:r>
          </w:p>
        </w:tc>
        <w:tc>
          <w:tcPr>
            <w:tcW w:w="525" w:type="pct"/>
            <w:tcBorders>
              <w:top w:val="nil"/>
              <w:bottom w:val="nil"/>
            </w:tcBorders>
            <w:vAlign w:val="center"/>
          </w:tcPr>
          <w:p w:rsidR="007B28E9" w:rsidRDefault="007B28E9">
            <w:pPr>
              <w:jc w:val="center"/>
              <w:rPr>
                <w:rFonts w:cs="Arial"/>
                <w:sz w:val="20"/>
                <w:szCs w:val="20"/>
              </w:rPr>
            </w:pPr>
            <w:r>
              <w:rPr>
                <w:rFonts w:cs="Arial"/>
                <w:sz w:val="20"/>
                <w:szCs w:val="20"/>
              </w:rPr>
              <w:t>5.84</w:t>
            </w:r>
          </w:p>
        </w:tc>
        <w:tc>
          <w:tcPr>
            <w:tcW w:w="518" w:type="pct"/>
            <w:tcBorders>
              <w:top w:val="nil"/>
              <w:bottom w:val="nil"/>
            </w:tcBorders>
            <w:vAlign w:val="center"/>
          </w:tcPr>
          <w:p w:rsidR="007B28E9" w:rsidRDefault="007B28E9">
            <w:pPr>
              <w:jc w:val="center"/>
              <w:rPr>
                <w:rFonts w:cs="Arial"/>
                <w:sz w:val="20"/>
                <w:szCs w:val="20"/>
              </w:rPr>
            </w:pPr>
            <w:r>
              <w:rPr>
                <w:rFonts w:cs="Arial"/>
                <w:sz w:val="20"/>
                <w:szCs w:val="20"/>
              </w:rPr>
              <w:t>5.60</w:t>
            </w:r>
          </w:p>
        </w:tc>
        <w:tc>
          <w:tcPr>
            <w:tcW w:w="515" w:type="pct"/>
            <w:tcBorders>
              <w:top w:val="nil"/>
              <w:bottom w:val="nil"/>
            </w:tcBorders>
            <w:vAlign w:val="center"/>
          </w:tcPr>
          <w:p w:rsidR="007B28E9" w:rsidRDefault="007B28E9">
            <w:pPr>
              <w:jc w:val="center"/>
              <w:rPr>
                <w:rFonts w:cs="Arial"/>
                <w:sz w:val="20"/>
                <w:szCs w:val="20"/>
              </w:rPr>
            </w:pPr>
            <w:r>
              <w:rPr>
                <w:rFonts w:cs="Arial"/>
                <w:sz w:val="20"/>
                <w:szCs w:val="20"/>
              </w:rPr>
              <w:t>5.40</w:t>
            </w:r>
          </w:p>
        </w:tc>
        <w:tc>
          <w:tcPr>
            <w:tcW w:w="587" w:type="pct"/>
            <w:tcBorders>
              <w:top w:val="nil"/>
              <w:bottom w:val="nil"/>
            </w:tcBorders>
            <w:vAlign w:val="center"/>
          </w:tcPr>
          <w:p w:rsidR="007B28E9" w:rsidRDefault="007B28E9">
            <w:pPr>
              <w:jc w:val="center"/>
              <w:rPr>
                <w:rFonts w:cs="Arial"/>
                <w:sz w:val="20"/>
                <w:szCs w:val="20"/>
              </w:rPr>
            </w:pPr>
            <w:r>
              <w:rPr>
                <w:rFonts w:cs="Arial"/>
                <w:sz w:val="20"/>
                <w:szCs w:val="20"/>
              </w:rPr>
              <w:t>5.55</w:t>
            </w:r>
          </w:p>
        </w:tc>
      </w:tr>
      <w:tr w:rsidR="007B28E9"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7B28E9" w:rsidRDefault="007B28E9">
            <w:pPr>
              <w:rPr>
                <w:rFonts w:cs="Arial"/>
                <w:szCs w:val="20"/>
              </w:rPr>
            </w:pPr>
            <w:r>
              <w:rPr>
                <w:rFonts w:cs="Arial"/>
                <w:szCs w:val="20"/>
              </w:rPr>
              <w:t>Ex post quantity (TJ)</w:t>
            </w:r>
          </w:p>
        </w:tc>
        <w:tc>
          <w:tcPr>
            <w:tcW w:w="589" w:type="pct"/>
            <w:tcBorders>
              <w:top w:val="nil"/>
              <w:bottom w:val="single" w:sz="4" w:space="0" w:color="auto"/>
            </w:tcBorders>
            <w:vAlign w:val="center"/>
          </w:tcPr>
          <w:p w:rsidR="007B28E9" w:rsidRDefault="007B28E9">
            <w:pPr>
              <w:jc w:val="center"/>
              <w:rPr>
                <w:rFonts w:cs="Arial"/>
                <w:szCs w:val="20"/>
              </w:rPr>
            </w:pPr>
            <w:r>
              <w:rPr>
                <w:rFonts w:cs="Arial"/>
                <w:szCs w:val="20"/>
              </w:rPr>
              <w:t>59</w:t>
            </w:r>
          </w:p>
        </w:tc>
        <w:tc>
          <w:tcPr>
            <w:tcW w:w="516" w:type="pct"/>
            <w:tcBorders>
              <w:top w:val="nil"/>
              <w:bottom w:val="single" w:sz="4" w:space="0" w:color="auto"/>
            </w:tcBorders>
            <w:vAlign w:val="center"/>
          </w:tcPr>
          <w:p w:rsidR="007B28E9" w:rsidRDefault="007B28E9">
            <w:pPr>
              <w:jc w:val="center"/>
              <w:rPr>
                <w:rFonts w:cs="Arial"/>
                <w:szCs w:val="20"/>
              </w:rPr>
            </w:pPr>
            <w:r>
              <w:rPr>
                <w:rFonts w:cs="Arial"/>
                <w:szCs w:val="20"/>
              </w:rPr>
              <w:t>71</w:t>
            </w:r>
          </w:p>
        </w:tc>
        <w:tc>
          <w:tcPr>
            <w:tcW w:w="598" w:type="pct"/>
            <w:tcBorders>
              <w:top w:val="nil"/>
              <w:bottom w:val="single" w:sz="4" w:space="0" w:color="auto"/>
            </w:tcBorders>
            <w:vAlign w:val="center"/>
          </w:tcPr>
          <w:p w:rsidR="007B28E9" w:rsidRDefault="007B28E9">
            <w:pPr>
              <w:jc w:val="center"/>
              <w:rPr>
                <w:rFonts w:cs="Arial"/>
                <w:szCs w:val="20"/>
              </w:rPr>
            </w:pPr>
            <w:r>
              <w:rPr>
                <w:rFonts w:cs="Arial"/>
                <w:szCs w:val="20"/>
              </w:rPr>
              <w:t>78</w:t>
            </w:r>
          </w:p>
        </w:tc>
        <w:tc>
          <w:tcPr>
            <w:tcW w:w="525" w:type="pct"/>
            <w:tcBorders>
              <w:top w:val="nil"/>
              <w:bottom w:val="single" w:sz="4" w:space="0" w:color="auto"/>
            </w:tcBorders>
            <w:vAlign w:val="center"/>
          </w:tcPr>
          <w:p w:rsidR="007B28E9" w:rsidRDefault="007B28E9">
            <w:pPr>
              <w:jc w:val="center"/>
              <w:rPr>
                <w:rFonts w:cs="Arial"/>
                <w:szCs w:val="20"/>
              </w:rPr>
            </w:pPr>
            <w:r>
              <w:rPr>
                <w:rFonts w:cs="Arial"/>
                <w:szCs w:val="20"/>
              </w:rPr>
              <w:t>62</w:t>
            </w:r>
          </w:p>
        </w:tc>
        <w:tc>
          <w:tcPr>
            <w:tcW w:w="518" w:type="pct"/>
            <w:tcBorders>
              <w:top w:val="nil"/>
              <w:bottom w:val="single" w:sz="4" w:space="0" w:color="auto"/>
            </w:tcBorders>
            <w:vAlign w:val="center"/>
          </w:tcPr>
          <w:p w:rsidR="007B28E9" w:rsidRDefault="007B28E9">
            <w:pPr>
              <w:jc w:val="center"/>
              <w:rPr>
                <w:rFonts w:cs="Arial"/>
                <w:szCs w:val="20"/>
              </w:rPr>
            </w:pPr>
            <w:r>
              <w:rPr>
                <w:rFonts w:cs="Arial"/>
                <w:szCs w:val="20"/>
              </w:rPr>
              <w:t>49</w:t>
            </w:r>
          </w:p>
        </w:tc>
        <w:tc>
          <w:tcPr>
            <w:tcW w:w="515" w:type="pct"/>
            <w:tcBorders>
              <w:top w:val="nil"/>
              <w:bottom w:val="single" w:sz="4" w:space="0" w:color="auto"/>
            </w:tcBorders>
            <w:vAlign w:val="center"/>
          </w:tcPr>
          <w:p w:rsidR="007B28E9" w:rsidRDefault="007B28E9">
            <w:pPr>
              <w:jc w:val="center"/>
              <w:rPr>
                <w:rFonts w:cs="Arial"/>
                <w:szCs w:val="20"/>
              </w:rPr>
            </w:pPr>
            <w:r>
              <w:rPr>
                <w:rFonts w:cs="Arial"/>
                <w:szCs w:val="20"/>
              </w:rPr>
              <w:t>48</w:t>
            </w:r>
          </w:p>
        </w:tc>
        <w:tc>
          <w:tcPr>
            <w:tcW w:w="587" w:type="pct"/>
            <w:tcBorders>
              <w:top w:val="nil"/>
              <w:bottom w:val="single" w:sz="4" w:space="0" w:color="auto"/>
            </w:tcBorders>
            <w:vAlign w:val="center"/>
          </w:tcPr>
          <w:p w:rsidR="007B28E9" w:rsidRDefault="007B28E9">
            <w:pPr>
              <w:jc w:val="center"/>
              <w:rPr>
                <w:rFonts w:cs="Arial"/>
                <w:szCs w:val="20"/>
              </w:rPr>
            </w:pPr>
            <w:r>
              <w:rPr>
                <w:rFonts w:cs="Arial"/>
                <w:szCs w:val="20"/>
              </w:rPr>
              <w:t>39</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7B28E9" w:rsidP="00EC2CB1">
      <w:r w:rsidRPr="007B28E9">
        <w:rPr>
          <w:noProof/>
          <w:lang w:eastAsia="en-AU"/>
        </w:rPr>
        <w:drawing>
          <wp:inline distT="0" distB="0" distL="0" distR="0" wp14:anchorId="4FBD25CD" wp14:editId="26601645">
            <wp:extent cx="5731510" cy="1739923"/>
            <wp:effectExtent l="0" t="0" r="2540" b="0"/>
            <wp:docPr id="23" name="Picture 23"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7B28E9" w:rsidP="00EC2CB1">
      <w:r w:rsidRPr="007B28E9">
        <w:rPr>
          <w:noProof/>
          <w:lang w:eastAsia="en-AU"/>
        </w:rPr>
        <w:drawing>
          <wp:inline distT="0" distB="0" distL="0" distR="0" wp14:anchorId="4F432504" wp14:editId="5DEFDD06">
            <wp:extent cx="5731510" cy="1511607"/>
            <wp:effectExtent l="0" t="0" r="2540" b="0"/>
            <wp:docPr id="24" name="Picture 24"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7B28E9" w:rsidP="00A226E9">
      <w:r w:rsidRPr="007B28E9">
        <w:rPr>
          <w:noProof/>
          <w:lang w:eastAsia="en-AU"/>
        </w:rPr>
        <w:drawing>
          <wp:inline distT="0" distB="0" distL="0" distR="0" wp14:anchorId="55FF0F76" wp14:editId="35010B5E">
            <wp:extent cx="5731510" cy="1802652"/>
            <wp:effectExtent l="0" t="0" r="2540" b="7620"/>
            <wp:docPr id="27" name="Picture 27"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720998" w:rsidRPr="00405CDE" w:rsidTr="00A226E9">
        <w:trPr>
          <w:trHeight w:val="510"/>
        </w:trPr>
        <w:tc>
          <w:tcPr>
            <w:tcW w:w="1152" w:type="pct"/>
            <w:tcBorders>
              <w:top w:val="nil"/>
              <w:bottom w:val="nil"/>
            </w:tcBorders>
            <w:vAlign w:val="center"/>
          </w:tcPr>
          <w:p w:rsidR="00720998" w:rsidRDefault="00720998">
            <w:pPr>
              <w:rPr>
                <w:rFonts w:cs="Arial"/>
                <w:sz w:val="20"/>
                <w:szCs w:val="20"/>
              </w:rPr>
            </w:pPr>
            <w:r>
              <w:rPr>
                <w:rFonts w:cs="Arial"/>
                <w:sz w:val="20"/>
                <w:szCs w:val="20"/>
              </w:rPr>
              <w:t>Ex ante price ($/GJ)</w:t>
            </w:r>
          </w:p>
        </w:tc>
        <w:tc>
          <w:tcPr>
            <w:tcW w:w="589" w:type="pct"/>
            <w:tcBorders>
              <w:top w:val="nil"/>
              <w:bottom w:val="nil"/>
            </w:tcBorders>
            <w:vAlign w:val="center"/>
          </w:tcPr>
          <w:p w:rsidR="00720998" w:rsidRDefault="00720998">
            <w:pPr>
              <w:jc w:val="center"/>
              <w:rPr>
                <w:rFonts w:cs="Arial"/>
                <w:sz w:val="20"/>
                <w:szCs w:val="20"/>
              </w:rPr>
            </w:pPr>
            <w:r>
              <w:rPr>
                <w:rFonts w:cs="Arial"/>
                <w:sz w:val="20"/>
                <w:szCs w:val="20"/>
              </w:rPr>
              <w:t>5.76</w:t>
            </w:r>
          </w:p>
        </w:tc>
        <w:tc>
          <w:tcPr>
            <w:tcW w:w="516" w:type="pct"/>
            <w:tcBorders>
              <w:top w:val="nil"/>
              <w:bottom w:val="nil"/>
            </w:tcBorders>
            <w:vAlign w:val="center"/>
          </w:tcPr>
          <w:p w:rsidR="00720998" w:rsidRDefault="00720998">
            <w:pPr>
              <w:jc w:val="center"/>
              <w:rPr>
                <w:rFonts w:cs="Arial"/>
                <w:sz w:val="20"/>
                <w:szCs w:val="20"/>
              </w:rPr>
            </w:pPr>
            <w:r>
              <w:rPr>
                <w:rFonts w:cs="Arial"/>
                <w:sz w:val="20"/>
                <w:szCs w:val="20"/>
              </w:rPr>
              <w:t>5.79</w:t>
            </w:r>
          </w:p>
        </w:tc>
        <w:tc>
          <w:tcPr>
            <w:tcW w:w="598" w:type="pct"/>
            <w:tcBorders>
              <w:top w:val="nil"/>
              <w:bottom w:val="nil"/>
            </w:tcBorders>
            <w:vAlign w:val="center"/>
          </w:tcPr>
          <w:p w:rsidR="00720998" w:rsidRDefault="00720998">
            <w:pPr>
              <w:jc w:val="center"/>
              <w:rPr>
                <w:rFonts w:cs="Arial"/>
                <w:sz w:val="20"/>
                <w:szCs w:val="20"/>
              </w:rPr>
            </w:pPr>
            <w:r>
              <w:rPr>
                <w:rFonts w:cs="Arial"/>
                <w:sz w:val="20"/>
                <w:szCs w:val="20"/>
              </w:rPr>
              <w:t>5.64</w:t>
            </w:r>
          </w:p>
        </w:tc>
        <w:tc>
          <w:tcPr>
            <w:tcW w:w="525" w:type="pct"/>
            <w:tcBorders>
              <w:top w:val="nil"/>
              <w:bottom w:val="nil"/>
            </w:tcBorders>
            <w:vAlign w:val="center"/>
          </w:tcPr>
          <w:p w:rsidR="00720998" w:rsidRDefault="00720998">
            <w:pPr>
              <w:jc w:val="center"/>
              <w:rPr>
                <w:rFonts w:cs="Arial"/>
                <w:sz w:val="20"/>
                <w:szCs w:val="20"/>
              </w:rPr>
            </w:pPr>
            <w:r>
              <w:rPr>
                <w:rFonts w:cs="Arial"/>
                <w:sz w:val="20"/>
                <w:szCs w:val="20"/>
              </w:rPr>
              <w:t>5.70</w:t>
            </w:r>
          </w:p>
        </w:tc>
        <w:tc>
          <w:tcPr>
            <w:tcW w:w="518" w:type="pct"/>
            <w:tcBorders>
              <w:top w:val="nil"/>
              <w:bottom w:val="nil"/>
            </w:tcBorders>
            <w:vAlign w:val="center"/>
          </w:tcPr>
          <w:p w:rsidR="00720998" w:rsidRDefault="00720998">
            <w:pPr>
              <w:jc w:val="center"/>
              <w:rPr>
                <w:rFonts w:cs="Arial"/>
                <w:sz w:val="20"/>
                <w:szCs w:val="20"/>
              </w:rPr>
            </w:pPr>
            <w:r>
              <w:rPr>
                <w:rFonts w:cs="Arial"/>
                <w:sz w:val="20"/>
                <w:szCs w:val="20"/>
              </w:rPr>
              <w:t>5.76</w:t>
            </w:r>
          </w:p>
        </w:tc>
        <w:tc>
          <w:tcPr>
            <w:tcW w:w="515" w:type="pct"/>
            <w:tcBorders>
              <w:top w:val="nil"/>
              <w:bottom w:val="nil"/>
            </w:tcBorders>
            <w:vAlign w:val="center"/>
          </w:tcPr>
          <w:p w:rsidR="00720998" w:rsidRDefault="00720998">
            <w:pPr>
              <w:jc w:val="center"/>
              <w:rPr>
                <w:rFonts w:cs="Arial"/>
                <w:sz w:val="20"/>
                <w:szCs w:val="20"/>
              </w:rPr>
            </w:pPr>
            <w:r>
              <w:rPr>
                <w:rFonts w:cs="Arial"/>
                <w:sz w:val="20"/>
                <w:szCs w:val="20"/>
              </w:rPr>
              <w:t>5.83</w:t>
            </w:r>
          </w:p>
        </w:tc>
        <w:tc>
          <w:tcPr>
            <w:tcW w:w="587" w:type="pct"/>
            <w:tcBorders>
              <w:top w:val="nil"/>
              <w:bottom w:val="nil"/>
            </w:tcBorders>
            <w:vAlign w:val="center"/>
          </w:tcPr>
          <w:p w:rsidR="00720998" w:rsidRDefault="00720998">
            <w:pPr>
              <w:jc w:val="center"/>
              <w:rPr>
                <w:rFonts w:cs="Arial"/>
                <w:sz w:val="20"/>
                <w:szCs w:val="20"/>
              </w:rPr>
            </w:pPr>
            <w:r>
              <w:rPr>
                <w:rFonts w:cs="Arial"/>
                <w:sz w:val="20"/>
                <w:szCs w:val="20"/>
              </w:rPr>
              <w:t>5.77</w:t>
            </w:r>
          </w:p>
        </w:tc>
      </w:tr>
      <w:tr w:rsidR="00720998"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720998" w:rsidRDefault="00720998">
            <w:pPr>
              <w:rPr>
                <w:rFonts w:cs="Arial"/>
                <w:szCs w:val="20"/>
              </w:rPr>
            </w:pPr>
            <w:r>
              <w:rPr>
                <w:rFonts w:cs="Arial"/>
                <w:szCs w:val="20"/>
              </w:rPr>
              <w:t>Ex ante quantity (TJ)</w:t>
            </w:r>
          </w:p>
        </w:tc>
        <w:tc>
          <w:tcPr>
            <w:tcW w:w="589" w:type="pct"/>
            <w:tcBorders>
              <w:top w:val="nil"/>
              <w:bottom w:val="nil"/>
            </w:tcBorders>
            <w:vAlign w:val="center"/>
          </w:tcPr>
          <w:p w:rsidR="00720998" w:rsidRDefault="00720998">
            <w:pPr>
              <w:jc w:val="center"/>
              <w:rPr>
                <w:rFonts w:cs="Arial"/>
                <w:szCs w:val="20"/>
              </w:rPr>
            </w:pPr>
            <w:r>
              <w:rPr>
                <w:rFonts w:cs="Arial"/>
                <w:szCs w:val="20"/>
              </w:rPr>
              <w:t>75</w:t>
            </w:r>
          </w:p>
        </w:tc>
        <w:tc>
          <w:tcPr>
            <w:tcW w:w="516" w:type="pct"/>
            <w:tcBorders>
              <w:top w:val="nil"/>
              <w:bottom w:val="nil"/>
            </w:tcBorders>
            <w:vAlign w:val="center"/>
          </w:tcPr>
          <w:p w:rsidR="00720998" w:rsidRDefault="00720998">
            <w:pPr>
              <w:jc w:val="center"/>
              <w:rPr>
                <w:rFonts w:cs="Arial"/>
                <w:szCs w:val="20"/>
              </w:rPr>
            </w:pPr>
            <w:r>
              <w:rPr>
                <w:rFonts w:cs="Arial"/>
                <w:szCs w:val="20"/>
              </w:rPr>
              <w:t>75</w:t>
            </w:r>
          </w:p>
        </w:tc>
        <w:tc>
          <w:tcPr>
            <w:tcW w:w="598" w:type="pct"/>
            <w:tcBorders>
              <w:top w:val="nil"/>
              <w:bottom w:val="nil"/>
            </w:tcBorders>
            <w:vAlign w:val="center"/>
          </w:tcPr>
          <w:p w:rsidR="00720998" w:rsidRDefault="00720998">
            <w:pPr>
              <w:jc w:val="center"/>
              <w:rPr>
                <w:rFonts w:cs="Arial"/>
                <w:szCs w:val="20"/>
              </w:rPr>
            </w:pPr>
            <w:r>
              <w:rPr>
                <w:rFonts w:cs="Arial"/>
                <w:szCs w:val="20"/>
              </w:rPr>
              <w:t>91</w:t>
            </w:r>
          </w:p>
        </w:tc>
        <w:tc>
          <w:tcPr>
            <w:tcW w:w="525" w:type="pct"/>
            <w:tcBorders>
              <w:top w:val="nil"/>
              <w:bottom w:val="nil"/>
            </w:tcBorders>
            <w:vAlign w:val="center"/>
          </w:tcPr>
          <w:p w:rsidR="00720998" w:rsidRDefault="00720998">
            <w:pPr>
              <w:jc w:val="center"/>
              <w:rPr>
                <w:rFonts w:cs="Arial"/>
                <w:szCs w:val="20"/>
              </w:rPr>
            </w:pPr>
            <w:r>
              <w:rPr>
                <w:rFonts w:cs="Arial"/>
                <w:szCs w:val="20"/>
              </w:rPr>
              <w:t>90</w:t>
            </w:r>
          </w:p>
        </w:tc>
        <w:tc>
          <w:tcPr>
            <w:tcW w:w="518" w:type="pct"/>
            <w:tcBorders>
              <w:top w:val="nil"/>
              <w:bottom w:val="nil"/>
            </w:tcBorders>
            <w:vAlign w:val="center"/>
          </w:tcPr>
          <w:p w:rsidR="00720998" w:rsidRDefault="00720998">
            <w:pPr>
              <w:jc w:val="center"/>
              <w:rPr>
                <w:rFonts w:cs="Arial"/>
                <w:szCs w:val="20"/>
              </w:rPr>
            </w:pPr>
            <w:r>
              <w:rPr>
                <w:rFonts w:cs="Arial"/>
                <w:szCs w:val="20"/>
              </w:rPr>
              <w:t>91</w:t>
            </w:r>
          </w:p>
        </w:tc>
        <w:tc>
          <w:tcPr>
            <w:tcW w:w="515" w:type="pct"/>
            <w:tcBorders>
              <w:top w:val="nil"/>
              <w:bottom w:val="nil"/>
            </w:tcBorders>
            <w:vAlign w:val="center"/>
          </w:tcPr>
          <w:p w:rsidR="00720998" w:rsidRDefault="00720998">
            <w:pPr>
              <w:jc w:val="center"/>
              <w:rPr>
                <w:rFonts w:cs="Arial"/>
                <w:szCs w:val="20"/>
              </w:rPr>
            </w:pPr>
            <w:r>
              <w:rPr>
                <w:rFonts w:cs="Arial"/>
                <w:szCs w:val="20"/>
              </w:rPr>
              <w:t>73</w:t>
            </w:r>
          </w:p>
        </w:tc>
        <w:tc>
          <w:tcPr>
            <w:tcW w:w="587" w:type="pct"/>
            <w:tcBorders>
              <w:top w:val="nil"/>
              <w:bottom w:val="nil"/>
            </w:tcBorders>
            <w:vAlign w:val="center"/>
          </w:tcPr>
          <w:p w:rsidR="00720998" w:rsidRDefault="00720998">
            <w:pPr>
              <w:jc w:val="center"/>
              <w:rPr>
                <w:rFonts w:cs="Arial"/>
                <w:szCs w:val="20"/>
              </w:rPr>
            </w:pPr>
            <w:r>
              <w:rPr>
                <w:rFonts w:cs="Arial"/>
                <w:szCs w:val="20"/>
              </w:rPr>
              <w:t>56</w:t>
            </w:r>
          </w:p>
        </w:tc>
      </w:tr>
      <w:tr w:rsidR="00720998" w:rsidRPr="00405CDE" w:rsidTr="00A226E9">
        <w:trPr>
          <w:trHeight w:val="510"/>
        </w:trPr>
        <w:tc>
          <w:tcPr>
            <w:tcW w:w="1152" w:type="pct"/>
            <w:tcBorders>
              <w:top w:val="nil"/>
              <w:bottom w:val="nil"/>
            </w:tcBorders>
            <w:vAlign w:val="center"/>
          </w:tcPr>
          <w:p w:rsidR="00720998" w:rsidRDefault="00720998">
            <w:pPr>
              <w:rPr>
                <w:rFonts w:cs="Arial"/>
                <w:sz w:val="20"/>
                <w:szCs w:val="20"/>
              </w:rPr>
            </w:pPr>
            <w:r>
              <w:rPr>
                <w:rFonts w:cs="Arial"/>
                <w:sz w:val="20"/>
                <w:szCs w:val="20"/>
              </w:rPr>
              <w:t>Ex post price ($/GJ)</w:t>
            </w:r>
          </w:p>
        </w:tc>
        <w:tc>
          <w:tcPr>
            <w:tcW w:w="589" w:type="pct"/>
            <w:tcBorders>
              <w:top w:val="nil"/>
              <w:bottom w:val="nil"/>
            </w:tcBorders>
            <w:vAlign w:val="center"/>
          </w:tcPr>
          <w:p w:rsidR="00720998" w:rsidRDefault="00720998">
            <w:pPr>
              <w:jc w:val="center"/>
              <w:rPr>
                <w:rFonts w:cs="Arial"/>
                <w:sz w:val="20"/>
                <w:szCs w:val="20"/>
              </w:rPr>
            </w:pPr>
            <w:r>
              <w:rPr>
                <w:rFonts w:cs="Arial"/>
                <w:sz w:val="20"/>
                <w:szCs w:val="20"/>
              </w:rPr>
              <w:t>5.69</w:t>
            </w:r>
          </w:p>
        </w:tc>
        <w:tc>
          <w:tcPr>
            <w:tcW w:w="516" w:type="pct"/>
            <w:tcBorders>
              <w:top w:val="nil"/>
              <w:bottom w:val="nil"/>
            </w:tcBorders>
            <w:vAlign w:val="center"/>
          </w:tcPr>
          <w:p w:rsidR="00720998" w:rsidRDefault="00720998">
            <w:pPr>
              <w:jc w:val="center"/>
              <w:rPr>
                <w:rFonts w:cs="Arial"/>
                <w:sz w:val="20"/>
                <w:szCs w:val="20"/>
              </w:rPr>
            </w:pPr>
            <w:r>
              <w:rPr>
                <w:rFonts w:cs="Arial"/>
                <w:sz w:val="20"/>
                <w:szCs w:val="20"/>
              </w:rPr>
              <w:t>5.79</w:t>
            </w:r>
          </w:p>
        </w:tc>
        <w:tc>
          <w:tcPr>
            <w:tcW w:w="598" w:type="pct"/>
            <w:tcBorders>
              <w:top w:val="nil"/>
              <w:bottom w:val="nil"/>
            </w:tcBorders>
            <w:vAlign w:val="center"/>
          </w:tcPr>
          <w:p w:rsidR="00720998" w:rsidRDefault="00720998">
            <w:pPr>
              <w:jc w:val="center"/>
              <w:rPr>
                <w:rFonts w:cs="Arial"/>
                <w:sz w:val="20"/>
                <w:szCs w:val="20"/>
              </w:rPr>
            </w:pPr>
            <w:r>
              <w:rPr>
                <w:rFonts w:cs="Arial"/>
                <w:sz w:val="20"/>
                <w:szCs w:val="20"/>
              </w:rPr>
              <w:t>5.64</w:t>
            </w:r>
          </w:p>
        </w:tc>
        <w:tc>
          <w:tcPr>
            <w:tcW w:w="525" w:type="pct"/>
            <w:tcBorders>
              <w:top w:val="nil"/>
              <w:bottom w:val="nil"/>
            </w:tcBorders>
            <w:vAlign w:val="center"/>
          </w:tcPr>
          <w:p w:rsidR="00720998" w:rsidRDefault="00720998">
            <w:pPr>
              <w:jc w:val="center"/>
              <w:rPr>
                <w:rFonts w:cs="Arial"/>
                <w:sz w:val="20"/>
                <w:szCs w:val="20"/>
              </w:rPr>
            </w:pPr>
            <w:r>
              <w:rPr>
                <w:rFonts w:cs="Arial"/>
                <w:sz w:val="20"/>
                <w:szCs w:val="20"/>
              </w:rPr>
              <w:t>5.75</w:t>
            </w:r>
          </w:p>
        </w:tc>
        <w:tc>
          <w:tcPr>
            <w:tcW w:w="518" w:type="pct"/>
            <w:tcBorders>
              <w:top w:val="nil"/>
              <w:bottom w:val="nil"/>
            </w:tcBorders>
            <w:vAlign w:val="center"/>
          </w:tcPr>
          <w:p w:rsidR="00720998" w:rsidRDefault="00720998">
            <w:pPr>
              <w:jc w:val="center"/>
              <w:rPr>
                <w:rFonts w:cs="Arial"/>
                <w:sz w:val="20"/>
                <w:szCs w:val="20"/>
              </w:rPr>
            </w:pPr>
            <w:r>
              <w:rPr>
                <w:rFonts w:cs="Arial"/>
                <w:sz w:val="20"/>
                <w:szCs w:val="20"/>
              </w:rPr>
              <w:t>5.76</w:t>
            </w:r>
          </w:p>
        </w:tc>
        <w:tc>
          <w:tcPr>
            <w:tcW w:w="515" w:type="pct"/>
            <w:tcBorders>
              <w:top w:val="nil"/>
              <w:bottom w:val="nil"/>
            </w:tcBorders>
            <w:vAlign w:val="center"/>
          </w:tcPr>
          <w:p w:rsidR="00720998" w:rsidRDefault="00720998">
            <w:pPr>
              <w:jc w:val="center"/>
              <w:rPr>
                <w:rFonts w:cs="Arial"/>
                <w:sz w:val="20"/>
                <w:szCs w:val="20"/>
              </w:rPr>
            </w:pPr>
            <w:r>
              <w:rPr>
                <w:rFonts w:cs="Arial"/>
                <w:sz w:val="20"/>
                <w:szCs w:val="20"/>
              </w:rPr>
              <w:t>5.77</w:t>
            </w:r>
          </w:p>
        </w:tc>
        <w:tc>
          <w:tcPr>
            <w:tcW w:w="587" w:type="pct"/>
            <w:tcBorders>
              <w:top w:val="nil"/>
              <w:bottom w:val="nil"/>
            </w:tcBorders>
            <w:vAlign w:val="center"/>
          </w:tcPr>
          <w:p w:rsidR="00720998" w:rsidRDefault="00720998">
            <w:pPr>
              <w:jc w:val="center"/>
              <w:rPr>
                <w:rFonts w:cs="Arial"/>
                <w:sz w:val="20"/>
                <w:szCs w:val="20"/>
              </w:rPr>
            </w:pPr>
            <w:r>
              <w:rPr>
                <w:rFonts w:cs="Arial"/>
                <w:sz w:val="20"/>
                <w:szCs w:val="20"/>
              </w:rPr>
              <w:t>5.77</w:t>
            </w:r>
          </w:p>
        </w:tc>
      </w:tr>
      <w:tr w:rsidR="00720998"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720998" w:rsidRDefault="00720998">
            <w:pPr>
              <w:rPr>
                <w:rFonts w:cs="Arial"/>
                <w:szCs w:val="20"/>
              </w:rPr>
            </w:pPr>
            <w:r>
              <w:rPr>
                <w:rFonts w:cs="Arial"/>
                <w:szCs w:val="20"/>
              </w:rPr>
              <w:t>Ex post quantity (TJ)</w:t>
            </w:r>
          </w:p>
        </w:tc>
        <w:tc>
          <w:tcPr>
            <w:tcW w:w="589" w:type="pct"/>
            <w:tcBorders>
              <w:top w:val="nil"/>
              <w:bottom w:val="single" w:sz="4" w:space="0" w:color="auto"/>
            </w:tcBorders>
            <w:vAlign w:val="center"/>
          </w:tcPr>
          <w:p w:rsidR="00720998" w:rsidRDefault="00720998">
            <w:pPr>
              <w:jc w:val="center"/>
              <w:rPr>
                <w:rFonts w:cs="Arial"/>
                <w:szCs w:val="20"/>
              </w:rPr>
            </w:pPr>
            <w:r>
              <w:rPr>
                <w:rFonts w:cs="Arial"/>
                <w:szCs w:val="20"/>
              </w:rPr>
              <w:t>69</w:t>
            </w:r>
          </w:p>
        </w:tc>
        <w:tc>
          <w:tcPr>
            <w:tcW w:w="516" w:type="pct"/>
            <w:tcBorders>
              <w:top w:val="nil"/>
              <w:bottom w:val="single" w:sz="4" w:space="0" w:color="auto"/>
            </w:tcBorders>
            <w:vAlign w:val="center"/>
          </w:tcPr>
          <w:p w:rsidR="00720998" w:rsidRDefault="00720998">
            <w:pPr>
              <w:jc w:val="center"/>
              <w:rPr>
                <w:rFonts w:cs="Arial"/>
                <w:szCs w:val="20"/>
              </w:rPr>
            </w:pPr>
            <w:r>
              <w:rPr>
                <w:rFonts w:cs="Arial"/>
                <w:szCs w:val="20"/>
              </w:rPr>
              <w:t>76</w:t>
            </w:r>
          </w:p>
        </w:tc>
        <w:tc>
          <w:tcPr>
            <w:tcW w:w="598" w:type="pct"/>
            <w:tcBorders>
              <w:top w:val="nil"/>
              <w:bottom w:val="single" w:sz="4" w:space="0" w:color="auto"/>
            </w:tcBorders>
            <w:vAlign w:val="center"/>
          </w:tcPr>
          <w:p w:rsidR="00720998" w:rsidRDefault="00720998">
            <w:pPr>
              <w:jc w:val="center"/>
              <w:rPr>
                <w:rFonts w:cs="Arial"/>
                <w:szCs w:val="20"/>
              </w:rPr>
            </w:pPr>
            <w:r>
              <w:rPr>
                <w:rFonts w:cs="Arial"/>
                <w:szCs w:val="20"/>
              </w:rPr>
              <w:t>89</w:t>
            </w:r>
          </w:p>
        </w:tc>
        <w:tc>
          <w:tcPr>
            <w:tcW w:w="525" w:type="pct"/>
            <w:tcBorders>
              <w:top w:val="nil"/>
              <w:bottom w:val="single" w:sz="4" w:space="0" w:color="auto"/>
            </w:tcBorders>
            <w:vAlign w:val="center"/>
          </w:tcPr>
          <w:p w:rsidR="00720998" w:rsidRDefault="00720998">
            <w:pPr>
              <w:jc w:val="center"/>
              <w:rPr>
                <w:rFonts w:cs="Arial"/>
                <w:szCs w:val="20"/>
              </w:rPr>
            </w:pPr>
            <w:r>
              <w:rPr>
                <w:rFonts w:cs="Arial"/>
                <w:szCs w:val="20"/>
              </w:rPr>
              <w:t>91</w:t>
            </w:r>
          </w:p>
        </w:tc>
        <w:tc>
          <w:tcPr>
            <w:tcW w:w="518" w:type="pct"/>
            <w:tcBorders>
              <w:top w:val="nil"/>
              <w:bottom w:val="single" w:sz="4" w:space="0" w:color="auto"/>
            </w:tcBorders>
            <w:vAlign w:val="center"/>
          </w:tcPr>
          <w:p w:rsidR="00720998" w:rsidRDefault="00720998">
            <w:pPr>
              <w:jc w:val="center"/>
              <w:rPr>
                <w:rFonts w:cs="Arial"/>
                <w:szCs w:val="20"/>
              </w:rPr>
            </w:pPr>
            <w:r>
              <w:rPr>
                <w:rFonts w:cs="Arial"/>
                <w:szCs w:val="20"/>
              </w:rPr>
              <w:t>88</w:t>
            </w:r>
          </w:p>
        </w:tc>
        <w:tc>
          <w:tcPr>
            <w:tcW w:w="515" w:type="pct"/>
            <w:tcBorders>
              <w:top w:val="nil"/>
              <w:bottom w:val="single" w:sz="4" w:space="0" w:color="auto"/>
            </w:tcBorders>
            <w:vAlign w:val="center"/>
          </w:tcPr>
          <w:p w:rsidR="00720998" w:rsidRDefault="00720998">
            <w:pPr>
              <w:jc w:val="center"/>
              <w:rPr>
                <w:rFonts w:cs="Arial"/>
                <w:szCs w:val="20"/>
              </w:rPr>
            </w:pPr>
            <w:r>
              <w:rPr>
                <w:rFonts w:cs="Arial"/>
                <w:szCs w:val="20"/>
              </w:rPr>
              <w:t>68</w:t>
            </w:r>
          </w:p>
        </w:tc>
        <w:tc>
          <w:tcPr>
            <w:tcW w:w="587" w:type="pct"/>
            <w:tcBorders>
              <w:top w:val="nil"/>
              <w:bottom w:val="single" w:sz="4" w:space="0" w:color="auto"/>
            </w:tcBorders>
            <w:vAlign w:val="center"/>
          </w:tcPr>
          <w:p w:rsidR="00720998" w:rsidRDefault="00720998">
            <w:pPr>
              <w:jc w:val="center"/>
              <w:rPr>
                <w:rFonts w:cs="Arial"/>
                <w:szCs w:val="20"/>
              </w:rPr>
            </w:pPr>
            <w:r>
              <w:rPr>
                <w:rFonts w:cs="Arial"/>
                <w:szCs w:val="20"/>
              </w:rPr>
              <w:t>55</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720998" w:rsidP="00EC2CB1">
      <w:r w:rsidRPr="00720998">
        <w:rPr>
          <w:noProof/>
          <w:lang w:eastAsia="en-AU"/>
        </w:rPr>
        <w:drawing>
          <wp:inline distT="0" distB="0" distL="0" distR="0" wp14:anchorId="041DE567" wp14:editId="09F64224">
            <wp:extent cx="5731510" cy="1725905"/>
            <wp:effectExtent l="0" t="0" r="2540" b="0"/>
            <wp:docPr id="28" name="Picture 28"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720998" w:rsidP="00EC2CB1">
      <w:r w:rsidRPr="00720998">
        <w:rPr>
          <w:noProof/>
          <w:lang w:eastAsia="en-AU"/>
        </w:rPr>
        <w:drawing>
          <wp:inline distT="0" distB="0" distL="0" distR="0" wp14:anchorId="47540883" wp14:editId="7DD77496">
            <wp:extent cx="5731510" cy="1475616"/>
            <wp:effectExtent l="0" t="0" r="2540" b="0"/>
            <wp:docPr id="29" name="Picture 29"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720998" w:rsidP="00A226E9">
      <w:r w:rsidRPr="00720998">
        <w:rPr>
          <w:noProof/>
          <w:lang w:eastAsia="en-AU"/>
        </w:rPr>
        <w:drawing>
          <wp:inline distT="0" distB="0" distL="0" distR="0" wp14:anchorId="4DA08704" wp14:editId="22688D48">
            <wp:extent cx="5731510" cy="1883137"/>
            <wp:effectExtent l="0" t="0" r="2540" b="3175"/>
            <wp:docPr id="30" name="Picture 30"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4C571B" w:rsidRDefault="00551D6B" w:rsidP="00551D6B">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1"/>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2"/>
      </w:r>
      <w:r>
        <w:t xml:space="preserve"> are provided for gas markets </w:t>
      </w:r>
      <w:r w:rsidR="00817724">
        <w:t>and gas supply hubs. Average daily quantities are provided for</w:t>
      </w:r>
      <w:r>
        <w:t xml:space="preserve"> gas powered generation for each region.</w:t>
      </w:r>
    </w:p>
    <w:p w:rsidR="004C571B" w:rsidRDefault="00551D6B" w:rsidP="00551D6B">
      <w:pPr>
        <w:pStyle w:val="Caption"/>
        <w:numPr>
          <w:ilvl w:val="0"/>
          <w:numId w:val="33"/>
        </w:numPr>
        <w:ind w:left="1418" w:hanging="1418"/>
        <w:rPr>
          <w:color w:val="2272A3"/>
          <w:szCs w:val="24"/>
        </w:rPr>
      </w:pPr>
      <w:r w:rsidRPr="00DD0358">
        <w:rPr>
          <w:color w:val="2272A3"/>
          <w:szCs w:val="24"/>
        </w:rPr>
        <w:t>Gas market data ($/GJ, TJ); Production and Pipeline flows (TJ)</w:t>
      </w:r>
      <w:r w:rsidR="00F41BE4">
        <w:rPr>
          <w:rStyle w:val="FootnoteReference"/>
          <w:color w:val="2272A3"/>
          <w:szCs w:val="24"/>
        </w:rPr>
        <w:footnoteReference w:id="13"/>
      </w:r>
    </w:p>
    <w:p w:rsidR="00665C0C" w:rsidRDefault="001E21A7">
      <w:pPr>
        <w:spacing w:line="240" w:lineRule="auto"/>
      </w:pPr>
      <w:r w:rsidRPr="001E21A7">
        <w:drawing>
          <wp:inline distT="0" distB="0" distL="0" distR="0" wp14:anchorId="41597C61" wp14:editId="21057779">
            <wp:extent cx="5731510" cy="6142275"/>
            <wp:effectExtent l="0" t="0" r="2540" b="0"/>
            <wp:docPr id="3" name="Picture 3"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142275"/>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E16EDC" w:rsidRDefault="00551D6B" w:rsidP="00551D6B">
      <w:pPr>
        <w:jc w:val="both"/>
      </w:pPr>
      <w:r>
        <w:t xml:space="preserve">The Gas Supply </w:t>
      </w:r>
      <w:r w:rsidRPr="00552F68">
        <w:t xml:space="preserve">Hub </w:t>
      </w:r>
      <w:r w:rsidRPr="00552F68">
        <w:rPr>
          <w:b/>
          <w:bCs/>
        </w:rPr>
        <w:t>(GSH)</w:t>
      </w:r>
      <w:r w:rsidRPr="00552F68">
        <w:t xml:space="preserve"> was established</w:t>
      </w:r>
      <w:r w:rsidR="00E06937" w:rsidRPr="00552F68">
        <w:t xml:space="preserve"> in March 2014</w:t>
      </w:r>
      <w:r w:rsidRPr="00552F68">
        <w:t xml:space="preserve"> for the trading of gas at Wallumbilla. The GSH is a voluntary market</w:t>
      </w:r>
      <w:r w:rsidRPr="00552F68">
        <w:rPr>
          <w:rStyle w:val="FootnoteReference"/>
        </w:rPr>
        <w:footnoteReference w:id="14"/>
      </w:r>
      <w:r w:rsidRPr="00552F68">
        <w:t xml:space="preserve"> for the supply of gas traded</w:t>
      </w:r>
      <w:r w:rsidR="006A1226">
        <w:rPr>
          <w:rStyle w:val="FootnoteReference"/>
        </w:rPr>
        <w:footnoteReference w:id="15"/>
      </w:r>
      <w:r w:rsidRPr="00552F68">
        <w:t xml:space="preserve"> between separate participants, with products listed for sale and purchase at delivery points on three major connecting pipelines at Wallumbilla – the </w:t>
      </w:r>
      <w:r w:rsidRPr="00552F68">
        <w:rPr>
          <w:b/>
        </w:rPr>
        <w:t>QGP</w:t>
      </w:r>
      <w:r w:rsidRPr="00552F68">
        <w:t xml:space="preserve">, the </w:t>
      </w:r>
      <w:r w:rsidRPr="00552F68">
        <w:rPr>
          <w:b/>
        </w:rPr>
        <w:t>SWQP</w:t>
      </w:r>
      <w:r w:rsidRPr="00552F68">
        <w:t xml:space="preserve"> and the </w:t>
      </w:r>
      <w:r w:rsidRPr="00552F68">
        <w:rPr>
          <w:b/>
        </w:rPr>
        <w:t>RBP</w:t>
      </w:r>
      <w:r w:rsidRPr="00552F68">
        <w:t>. There are separate products for each pipeline (each pipeline is considered a trading location, and each has a number of delivery points) and delivery period (daily, day-ahead, balance-of-day</w:t>
      </w:r>
      <w:r w:rsidR="00E06937" w:rsidRPr="00552F68">
        <w:t>,</w:t>
      </w:r>
      <w:r w:rsidRPr="00552F68">
        <w:t xml:space="preserve"> weekly</w:t>
      </w:r>
      <w:r w:rsidR="00E06937" w:rsidRPr="00552F68">
        <w:t xml:space="preserve"> and monthly products</w:t>
      </w:r>
      <w:r w:rsidRPr="00552F68">
        <w:t>).</w:t>
      </w:r>
      <w:r w:rsidR="00E06937" w:rsidRPr="00552F68">
        <w:rPr>
          <w:color w:val="FF0000"/>
        </w:rPr>
        <w:t xml:space="preserve"> </w:t>
      </w:r>
      <w:r w:rsidR="00E06937" w:rsidRPr="00552F68">
        <w:t xml:space="preserve">In June 2016, a new supply hub at Moomba was created to facilitate trade on the </w:t>
      </w:r>
      <w:r w:rsidR="00E06937" w:rsidRPr="000E7D8C">
        <w:rPr>
          <w:b/>
        </w:rPr>
        <w:t>MAP</w:t>
      </w:r>
      <w:r w:rsidR="00E06937" w:rsidRPr="00552F68">
        <w:t xml:space="preserve"> and </w:t>
      </w:r>
      <w:r w:rsidR="00E06937" w:rsidRPr="000E7D8C">
        <w:rPr>
          <w:b/>
        </w:rPr>
        <w:t>MSP</w:t>
      </w:r>
      <w:r w:rsidR="00E06937" w:rsidRPr="00552F68">
        <w:t>, and also allow for trading between the Wallumbilla and Moomba markets on the SWQP through a spread product</w:t>
      </w:r>
      <w:r w:rsidR="001C3452" w:rsidRPr="00552F68">
        <w:t xml:space="preserve"> (representing the price differential between the two hubs)</w:t>
      </w:r>
      <w:r w:rsidR="00E06937" w:rsidRPr="00552F68">
        <w:t>.</w:t>
      </w:r>
      <w:r w:rsidR="00337F4F" w:rsidRPr="00552F68">
        <w:t xml:space="preserve"> </w:t>
      </w:r>
    </w:p>
    <w:p w:rsidR="00AC4BF5" w:rsidRPr="001934E9" w:rsidRDefault="003A297F" w:rsidP="00551D6B">
      <w:pPr>
        <w:jc w:val="both"/>
        <w:rPr>
          <w:color w:val="FF0000"/>
        </w:rPr>
      </w:pPr>
      <w:r w:rsidRPr="005F77E2">
        <w:t xml:space="preserve">There were </w:t>
      </w:r>
      <w:r>
        <w:t>1</w:t>
      </w:r>
      <w:r w:rsidR="00346249">
        <w:t>9</w:t>
      </w:r>
      <w:r w:rsidRPr="005F77E2">
        <w:t xml:space="preserve"> trades this week for </w:t>
      </w:r>
      <w:r w:rsidR="004A5BCF">
        <w:t>207.15</w:t>
      </w:r>
      <w:r w:rsidR="00346249">
        <w:t> </w:t>
      </w:r>
      <w:r w:rsidRPr="005F77E2">
        <w:t>TJ of gas at a volume weighted price of $</w:t>
      </w:r>
      <w:r>
        <w:t>5.</w:t>
      </w:r>
      <w:r w:rsidR="004A5BCF">
        <w:t>53</w:t>
      </w:r>
      <w:r w:rsidRPr="005F77E2">
        <w:t xml:space="preserve">/GJ in the Wallumbilla hub. Trades on the RBP consisted of </w:t>
      </w:r>
      <w:r w:rsidR="00346249">
        <w:t>one</w:t>
      </w:r>
      <w:r w:rsidR="00346249" w:rsidRPr="005F77E2">
        <w:t xml:space="preserve"> balance-of-day</w:t>
      </w:r>
      <w:r w:rsidR="00346249">
        <w:t xml:space="preserve"> </w:t>
      </w:r>
      <w:r w:rsidR="00346249" w:rsidRPr="005F77E2">
        <w:t>and</w:t>
      </w:r>
      <w:r w:rsidR="00346249">
        <w:t xml:space="preserve"> </w:t>
      </w:r>
      <w:r w:rsidR="004A5BCF">
        <w:t>seven</w:t>
      </w:r>
      <w:r w:rsidRPr="005F77E2">
        <w:t xml:space="preserve"> day-ahead products</w:t>
      </w:r>
      <w:r>
        <w:t xml:space="preserve"> (</w:t>
      </w:r>
      <w:r w:rsidR="004A5BCF">
        <w:t>11.75</w:t>
      </w:r>
      <w:r>
        <w:t> TJ at $</w:t>
      </w:r>
      <w:r w:rsidR="004A5BCF">
        <w:t>5.31</w:t>
      </w:r>
      <w:r>
        <w:t>/GJ)</w:t>
      </w:r>
      <w:r w:rsidRPr="005F77E2">
        <w:t xml:space="preserve">, with one day-ahead and </w:t>
      </w:r>
      <w:r w:rsidR="004A5BCF">
        <w:t xml:space="preserve">balance-of-day each and five </w:t>
      </w:r>
      <w:r w:rsidRPr="005F77E2">
        <w:t>da</w:t>
      </w:r>
      <w:r w:rsidR="004A5BCF">
        <w:t>ily</w:t>
      </w:r>
      <w:r w:rsidRPr="005F77E2">
        <w:t xml:space="preserve"> products on the SWQP</w:t>
      </w:r>
      <w:r w:rsidR="004A5BCF">
        <w:t xml:space="preserve"> (83.4</w:t>
      </w:r>
      <w:r>
        <w:t> TJ at $</w:t>
      </w:r>
      <w:r w:rsidR="004A5BCF">
        <w:t>5.60</w:t>
      </w:r>
      <w:r>
        <w:t>/GJ)</w:t>
      </w:r>
      <w:r w:rsidRPr="005F77E2">
        <w:t>.</w:t>
      </w:r>
      <w:r w:rsidR="004A5BCF">
        <w:t xml:space="preserve"> </w:t>
      </w:r>
      <w:r w:rsidR="00346249">
        <w:t>The remaining non-netted product trades were for 112 TJ of gas for $5.55/GJ, delivered on the SWQP.</w:t>
      </w:r>
    </w:p>
    <w:p w:rsidR="000C1A94" w:rsidRPr="00E06937" w:rsidRDefault="000C1A94" w:rsidP="00551D6B">
      <w:pPr>
        <w:jc w:val="both"/>
      </w:pPr>
      <w:r w:rsidRPr="00552F68">
        <w:t xml:space="preserve">Figure 6.1 shows the </w:t>
      </w:r>
      <w:r w:rsidR="00F65699" w:rsidRPr="00552F68">
        <w:t>quantity of gas</w:t>
      </w:r>
      <w:r w:rsidRPr="00552F68">
        <w:t xml:space="preserve"> traded </w:t>
      </w:r>
      <w:r w:rsidR="001934E9" w:rsidRPr="00552F68">
        <w:t>by product type for each trading day on pipeline trading locations in the Wallumbilla and Moomba Gas Supply Hubs.</w:t>
      </w:r>
      <w:r w:rsidR="001934E9">
        <w:t xml:space="preserve"> </w:t>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720998" w:rsidP="00E16EDC">
      <w:r w:rsidRPr="00720998">
        <w:rPr>
          <w:noProof/>
          <w:lang w:eastAsia="en-AU"/>
        </w:rPr>
        <w:drawing>
          <wp:inline distT="0" distB="0" distL="0" distR="0" wp14:anchorId="5451F39E" wp14:editId="66FBD8BA">
            <wp:extent cx="5731510" cy="3126794"/>
            <wp:effectExtent l="0" t="0" r="2540" b="0"/>
            <wp:docPr id="32" name="Picture 32"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9F5EEE" w:rsidRPr="009F5EEE">
        <w:t>October</w:t>
      </w:r>
      <w:r w:rsidR="004D5447" w:rsidRPr="009F5EEE">
        <w:t xml:space="preserve"> </w:t>
      </w:r>
      <w:r w:rsidR="00C4712A" w:rsidRPr="009F5EEE">
        <w:t>2016</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133" w:rsidRDefault="006C5133" w:rsidP="004B4412">
      <w:pPr>
        <w:spacing w:before="0"/>
      </w:pPr>
      <w:r>
        <w:separator/>
      </w:r>
    </w:p>
  </w:endnote>
  <w:endnote w:type="continuationSeparator" w:id="0">
    <w:p w:rsidR="006C5133" w:rsidRDefault="006C5133"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133" w:rsidRPr="00A91A9E" w:rsidRDefault="006C5133"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6C5133" w:rsidRDefault="006C5133"/>
  <w:p w:rsidR="006C5133" w:rsidRDefault="006C513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133" w:rsidRPr="00A94D89" w:rsidRDefault="006C5133"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EE7852">
      <w:rPr>
        <w:rFonts w:cs="Arial"/>
        <w:i/>
        <w:noProof/>
      </w:rPr>
      <w:t>12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133" w:rsidRPr="00A94D89" w:rsidRDefault="006C5133"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EE7852">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D16/</w:t>
    </w:r>
    <w:r>
      <w:rPr>
        <w:rFonts w:cs="Arial"/>
        <w:i/>
        <w:szCs w:val="18"/>
      </w:rPr>
      <w:t>142795</w:t>
    </w:r>
  </w:p>
  <w:p w:rsidR="006C5133" w:rsidRDefault="006C513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133" w:rsidRDefault="006C5133" w:rsidP="004B4412">
      <w:pPr>
        <w:spacing w:before="0"/>
      </w:pPr>
      <w:r>
        <w:separator/>
      </w:r>
    </w:p>
  </w:footnote>
  <w:footnote w:type="continuationSeparator" w:id="0">
    <w:p w:rsidR="006C5133" w:rsidRDefault="006C5133" w:rsidP="004B4412">
      <w:pPr>
        <w:spacing w:before="0"/>
      </w:pPr>
      <w:r>
        <w:continuationSeparator/>
      </w:r>
    </w:p>
  </w:footnote>
  <w:footnote w:id="1">
    <w:p w:rsidR="006C5133" w:rsidRDefault="006C5133" w:rsidP="00731BDD">
      <w:pPr>
        <w:pStyle w:val="FootnoteText"/>
        <w:tabs>
          <w:tab w:val="left" w:pos="709"/>
        </w:tabs>
      </w:pPr>
      <w:r>
        <w:rPr>
          <w:rStyle w:val="FootnoteReference"/>
        </w:rPr>
        <w:footnoteRef/>
      </w:r>
      <w:r>
        <w:t xml:space="preserve">   </w:t>
      </w:r>
      <w:r>
        <w:tab/>
        <w:t>Reported in The Australian, 10 October 2016.</w:t>
      </w:r>
    </w:p>
  </w:footnote>
  <w:footnote w:id="2">
    <w:p w:rsidR="006C5133" w:rsidRPr="000835F4" w:rsidRDefault="006C5133"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with the exception of Gas Supply Hubs (GSH). </w:t>
      </w:r>
      <w:r w:rsidRPr="00EC137F">
        <w:rPr>
          <w:szCs w:val="16"/>
        </w:rPr>
        <w:t>The weighted average daily imbalance price applies for Victoria. The prices shown for the GSH in Wallumbilla and Moomba are volume weighted average prices for all products traded across the period. The total quantity contributing to the weighted price is displayed for these GSH.</w:t>
      </w:r>
    </w:p>
  </w:footnote>
  <w:footnote w:id="3">
    <w:p w:rsidR="006C5133" w:rsidRDefault="006C5133" w:rsidP="008F59F5">
      <w:pPr>
        <w:pStyle w:val="FootnoteText"/>
        <w:ind w:left="709" w:hanging="709"/>
        <w:jc w:val="both"/>
      </w:pPr>
      <w:r>
        <w:rPr>
          <w:rStyle w:val="FootnoteReference"/>
        </w:rPr>
        <w:footnoteRef/>
      </w:r>
      <w:r>
        <w:t xml:space="preserve"> </w:t>
      </w:r>
      <w:r>
        <w:tab/>
      </w:r>
      <w:hyperlink r:id="rId1" w:history="1">
        <w:r w:rsidRPr="00DF470F">
          <w:rPr>
            <w:rStyle w:val="Hyperlink"/>
            <w:sz w:val="16"/>
          </w:rPr>
          <w:t>https://www.aer.gov.au/wholesale-markets/market-performance/gas-report-25-september-1-october2016</w:t>
        </w:r>
      </w:hyperlink>
      <w:r>
        <w:t xml:space="preserve"> </w:t>
      </w:r>
    </w:p>
  </w:footnote>
  <w:footnote w:id="4">
    <w:p w:rsidR="008F59F5" w:rsidRDefault="008F59F5" w:rsidP="008F59F5">
      <w:pPr>
        <w:pStyle w:val="FootnoteText"/>
        <w:ind w:left="709" w:hanging="709"/>
        <w:jc w:val="both"/>
      </w:pPr>
      <w:r>
        <w:rPr>
          <w:rStyle w:val="FootnoteReference"/>
        </w:rPr>
        <w:footnoteRef/>
      </w:r>
      <w:r>
        <w:t xml:space="preserve"> </w:t>
      </w:r>
      <w:r>
        <w:tab/>
        <w:t>Around 24 TJ of additional supply offers at $0/GJ were available in the ex ante schedule. While 10.5 TJ of gas was scheduled to flow on the MSP, this was entirely dedicated to the supply of back haul deliveries upstream of the hub (and as such does not appear in the net scheduled flows depicted in figure 2.3). This also resulted in in a Pipeline Flow Direction Constraint price of $1.13/GJ to economically deliver additional supply to match the back haul demand on the pipeline.</w:t>
      </w:r>
    </w:p>
  </w:footnote>
  <w:footnote w:id="5">
    <w:p w:rsidR="006C5133" w:rsidRPr="00EC2CB1" w:rsidRDefault="006C5133"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6">
    <w:p w:rsidR="006C5133" w:rsidRPr="00EC2CB1" w:rsidRDefault="006C5133"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7">
    <w:p w:rsidR="006C5133" w:rsidRPr="00EC2CB1" w:rsidRDefault="006C5133"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8">
    <w:p w:rsidR="006C5133" w:rsidRPr="00551D6B" w:rsidRDefault="006C5133"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9">
    <w:p w:rsidR="006C5133" w:rsidRPr="00551D6B" w:rsidRDefault="006C5133"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0">
    <w:p w:rsidR="006C5133" w:rsidRPr="00552F68" w:rsidRDefault="006C5133"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1">
    <w:p w:rsidR="006C5133" w:rsidRPr="006A18F5" w:rsidRDefault="006C5133" w:rsidP="00034A40">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6A18F5">
        <w:rPr>
          <w:b/>
          <w:szCs w:val="16"/>
        </w:rPr>
        <w:t>Domestic gas flows</w:t>
      </w:r>
      <w:r w:rsidRPr="006A18F5">
        <w:rPr>
          <w:szCs w:val="16"/>
        </w:rPr>
        <w:t xml:space="preserve"> are calculated as the total of:  </w:t>
      </w:r>
      <w:r w:rsidRPr="006A18F5">
        <w:rPr>
          <w:b/>
          <w:szCs w:val="16"/>
        </w:rPr>
        <w:t>SA</w:t>
      </w:r>
      <w:r w:rsidRPr="006A18F5">
        <w:rPr>
          <w:szCs w:val="16"/>
        </w:rPr>
        <w:t xml:space="preserve"> = MAP + SEAGAS; </w:t>
      </w:r>
      <w:r w:rsidRPr="006A18F5">
        <w:rPr>
          <w:b/>
          <w:szCs w:val="16"/>
        </w:rPr>
        <w:t>VIC</w:t>
      </w:r>
      <w:r w:rsidRPr="006A18F5">
        <w:rPr>
          <w:szCs w:val="16"/>
        </w:rPr>
        <w:t xml:space="preserve"> = SWP + LMP + (absolute quantity of negative flows only on the ‘NSW-VIC interconnect’); </w:t>
      </w:r>
      <w:r w:rsidRPr="006A18F5">
        <w:rPr>
          <w:b/>
          <w:szCs w:val="16"/>
        </w:rPr>
        <w:t>NSW/ACT</w:t>
      </w:r>
      <w:r w:rsidRPr="006A18F5">
        <w:rPr>
          <w:szCs w:val="16"/>
        </w:rPr>
        <w:t xml:space="preserve"> = EGP + MSP; </w:t>
      </w:r>
      <w:r w:rsidRPr="006A18F5">
        <w:rPr>
          <w:b/>
          <w:szCs w:val="16"/>
        </w:rPr>
        <w:t>TAS</w:t>
      </w:r>
      <w:r w:rsidRPr="006A18F5">
        <w:rPr>
          <w:szCs w:val="16"/>
        </w:rPr>
        <w:t xml:space="preserve"> = TGP; </w:t>
      </w:r>
      <w:r w:rsidRPr="006A18F5">
        <w:rPr>
          <w:b/>
          <w:szCs w:val="16"/>
        </w:rPr>
        <w:t>QLD (Brisbane)</w:t>
      </w:r>
      <w:r w:rsidRPr="006A18F5">
        <w:rPr>
          <w:szCs w:val="16"/>
        </w:rPr>
        <w:t xml:space="preserve"> = RBP; </w:t>
      </w:r>
      <w:r w:rsidRPr="006A18F5">
        <w:rPr>
          <w:b/>
          <w:szCs w:val="16"/>
        </w:rPr>
        <w:t>QLD (Mt Isa)</w:t>
      </w:r>
      <w:r w:rsidRPr="006A18F5">
        <w:rPr>
          <w:szCs w:val="16"/>
        </w:rPr>
        <w:t xml:space="preserve"> = CGP; and </w:t>
      </w:r>
      <w:r w:rsidRPr="006A18F5">
        <w:rPr>
          <w:b/>
          <w:szCs w:val="16"/>
        </w:rPr>
        <w:t>QLD (Gladstone)</w:t>
      </w:r>
      <w:r w:rsidRPr="006A18F5">
        <w:rPr>
          <w:szCs w:val="16"/>
        </w:rPr>
        <w:t xml:space="preserve"> = QGP. </w:t>
      </w:r>
    </w:p>
    <w:p w:rsidR="006C5133" w:rsidRPr="006A18F5" w:rsidRDefault="006C5133" w:rsidP="003D30EE">
      <w:pPr>
        <w:pStyle w:val="FootnoteText"/>
        <w:spacing w:before="0"/>
        <w:ind w:left="709"/>
        <w:jc w:val="both"/>
        <w:rPr>
          <w:szCs w:val="16"/>
        </w:rPr>
      </w:pPr>
      <w:r w:rsidRPr="006A18F5">
        <w:rPr>
          <w:b/>
          <w:szCs w:val="16"/>
        </w:rPr>
        <w:t xml:space="preserve">Export gas flows </w:t>
      </w:r>
      <w:r w:rsidRPr="006A18F5">
        <w:rPr>
          <w:szCs w:val="16"/>
        </w:rPr>
        <w:t>are calculated as the total of: the APLNG pipeline; the GLNG pipeline; and the Wallumbilla to Gladstone pipeline.</w:t>
      </w:r>
    </w:p>
    <w:p w:rsidR="006C5133" w:rsidRPr="006A18F5" w:rsidRDefault="006C5133" w:rsidP="008A7246">
      <w:pPr>
        <w:pStyle w:val="FootnoteText"/>
        <w:spacing w:before="0"/>
        <w:ind w:left="709"/>
        <w:jc w:val="both"/>
        <w:rPr>
          <w:sz w:val="18"/>
          <w:szCs w:val="16"/>
        </w:rPr>
      </w:pPr>
      <w:r w:rsidRPr="006A18F5">
        <w:rPr>
          <w:b/>
          <w:szCs w:val="16"/>
        </w:rPr>
        <w:t>GPG volumes</w:t>
      </w:r>
      <w:r w:rsidRPr="006A18F5">
        <w:rPr>
          <w:szCs w:val="16"/>
        </w:rPr>
        <w:t xml:space="preserve"> may include gas usage that does not show up on Bulletin Board pipeline flows.</w:t>
      </w:r>
    </w:p>
  </w:footnote>
  <w:footnote w:id="12">
    <w:p w:rsidR="006C5133" w:rsidRPr="006A18F5" w:rsidRDefault="006C5133" w:rsidP="008A7246">
      <w:pPr>
        <w:pStyle w:val="FootnoteText"/>
        <w:spacing w:before="12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6A18F5">
        <w:rPr>
          <w:szCs w:val="16"/>
        </w:rPr>
        <w:t>GSH supply is the average daily volume of gas ‘traded’, while price is a volume weighted average.</w:t>
      </w:r>
    </w:p>
  </w:footnote>
  <w:footnote w:id="13">
    <w:p w:rsidR="00F41BE4" w:rsidRPr="006A18F5" w:rsidRDefault="00F41BE4" w:rsidP="008A7246">
      <w:pPr>
        <w:pStyle w:val="FootnoteText"/>
        <w:spacing w:before="120"/>
        <w:ind w:left="709" w:hanging="709"/>
        <w:jc w:val="both"/>
      </w:pPr>
      <w:r w:rsidRPr="00F41BE4">
        <w:rPr>
          <w:rStyle w:val="FootnoteReference"/>
          <w:sz w:val="20"/>
        </w:rPr>
        <w:footnoteRef/>
      </w:r>
      <w:r w:rsidRPr="00F41BE4">
        <w:rPr>
          <w:sz w:val="20"/>
        </w:rPr>
        <w:t xml:space="preserve"> </w:t>
      </w:r>
      <w:r>
        <w:tab/>
      </w:r>
      <w:r w:rsidRPr="006A18F5">
        <w:t>The figure for QSN Link has been adjusted to accommodate the Bulletin Board data change reflecting northerly flows as ‘Receipts’ at Moomba on the South West Queensland Pipeline.</w:t>
      </w:r>
      <w:r w:rsidR="006A18F5">
        <w:t xml:space="preserve"> Similarly, production figures have been adjusted to remove receipts recorded at the Iona underground storage and Dandenong LNG facilities (Port Campbell/Gippsland).</w:t>
      </w:r>
      <w:bookmarkStart w:id="6" w:name="_GoBack"/>
      <w:bookmarkEnd w:id="6"/>
    </w:p>
  </w:footnote>
  <w:footnote w:id="14">
    <w:p w:rsidR="006C5133" w:rsidRPr="001C3452" w:rsidRDefault="006C5133" w:rsidP="001C3452">
      <w:pPr>
        <w:pStyle w:val="FootnoteText"/>
        <w:spacing w:before="0"/>
        <w:ind w:left="709" w:hanging="709"/>
        <w:jc w:val="both"/>
        <w:rPr>
          <w:szCs w:val="16"/>
        </w:rPr>
      </w:pPr>
      <w:r w:rsidRPr="001C3452">
        <w:rPr>
          <w:rStyle w:val="FootnoteReference"/>
          <w:szCs w:val="16"/>
        </w:rPr>
        <w:footnoteRef/>
      </w:r>
      <w:r w:rsidRPr="001C3452">
        <w:rPr>
          <w:szCs w:val="16"/>
        </w:rPr>
        <w:t xml:space="preserve"> </w:t>
      </w:r>
      <w:r w:rsidRPr="001C3452">
        <w:rPr>
          <w:szCs w:val="16"/>
        </w:rPr>
        <w:tab/>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5">
    <w:p w:rsidR="006C5133" w:rsidRDefault="006C5133" w:rsidP="006E0523">
      <w:pPr>
        <w:pStyle w:val="FootnoteText"/>
        <w:ind w:left="709" w:hanging="709"/>
        <w:jc w:val="both"/>
      </w:pPr>
      <w:r>
        <w:rPr>
          <w:rStyle w:val="FootnoteReference"/>
        </w:rPr>
        <w:footnoteRef/>
      </w:r>
      <w:r>
        <w:t xml:space="preserve"> </w:t>
      </w:r>
      <w:r>
        <w:tab/>
        <w:t>Volume weighted average prices and traded quantities provided in this report may include off-market trades, which are not included in AEMO’s reference price calculations.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32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4948\D16 142795  20161002 - 20161008 gas weekly report (WAL non-netted).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387A"/>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4A3C"/>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47765"/>
    <w:rsid w:val="001503E8"/>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16D"/>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1A7"/>
    <w:rsid w:val="001E2F01"/>
    <w:rsid w:val="001E4665"/>
    <w:rsid w:val="001E48B3"/>
    <w:rsid w:val="001E5AEE"/>
    <w:rsid w:val="001E5CE4"/>
    <w:rsid w:val="001E6FDD"/>
    <w:rsid w:val="001E7720"/>
    <w:rsid w:val="001F03EF"/>
    <w:rsid w:val="001F0EC9"/>
    <w:rsid w:val="001F1548"/>
    <w:rsid w:val="001F1B78"/>
    <w:rsid w:val="001F22EE"/>
    <w:rsid w:val="001F2577"/>
    <w:rsid w:val="001F3530"/>
    <w:rsid w:val="001F492E"/>
    <w:rsid w:val="001F65C2"/>
    <w:rsid w:val="001F6DA3"/>
    <w:rsid w:val="001F7575"/>
    <w:rsid w:val="00201136"/>
    <w:rsid w:val="0020132A"/>
    <w:rsid w:val="00201C06"/>
    <w:rsid w:val="00203300"/>
    <w:rsid w:val="0020376D"/>
    <w:rsid w:val="0020489F"/>
    <w:rsid w:val="002050F5"/>
    <w:rsid w:val="002062A9"/>
    <w:rsid w:val="002065C6"/>
    <w:rsid w:val="00206A67"/>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5BD5"/>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249"/>
    <w:rsid w:val="00346F05"/>
    <w:rsid w:val="0035089F"/>
    <w:rsid w:val="003518B3"/>
    <w:rsid w:val="00351FDC"/>
    <w:rsid w:val="00352DA8"/>
    <w:rsid w:val="00354887"/>
    <w:rsid w:val="00354A9E"/>
    <w:rsid w:val="0035522A"/>
    <w:rsid w:val="00355CDD"/>
    <w:rsid w:val="00355D1A"/>
    <w:rsid w:val="00355D2F"/>
    <w:rsid w:val="00356706"/>
    <w:rsid w:val="00356E72"/>
    <w:rsid w:val="003571F0"/>
    <w:rsid w:val="00361D84"/>
    <w:rsid w:val="00362ABA"/>
    <w:rsid w:val="003642AD"/>
    <w:rsid w:val="00366515"/>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297F"/>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D7FEE"/>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3921"/>
    <w:rsid w:val="00465210"/>
    <w:rsid w:val="004655E0"/>
    <w:rsid w:val="00470AF4"/>
    <w:rsid w:val="00470EE9"/>
    <w:rsid w:val="0047130B"/>
    <w:rsid w:val="00471992"/>
    <w:rsid w:val="00471E68"/>
    <w:rsid w:val="0047346C"/>
    <w:rsid w:val="0047517A"/>
    <w:rsid w:val="00477821"/>
    <w:rsid w:val="0048018F"/>
    <w:rsid w:val="00480B4B"/>
    <w:rsid w:val="00480DA9"/>
    <w:rsid w:val="004831F8"/>
    <w:rsid w:val="00485752"/>
    <w:rsid w:val="00485DC4"/>
    <w:rsid w:val="00487C10"/>
    <w:rsid w:val="004923CD"/>
    <w:rsid w:val="00492A06"/>
    <w:rsid w:val="00493B02"/>
    <w:rsid w:val="00494036"/>
    <w:rsid w:val="00494E78"/>
    <w:rsid w:val="00495574"/>
    <w:rsid w:val="0049751C"/>
    <w:rsid w:val="004A0AB5"/>
    <w:rsid w:val="004A1061"/>
    <w:rsid w:val="004A1184"/>
    <w:rsid w:val="004A13A6"/>
    <w:rsid w:val="004A2770"/>
    <w:rsid w:val="004A364A"/>
    <w:rsid w:val="004A5BCF"/>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A02E4"/>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D6F79"/>
    <w:rsid w:val="005E0B7E"/>
    <w:rsid w:val="005E2086"/>
    <w:rsid w:val="005E6FFA"/>
    <w:rsid w:val="005E7718"/>
    <w:rsid w:val="005F0661"/>
    <w:rsid w:val="005F0CD5"/>
    <w:rsid w:val="005F69C4"/>
    <w:rsid w:val="005F6ADE"/>
    <w:rsid w:val="005F702C"/>
    <w:rsid w:val="005F7247"/>
    <w:rsid w:val="00600B2D"/>
    <w:rsid w:val="00602A58"/>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4299"/>
    <w:rsid w:val="00665ACC"/>
    <w:rsid w:val="00665C0C"/>
    <w:rsid w:val="00666226"/>
    <w:rsid w:val="0067180B"/>
    <w:rsid w:val="00673D15"/>
    <w:rsid w:val="006741D4"/>
    <w:rsid w:val="00675E21"/>
    <w:rsid w:val="00676679"/>
    <w:rsid w:val="00677233"/>
    <w:rsid w:val="006777D7"/>
    <w:rsid w:val="00686411"/>
    <w:rsid w:val="00687AA8"/>
    <w:rsid w:val="00694FD6"/>
    <w:rsid w:val="0069547C"/>
    <w:rsid w:val="006956EC"/>
    <w:rsid w:val="006A0411"/>
    <w:rsid w:val="006A1226"/>
    <w:rsid w:val="006A18F5"/>
    <w:rsid w:val="006A20CE"/>
    <w:rsid w:val="006A21CD"/>
    <w:rsid w:val="006A35B0"/>
    <w:rsid w:val="006A6EDD"/>
    <w:rsid w:val="006A7C64"/>
    <w:rsid w:val="006B0C7B"/>
    <w:rsid w:val="006B245C"/>
    <w:rsid w:val="006B32F3"/>
    <w:rsid w:val="006B4CF9"/>
    <w:rsid w:val="006B53D0"/>
    <w:rsid w:val="006B6CC3"/>
    <w:rsid w:val="006B77F5"/>
    <w:rsid w:val="006B7AC8"/>
    <w:rsid w:val="006C196C"/>
    <w:rsid w:val="006C1E8B"/>
    <w:rsid w:val="006C2373"/>
    <w:rsid w:val="006C318F"/>
    <w:rsid w:val="006C3620"/>
    <w:rsid w:val="006C41C4"/>
    <w:rsid w:val="006C447D"/>
    <w:rsid w:val="006C45E0"/>
    <w:rsid w:val="006C5133"/>
    <w:rsid w:val="006C5B09"/>
    <w:rsid w:val="006C62B7"/>
    <w:rsid w:val="006D0C1E"/>
    <w:rsid w:val="006D1D94"/>
    <w:rsid w:val="006D1DC2"/>
    <w:rsid w:val="006D20B3"/>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015"/>
    <w:rsid w:val="007037F6"/>
    <w:rsid w:val="00704518"/>
    <w:rsid w:val="00704CA4"/>
    <w:rsid w:val="00707011"/>
    <w:rsid w:val="00707563"/>
    <w:rsid w:val="00711BF6"/>
    <w:rsid w:val="00712D03"/>
    <w:rsid w:val="00716355"/>
    <w:rsid w:val="0071735A"/>
    <w:rsid w:val="0072073C"/>
    <w:rsid w:val="00720998"/>
    <w:rsid w:val="00720AB2"/>
    <w:rsid w:val="0072348C"/>
    <w:rsid w:val="007241D7"/>
    <w:rsid w:val="007247EC"/>
    <w:rsid w:val="00724827"/>
    <w:rsid w:val="00724A37"/>
    <w:rsid w:val="00724BF3"/>
    <w:rsid w:val="00727D4D"/>
    <w:rsid w:val="007303C3"/>
    <w:rsid w:val="00731BDD"/>
    <w:rsid w:val="00731F13"/>
    <w:rsid w:val="0073214E"/>
    <w:rsid w:val="007353C1"/>
    <w:rsid w:val="0073561F"/>
    <w:rsid w:val="007356A7"/>
    <w:rsid w:val="00741247"/>
    <w:rsid w:val="00741D03"/>
    <w:rsid w:val="007426D5"/>
    <w:rsid w:val="00743223"/>
    <w:rsid w:val="00746063"/>
    <w:rsid w:val="00746E01"/>
    <w:rsid w:val="00747D2F"/>
    <w:rsid w:val="00751821"/>
    <w:rsid w:val="007532DD"/>
    <w:rsid w:val="00753ADA"/>
    <w:rsid w:val="00755CD6"/>
    <w:rsid w:val="00760FD8"/>
    <w:rsid w:val="007618A3"/>
    <w:rsid w:val="00762D41"/>
    <w:rsid w:val="00763E5D"/>
    <w:rsid w:val="00764C7F"/>
    <w:rsid w:val="00767740"/>
    <w:rsid w:val="00771822"/>
    <w:rsid w:val="00772A95"/>
    <w:rsid w:val="00777EE6"/>
    <w:rsid w:val="00780452"/>
    <w:rsid w:val="00781A01"/>
    <w:rsid w:val="00782EEA"/>
    <w:rsid w:val="00783145"/>
    <w:rsid w:val="0078319A"/>
    <w:rsid w:val="00783D4E"/>
    <w:rsid w:val="00783E1A"/>
    <w:rsid w:val="00784059"/>
    <w:rsid w:val="0078423F"/>
    <w:rsid w:val="00784A7E"/>
    <w:rsid w:val="007861E0"/>
    <w:rsid w:val="00791140"/>
    <w:rsid w:val="0079277A"/>
    <w:rsid w:val="0079310A"/>
    <w:rsid w:val="007959E7"/>
    <w:rsid w:val="00796C78"/>
    <w:rsid w:val="00796D6A"/>
    <w:rsid w:val="007A1135"/>
    <w:rsid w:val="007A1428"/>
    <w:rsid w:val="007A1AB0"/>
    <w:rsid w:val="007A33E8"/>
    <w:rsid w:val="007A6656"/>
    <w:rsid w:val="007A7264"/>
    <w:rsid w:val="007B1732"/>
    <w:rsid w:val="007B28E9"/>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0F93"/>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B1F"/>
    <w:rsid w:val="0087479D"/>
    <w:rsid w:val="008778F7"/>
    <w:rsid w:val="008837AC"/>
    <w:rsid w:val="00884D30"/>
    <w:rsid w:val="0088604D"/>
    <w:rsid w:val="00886662"/>
    <w:rsid w:val="00886BAB"/>
    <w:rsid w:val="00886CEC"/>
    <w:rsid w:val="00886FA8"/>
    <w:rsid w:val="00887EBF"/>
    <w:rsid w:val="008909FD"/>
    <w:rsid w:val="008934F4"/>
    <w:rsid w:val="00895878"/>
    <w:rsid w:val="00896C79"/>
    <w:rsid w:val="008A147B"/>
    <w:rsid w:val="008A157D"/>
    <w:rsid w:val="008A4DB6"/>
    <w:rsid w:val="008A587D"/>
    <w:rsid w:val="008A59AB"/>
    <w:rsid w:val="008A6198"/>
    <w:rsid w:val="008A7246"/>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E1E8E"/>
    <w:rsid w:val="008E2C54"/>
    <w:rsid w:val="008E535A"/>
    <w:rsid w:val="008E6CAE"/>
    <w:rsid w:val="008E7031"/>
    <w:rsid w:val="008F05DF"/>
    <w:rsid w:val="008F14C9"/>
    <w:rsid w:val="008F2DE1"/>
    <w:rsid w:val="008F2F48"/>
    <w:rsid w:val="008F4AD5"/>
    <w:rsid w:val="008F4C72"/>
    <w:rsid w:val="008F4DFD"/>
    <w:rsid w:val="008F59F5"/>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4CC0"/>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4CDB"/>
    <w:rsid w:val="009777E3"/>
    <w:rsid w:val="00981578"/>
    <w:rsid w:val="00981E7F"/>
    <w:rsid w:val="00982FEB"/>
    <w:rsid w:val="009837D1"/>
    <w:rsid w:val="00983EEC"/>
    <w:rsid w:val="009856B7"/>
    <w:rsid w:val="00985A66"/>
    <w:rsid w:val="0098646A"/>
    <w:rsid w:val="009920D2"/>
    <w:rsid w:val="009928BC"/>
    <w:rsid w:val="009937B4"/>
    <w:rsid w:val="0099572C"/>
    <w:rsid w:val="009A090B"/>
    <w:rsid w:val="009A0A73"/>
    <w:rsid w:val="009A0EDF"/>
    <w:rsid w:val="009A14D0"/>
    <w:rsid w:val="009A3D22"/>
    <w:rsid w:val="009A4B08"/>
    <w:rsid w:val="009A574C"/>
    <w:rsid w:val="009A6D69"/>
    <w:rsid w:val="009B048C"/>
    <w:rsid w:val="009B0884"/>
    <w:rsid w:val="009B10E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54FE"/>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9F5EEE"/>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5AAA"/>
    <w:rsid w:val="00A81710"/>
    <w:rsid w:val="00A81EF8"/>
    <w:rsid w:val="00A8219E"/>
    <w:rsid w:val="00A84149"/>
    <w:rsid w:val="00A84E2D"/>
    <w:rsid w:val="00A84F46"/>
    <w:rsid w:val="00A85990"/>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10D0"/>
    <w:rsid w:val="00B33C7F"/>
    <w:rsid w:val="00B35810"/>
    <w:rsid w:val="00B35937"/>
    <w:rsid w:val="00B3773B"/>
    <w:rsid w:val="00B4128D"/>
    <w:rsid w:val="00B41686"/>
    <w:rsid w:val="00B44E99"/>
    <w:rsid w:val="00B453D7"/>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8080B"/>
    <w:rsid w:val="00B816E6"/>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1577"/>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D4FA2"/>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767"/>
    <w:rsid w:val="00D33489"/>
    <w:rsid w:val="00D372FA"/>
    <w:rsid w:val="00D40B44"/>
    <w:rsid w:val="00D43663"/>
    <w:rsid w:val="00D44037"/>
    <w:rsid w:val="00D4594F"/>
    <w:rsid w:val="00D4681D"/>
    <w:rsid w:val="00D5111E"/>
    <w:rsid w:val="00D5124C"/>
    <w:rsid w:val="00D53F55"/>
    <w:rsid w:val="00D56125"/>
    <w:rsid w:val="00D57DEC"/>
    <w:rsid w:val="00D61388"/>
    <w:rsid w:val="00D613F3"/>
    <w:rsid w:val="00D615F9"/>
    <w:rsid w:val="00D61A54"/>
    <w:rsid w:val="00D62BAD"/>
    <w:rsid w:val="00D64DEA"/>
    <w:rsid w:val="00D65E49"/>
    <w:rsid w:val="00D67D07"/>
    <w:rsid w:val="00D70F71"/>
    <w:rsid w:val="00D71771"/>
    <w:rsid w:val="00D725C2"/>
    <w:rsid w:val="00D72B6A"/>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170E"/>
    <w:rsid w:val="00DC22E3"/>
    <w:rsid w:val="00DC24BF"/>
    <w:rsid w:val="00DC2907"/>
    <w:rsid w:val="00DC395C"/>
    <w:rsid w:val="00DC5E54"/>
    <w:rsid w:val="00DC693A"/>
    <w:rsid w:val="00DC756B"/>
    <w:rsid w:val="00DC7981"/>
    <w:rsid w:val="00DC7B5A"/>
    <w:rsid w:val="00DD15C2"/>
    <w:rsid w:val="00DD27EA"/>
    <w:rsid w:val="00DD33DE"/>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13E0"/>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F0B"/>
    <w:rsid w:val="00E40426"/>
    <w:rsid w:val="00E40B9C"/>
    <w:rsid w:val="00E414FD"/>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217"/>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0469"/>
    <w:rsid w:val="00ED3C5B"/>
    <w:rsid w:val="00ED4A25"/>
    <w:rsid w:val="00ED6E24"/>
    <w:rsid w:val="00EE164B"/>
    <w:rsid w:val="00EE28F3"/>
    <w:rsid w:val="00EE347F"/>
    <w:rsid w:val="00EE42C2"/>
    <w:rsid w:val="00EE46CE"/>
    <w:rsid w:val="00EE575A"/>
    <w:rsid w:val="00EE7852"/>
    <w:rsid w:val="00EF013A"/>
    <w:rsid w:val="00EF0E42"/>
    <w:rsid w:val="00EF0FE6"/>
    <w:rsid w:val="00EF1961"/>
    <w:rsid w:val="00EF3041"/>
    <w:rsid w:val="00EF3FB8"/>
    <w:rsid w:val="00EF5110"/>
    <w:rsid w:val="00EF62CA"/>
    <w:rsid w:val="00EF69CB"/>
    <w:rsid w:val="00EF75BA"/>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1BE4"/>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4CAE"/>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75196152">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aer.gov.au/wholesale-markets/market-performance/gas-report-25-september-1-october2016"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CCF901-0E30-46D8-BC98-C6892948B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A20D861A.dotm</Template>
  <TotalTime>0</TotalTime>
  <Pages>12</Pages>
  <Words>1777</Words>
  <Characters>10132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2016-10-21T05:33:00Z</dcterms:created>
  <dcterms:modified xsi:type="dcterms:W3CDTF">2016-11-03T04:25:00Z</dcterms:modified>
</cp:coreProperties>
</file>