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C2BC7F2" wp14:editId="06A240D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D26D48" w:rsidP="00286866">
      <w:pPr>
        <w:pStyle w:val="Heading2"/>
        <w:rPr>
          <w:i/>
        </w:rPr>
      </w:pPr>
      <w:r>
        <w:rPr>
          <w:sz w:val="36"/>
          <w:szCs w:val="36"/>
        </w:rPr>
        <w:t>24 – 30 July 2016</w:t>
      </w:r>
      <w:bookmarkStart w:id="6" w:name="_GoBack"/>
      <w:bookmarkEnd w:id="6"/>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367962" w:rsidRDefault="00367962" w:rsidP="00F26128">
      <w:pPr>
        <w:jc w:val="both"/>
      </w:pPr>
      <w:r w:rsidRPr="00367962">
        <w:t xml:space="preserve">Daily prices have remained below $15/GJ since the beginning of the previous week, while average prices decreased further in Brisbane and Adelaide this week.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AE291B">
        <w:fldChar w:fldCharType="begin"/>
      </w:r>
      <w:r w:rsidR="00AE291B">
        <w:instrText xml:space="preserve"> SEQ Figure \* ARABIC </w:instrText>
      </w:r>
      <w:r w:rsidR="00AE291B">
        <w:fldChar w:fldCharType="separate"/>
      </w:r>
      <w:r w:rsidR="00DC137D">
        <w:rPr>
          <w:noProof/>
        </w:rPr>
        <w:t>1</w:t>
      </w:r>
      <w:r w:rsidR="00AE291B">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0B4AD5" w:rsidRPr="006A7228" w:rsidTr="00534DD9">
        <w:trPr>
          <w:trHeight w:val="510"/>
        </w:trPr>
        <w:tc>
          <w:tcPr>
            <w:tcW w:w="749" w:type="pct"/>
            <w:tcBorders>
              <w:top w:val="nil"/>
              <w:bottom w:val="nil"/>
            </w:tcBorders>
            <w:vAlign w:val="center"/>
          </w:tcPr>
          <w:p w:rsidR="000B4AD5" w:rsidRDefault="000B4AD5">
            <w:pPr>
              <w:rPr>
                <w:rFonts w:cs="Arial"/>
                <w:sz w:val="16"/>
                <w:szCs w:val="16"/>
              </w:rPr>
            </w:pPr>
            <w:r>
              <w:rPr>
                <w:rFonts w:cs="Arial"/>
                <w:sz w:val="16"/>
                <w:szCs w:val="16"/>
              </w:rPr>
              <w:t>24 Jul - 30 Jul 2016</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9.52</w:t>
            </w:r>
          </w:p>
        </w:tc>
        <w:tc>
          <w:tcPr>
            <w:tcW w:w="441"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960</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8.33</w:t>
            </w:r>
          </w:p>
        </w:tc>
        <w:tc>
          <w:tcPr>
            <w:tcW w:w="417"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301</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9.69</w:t>
            </w:r>
          </w:p>
        </w:tc>
        <w:tc>
          <w:tcPr>
            <w:tcW w:w="310"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87</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6.70</w:t>
            </w:r>
          </w:p>
        </w:tc>
        <w:tc>
          <w:tcPr>
            <w:tcW w:w="363"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96</w:t>
            </w:r>
          </w:p>
        </w:tc>
        <w:tc>
          <w:tcPr>
            <w:tcW w:w="330"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7.10</w:t>
            </w:r>
          </w:p>
        </w:tc>
        <w:tc>
          <w:tcPr>
            <w:tcW w:w="35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176</w:t>
            </w:r>
          </w:p>
        </w:tc>
        <w:tc>
          <w:tcPr>
            <w:tcW w:w="303" w:type="pct"/>
            <w:gridSpan w:val="2"/>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w:t>
            </w:r>
          </w:p>
        </w:tc>
        <w:tc>
          <w:tcPr>
            <w:tcW w:w="412"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w:t>
            </w:r>
          </w:p>
        </w:tc>
      </w:tr>
      <w:tr w:rsidR="000B4AD5"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0B4AD5" w:rsidRDefault="000B4AD5">
            <w:pPr>
              <w:rPr>
                <w:rFonts w:cs="Arial"/>
                <w:sz w:val="16"/>
                <w:szCs w:val="16"/>
              </w:rPr>
            </w:pPr>
            <w:r>
              <w:rPr>
                <w:rFonts w:cs="Arial"/>
                <w:sz w:val="16"/>
                <w:szCs w:val="16"/>
              </w:rPr>
              <w:t>% change from previous week</w:t>
            </w:r>
          </w:p>
        </w:tc>
        <w:tc>
          <w:tcPr>
            <w:tcW w:w="329"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1</w:t>
            </w:r>
          </w:p>
        </w:tc>
        <w:tc>
          <w:tcPr>
            <w:tcW w:w="441"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19</w:t>
            </w:r>
          </w:p>
        </w:tc>
        <w:tc>
          <w:tcPr>
            <w:tcW w:w="329"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5</w:t>
            </w:r>
          </w:p>
        </w:tc>
        <w:tc>
          <w:tcPr>
            <w:tcW w:w="417"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13</w:t>
            </w:r>
          </w:p>
        </w:tc>
        <w:tc>
          <w:tcPr>
            <w:tcW w:w="329"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-20</w:t>
            </w:r>
          </w:p>
        </w:tc>
        <w:tc>
          <w:tcPr>
            <w:tcW w:w="310"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3</w:t>
            </w:r>
          </w:p>
        </w:tc>
        <w:tc>
          <w:tcPr>
            <w:tcW w:w="329"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-11</w:t>
            </w:r>
          </w:p>
        </w:tc>
        <w:tc>
          <w:tcPr>
            <w:tcW w:w="363"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-1</w:t>
            </w:r>
          </w:p>
        </w:tc>
        <w:tc>
          <w:tcPr>
            <w:tcW w:w="330"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-3</w:t>
            </w:r>
          </w:p>
        </w:tc>
        <w:tc>
          <w:tcPr>
            <w:tcW w:w="359"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123</w:t>
            </w:r>
          </w:p>
        </w:tc>
        <w:tc>
          <w:tcPr>
            <w:tcW w:w="303" w:type="pct"/>
            <w:gridSpan w:val="2"/>
            <w:tcBorders>
              <w:top w:val="nil"/>
              <w:bottom w:val="nil"/>
            </w:tcBorders>
            <w:vAlign w:val="center"/>
          </w:tcPr>
          <w:p w:rsidR="000B4AD5" w:rsidRDefault="000B4AD5" w:rsidP="000B4AD5">
            <w:pPr>
              <w:ind w:left="-106" w:right="-70" w:hanging="15"/>
              <w:jc w:val="center"/>
              <w:rPr>
                <w:rFonts w:cs="Arial"/>
                <w:szCs w:val="20"/>
              </w:rPr>
            </w:pPr>
            <w:r>
              <w:rPr>
                <w:rFonts w:cs="Arial"/>
                <w:szCs w:val="20"/>
              </w:rPr>
              <w:t>-</w:t>
            </w:r>
          </w:p>
        </w:tc>
        <w:tc>
          <w:tcPr>
            <w:tcW w:w="412" w:type="pct"/>
            <w:tcBorders>
              <w:top w:val="nil"/>
              <w:bottom w:val="nil"/>
            </w:tcBorders>
            <w:vAlign w:val="center"/>
          </w:tcPr>
          <w:p w:rsidR="000B4AD5" w:rsidRDefault="000B4AD5" w:rsidP="000B4AD5">
            <w:pPr>
              <w:ind w:left="-106" w:right="-70" w:hanging="15"/>
              <w:jc w:val="center"/>
              <w:rPr>
                <w:rFonts w:cs="Arial"/>
                <w:szCs w:val="20"/>
              </w:rPr>
            </w:pPr>
            <w:r>
              <w:rPr>
                <w:rFonts w:cs="Arial"/>
                <w:szCs w:val="20"/>
              </w:rPr>
              <w:t>-</w:t>
            </w:r>
          </w:p>
        </w:tc>
      </w:tr>
      <w:tr w:rsidR="000B4AD5" w:rsidRPr="006A7228" w:rsidTr="00534DD9">
        <w:trPr>
          <w:trHeight w:val="510"/>
        </w:trPr>
        <w:tc>
          <w:tcPr>
            <w:tcW w:w="749" w:type="pct"/>
            <w:tcBorders>
              <w:top w:val="nil"/>
              <w:bottom w:val="nil"/>
            </w:tcBorders>
            <w:vAlign w:val="center"/>
          </w:tcPr>
          <w:p w:rsidR="000B4AD5" w:rsidRDefault="000B4AD5">
            <w:pPr>
              <w:rPr>
                <w:rFonts w:cs="Arial"/>
                <w:sz w:val="16"/>
                <w:szCs w:val="16"/>
              </w:rPr>
            </w:pPr>
            <w:r>
              <w:rPr>
                <w:rFonts w:cs="Arial"/>
                <w:sz w:val="16"/>
                <w:szCs w:val="16"/>
              </w:rPr>
              <w:t>16-17 financial YTD</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12.60</w:t>
            </w:r>
          </w:p>
        </w:tc>
        <w:tc>
          <w:tcPr>
            <w:tcW w:w="441"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916</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10.29</w:t>
            </w:r>
          </w:p>
        </w:tc>
        <w:tc>
          <w:tcPr>
            <w:tcW w:w="417"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294</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14.96</w:t>
            </w:r>
          </w:p>
        </w:tc>
        <w:tc>
          <w:tcPr>
            <w:tcW w:w="310"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89</w:t>
            </w:r>
          </w:p>
        </w:tc>
        <w:tc>
          <w:tcPr>
            <w:tcW w:w="32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10.46</w:t>
            </w:r>
          </w:p>
        </w:tc>
        <w:tc>
          <w:tcPr>
            <w:tcW w:w="363"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96</w:t>
            </w:r>
          </w:p>
        </w:tc>
        <w:tc>
          <w:tcPr>
            <w:tcW w:w="330"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9.10</w:t>
            </w:r>
          </w:p>
        </w:tc>
        <w:tc>
          <w:tcPr>
            <w:tcW w:w="359"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2892</w:t>
            </w:r>
          </w:p>
        </w:tc>
        <w:tc>
          <w:tcPr>
            <w:tcW w:w="303" w:type="pct"/>
            <w:gridSpan w:val="2"/>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w:t>
            </w:r>
          </w:p>
        </w:tc>
        <w:tc>
          <w:tcPr>
            <w:tcW w:w="412" w:type="pct"/>
            <w:tcBorders>
              <w:top w:val="nil"/>
              <w:bottom w:val="nil"/>
            </w:tcBorders>
            <w:vAlign w:val="center"/>
          </w:tcPr>
          <w:p w:rsidR="000B4AD5" w:rsidRDefault="000B4AD5" w:rsidP="000B4AD5">
            <w:pPr>
              <w:ind w:left="-106" w:right="-70" w:hanging="15"/>
              <w:jc w:val="center"/>
              <w:rPr>
                <w:rFonts w:cs="Arial"/>
                <w:sz w:val="20"/>
                <w:szCs w:val="20"/>
              </w:rPr>
            </w:pPr>
            <w:r>
              <w:rPr>
                <w:rFonts w:cs="Arial"/>
                <w:sz w:val="20"/>
                <w:szCs w:val="20"/>
              </w:rPr>
              <w:t>-</w:t>
            </w:r>
          </w:p>
        </w:tc>
      </w:tr>
      <w:tr w:rsidR="000B4AD5"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0B4AD5" w:rsidRDefault="000B4AD5">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152</w:t>
            </w:r>
          </w:p>
        </w:tc>
        <w:tc>
          <w:tcPr>
            <w:tcW w:w="441"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-9</w:t>
            </w:r>
          </w:p>
        </w:tc>
        <w:tc>
          <w:tcPr>
            <w:tcW w:w="329"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85</w:t>
            </w:r>
          </w:p>
        </w:tc>
        <w:tc>
          <w:tcPr>
            <w:tcW w:w="417"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-1</w:t>
            </w:r>
          </w:p>
        </w:tc>
        <w:tc>
          <w:tcPr>
            <w:tcW w:w="329"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142</w:t>
            </w:r>
          </w:p>
        </w:tc>
        <w:tc>
          <w:tcPr>
            <w:tcW w:w="310"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-3</w:t>
            </w:r>
          </w:p>
        </w:tc>
        <w:tc>
          <w:tcPr>
            <w:tcW w:w="329"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102</w:t>
            </w:r>
          </w:p>
        </w:tc>
        <w:tc>
          <w:tcPr>
            <w:tcW w:w="363"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-2</w:t>
            </w:r>
          </w:p>
        </w:tc>
        <w:tc>
          <w:tcPr>
            <w:tcW w:w="330"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86</w:t>
            </w:r>
          </w:p>
        </w:tc>
        <w:tc>
          <w:tcPr>
            <w:tcW w:w="359"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298</w:t>
            </w:r>
          </w:p>
        </w:tc>
        <w:tc>
          <w:tcPr>
            <w:tcW w:w="303" w:type="pct"/>
            <w:gridSpan w:val="2"/>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w:t>
            </w:r>
          </w:p>
        </w:tc>
        <w:tc>
          <w:tcPr>
            <w:tcW w:w="412" w:type="pct"/>
            <w:tcBorders>
              <w:top w:val="nil"/>
              <w:bottom w:val="single" w:sz="4" w:space="0" w:color="auto"/>
            </w:tcBorders>
            <w:vAlign w:val="center"/>
          </w:tcPr>
          <w:p w:rsidR="000B4AD5" w:rsidRDefault="000B4AD5" w:rsidP="000B4AD5">
            <w:pPr>
              <w:ind w:left="-106" w:right="-70" w:hanging="15"/>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AE291B">
        <w:fldChar w:fldCharType="begin"/>
      </w:r>
      <w:r w:rsidR="00AE291B">
        <w:instrText xml:space="preserve"> SEQ Figure \* ARABIC </w:instrText>
      </w:r>
      <w:r w:rsidR="00AE291B">
        <w:fldChar w:fldCharType="separate"/>
      </w:r>
      <w:r w:rsidR="00DC137D">
        <w:rPr>
          <w:noProof/>
        </w:rPr>
        <w:t>2</w:t>
      </w:r>
      <w:r w:rsidR="00AE291B">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0B4AD5" w:rsidP="001521CB">
      <w:r w:rsidRPr="000B4AD5">
        <w:rPr>
          <w:noProof/>
          <w:lang w:eastAsia="en-AU"/>
        </w:rPr>
        <w:drawing>
          <wp:inline distT="0" distB="0" distL="0" distR="0" wp14:anchorId="35D4D3FA" wp14:editId="40D4F590">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AE291B">
        <w:fldChar w:fldCharType="begin"/>
      </w:r>
      <w:r w:rsidR="00AE291B">
        <w:instrText xml:space="preserve"> SEQ Figure \* ARABIC </w:instrText>
      </w:r>
      <w:r w:rsidR="00AE291B">
        <w:fldChar w:fldCharType="separate"/>
      </w:r>
      <w:r w:rsidR="00DC137D">
        <w:rPr>
          <w:noProof/>
        </w:rPr>
        <w:t>3</w:t>
      </w:r>
      <w:r w:rsidR="00AE291B">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B4AD5" w:rsidRPr="00405CDE" w:rsidTr="00534DD9">
        <w:trPr>
          <w:trHeight w:val="510"/>
        </w:trPr>
        <w:tc>
          <w:tcPr>
            <w:tcW w:w="1585" w:type="pct"/>
            <w:tcBorders>
              <w:top w:val="nil"/>
              <w:bottom w:val="nil"/>
            </w:tcBorders>
            <w:vAlign w:val="center"/>
          </w:tcPr>
          <w:p w:rsidR="000B4AD5" w:rsidRDefault="000B4AD5">
            <w:pPr>
              <w:rPr>
                <w:rFonts w:cs="Arial"/>
                <w:sz w:val="16"/>
                <w:szCs w:val="16"/>
              </w:rPr>
            </w:pPr>
            <w:r>
              <w:rPr>
                <w:rFonts w:cs="Arial"/>
                <w:sz w:val="16"/>
                <w:szCs w:val="16"/>
              </w:rPr>
              <w:t>24 Jul - 30 Jul 2016</w:t>
            </w:r>
          </w:p>
        </w:tc>
        <w:tc>
          <w:tcPr>
            <w:tcW w:w="993" w:type="pct"/>
            <w:tcBorders>
              <w:top w:val="nil"/>
              <w:bottom w:val="nil"/>
            </w:tcBorders>
            <w:vAlign w:val="center"/>
          </w:tcPr>
          <w:p w:rsidR="000B4AD5" w:rsidRDefault="000B4AD5">
            <w:pPr>
              <w:jc w:val="center"/>
              <w:rPr>
                <w:rFonts w:cs="Arial"/>
                <w:sz w:val="20"/>
                <w:szCs w:val="20"/>
              </w:rPr>
            </w:pPr>
            <w:r>
              <w:rPr>
                <w:rFonts w:cs="Arial"/>
                <w:sz w:val="20"/>
                <w:szCs w:val="20"/>
              </w:rPr>
              <w:t>-</w:t>
            </w:r>
          </w:p>
        </w:tc>
        <w:tc>
          <w:tcPr>
            <w:tcW w:w="758" w:type="pct"/>
            <w:tcBorders>
              <w:top w:val="nil"/>
              <w:bottom w:val="nil"/>
            </w:tcBorders>
            <w:vAlign w:val="center"/>
          </w:tcPr>
          <w:p w:rsidR="000B4AD5" w:rsidRDefault="000B4AD5">
            <w:pPr>
              <w:jc w:val="center"/>
              <w:rPr>
                <w:rFonts w:cs="Arial"/>
                <w:sz w:val="20"/>
                <w:szCs w:val="20"/>
              </w:rPr>
            </w:pPr>
            <w:r>
              <w:rPr>
                <w:rFonts w:cs="Arial"/>
                <w:sz w:val="20"/>
                <w:szCs w:val="20"/>
              </w:rPr>
              <w:t>89.74</w:t>
            </w:r>
          </w:p>
        </w:tc>
        <w:tc>
          <w:tcPr>
            <w:tcW w:w="831" w:type="pct"/>
            <w:tcBorders>
              <w:top w:val="nil"/>
              <w:bottom w:val="nil"/>
            </w:tcBorders>
            <w:vAlign w:val="center"/>
          </w:tcPr>
          <w:p w:rsidR="000B4AD5" w:rsidRDefault="000B4AD5">
            <w:pPr>
              <w:jc w:val="center"/>
              <w:rPr>
                <w:rFonts w:cs="Arial"/>
                <w:sz w:val="20"/>
                <w:szCs w:val="20"/>
              </w:rPr>
            </w:pPr>
            <w:r>
              <w:rPr>
                <w:rFonts w:cs="Arial"/>
                <w:sz w:val="20"/>
                <w:szCs w:val="20"/>
              </w:rPr>
              <w:t>14.31</w:t>
            </w:r>
          </w:p>
        </w:tc>
        <w:tc>
          <w:tcPr>
            <w:tcW w:w="833" w:type="pct"/>
            <w:tcBorders>
              <w:top w:val="nil"/>
              <w:bottom w:val="nil"/>
            </w:tcBorders>
            <w:vAlign w:val="center"/>
          </w:tcPr>
          <w:p w:rsidR="000B4AD5" w:rsidRDefault="000B4AD5">
            <w:pPr>
              <w:jc w:val="center"/>
              <w:rPr>
                <w:rFonts w:cs="Arial"/>
                <w:sz w:val="20"/>
                <w:szCs w:val="20"/>
              </w:rPr>
            </w:pPr>
            <w:r>
              <w:rPr>
                <w:rFonts w:cs="Arial"/>
                <w:sz w:val="20"/>
                <w:szCs w:val="20"/>
              </w:rPr>
              <w:t>0.77</w:t>
            </w:r>
          </w:p>
        </w:tc>
      </w:tr>
      <w:tr w:rsidR="000B4AD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B4AD5" w:rsidRDefault="000B4AD5">
            <w:pPr>
              <w:rPr>
                <w:rFonts w:cs="Arial"/>
                <w:sz w:val="16"/>
                <w:szCs w:val="16"/>
              </w:rPr>
            </w:pPr>
            <w:r>
              <w:rPr>
                <w:rFonts w:cs="Arial"/>
                <w:sz w:val="16"/>
                <w:szCs w:val="16"/>
              </w:rPr>
              <w:t>% change from previous week</w:t>
            </w:r>
          </w:p>
        </w:tc>
        <w:tc>
          <w:tcPr>
            <w:tcW w:w="993" w:type="pct"/>
            <w:tcBorders>
              <w:top w:val="nil"/>
              <w:bottom w:val="nil"/>
            </w:tcBorders>
            <w:vAlign w:val="center"/>
          </w:tcPr>
          <w:p w:rsidR="000B4AD5" w:rsidRDefault="000B4AD5">
            <w:pPr>
              <w:jc w:val="center"/>
              <w:rPr>
                <w:rFonts w:cs="Arial"/>
                <w:szCs w:val="20"/>
              </w:rPr>
            </w:pPr>
            <w:r>
              <w:rPr>
                <w:rFonts w:cs="Arial"/>
                <w:szCs w:val="20"/>
              </w:rPr>
              <w:t>-</w:t>
            </w:r>
          </w:p>
        </w:tc>
        <w:tc>
          <w:tcPr>
            <w:tcW w:w="758" w:type="pct"/>
            <w:tcBorders>
              <w:top w:val="nil"/>
              <w:bottom w:val="nil"/>
            </w:tcBorders>
            <w:vAlign w:val="center"/>
          </w:tcPr>
          <w:p w:rsidR="000B4AD5" w:rsidRDefault="000B4AD5">
            <w:pPr>
              <w:jc w:val="center"/>
              <w:rPr>
                <w:rFonts w:cs="Arial"/>
                <w:szCs w:val="20"/>
              </w:rPr>
            </w:pPr>
            <w:r>
              <w:rPr>
                <w:rFonts w:cs="Arial"/>
                <w:szCs w:val="20"/>
              </w:rPr>
              <w:t>33</w:t>
            </w:r>
          </w:p>
        </w:tc>
        <w:tc>
          <w:tcPr>
            <w:tcW w:w="831" w:type="pct"/>
            <w:tcBorders>
              <w:top w:val="nil"/>
              <w:bottom w:val="nil"/>
            </w:tcBorders>
            <w:vAlign w:val="center"/>
          </w:tcPr>
          <w:p w:rsidR="000B4AD5" w:rsidRDefault="000B4AD5">
            <w:pPr>
              <w:jc w:val="center"/>
              <w:rPr>
                <w:rFonts w:cs="Arial"/>
                <w:szCs w:val="20"/>
              </w:rPr>
            </w:pPr>
            <w:r>
              <w:rPr>
                <w:rFonts w:cs="Arial"/>
                <w:szCs w:val="20"/>
              </w:rPr>
              <w:t>-8</w:t>
            </w:r>
          </w:p>
        </w:tc>
        <w:tc>
          <w:tcPr>
            <w:tcW w:w="833" w:type="pct"/>
            <w:tcBorders>
              <w:top w:val="nil"/>
              <w:bottom w:val="nil"/>
            </w:tcBorders>
            <w:vAlign w:val="center"/>
          </w:tcPr>
          <w:p w:rsidR="000B4AD5" w:rsidRDefault="000B4AD5">
            <w:pPr>
              <w:jc w:val="center"/>
              <w:rPr>
                <w:rFonts w:cs="Arial"/>
                <w:szCs w:val="20"/>
              </w:rPr>
            </w:pPr>
            <w:r>
              <w:rPr>
                <w:rFonts w:cs="Arial"/>
                <w:szCs w:val="20"/>
              </w:rPr>
              <w:t>-47</w:t>
            </w:r>
          </w:p>
        </w:tc>
      </w:tr>
      <w:tr w:rsidR="000B4AD5" w:rsidRPr="00405CDE" w:rsidTr="00534DD9">
        <w:trPr>
          <w:trHeight w:val="510"/>
        </w:trPr>
        <w:tc>
          <w:tcPr>
            <w:tcW w:w="1585" w:type="pct"/>
            <w:tcBorders>
              <w:top w:val="nil"/>
              <w:bottom w:val="nil"/>
            </w:tcBorders>
            <w:vAlign w:val="center"/>
          </w:tcPr>
          <w:p w:rsidR="000B4AD5" w:rsidRDefault="000B4AD5">
            <w:pPr>
              <w:rPr>
                <w:rFonts w:cs="Arial"/>
                <w:sz w:val="16"/>
                <w:szCs w:val="16"/>
              </w:rPr>
            </w:pPr>
            <w:r>
              <w:rPr>
                <w:rFonts w:cs="Arial"/>
                <w:sz w:val="16"/>
                <w:szCs w:val="16"/>
              </w:rPr>
              <w:t>16-17 financial YTD</w:t>
            </w:r>
          </w:p>
        </w:tc>
        <w:tc>
          <w:tcPr>
            <w:tcW w:w="993" w:type="pct"/>
            <w:tcBorders>
              <w:top w:val="nil"/>
              <w:bottom w:val="nil"/>
            </w:tcBorders>
            <w:vAlign w:val="center"/>
          </w:tcPr>
          <w:p w:rsidR="000B4AD5" w:rsidRDefault="000B4AD5">
            <w:pPr>
              <w:jc w:val="center"/>
              <w:rPr>
                <w:rFonts w:cs="Arial"/>
                <w:sz w:val="20"/>
                <w:szCs w:val="20"/>
              </w:rPr>
            </w:pPr>
            <w:r>
              <w:rPr>
                <w:rFonts w:cs="Arial"/>
                <w:sz w:val="20"/>
                <w:szCs w:val="20"/>
              </w:rPr>
              <w:t> </w:t>
            </w:r>
          </w:p>
        </w:tc>
        <w:tc>
          <w:tcPr>
            <w:tcW w:w="758" w:type="pct"/>
            <w:tcBorders>
              <w:top w:val="nil"/>
              <w:bottom w:val="nil"/>
            </w:tcBorders>
            <w:vAlign w:val="center"/>
          </w:tcPr>
          <w:p w:rsidR="000B4AD5" w:rsidRDefault="000B4AD5">
            <w:pPr>
              <w:jc w:val="center"/>
              <w:rPr>
                <w:rFonts w:cs="Arial"/>
                <w:sz w:val="20"/>
                <w:szCs w:val="20"/>
              </w:rPr>
            </w:pPr>
            <w:r>
              <w:rPr>
                <w:rFonts w:cs="Arial"/>
                <w:sz w:val="20"/>
                <w:szCs w:val="20"/>
              </w:rPr>
              <w:t>83.57</w:t>
            </w:r>
          </w:p>
        </w:tc>
        <w:tc>
          <w:tcPr>
            <w:tcW w:w="831" w:type="pct"/>
            <w:tcBorders>
              <w:top w:val="nil"/>
              <w:bottom w:val="nil"/>
            </w:tcBorders>
            <w:vAlign w:val="center"/>
          </w:tcPr>
          <w:p w:rsidR="000B4AD5" w:rsidRDefault="000B4AD5">
            <w:pPr>
              <w:jc w:val="center"/>
              <w:rPr>
                <w:rFonts w:cs="Arial"/>
                <w:sz w:val="20"/>
                <w:szCs w:val="20"/>
              </w:rPr>
            </w:pPr>
            <w:r>
              <w:rPr>
                <w:rFonts w:cs="Arial"/>
                <w:sz w:val="20"/>
                <w:szCs w:val="20"/>
              </w:rPr>
              <w:t>15.41</w:t>
            </w:r>
          </w:p>
        </w:tc>
        <w:tc>
          <w:tcPr>
            <w:tcW w:w="833" w:type="pct"/>
            <w:tcBorders>
              <w:top w:val="nil"/>
              <w:bottom w:val="nil"/>
            </w:tcBorders>
            <w:vAlign w:val="center"/>
          </w:tcPr>
          <w:p w:rsidR="000B4AD5" w:rsidRDefault="000B4AD5">
            <w:pPr>
              <w:jc w:val="center"/>
              <w:rPr>
                <w:rFonts w:cs="Arial"/>
                <w:sz w:val="20"/>
                <w:szCs w:val="20"/>
              </w:rPr>
            </w:pPr>
            <w:r>
              <w:rPr>
                <w:rFonts w:cs="Arial"/>
                <w:sz w:val="20"/>
                <w:szCs w:val="20"/>
              </w:rPr>
              <w:t>1.19</w:t>
            </w:r>
          </w:p>
        </w:tc>
      </w:tr>
      <w:tr w:rsidR="000B4AD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B4AD5" w:rsidRDefault="000B4AD5">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0B4AD5" w:rsidRDefault="000B4AD5">
            <w:pPr>
              <w:jc w:val="center"/>
              <w:rPr>
                <w:rFonts w:cs="Arial"/>
                <w:szCs w:val="20"/>
              </w:rPr>
            </w:pPr>
            <w:r>
              <w:rPr>
                <w:rFonts w:cs="Arial"/>
                <w:szCs w:val="20"/>
              </w:rPr>
              <w:t> </w:t>
            </w:r>
          </w:p>
        </w:tc>
        <w:tc>
          <w:tcPr>
            <w:tcW w:w="758" w:type="pct"/>
            <w:tcBorders>
              <w:top w:val="nil"/>
              <w:bottom w:val="single" w:sz="4" w:space="0" w:color="auto"/>
            </w:tcBorders>
            <w:vAlign w:val="center"/>
          </w:tcPr>
          <w:p w:rsidR="000B4AD5" w:rsidRDefault="000B4AD5">
            <w:pPr>
              <w:jc w:val="center"/>
              <w:rPr>
                <w:rFonts w:cs="Arial"/>
                <w:szCs w:val="20"/>
              </w:rPr>
            </w:pPr>
            <w:r>
              <w:rPr>
                <w:rFonts w:cs="Arial"/>
                <w:szCs w:val="20"/>
              </w:rPr>
              <w:t>141</w:t>
            </w:r>
          </w:p>
        </w:tc>
        <w:tc>
          <w:tcPr>
            <w:tcW w:w="831" w:type="pct"/>
            <w:tcBorders>
              <w:top w:val="nil"/>
              <w:bottom w:val="single" w:sz="4" w:space="0" w:color="auto"/>
            </w:tcBorders>
            <w:vAlign w:val="center"/>
          </w:tcPr>
          <w:p w:rsidR="000B4AD5" w:rsidRDefault="000B4AD5">
            <w:pPr>
              <w:jc w:val="center"/>
              <w:rPr>
                <w:rFonts w:cs="Arial"/>
                <w:szCs w:val="20"/>
              </w:rPr>
            </w:pPr>
            <w:r>
              <w:rPr>
                <w:rFonts w:cs="Arial"/>
                <w:szCs w:val="20"/>
              </w:rPr>
              <w:t>-10</w:t>
            </w:r>
          </w:p>
        </w:tc>
        <w:tc>
          <w:tcPr>
            <w:tcW w:w="833" w:type="pct"/>
            <w:tcBorders>
              <w:top w:val="nil"/>
              <w:bottom w:val="single" w:sz="4" w:space="0" w:color="auto"/>
            </w:tcBorders>
            <w:vAlign w:val="center"/>
          </w:tcPr>
          <w:p w:rsidR="000B4AD5" w:rsidRDefault="000B4AD5">
            <w:pPr>
              <w:jc w:val="center"/>
              <w:rPr>
                <w:rFonts w:cs="Arial"/>
                <w:szCs w:val="20"/>
              </w:rPr>
            </w:pPr>
            <w:r>
              <w:rPr>
                <w:rFonts w:cs="Arial"/>
                <w:szCs w:val="20"/>
              </w:rPr>
              <w:t>-12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D26D48" w:rsidRDefault="00D26D48" w:rsidP="00D26D48">
      <w:pPr>
        <w:pStyle w:val="Caption"/>
        <w:rPr>
          <w:color w:val="2272A3"/>
          <w:szCs w:val="24"/>
        </w:rPr>
      </w:pPr>
      <w:r w:rsidRPr="00552F68">
        <w:t xml:space="preserve">Figure </w:t>
      </w:r>
      <w:r w:rsidR="00AE291B">
        <w:fldChar w:fldCharType="begin"/>
      </w:r>
      <w:r w:rsidR="00AE291B">
        <w:instrText xml:space="preserve"> SEQ Figure \* ARABIC </w:instrText>
      </w:r>
      <w:r w:rsidR="00AE291B">
        <w:fldChar w:fldCharType="separate"/>
      </w:r>
      <w:r w:rsidR="00DC137D">
        <w:rPr>
          <w:noProof/>
        </w:rPr>
        <w:t>4</w:t>
      </w:r>
      <w:r w:rsidR="00AE291B">
        <w:rPr>
          <w:noProof/>
        </w:rPr>
        <w:fldChar w:fldCharType="end"/>
      </w:r>
      <w:r w:rsidRPr="00552F68">
        <w:t xml:space="preserve">: </w:t>
      </w:r>
      <w:r w:rsidRPr="00552F68">
        <w:rPr>
          <w:color w:val="2272A3"/>
          <w:szCs w:val="24"/>
        </w:rPr>
        <w:t>Gas supply hub products traded for the current week ($/GJ, TJ)</w:t>
      </w:r>
    </w:p>
    <w:tbl>
      <w:tblPr>
        <w:tblStyle w:val="AERTable-Text"/>
        <w:tblW w:w="4920" w:type="pct"/>
        <w:tblLayout w:type="fixed"/>
        <w:tblLook w:val="04A0" w:firstRow="1" w:lastRow="0" w:firstColumn="1" w:lastColumn="0" w:noHBand="0" w:noVBand="1"/>
      </w:tblPr>
      <w:tblGrid>
        <w:gridCol w:w="1391"/>
        <w:gridCol w:w="708"/>
        <w:gridCol w:w="629"/>
        <w:gridCol w:w="646"/>
        <w:gridCol w:w="620"/>
        <w:gridCol w:w="646"/>
        <w:gridCol w:w="624"/>
        <w:gridCol w:w="571"/>
        <w:gridCol w:w="620"/>
        <w:gridCol w:w="597"/>
        <w:gridCol w:w="711"/>
        <w:gridCol w:w="618"/>
        <w:gridCol w:w="713"/>
      </w:tblGrid>
      <w:tr w:rsidR="00D26D48" w:rsidRPr="002861A9" w:rsidTr="00827784">
        <w:trPr>
          <w:cnfStyle w:val="100000000000" w:firstRow="1" w:lastRow="0" w:firstColumn="0" w:lastColumn="0" w:oddVBand="0" w:evenVBand="0" w:oddHBand="0" w:evenHBand="0" w:firstRowFirstColumn="0" w:firstRowLastColumn="0" w:lastRowFirstColumn="0" w:lastRowLastColumn="0"/>
          <w:trHeight w:val="404"/>
          <w:tblHeader/>
        </w:trPr>
        <w:tc>
          <w:tcPr>
            <w:tcW w:w="765" w:type="pct"/>
            <w:tcBorders>
              <w:bottom w:val="nil"/>
            </w:tcBorders>
            <w:vAlign w:val="center"/>
          </w:tcPr>
          <w:p w:rsidR="00D26D48" w:rsidRPr="00E16EDC" w:rsidRDefault="00D26D48" w:rsidP="00827784">
            <w:pPr>
              <w:pStyle w:val="TableHeading"/>
              <w:spacing w:before="120" w:after="0" w:line="240" w:lineRule="auto"/>
              <w:jc w:val="center"/>
              <w:rPr>
                <w:rFonts w:cs="Arial"/>
                <w:sz w:val="20"/>
                <w:szCs w:val="20"/>
              </w:rPr>
            </w:pPr>
          </w:p>
        </w:tc>
        <w:tc>
          <w:tcPr>
            <w:tcW w:w="735" w:type="pct"/>
            <w:gridSpan w:val="2"/>
            <w:tcBorders>
              <w:bottom w:val="nil"/>
            </w:tcBorders>
            <w:vAlign w:val="center"/>
          </w:tcPr>
          <w:p w:rsidR="00D26D48" w:rsidRPr="00E16EDC" w:rsidRDefault="00D26D48" w:rsidP="00827784">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96" w:type="pct"/>
            <w:gridSpan w:val="2"/>
            <w:tcBorders>
              <w:bottom w:val="nil"/>
            </w:tcBorders>
            <w:vAlign w:val="center"/>
          </w:tcPr>
          <w:p w:rsidR="00D26D48" w:rsidRPr="00E16EDC" w:rsidRDefault="00D26D48" w:rsidP="00827784">
            <w:pPr>
              <w:spacing w:before="120" w:after="0" w:line="240" w:lineRule="auto"/>
              <w:jc w:val="center"/>
              <w:rPr>
                <w:rFonts w:cs="Arial"/>
                <w:bCs/>
                <w:color w:val="FFFFFF"/>
                <w:sz w:val="20"/>
                <w:szCs w:val="20"/>
              </w:rPr>
            </w:pPr>
            <w:r>
              <w:rPr>
                <w:rFonts w:cs="Arial"/>
                <w:bCs/>
                <w:color w:val="FFFFFF"/>
                <w:sz w:val="20"/>
                <w:szCs w:val="20"/>
              </w:rPr>
              <w:t>SWQP</w:t>
            </w:r>
          </w:p>
        </w:tc>
        <w:tc>
          <w:tcPr>
            <w:tcW w:w="698" w:type="pct"/>
            <w:gridSpan w:val="2"/>
            <w:tcBorders>
              <w:bottom w:val="nil"/>
            </w:tcBorders>
            <w:vAlign w:val="center"/>
          </w:tcPr>
          <w:p w:rsidR="00D26D48" w:rsidRPr="00E16EDC" w:rsidRDefault="00D26D48" w:rsidP="00827784">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55" w:type="pct"/>
            <w:gridSpan w:val="2"/>
            <w:tcBorders>
              <w:bottom w:val="nil"/>
            </w:tcBorders>
            <w:vAlign w:val="center"/>
          </w:tcPr>
          <w:p w:rsidR="00D26D48" w:rsidRPr="00E16EDC" w:rsidRDefault="00D26D48" w:rsidP="00827784">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19" w:type="pct"/>
            <w:gridSpan w:val="2"/>
            <w:tcBorders>
              <w:bottom w:val="nil"/>
            </w:tcBorders>
            <w:vAlign w:val="center"/>
          </w:tcPr>
          <w:p w:rsidR="00D26D48" w:rsidRPr="00E16EDC" w:rsidRDefault="00D26D48" w:rsidP="00827784">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32" w:type="pct"/>
            <w:gridSpan w:val="2"/>
            <w:tcBorders>
              <w:bottom w:val="nil"/>
            </w:tcBorders>
            <w:vAlign w:val="center"/>
          </w:tcPr>
          <w:p w:rsidR="00D26D48" w:rsidRPr="00E16EDC" w:rsidRDefault="00D26D48" w:rsidP="00827784">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0B4AD5" w:rsidRPr="002861A9" w:rsidTr="00827784">
        <w:trPr>
          <w:cnfStyle w:val="100000000000" w:firstRow="1" w:lastRow="0" w:firstColumn="0" w:lastColumn="0" w:oddVBand="0" w:evenVBand="0" w:oddHBand="0" w:evenHBand="0" w:firstRowFirstColumn="0" w:firstRowLastColumn="0" w:lastRowFirstColumn="0" w:lastRowLastColumn="0"/>
          <w:trHeight w:val="1134"/>
          <w:tblHeader/>
        </w:trPr>
        <w:tc>
          <w:tcPr>
            <w:tcW w:w="765" w:type="pct"/>
            <w:tcBorders>
              <w:bottom w:val="nil"/>
            </w:tcBorders>
            <w:vAlign w:val="center"/>
          </w:tcPr>
          <w:p w:rsidR="00D26D48" w:rsidRPr="00587CFB" w:rsidRDefault="00D26D48" w:rsidP="00827784">
            <w:pPr>
              <w:pStyle w:val="TableHeading"/>
              <w:jc w:val="center"/>
              <w:rPr>
                <w:rFonts w:cs="Arial"/>
                <w:sz w:val="20"/>
                <w:szCs w:val="20"/>
              </w:rPr>
            </w:pPr>
          </w:p>
        </w:tc>
        <w:tc>
          <w:tcPr>
            <w:tcW w:w="389" w:type="pct"/>
            <w:tcBorders>
              <w:bottom w:val="nil"/>
            </w:tcBorders>
            <w:textDirection w:val="btLr"/>
            <w:vAlign w:val="center"/>
            <w:hideMark/>
          </w:tcPr>
          <w:p w:rsidR="00D26D48" w:rsidRPr="00587CFB" w:rsidRDefault="00D26D48" w:rsidP="0082778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6" w:type="pct"/>
            <w:tcBorders>
              <w:bottom w:val="nil"/>
            </w:tcBorders>
            <w:textDirection w:val="btLr"/>
            <w:vAlign w:val="center"/>
            <w:hideMark/>
          </w:tcPr>
          <w:p w:rsidR="00D26D48" w:rsidRPr="00587CFB" w:rsidRDefault="00D26D48" w:rsidP="00827784">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hideMark/>
          </w:tcPr>
          <w:p w:rsidR="00D26D48" w:rsidRPr="00587CFB" w:rsidRDefault="00D26D48" w:rsidP="0082778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3"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Pr>
                <w:rFonts w:cs="Arial"/>
                <w:bCs/>
                <w:color w:val="FFFFFF"/>
                <w:sz w:val="14"/>
                <w:szCs w:val="20"/>
              </w:rPr>
              <w:t>Quantity</w:t>
            </w:r>
          </w:p>
        </w:tc>
        <w:tc>
          <w:tcPr>
            <w:tcW w:w="314"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Pr>
                <w:rFonts w:cs="Arial"/>
                <w:bCs/>
                <w:color w:val="FFFFFF"/>
                <w:sz w:val="14"/>
                <w:szCs w:val="20"/>
              </w:rPr>
              <w:t>Quantity</w:t>
            </w:r>
          </w:p>
        </w:tc>
        <w:tc>
          <w:tcPr>
            <w:tcW w:w="328"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1"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Pr>
                <w:rFonts w:cs="Arial"/>
                <w:bCs/>
                <w:color w:val="FFFFFF"/>
                <w:sz w:val="14"/>
                <w:szCs w:val="20"/>
              </w:rPr>
              <w:t>Quantity</w:t>
            </w:r>
          </w:p>
        </w:tc>
        <w:tc>
          <w:tcPr>
            <w:tcW w:w="340"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2" w:type="pct"/>
            <w:tcBorders>
              <w:bottom w:val="nil"/>
            </w:tcBorders>
            <w:textDirection w:val="btLr"/>
            <w:vAlign w:val="center"/>
          </w:tcPr>
          <w:p w:rsidR="00D26D48" w:rsidRPr="00587CFB" w:rsidRDefault="00D26D48" w:rsidP="00827784">
            <w:pPr>
              <w:ind w:left="113" w:right="113"/>
              <w:jc w:val="center"/>
              <w:rPr>
                <w:rFonts w:cs="Arial"/>
                <w:bCs/>
                <w:color w:val="FFFFFF"/>
                <w:sz w:val="14"/>
                <w:szCs w:val="20"/>
                <w:highlight w:val="cyan"/>
              </w:rPr>
            </w:pPr>
            <w:r>
              <w:rPr>
                <w:rFonts w:cs="Arial"/>
                <w:bCs/>
                <w:color w:val="FFFFFF"/>
                <w:sz w:val="14"/>
                <w:szCs w:val="20"/>
              </w:rPr>
              <w:t>Quantity</w:t>
            </w:r>
          </w:p>
        </w:tc>
      </w:tr>
      <w:tr w:rsidR="000B4AD5" w:rsidRPr="006A7228" w:rsidTr="00827784">
        <w:trPr>
          <w:trHeight w:val="510"/>
        </w:trPr>
        <w:tc>
          <w:tcPr>
            <w:tcW w:w="765" w:type="pct"/>
            <w:tcBorders>
              <w:top w:val="nil"/>
              <w:bottom w:val="nil"/>
            </w:tcBorders>
            <w:vAlign w:val="center"/>
          </w:tcPr>
          <w:p w:rsidR="000B4AD5" w:rsidRPr="000B4AD5" w:rsidRDefault="000B4AD5">
            <w:pPr>
              <w:rPr>
                <w:rFonts w:cs="Arial"/>
                <w:b/>
                <w:bCs/>
                <w:sz w:val="16"/>
                <w:szCs w:val="20"/>
              </w:rPr>
            </w:pPr>
            <w:r w:rsidRPr="000B4AD5">
              <w:rPr>
                <w:rFonts w:cs="Arial"/>
                <w:b/>
                <w:bCs/>
                <w:sz w:val="16"/>
                <w:szCs w:val="20"/>
              </w:rPr>
              <w:t>Balance of day</w:t>
            </w:r>
          </w:p>
        </w:tc>
        <w:tc>
          <w:tcPr>
            <w:tcW w:w="389"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6.18</w:t>
            </w:r>
          </w:p>
        </w:tc>
        <w:tc>
          <w:tcPr>
            <w:tcW w:w="346"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27.7</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7.50</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8.8</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3"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14"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28"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0"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2"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r>
      <w:tr w:rsidR="000B4AD5" w:rsidRPr="006A7228" w:rsidTr="00827784">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0B4AD5" w:rsidRPr="000B4AD5" w:rsidRDefault="000B4AD5">
            <w:pPr>
              <w:rPr>
                <w:rFonts w:cs="Arial"/>
                <w:b/>
                <w:bCs/>
                <w:sz w:val="16"/>
                <w:szCs w:val="20"/>
              </w:rPr>
            </w:pPr>
            <w:r w:rsidRPr="000B4AD5">
              <w:rPr>
                <w:rFonts w:cs="Arial"/>
                <w:b/>
                <w:bCs/>
                <w:sz w:val="16"/>
                <w:szCs w:val="20"/>
              </w:rPr>
              <w:t>Daily</w:t>
            </w:r>
          </w:p>
        </w:tc>
        <w:tc>
          <w:tcPr>
            <w:tcW w:w="389"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6.65</w:t>
            </w:r>
          </w:p>
        </w:tc>
        <w:tc>
          <w:tcPr>
            <w:tcW w:w="346"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30.0</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7.46</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29.0</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3"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14"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28"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0"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10.00</w:t>
            </w:r>
          </w:p>
        </w:tc>
        <w:tc>
          <w:tcPr>
            <w:tcW w:w="392"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15.0</w:t>
            </w:r>
          </w:p>
        </w:tc>
      </w:tr>
      <w:tr w:rsidR="000B4AD5" w:rsidRPr="006A7228" w:rsidTr="00827784">
        <w:trPr>
          <w:trHeight w:val="510"/>
        </w:trPr>
        <w:tc>
          <w:tcPr>
            <w:tcW w:w="765" w:type="pct"/>
            <w:tcBorders>
              <w:top w:val="nil"/>
              <w:bottom w:val="nil"/>
            </w:tcBorders>
            <w:vAlign w:val="center"/>
          </w:tcPr>
          <w:p w:rsidR="000B4AD5" w:rsidRPr="000B4AD5" w:rsidRDefault="000B4AD5">
            <w:pPr>
              <w:rPr>
                <w:rFonts w:cs="Arial"/>
                <w:b/>
                <w:bCs/>
                <w:sz w:val="16"/>
                <w:szCs w:val="20"/>
              </w:rPr>
            </w:pPr>
            <w:r w:rsidRPr="000B4AD5">
              <w:rPr>
                <w:rFonts w:cs="Arial"/>
                <w:b/>
                <w:bCs/>
                <w:sz w:val="16"/>
                <w:szCs w:val="20"/>
              </w:rPr>
              <w:t>Day ahead</w:t>
            </w:r>
          </w:p>
        </w:tc>
        <w:tc>
          <w:tcPr>
            <w:tcW w:w="389"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6.40</w:t>
            </w:r>
          </w:p>
        </w:tc>
        <w:tc>
          <w:tcPr>
            <w:tcW w:w="346"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40.0</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7.50</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25.0</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3"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14"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28"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0"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2"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r>
      <w:tr w:rsidR="000B4AD5" w:rsidRPr="006A7228" w:rsidTr="00827784">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0B4AD5" w:rsidRPr="000B4AD5" w:rsidRDefault="000B4AD5">
            <w:pPr>
              <w:rPr>
                <w:rFonts w:cs="Arial"/>
                <w:b/>
                <w:bCs/>
                <w:sz w:val="16"/>
                <w:szCs w:val="20"/>
              </w:rPr>
            </w:pPr>
            <w:r w:rsidRPr="000B4AD5">
              <w:rPr>
                <w:rFonts w:cs="Arial"/>
                <w:b/>
                <w:bCs/>
                <w:sz w:val="16"/>
                <w:szCs w:val="20"/>
              </w:rPr>
              <w:t>Weekly</w:t>
            </w:r>
          </w:p>
        </w:tc>
        <w:tc>
          <w:tcPr>
            <w:tcW w:w="389"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6"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55"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3"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14"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28"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1"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40"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c>
          <w:tcPr>
            <w:tcW w:w="392" w:type="pct"/>
            <w:tcBorders>
              <w:top w:val="nil"/>
              <w:bottom w:val="nil"/>
            </w:tcBorders>
            <w:vAlign w:val="center"/>
          </w:tcPr>
          <w:p w:rsidR="000B4AD5" w:rsidRPr="000B4AD5" w:rsidRDefault="000B4AD5">
            <w:pPr>
              <w:jc w:val="center"/>
              <w:rPr>
                <w:rFonts w:cs="Arial"/>
                <w:sz w:val="16"/>
                <w:szCs w:val="20"/>
              </w:rPr>
            </w:pPr>
            <w:r w:rsidRPr="000B4AD5">
              <w:rPr>
                <w:rFonts w:cs="Arial"/>
                <w:sz w:val="16"/>
                <w:szCs w:val="20"/>
              </w:rPr>
              <w:t>-</w:t>
            </w:r>
          </w:p>
        </w:tc>
      </w:tr>
      <w:tr w:rsidR="000B4AD5" w:rsidRPr="006A7228" w:rsidTr="00827784">
        <w:trPr>
          <w:trHeight w:val="510"/>
        </w:trPr>
        <w:tc>
          <w:tcPr>
            <w:tcW w:w="765" w:type="pct"/>
            <w:tcBorders>
              <w:top w:val="nil"/>
              <w:bottom w:val="single" w:sz="4" w:space="0" w:color="auto"/>
            </w:tcBorders>
            <w:vAlign w:val="center"/>
          </w:tcPr>
          <w:p w:rsidR="000B4AD5" w:rsidRPr="000B4AD5" w:rsidRDefault="000B4AD5">
            <w:pPr>
              <w:rPr>
                <w:rFonts w:cs="Arial"/>
                <w:b/>
                <w:bCs/>
                <w:sz w:val="16"/>
                <w:szCs w:val="20"/>
              </w:rPr>
            </w:pPr>
            <w:r w:rsidRPr="000B4AD5">
              <w:rPr>
                <w:rFonts w:cs="Arial"/>
                <w:b/>
                <w:bCs/>
                <w:sz w:val="16"/>
                <w:szCs w:val="20"/>
              </w:rPr>
              <w:t>Monthly</w:t>
            </w:r>
          </w:p>
        </w:tc>
        <w:tc>
          <w:tcPr>
            <w:tcW w:w="389"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46"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55"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55"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43"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14"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41"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28"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91"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40"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c>
          <w:tcPr>
            <w:tcW w:w="392" w:type="pct"/>
            <w:tcBorders>
              <w:top w:val="nil"/>
              <w:bottom w:val="single" w:sz="4" w:space="0" w:color="auto"/>
            </w:tcBorders>
            <w:vAlign w:val="center"/>
          </w:tcPr>
          <w:p w:rsidR="000B4AD5" w:rsidRPr="000B4AD5" w:rsidRDefault="000B4AD5">
            <w:pPr>
              <w:jc w:val="center"/>
              <w:rPr>
                <w:rFonts w:cs="Arial"/>
                <w:sz w:val="16"/>
                <w:szCs w:val="20"/>
              </w:rPr>
            </w:pPr>
            <w:r w:rsidRPr="000B4AD5">
              <w:rPr>
                <w:rFonts w:cs="Arial"/>
                <w:sz w:val="16"/>
                <w:szCs w:val="20"/>
              </w:rPr>
              <w:t>-</w:t>
            </w:r>
          </w:p>
        </w:tc>
      </w:tr>
    </w:tbl>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AE291B">
        <w:fldChar w:fldCharType="begin"/>
      </w:r>
      <w:r w:rsidR="00AE291B">
        <w:instrText xml:space="preserve"> SEQ Figure \* ARABIC </w:instrText>
      </w:r>
      <w:r w:rsidR="00AE291B">
        <w:fldChar w:fldCharType="separate"/>
      </w:r>
      <w:r w:rsidR="00DC137D">
        <w:rPr>
          <w:noProof/>
        </w:rPr>
        <w:t>5</w:t>
      </w:r>
      <w:r w:rsidR="00AE291B">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p>
    <w:p w:rsidR="001934E9" w:rsidRPr="00E16EDC" w:rsidRDefault="000B4AD5" w:rsidP="00E16EDC">
      <w:r w:rsidRPr="000B4AD5">
        <w:rPr>
          <w:noProof/>
          <w:lang w:eastAsia="en-AU"/>
        </w:rPr>
        <w:drawing>
          <wp:inline distT="0" distB="0" distL="0" distR="0" wp14:anchorId="0BD59307" wp14:editId="1B761976">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135FBF" w:rsidRDefault="00135FBF" w:rsidP="00367962">
      <w:pPr>
        <w:jc w:val="both"/>
        <w:rPr>
          <w:i/>
        </w:rPr>
      </w:pPr>
      <w:r>
        <w:rPr>
          <w:i/>
        </w:rPr>
        <w:t>Southern markets</w:t>
      </w:r>
    </w:p>
    <w:p w:rsidR="008124DB" w:rsidRDefault="00367962" w:rsidP="00367962">
      <w:pPr>
        <w:jc w:val="both"/>
      </w:pPr>
      <w:r>
        <w:t>Higher prices at the beginning of the week in Victoria, Sydney and Adelaide coincided with cold w</w:t>
      </w:r>
      <w:r w:rsidR="00077BA1">
        <w:t xml:space="preserve">eather in </w:t>
      </w:r>
      <w:r>
        <w:t>those regions</w:t>
      </w:r>
      <w:r w:rsidR="00077BA1">
        <w:t xml:space="preserve">. </w:t>
      </w:r>
      <w:r>
        <w:t>In Victoria, t</w:t>
      </w:r>
      <w:r w:rsidR="00077BA1">
        <w:t>he price reached $13.99/GJ on 26 July as demand exceeded 1100 TJ</w:t>
      </w:r>
      <w:r>
        <w:t>, while h</w:t>
      </w:r>
      <w:r w:rsidR="00077BA1">
        <w:t xml:space="preserve">igher prices in Adelaide </w:t>
      </w:r>
      <w:r>
        <w:t xml:space="preserve">later in the week </w:t>
      </w:r>
      <w:r w:rsidR="00077BA1">
        <w:t xml:space="preserve">coincided with lower levels of peak period wind generation in the region. </w:t>
      </w:r>
    </w:p>
    <w:p w:rsidR="00367962" w:rsidRDefault="00367962" w:rsidP="00367962">
      <w:pPr>
        <w:jc w:val="both"/>
      </w:pPr>
      <w:r>
        <w:lastRenderedPageBreak/>
        <w:t>Flows ramped down on the Wallumbilla to Gladstone pipeline this week in line with the planned maintenance announced by QCLNG on the Gas Bulletin Board</w:t>
      </w:r>
      <w:r w:rsidR="008124DB">
        <w:t xml:space="preserve"> (</w:t>
      </w:r>
      <w:r>
        <w:t>25 July to 2</w:t>
      </w:r>
      <w:r w:rsidR="00827784">
        <w:t> </w:t>
      </w:r>
      <w:r>
        <w:t>August</w:t>
      </w:r>
      <w:r w:rsidR="008124DB">
        <w:t>)</w:t>
      </w:r>
      <w:r>
        <w:t>.</w:t>
      </w:r>
      <w:r>
        <w:rPr>
          <w:rStyle w:val="FootnoteReference"/>
        </w:rPr>
        <w:footnoteReference w:id="2"/>
      </w:r>
      <w:r w:rsidR="008124DB">
        <w:t xml:space="preserve"> This </w:t>
      </w:r>
      <w:r w:rsidR="00827784">
        <w:t xml:space="preserve">would likely have influenced the increased levels of trade in the </w:t>
      </w:r>
      <w:r w:rsidR="009842A9">
        <w:t xml:space="preserve">Wallumbilla </w:t>
      </w:r>
      <w:r w:rsidR="00827784">
        <w:t xml:space="preserve">gas supply hub, with gas flows </w:t>
      </w:r>
      <w:r w:rsidR="00F548DE">
        <w:t>reversing to ship gas</w:t>
      </w:r>
      <w:r w:rsidR="00827784">
        <w:t xml:space="preserve"> south through the QSN link from Queensland.</w:t>
      </w:r>
      <w:r w:rsidR="00827784">
        <w:rPr>
          <w:rStyle w:val="FootnoteReference"/>
        </w:rPr>
        <w:footnoteReference w:id="3"/>
      </w:r>
      <w:r w:rsidR="00F548DE">
        <w:t xml:space="preserve"> </w:t>
      </w:r>
    </w:p>
    <w:p w:rsidR="00367962" w:rsidRPr="00135FBF" w:rsidRDefault="00135FBF" w:rsidP="00367962">
      <w:pPr>
        <w:jc w:val="both"/>
        <w:rPr>
          <w:i/>
        </w:rPr>
      </w:pPr>
      <w:r>
        <w:rPr>
          <w:i/>
        </w:rPr>
        <w:t>Brisbane</w:t>
      </w:r>
    </w:p>
    <w:p w:rsidR="001521CB" w:rsidRDefault="00135FBF" w:rsidP="00367962">
      <w:pPr>
        <w:jc w:val="both"/>
      </w:pPr>
      <w:r>
        <w:t xml:space="preserve">On 26 July, a significant price variation (SPV) occurred in the Brisbane STTM. The </w:t>
      </w:r>
      <w:r>
        <w:noBreakHyphen/>
        <w:t xml:space="preserve">$7.78/GJ variation between the provisional (D-2) price and the ex ante (D-1) price exceeded the $7/GJ threshold set out in the </w:t>
      </w:r>
      <w:hyperlink r:id="rId14" w:history="1">
        <w:r w:rsidR="005E641A">
          <w:rPr>
            <w:rStyle w:val="Hyperlink"/>
          </w:rPr>
          <w:t>Significant Price Variation Guidelines</w:t>
        </w:r>
      </w:hyperlink>
      <w:r w:rsidR="005E641A" w:rsidRPr="005E641A">
        <w:t xml:space="preserve"> </w:t>
      </w:r>
      <w:r w:rsidR="005E641A">
        <w:t>published on the AER website.</w:t>
      </w:r>
    </w:p>
    <w:p w:rsidR="005E641A" w:rsidRDefault="005E641A" w:rsidP="005E641A">
      <w:pPr>
        <w:spacing w:after="120"/>
        <w:jc w:val="both"/>
      </w:pPr>
      <w:r>
        <w:t>Under Rule</w:t>
      </w:r>
      <w:r w:rsidRPr="00BB3550">
        <w:t xml:space="preserve"> 498 of the Gas Rules, the AER is required to identify and report on any significant pric</w:t>
      </w:r>
      <w:r>
        <w:t>e variations (SPVs) in the STTM</w:t>
      </w:r>
      <w:r w:rsidRPr="00BB3550">
        <w:t>.</w:t>
      </w:r>
      <w:r w:rsidRPr="0009660F">
        <w:t xml:space="preserve"> In accordance with the Gas Rules, </w:t>
      </w:r>
      <w:r>
        <w:t>this event will be analysed and included in a separate detailed report covering a number of other SPVs this winter.</w:t>
      </w:r>
    </w:p>
    <w:p w:rsidR="005E641A" w:rsidRDefault="005E641A" w:rsidP="005E641A">
      <w:pPr>
        <w:spacing w:after="120"/>
        <w:jc w:val="both"/>
      </w:pPr>
      <w:r>
        <w:t>Preliminary analysis indicates that rebidding offers into lower price bands led to the large reduction in comparison to the $14.88/GJ price set in both the D-3 and D-2 provisional schedules.</w:t>
      </w:r>
    </w:p>
    <w:p w:rsidR="00166AFD" w:rsidRDefault="00166AFD" w:rsidP="004A170C">
      <w:pPr>
        <w:jc w:val="both"/>
        <w:rPr>
          <w:i/>
        </w:rPr>
      </w:pPr>
      <w:r>
        <w:rPr>
          <w:i/>
        </w:rPr>
        <w:t>Adelaide</w:t>
      </w:r>
    </w:p>
    <w:p w:rsidR="00166AFD" w:rsidRPr="00166AFD" w:rsidRDefault="00166AFD" w:rsidP="004A170C">
      <w:pPr>
        <w:jc w:val="both"/>
      </w:pPr>
      <w:r>
        <w:t xml:space="preserve">Counteracting MOS in Adelaide led to service payments reaching $53 934 on 30 July. </w:t>
      </w:r>
    </w:p>
    <w:p w:rsidR="004A170C" w:rsidRPr="00135FBF" w:rsidRDefault="004A170C" w:rsidP="004A170C">
      <w:pPr>
        <w:jc w:val="both"/>
        <w:rPr>
          <w:i/>
        </w:rPr>
      </w:pPr>
      <w:r w:rsidRPr="00135FBF">
        <w:rPr>
          <w:i/>
        </w:rPr>
        <w:t>Sydney</w:t>
      </w:r>
    </w:p>
    <w:p w:rsidR="004A170C" w:rsidRDefault="004A170C" w:rsidP="004A170C">
      <w:pPr>
        <w:jc w:val="both"/>
      </w:pPr>
      <w:r>
        <w:t>High levels of decrease MOS allocations in Sydney this week continued</w:t>
      </w:r>
      <w:r w:rsidR="00551E23">
        <w:t xml:space="preserve"> as a result of over forecasting</w:t>
      </w:r>
      <w:r w:rsidR="00085B6D">
        <w:t>. Service payments ranged between $86 000 to just over $135 000 across 5 days during the week.</w:t>
      </w:r>
    </w:p>
    <w:p w:rsidR="00135FBF" w:rsidRPr="001521CB" w:rsidRDefault="00135FBF" w:rsidP="00367962">
      <w:pPr>
        <w:jc w:val="both"/>
      </w:pP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3DE95E8C" wp14:editId="3CDD00C5">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0B4AD5" w:rsidP="003171C6">
      <w:r w:rsidRPr="000B4AD5">
        <w:rPr>
          <w:noProof/>
          <w:lang w:eastAsia="en-AU"/>
        </w:rPr>
        <w:drawing>
          <wp:inline distT="0" distB="0" distL="0" distR="0" wp14:anchorId="5527599F" wp14:editId="61A617A7">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0B4AD5" w:rsidP="003171C6">
      <w:r w:rsidRPr="000B4AD5">
        <w:rPr>
          <w:noProof/>
          <w:lang w:eastAsia="en-AU"/>
        </w:rPr>
        <w:drawing>
          <wp:inline distT="0" distB="0" distL="0" distR="0" wp14:anchorId="11873C04" wp14:editId="0C1622E6">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0B4AD5" w:rsidP="003171C6">
      <w:r w:rsidRPr="000B4AD5">
        <w:rPr>
          <w:noProof/>
          <w:lang w:eastAsia="en-AU"/>
        </w:rPr>
        <w:drawing>
          <wp:inline distT="0" distB="0" distL="0" distR="0" wp14:anchorId="0C3E0462" wp14:editId="423AD74D">
            <wp:extent cx="5731510" cy="2486687"/>
            <wp:effectExtent l="0" t="0" r="2540" b="889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0B4AD5" w:rsidP="003171C6">
      <w:r w:rsidRPr="000B4AD5">
        <w:rPr>
          <w:noProof/>
          <w:lang w:eastAsia="en-AU"/>
        </w:rPr>
        <w:drawing>
          <wp:inline distT="0" distB="0" distL="0" distR="0" wp14:anchorId="6F4AA27A" wp14:editId="1D48060D">
            <wp:extent cx="5731510" cy="1958582"/>
            <wp:effectExtent l="0" t="0" r="2540" b="381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0B4AD5" w:rsidP="003171C6">
      <w:r w:rsidRPr="000B4AD5">
        <w:rPr>
          <w:noProof/>
          <w:lang w:eastAsia="en-AU"/>
        </w:rPr>
        <w:drawing>
          <wp:inline distT="0" distB="0" distL="0" distR="0" wp14:anchorId="407D4631" wp14:editId="20FA94DA">
            <wp:extent cx="5731510" cy="2142691"/>
            <wp:effectExtent l="0" t="0" r="2540" b="0"/>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B4AD5" w:rsidRPr="00405CDE" w:rsidTr="00A226E9">
        <w:trPr>
          <w:trHeight w:val="510"/>
        </w:trPr>
        <w:tc>
          <w:tcPr>
            <w:tcW w:w="1211" w:type="pct"/>
            <w:tcBorders>
              <w:top w:val="nil"/>
              <w:bottom w:val="nil"/>
            </w:tcBorders>
            <w:vAlign w:val="center"/>
          </w:tcPr>
          <w:p w:rsidR="000B4AD5" w:rsidRDefault="000B4AD5">
            <w:pPr>
              <w:rPr>
                <w:rFonts w:cs="Arial"/>
                <w:sz w:val="20"/>
                <w:szCs w:val="20"/>
              </w:rPr>
            </w:pPr>
            <w:r>
              <w:rPr>
                <w:rFonts w:cs="Arial"/>
                <w:sz w:val="20"/>
                <w:szCs w:val="20"/>
              </w:rPr>
              <w:t>Ex ante price ($/GJ)</w:t>
            </w:r>
          </w:p>
        </w:tc>
        <w:tc>
          <w:tcPr>
            <w:tcW w:w="580" w:type="pct"/>
            <w:tcBorders>
              <w:top w:val="nil"/>
              <w:bottom w:val="nil"/>
            </w:tcBorders>
            <w:vAlign w:val="center"/>
          </w:tcPr>
          <w:p w:rsidR="000B4AD5" w:rsidRDefault="000B4AD5">
            <w:pPr>
              <w:jc w:val="center"/>
              <w:rPr>
                <w:rFonts w:cs="Arial"/>
                <w:sz w:val="20"/>
                <w:szCs w:val="20"/>
              </w:rPr>
            </w:pPr>
            <w:r>
              <w:rPr>
                <w:rFonts w:cs="Arial"/>
                <w:sz w:val="20"/>
                <w:szCs w:val="20"/>
              </w:rPr>
              <w:t>8.30</w:t>
            </w:r>
          </w:p>
        </w:tc>
        <w:tc>
          <w:tcPr>
            <w:tcW w:w="508" w:type="pct"/>
            <w:tcBorders>
              <w:top w:val="nil"/>
              <w:bottom w:val="nil"/>
            </w:tcBorders>
            <w:vAlign w:val="center"/>
          </w:tcPr>
          <w:p w:rsidR="000B4AD5" w:rsidRDefault="000B4AD5">
            <w:pPr>
              <w:jc w:val="center"/>
              <w:rPr>
                <w:rFonts w:cs="Arial"/>
                <w:sz w:val="20"/>
                <w:szCs w:val="20"/>
              </w:rPr>
            </w:pPr>
            <w:r>
              <w:rPr>
                <w:rFonts w:cs="Arial"/>
                <w:sz w:val="20"/>
                <w:szCs w:val="20"/>
              </w:rPr>
              <w:t>10.00</w:t>
            </w:r>
          </w:p>
        </w:tc>
        <w:tc>
          <w:tcPr>
            <w:tcW w:w="589" w:type="pct"/>
            <w:tcBorders>
              <w:top w:val="nil"/>
              <w:bottom w:val="nil"/>
            </w:tcBorders>
            <w:vAlign w:val="center"/>
          </w:tcPr>
          <w:p w:rsidR="000B4AD5" w:rsidRDefault="000B4AD5">
            <w:pPr>
              <w:jc w:val="center"/>
              <w:rPr>
                <w:rFonts w:cs="Arial"/>
                <w:sz w:val="20"/>
                <w:szCs w:val="20"/>
              </w:rPr>
            </w:pPr>
            <w:r>
              <w:rPr>
                <w:rFonts w:cs="Arial"/>
                <w:sz w:val="20"/>
                <w:szCs w:val="20"/>
              </w:rPr>
              <w:t>9.99</w:t>
            </w:r>
          </w:p>
        </w:tc>
        <w:tc>
          <w:tcPr>
            <w:tcW w:w="517" w:type="pct"/>
            <w:tcBorders>
              <w:top w:val="nil"/>
              <w:bottom w:val="nil"/>
            </w:tcBorders>
            <w:vAlign w:val="center"/>
          </w:tcPr>
          <w:p w:rsidR="000B4AD5" w:rsidRDefault="000B4AD5">
            <w:pPr>
              <w:jc w:val="center"/>
              <w:rPr>
                <w:rFonts w:cs="Arial"/>
                <w:sz w:val="20"/>
                <w:szCs w:val="20"/>
              </w:rPr>
            </w:pPr>
            <w:r>
              <w:rPr>
                <w:rFonts w:cs="Arial"/>
                <w:sz w:val="20"/>
                <w:szCs w:val="20"/>
              </w:rPr>
              <w:t>7.46</w:t>
            </w:r>
          </w:p>
        </w:tc>
        <w:tc>
          <w:tcPr>
            <w:tcW w:w="510" w:type="pct"/>
            <w:tcBorders>
              <w:top w:val="nil"/>
              <w:bottom w:val="nil"/>
            </w:tcBorders>
            <w:vAlign w:val="center"/>
          </w:tcPr>
          <w:p w:rsidR="000B4AD5" w:rsidRDefault="000B4AD5">
            <w:pPr>
              <w:jc w:val="center"/>
              <w:rPr>
                <w:rFonts w:cs="Arial"/>
                <w:sz w:val="20"/>
                <w:szCs w:val="20"/>
              </w:rPr>
            </w:pPr>
            <w:r>
              <w:rPr>
                <w:rFonts w:cs="Arial"/>
                <w:sz w:val="20"/>
                <w:szCs w:val="20"/>
              </w:rPr>
              <w:t>7.46</w:t>
            </w:r>
          </w:p>
        </w:tc>
        <w:tc>
          <w:tcPr>
            <w:tcW w:w="507" w:type="pct"/>
            <w:tcBorders>
              <w:top w:val="nil"/>
              <w:bottom w:val="nil"/>
            </w:tcBorders>
            <w:vAlign w:val="center"/>
          </w:tcPr>
          <w:p w:rsidR="000B4AD5" w:rsidRDefault="000B4AD5">
            <w:pPr>
              <w:jc w:val="center"/>
              <w:rPr>
                <w:rFonts w:cs="Arial"/>
                <w:sz w:val="20"/>
                <w:szCs w:val="20"/>
              </w:rPr>
            </w:pPr>
            <w:r>
              <w:rPr>
                <w:rFonts w:cs="Arial"/>
                <w:sz w:val="20"/>
                <w:szCs w:val="20"/>
              </w:rPr>
              <w:t>7.86</w:t>
            </w:r>
          </w:p>
        </w:tc>
        <w:tc>
          <w:tcPr>
            <w:tcW w:w="578" w:type="pct"/>
            <w:tcBorders>
              <w:top w:val="nil"/>
              <w:bottom w:val="nil"/>
            </w:tcBorders>
            <w:vAlign w:val="center"/>
          </w:tcPr>
          <w:p w:rsidR="000B4AD5" w:rsidRDefault="000B4AD5">
            <w:pPr>
              <w:jc w:val="center"/>
              <w:rPr>
                <w:rFonts w:cs="Arial"/>
                <w:sz w:val="20"/>
                <w:szCs w:val="20"/>
              </w:rPr>
            </w:pPr>
            <w:r>
              <w:rPr>
                <w:rFonts w:cs="Arial"/>
                <w:sz w:val="20"/>
                <w:szCs w:val="20"/>
              </w:rPr>
              <w:t>7.27</w:t>
            </w:r>
          </w:p>
        </w:tc>
      </w:tr>
      <w:tr w:rsidR="000B4AD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B4AD5" w:rsidRDefault="000B4AD5">
            <w:pPr>
              <w:rPr>
                <w:rFonts w:cs="Arial"/>
                <w:szCs w:val="20"/>
              </w:rPr>
            </w:pPr>
            <w:r>
              <w:rPr>
                <w:rFonts w:cs="Arial"/>
                <w:szCs w:val="20"/>
              </w:rPr>
              <w:t>Ex ante quantity (TJ)</w:t>
            </w:r>
          </w:p>
        </w:tc>
        <w:tc>
          <w:tcPr>
            <w:tcW w:w="580" w:type="pct"/>
            <w:tcBorders>
              <w:top w:val="nil"/>
              <w:bottom w:val="nil"/>
            </w:tcBorders>
            <w:vAlign w:val="center"/>
          </w:tcPr>
          <w:p w:rsidR="000B4AD5" w:rsidRDefault="000B4AD5">
            <w:pPr>
              <w:jc w:val="center"/>
              <w:rPr>
                <w:rFonts w:cs="Arial"/>
                <w:szCs w:val="20"/>
              </w:rPr>
            </w:pPr>
            <w:r>
              <w:rPr>
                <w:rFonts w:cs="Arial"/>
                <w:szCs w:val="20"/>
              </w:rPr>
              <w:t>274</w:t>
            </w:r>
          </w:p>
        </w:tc>
        <w:tc>
          <w:tcPr>
            <w:tcW w:w="508" w:type="pct"/>
            <w:tcBorders>
              <w:top w:val="nil"/>
              <w:bottom w:val="nil"/>
            </w:tcBorders>
            <w:vAlign w:val="center"/>
          </w:tcPr>
          <w:p w:rsidR="000B4AD5" w:rsidRDefault="000B4AD5">
            <w:pPr>
              <w:jc w:val="center"/>
              <w:rPr>
                <w:rFonts w:cs="Arial"/>
                <w:szCs w:val="20"/>
              </w:rPr>
            </w:pPr>
            <w:r>
              <w:rPr>
                <w:rFonts w:cs="Arial"/>
                <w:szCs w:val="20"/>
              </w:rPr>
              <w:t>311</w:t>
            </w:r>
          </w:p>
        </w:tc>
        <w:tc>
          <w:tcPr>
            <w:tcW w:w="589" w:type="pct"/>
            <w:tcBorders>
              <w:top w:val="nil"/>
              <w:bottom w:val="nil"/>
            </w:tcBorders>
            <w:vAlign w:val="center"/>
          </w:tcPr>
          <w:p w:rsidR="000B4AD5" w:rsidRDefault="000B4AD5">
            <w:pPr>
              <w:jc w:val="center"/>
              <w:rPr>
                <w:rFonts w:cs="Arial"/>
                <w:szCs w:val="20"/>
              </w:rPr>
            </w:pPr>
            <w:r>
              <w:rPr>
                <w:rFonts w:cs="Arial"/>
                <w:szCs w:val="20"/>
              </w:rPr>
              <w:t>310</w:t>
            </w:r>
          </w:p>
        </w:tc>
        <w:tc>
          <w:tcPr>
            <w:tcW w:w="517" w:type="pct"/>
            <w:tcBorders>
              <w:top w:val="nil"/>
              <w:bottom w:val="nil"/>
            </w:tcBorders>
            <w:vAlign w:val="center"/>
          </w:tcPr>
          <w:p w:rsidR="000B4AD5" w:rsidRDefault="000B4AD5">
            <w:pPr>
              <w:jc w:val="center"/>
              <w:rPr>
                <w:rFonts w:cs="Arial"/>
                <w:szCs w:val="20"/>
              </w:rPr>
            </w:pPr>
            <w:r>
              <w:rPr>
                <w:rFonts w:cs="Arial"/>
                <w:szCs w:val="20"/>
              </w:rPr>
              <w:t>313</w:t>
            </w:r>
          </w:p>
        </w:tc>
        <w:tc>
          <w:tcPr>
            <w:tcW w:w="510" w:type="pct"/>
            <w:tcBorders>
              <w:top w:val="nil"/>
              <w:bottom w:val="nil"/>
            </w:tcBorders>
            <w:vAlign w:val="center"/>
          </w:tcPr>
          <w:p w:rsidR="000B4AD5" w:rsidRDefault="000B4AD5">
            <w:pPr>
              <w:jc w:val="center"/>
              <w:rPr>
                <w:rFonts w:cs="Arial"/>
                <w:szCs w:val="20"/>
              </w:rPr>
            </w:pPr>
            <w:r>
              <w:rPr>
                <w:rFonts w:cs="Arial"/>
                <w:szCs w:val="20"/>
              </w:rPr>
              <w:t>313</w:t>
            </w:r>
          </w:p>
        </w:tc>
        <w:tc>
          <w:tcPr>
            <w:tcW w:w="507" w:type="pct"/>
            <w:tcBorders>
              <w:top w:val="nil"/>
              <w:bottom w:val="nil"/>
            </w:tcBorders>
            <w:vAlign w:val="center"/>
          </w:tcPr>
          <w:p w:rsidR="000B4AD5" w:rsidRDefault="000B4AD5">
            <w:pPr>
              <w:jc w:val="center"/>
              <w:rPr>
                <w:rFonts w:cs="Arial"/>
                <w:szCs w:val="20"/>
              </w:rPr>
            </w:pPr>
            <w:r>
              <w:rPr>
                <w:rFonts w:cs="Arial"/>
                <w:szCs w:val="20"/>
              </w:rPr>
              <w:t>298</w:t>
            </w:r>
          </w:p>
        </w:tc>
        <w:tc>
          <w:tcPr>
            <w:tcW w:w="578" w:type="pct"/>
            <w:tcBorders>
              <w:top w:val="nil"/>
              <w:bottom w:val="nil"/>
            </w:tcBorders>
            <w:vAlign w:val="center"/>
          </w:tcPr>
          <w:p w:rsidR="000B4AD5" w:rsidRDefault="000B4AD5">
            <w:pPr>
              <w:jc w:val="center"/>
              <w:rPr>
                <w:rFonts w:cs="Arial"/>
                <w:szCs w:val="20"/>
              </w:rPr>
            </w:pPr>
            <w:r>
              <w:rPr>
                <w:rFonts w:cs="Arial"/>
                <w:szCs w:val="20"/>
              </w:rPr>
              <w:t>286</w:t>
            </w:r>
          </w:p>
        </w:tc>
      </w:tr>
      <w:tr w:rsidR="000B4AD5" w:rsidRPr="00405CDE" w:rsidTr="00A226E9">
        <w:trPr>
          <w:trHeight w:val="510"/>
        </w:trPr>
        <w:tc>
          <w:tcPr>
            <w:tcW w:w="1211" w:type="pct"/>
            <w:tcBorders>
              <w:top w:val="nil"/>
              <w:bottom w:val="nil"/>
            </w:tcBorders>
            <w:vAlign w:val="center"/>
          </w:tcPr>
          <w:p w:rsidR="000B4AD5" w:rsidRDefault="000B4AD5">
            <w:pPr>
              <w:rPr>
                <w:rFonts w:cs="Arial"/>
                <w:sz w:val="20"/>
                <w:szCs w:val="20"/>
              </w:rPr>
            </w:pPr>
            <w:r>
              <w:rPr>
                <w:rFonts w:cs="Arial"/>
                <w:sz w:val="20"/>
                <w:szCs w:val="20"/>
              </w:rPr>
              <w:t>Ex post price ($/GJ)</w:t>
            </w:r>
          </w:p>
        </w:tc>
        <w:tc>
          <w:tcPr>
            <w:tcW w:w="580" w:type="pct"/>
            <w:tcBorders>
              <w:top w:val="nil"/>
              <w:bottom w:val="nil"/>
            </w:tcBorders>
            <w:vAlign w:val="center"/>
          </w:tcPr>
          <w:p w:rsidR="000B4AD5" w:rsidRDefault="000B4AD5">
            <w:pPr>
              <w:jc w:val="center"/>
              <w:rPr>
                <w:rFonts w:cs="Arial"/>
                <w:sz w:val="20"/>
                <w:szCs w:val="20"/>
              </w:rPr>
            </w:pPr>
            <w:r>
              <w:rPr>
                <w:rFonts w:cs="Arial"/>
                <w:sz w:val="20"/>
                <w:szCs w:val="20"/>
              </w:rPr>
              <w:t>9.50</w:t>
            </w:r>
          </w:p>
        </w:tc>
        <w:tc>
          <w:tcPr>
            <w:tcW w:w="508" w:type="pct"/>
            <w:tcBorders>
              <w:top w:val="nil"/>
              <w:bottom w:val="nil"/>
            </w:tcBorders>
            <w:vAlign w:val="center"/>
          </w:tcPr>
          <w:p w:rsidR="000B4AD5" w:rsidRDefault="000B4AD5">
            <w:pPr>
              <w:jc w:val="center"/>
              <w:rPr>
                <w:rFonts w:cs="Arial"/>
                <w:sz w:val="20"/>
                <w:szCs w:val="20"/>
              </w:rPr>
            </w:pPr>
            <w:r>
              <w:rPr>
                <w:rFonts w:cs="Arial"/>
                <w:sz w:val="20"/>
                <w:szCs w:val="20"/>
              </w:rPr>
              <w:t>9.22</w:t>
            </w:r>
          </w:p>
        </w:tc>
        <w:tc>
          <w:tcPr>
            <w:tcW w:w="589" w:type="pct"/>
            <w:tcBorders>
              <w:top w:val="nil"/>
              <w:bottom w:val="nil"/>
            </w:tcBorders>
            <w:vAlign w:val="center"/>
          </w:tcPr>
          <w:p w:rsidR="000B4AD5" w:rsidRDefault="000B4AD5">
            <w:pPr>
              <w:jc w:val="center"/>
              <w:rPr>
                <w:rFonts w:cs="Arial"/>
                <w:sz w:val="20"/>
                <w:szCs w:val="20"/>
              </w:rPr>
            </w:pPr>
            <w:r>
              <w:rPr>
                <w:rFonts w:cs="Arial"/>
                <w:sz w:val="20"/>
                <w:szCs w:val="20"/>
              </w:rPr>
              <w:t>7.00</w:t>
            </w:r>
          </w:p>
        </w:tc>
        <w:tc>
          <w:tcPr>
            <w:tcW w:w="517" w:type="pct"/>
            <w:tcBorders>
              <w:top w:val="nil"/>
              <w:bottom w:val="nil"/>
            </w:tcBorders>
            <w:vAlign w:val="center"/>
          </w:tcPr>
          <w:p w:rsidR="000B4AD5" w:rsidRDefault="000B4AD5">
            <w:pPr>
              <w:jc w:val="center"/>
              <w:rPr>
                <w:rFonts w:cs="Arial"/>
                <w:sz w:val="20"/>
                <w:szCs w:val="20"/>
              </w:rPr>
            </w:pPr>
            <w:r>
              <w:rPr>
                <w:rFonts w:cs="Arial"/>
                <w:sz w:val="20"/>
                <w:szCs w:val="20"/>
              </w:rPr>
              <w:t>7.18</w:t>
            </w:r>
          </w:p>
        </w:tc>
        <w:tc>
          <w:tcPr>
            <w:tcW w:w="510" w:type="pct"/>
            <w:tcBorders>
              <w:top w:val="nil"/>
              <w:bottom w:val="nil"/>
            </w:tcBorders>
            <w:vAlign w:val="center"/>
          </w:tcPr>
          <w:p w:rsidR="000B4AD5" w:rsidRDefault="000B4AD5">
            <w:pPr>
              <w:jc w:val="center"/>
              <w:rPr>
                <w:rFonts w:cs="Arial"/>
                <w:sz w:val="20"/>
                <w:szCs w:val="20"/>
              </w:rPr>
            </w:pPr>
            <w:r>
              <w:rPr>
                <w:rFonts w:cs="Arial"/>
                <w:sz w:val="20"/>
                <w:szCs w:val="20"/>
              </w:rPr>
              <w:t>7.01</w:t>
            </w:r>
          </w:p>
        </w:tc>
        <w:tc>
          <w:tcPr>
            <w:tcW w:w="507" w:type="pct"/>
            <w:tcBorders>
              <w:top w:val="nil"/>
              <w:bottom w:val="nil"/>
            </w:tcBorders>
            <w:vAlign w:val="center"/>
          </w:tcPr>
          <w:p w:rsidR="000B4AD5" w:rsidRDefault="000B4AD5">
            <w:pPr>
              <w:jc w:val="center"/>
              <w:rPr>
                <w:rFonts w:cs="Arial"/>
                <w:sz w:val="20"/>
                <w:szCs w:val="20"/>
              </w:rPr>
            </w:pPr>
            <w:r>
              <w:rPr>
                <w:rFonts w:cs="Arial"/>
                <w:sz w:val="20"/>
                <w:szCs w:val="20"/>
              </w:rPr>
              <w:t>7.86</w:t>
            </w:r>
          </w:p>
        </w:tc>
        <w:tc>
          <w:tcPr>
            <w:tcW w:w="578" w:type="pct"/>
            <w:tcBorders>
              <w:top w:val="nil"/>
              <w:bottom w:val="nil"/>
            </w:tcBorders>
            <w:vAlign w:val="center"/>
          </w:tcPr>
          <w:p w:rsidR="000B4AD5" w:rsidRDefault="000B4AD5">
            <w:pPr>
              <w:jc w:val="center"/>
              <w:rPr>
                <w:rFonts w:cs="Arial"/>
                <w:sz w:val="20"/>
                <w:szCs w:val="20"/>
              </w:rPr>
            </w:pPr>
            <w:r>
              <w:rPr>
                <w:rFonts w:cs="Arial"/>
                <w:sz w:val="20"/>
                <w:szCs w:val="20"/>
              </w:rPr>
              <w:t>6.46</w:t>
            </w:r>
          </w:p>
        </w:tc>
      </w:tr>
      <w:tr w:rsidR="000B4AD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B4AD5" w:rsidRDefault="000B4AD5">
            <w:pPr>
              <w:rPr>
                <w:rFonts w:cs="Arial"/>
                <w:szCs w:val="20"/>
              </w:rPr>
            </w:pPr>
            <w:r>
              <w:rPr>
                <w:rFonts w:cs="Arial"/>
                <w:szCs w:val="20"/>
              </w:rPr>
              <w:t>Ex post quantity (TJ)</w:t>
            </w:r>
          </w:p>
        </w:tc>
        <w:tc>
          <w:tcPr>
            <w:tcW w:w="580" w:type="pct"/>
            <w:tcBorders>
              <w:top w:val="nil"/>
              <w:bottom w:val="single" w:sz="4" w:space="0" w:color="auto"/>
            </w:tcBorders>
            <w:vAlign w:val="center"/>
          </w:tcPr>
          <w:p w:rsidR="000B4AD5" w:rsidRDefault="000B4AD5">
            <w:pPr>
              <w:jc w:val="center"/>
              <w:rPr>
                <w:rFonts w:cs="Arial"/>
                <w:szCs w:val="20"/>
              </w:rPr>
            </w:pPr>
            <w:r>
              <w:rPr>
                <w:rFonts w:cs="Arial"/>
                <w:szCs w:val="20"/>
              </w:rPr>
              <w:t>279</w:t>
            </w:r>
          </w:p>
        </w:tc>
        <w:tc>
          <w:tcPr>
            <w:tcW w:w="508" w:type="pct"/>
            <w:tcBorders>
              <w:top w:val="nil"/>
              <w:bottom w:val="single" w:sz="4" w:space="0" w:color="auto"/>
            </w:tcBorders>
            <w:vAlign w:val="center"/>
          </w:tcPr>
          <w:p w:rsidR="000B4AD5" w:rsidRDefault="000B4AD5">
            <w:pPr>
              <w:jc w:val="center"/>
              <w:rPr>
                <w:rFonts w:cs="Arial"/>
                <w:szCs w:val="20"/>
              </w:rPr>
            </w:pPr>
            <w:r>
              <w:rPr>
                <w:rFonts w:cs="Arial"/>
                <w:szCs w:val="20"/>
              </w:rPr>
              <w:t>299</w:t>
            </w:r>
          </w:p>
        </w:tc>
        <w:tc>
          <w:tcPr>
            <w:tcW w:w="589" w:type="pct"/>
            <w:tcBorders>
              <w:top w:val="nil"/>
              <w:bottom w:val="single" w:sz="4" w:space="0" w:color="auto"/>
            </w:tcBorders>
            <w:vAlign w:val="center"/>
          </w:tcPr>
          <w:p w:rsidR="000B4AD5" w:rsidRDefault="000B4AD5">
            <w:pPr>
              <w:jc w:val="center"/>
              <w:rPr>
                <w:rFonts w:cs="Arial"/>
                <w:szCs w:val="20"/>
              </w:rPr>
            </w:pPr>
            <w:r>
              <w:rPr>
                <w:rFonts w:cs="Arial"/>
                <w:szCs w:val="20"/>
              </w:rPr>
              <w:t>289</w:t>
            </w:r>
          </w:p>
        </w:tc>
        <w:tc>
          <w:tcPr>
            <w:tcW w:w="517" w:type="pct"/>
            <w:tcBorders>
              <w:top w:val="nil"/>
              <w:bottom w:val="single" w:sz="4" w:space="0" w:color="auto"/>
            </w:tcBorders>
            <w:vAlign w:val="center"/>
          </w:tcPr>
          <w:p w:rsidR="000B4AD5" w:rsidRDefault="000B4AD5">
            <w:pPr>
              <w:jc w:val="center"/>
              <w:rPr>
                <w:rFonts w:cs="Arial"/>
                <w:szCs w:val="20"/>
              </w:rPr>
            </w:pPr>
            <w:r>
              <w:rPr>
                <w:rFonts w:cs="Arial"/>
                <w:szCs w:val="20"/>
              </w:rPr>
              <w:t>297</w:t>
            </w:r>
          </w:p>
        </w:tc>
        <w:tc>
          <w:tcPr>
            <w:tcW w:w="510" w:type="pct"/>
            <w:tcBorders>
              <w:top w:val="nil"/>
              <w:bottom w:val="single" w:sz="4" w:space="0" w:color="auto"/>
            </w:tcBorders>
            <w:vAlign w:val="center"/>
          </w:tcPr>
          <w:p w:rsidR="000B4AD5" w:rsidRDefault="000B4AD5">
            <w:pPr>
              <w:jc w:val="center"/>
              <w:rPr>
                <w:rFonts w:cs="Arial"/>
                <w:szCs w:val="20"/>
              </w:rPr>
            </w:pPr>
            <w:r>
              <w:rPr>
                <w:rFonts w:cs="Arial"/>
                <w:szCs w:val="20"/>
              </w:rPr>
              <w:t>296</w:t>
            </w:r>
          </w:p>
        </w:tc>
        <w:tc>
          <w:tcPr>
            <w:tcW w:w="507" w:type="pct"/>
            <w:tcBorders>
              <w:top w:val="nil"/>
              <w:bottom w:val="single" w:sz="4" w:space="0" w:color="auto"/>
            </w:tcBorders>
            <w:vAlign w:val="center"/>
          </w:tcPr>
          <w:p w:rsidR="000B4AD5" w:rsidRDefault="000B4AD5">
            <w:pPr>
              <w:jc w:val="center"/>
              <w:rPr>
                <w:rFonts w:cs="Arial"/>
                <w:szCs w:val="20"/>
              </w:rPr>
            </w:pPr>
            <w:r>
              <w:rPr>
                <w:rFonts w:cs="Arial"/>
                <w:szCs w:val="20"/>
              </w:rPr>
              <w:t>295</w:t>
            </w:r>
          </w:p>
        </w:tc>
        <w:tc>
          <w:tcPr>
            <w:tcW w:w="578" w:type="pct"/>
            <w:tcBorders>
              <w:top w:val="nil"/>
              <w:bottom w:val="single" w:sz="4" w:space="0" w:color="auto"/>
            </w:tcBorders>
            <w:vAlign w:val="center"/>
          </w:tcPr>
          <w:p w:rsidR="000B4AD5" w:rsidRDefault="000B4AD5">
            <w:pPr>
              <w:jc w:val="center"/>
              <w:rPr>
                <w:rFonts w:cs="Arial"/>
                <w:szCs w:val="20"/>
              </w:rPr>
            </w:pPr>
            <w:r>
              <w:rPr>
                <w:rFonts w:cs="Arial"/>
                <w:szCs w:val="20"/>
              </w:rPr>
              <w:t>271</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0B4AD5" w:rsidP="00EC2CB1">
      <w:r w:rsidRPr="000B4AD5">
        <w:rPr>
          <w:noProof/>
          <w:lang w:eastAsia="en-AU"/>
        </w:rPr>
        <w:drawing>
          <wp:inline distT="0" distB="0" distL="0" distR="0" wp14:anchorId="663DB731" wp14:editId="68A9B973">
            <wp:extent cx="5731510" cy="2046203"/>
            <wp:effectExtent l="0" t="0" r="0" b="0"/>
            <wp:docPr id="19" name="Picture 19"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0B4AD5" w:rsidP="00EC2CB1">
      <w:r w:rsidRPr="000B4AD5">
        <w:rPr>
          <w:noProof/>
          <w:lang w:eastAsia="en-AU"/>
        </w:rPr>
        <w:drawing>
          <wp:inline distT="0" distB="0" distL="0" distR="0" wp14:anchorId="6B95607B" wp14:editId="5CA33974">
            <wp:extent cx="5731510" cy="2555336"/>
            <wp:effectExtent l="0" t="0" r="2540" b="0"/>
            <wp:docPr id="21" name="Picture 21" descr="Figure 2.3 shows the daily scheduled and allocated quantities sorted by facility for Sydney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9"/>
      </w:r>
    </w:p>
    <w:p w:rsidR="00EC2CB1" w:rsidRDefault="00980220" w:rsidP="00EC2CB1">
      <w:r w:rsidRPr="00980220">
        <w:rPr>
          <w:noProof/>
          <w:lang w:eastAsia="en-AU"/>
        </w:rPr>
        <w:drawing>
          <wp:inline distT="0" distB="0" distL="0" distR="0" wp14:anchorId="66445BE0" wp14:editId="67859782">
            <wp:extent cx="5731510" cy="2175613"/>
            <wp:effectExtent l="0" t="0" r="2540" b="0"/>
            <wp:docPr id="28" name="Picture 28"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B4AD5" w:rsidRPr="00405CDE" w:rsidTr="00A226E9">
        <w:trPr>
          <w:trHeight w:val="389"/>
        </w:trPr>
        <w:tc>
          <w:tcPr>
            <w:tcW w:w="1152" w:type="pct"/>
            <w:tcBorders>
              <w:top w:val="nil"/>
              <w:bottom w:val="nil"/>
            </w:tcBorders>
            <w:vAlign w:val="center"/>
          </w:tcPr>
          <w:p w:rsidR="000B4AD5" w:rsidRDefault="000B4AD5">
            <w:pPr>
              <w:rPr>
                <w:rFonts w:cs="Arial"/>
                <w:sz w:val="20"/>
                <w:szCs w:val="20"/>
              </w:rPr>
            </w:pPr>
            <w:r>
              <w:rPr>
                <w:rFonts w:cs="Arial"/>
                <w:sz w:val="20"/>
                <w:szCs w:val="20"/>
              </w:rPr>
              <w:t>Ex ante price ($/GJ)</w:t>
            </w:r>
          </w:p>
        </w:tc>
        <w:tc>
          <w:tcPr>
            <w:tcW w:w="589" w:type="pct"/>
            <w:tcBorders>
              <w:top w:val="nil"/>
              <w:bottom w:val="nil"/>
            </w:tcBorders>
            <w:vAlign w:val="center"/>
          </w:tcPr>
          <w:p w:rsidR="000B4AD5" w:rsidRDefault="000B4AD5">
            <w:pPr>
              <w:jc w:val="center"/>
              <w:rPr>
                <w:rFonts w:cs="Arial"/>
                <w:sz w:val="20"/>
                <w:szCs w:val="20"/>
              </w:rPr>
            </w:pPr>
            <w:r>
              <w:rPr>
                <w:rFonts w:cs="Arial"/>
                <w:sz w:val="20"/>
                <w:szCs w:val="20"/>
              </w:rPr>
              <w:t>9.00</w:t>
            </w:r>
          </w:p>
        </w:tc>
        <w:tc>
          <w:tcPr>
            <w:tcW w:w="516" w:type="pct"/>
            <w:tcBorders>
              <w:top w:val="nil"/>
              <w:bottom w:val="nil"/>
            </w:tcBorders>
            <w:vAlign w:val="center"/>
          </w:tcPr>
          <w:p w:rsidR="000B4AD5" w:rsidRDefault="000B4AD5">
            <w:pPr>
              <w:jc w:val="center"/>
              <w:rPr>
                <w:rFonts w:cs="Arial"/>
                <w:sz w:val="20"/>
                <w:szCs w:val="20"/>
              </w:rPr>
            </w:pPr>
            <w:r>
              <w:rPr>
                <w:rFonts w:cs="Arial"/>
                <w:sz w:val="20"/>
                <w:szCs w:val="20"/>
              </w:rPr>
              <w:t>7.84</w:t>
            </w:r>
          </w:p>
        </w:tc>
        <w:tc>
          <w:tcPr>
            <w:tcW w:w="598" w:type="pct"/>
            <w:tcBorders>
              <w:top w:val="nil"/>
              <w:bottom w:val="nil"/>
            </w:tcBorders>
            <w:vAlign w:val="center"/>
          </w:tcPr>
          <w:p w:rsidR="000B4AD5" w:rsidRDefault="000B4AD5">
            <w:pPr>
              <w:jc w:val="center"/>
              <w:rPr>
                <w:rFonts w:cs="Arial"/>
                <w:sz w:val="20"/>
                <w:szCs w:val="20"/>
              </w:rPr>
            </w:pPr>
            <w:r>
              <w:rPr>
                <w:rFonts w:cs="Arial"/>
                <w:sz w:val="20"/>
                <w:szCs w:val="20"/>
              </w:rPr>
              <w:t>9.71</w:t>
            </w:r>
          </w:p>
        </w:tc>
        <w:tc>
          <w:tcPr>
            <w:tcW w:w="525" w:type="pct"/>
            <w:tcBorders>
              <w:top w:val="nil"/>
              <w:bottom w:val="nil"/>
            </w:tcBorders>
            <w:vAlign w:val="center"/>
          </w:tcPr>
          <w:p w:rsidR="000B4AD5" w:rsidRDefault="000B4AD5">
            <w:pPr>
              <w:jc w:val="center"/>
              <w:rPr>
                <w:rFonts w:cs="Arial"/>
                <w:sz w:val="20"/>
                <w:szCs w:val="20"/>
              </w:rPr>
            </w:pPr>
            <w:r>
              <w:rPr>
                <w:rFonts w:cs="Arial"/>
                <w:sz w:val="20"/>
                <w:szCs w:val="20"/>
              </w:rPr>
              <w:t>10.33</w:t>
            </w:r>
          </w:p>
        </w:tc>
        <w:tc>
          <w:tcPr>
            <w:tcW w:w="518" w:type="pct"/>
            <w:tcBorders>
              <w:top w:val="nil"/>
              <w:bottom w:val="nil"/>
            </w:tcBorders>
            <w:vAlign w:val="center"/>
          </w:tcPr>
          <w:p w:rsidR="000B4AD5" w:rsidRDefault="000B4AD5">
            <w:pPr>
              <w:jc w:val="center"/>
              <w:rPr>
                <w:rFonts w:cs="Arial"/>
                <w:sz w:val="20"/>
                <w:szCs w:val="20"/>
              </w:rPr>
            </w:pPr>
            <w:r>
              <w:rPr>
                <w:rFonts w:cs="Arial"/>
                <w:sz w:val="20"/>
                <w:szCs w:val="20"/>
              </w:rPr>
              <w:t>11.75</w:t>
            </w:r>
          </w:p>
        </w:tc>
        <w:tc>
          <w:tcPr>
            <w:tcW w:w="515" w:type="pct"/>
            <w:tcBorders>
              <w:top w:val="nil"/>
              <w:bottom w:val="nil"/>
            </w:tcBorders>
            <w:vAlign w:val="center"/>
          </w:tcPr>
          <w:p w:rsidR="000B4AD5" w:rsidRDefault="000B4AD5">
            <w:pPr>
              <w:jc w:val="center"/>
              <w:rPr>
                <w:rFonts w:cs="Arial"/>
                <w:sz w:val="20"/>
                <w:szCs w:val="20"/>
              </w:rPr>
            </w:pPr>
            <w:r>
              <w:rPr>
                <w:rFonts w:cs="Arial"/>
                <w:sz w:val="20"/>
                <w:szCs w:val="20"/>
              </w:rPr>
              <w:t>9.68</w:t>
            </w:r>
          </w:p>
        </w:tc>
        <w:tc>
          <w:tcPr>
            <w:tcW w:w="587" w:type="pct"/>
            <w:tcBorders>
              <w:top w:val="nil"/>
              <w:bottom w:val="nil"/>
            </w:tcBorders>
            <w:vAlign w:val="center"/>
          </w:tcPr>
          <w:p w:rsidR="000B4AD5" w:rsidRDefault="000B4AD5">
            <w:pPr>
              <w:jc w:val="center"/>
              <w:rPr>
                <w:rFonts w:cs="Arial"/>
                <w:sz w:val="20"/>
                <w:szCs w:val="20"/>
              </w:rPr>
            </w:pPr>
            <w:r>
              <w:rPr>
                <w:rFonts w:cs="Arial"/>
                <w:sz w:val="20"/>
                <w:szCs w:val="20"/>
              </w:rPr>
              <w:t>9.50</w:t>
            </w:r>
          </w:p>
        </w:tc>
      </w:tr>
      <w:tr w:rsidR="000B4AD5"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0B4AD5" w:rsidRDefault="000B4AD5">
            <w:pPr>
              <w:rPr>
                <w:rFonts w:cs="Arial"/>
                <w:szCs w:val="20"/>
              </w:rPr>
            </w:pPr>
            <w:r>
              <w:rPr>
                <w:rFonts w:cs="Arial"/>
                <w:szCs w:val="20"/>
              </w:rPr>
              <w:t>Ex ante quantity (TJ)</w:t>
            </w:r>
          </w:p>
        </w:tc>
        <w:tc>
          <w:tcPr>
            <w:tcW w:w="589" w:type="pct"/>
            <w:tcBorders>
              <w:top w:val="nil"/>
              <w:bottom w:val="nil"/>
            </w:tcBorders>
            <w:vAlign w:val="center"/>
          </w:tcPr>
          <w:p w:rsidR="000B4AD5" w:rsidRDefault="000B4AD5">
            <w:pPr>
              <w:jc w:val="center"/>
              <w:rPr>
                <w:rFonts w:cs="Arial"/>
                <w:szCs w:val="20"/>
              </w:rPr>
            </w:pPr>
            <w:r>
              <w:rPr>
                <w:rFonts w:cs="Arial"/>
                <w:szCs w:val="20"/>
              </w:rPr>
              <w:t>82</w:t>
            </w:r>
          </w:p>
        </w:tc>
        <w:tc>
          <w:tcPr>
            <w:tcW w:w="516" w:type="pct"/>
            <w:tcBorders>
              <w:top w:val="nil"/>
              <w:bottom w:val="nil"/>
            </w:tcBorders>
            <w:vAlign w:val="center"/>
          </w:tcPr>
          <w:p w:rsidR="000B4AD5" w:rsidRDefault="000B4AD5">
            <w:pPr>
              <w:jc w:val="center"/>
              <w:rPr>
                <w:rFonts w:cs="Arial"/>
                <w:szCs w:val="20"/>
              </w:rPr>
            </w:pPr>
            <w:r>
              <w:rPr>
                <w:rFonts w:cs="Arial"/>
                <w:szCs w:val="20"/>
              </w:rPr>
              <w:t>93</w:t>
            </w:r>
          </w:p>
        </w:tc>
        <w:tc>
          <w:tcPr>
            <w:tcW w:w="598" w:type="pct"/>
            <w:tcBorders>
              <w:top w:val="nil"/>
              <w:bottom w:val="nil"/>
            </w:tcBorders>
            <w:vAlign w:val="center"/>
          </w:tcPr>
          <w:p w:rsidR="000B4AD5" w:rsidRDefault="000B4AD5">
            <w:pPr>
              <w:jc w:val="center"/>
              <w:rPr>
                <w:rFonts w:cs="Arial"/>
                <w:szCs w:val="20"/>
              </w:rPr>
            </w:pPr>
            <w:r>
              <w:rPr>
                <w:rFonts w:cs="Arial"/>
                <w:szCs w:val="20"/>
              </w:rPr>
              <w:t>96</w:t>
            </w:r>
          </w:p>
        </w:tc>
        <w:tc>
          <w:tcPr>
            <w:tcW w:w="525" w:type="pct"/>
            <w:tcBorders>
              <w:top w:val="nil"/>
              <w:bottom w:val="nil"/>
            </w:tcBorders>
            <w:vAlign w:val="center"/>
          </w:tcPr>
          <w:p w:rsidR="000B4AD5" w:rsidRDefault="000B4AD5">
            <w:pPr>
              <w:jc w:val="center"/>
              <w:rPr>
                <w:rFonts w:cs="Arial"/>
                <w:szCs w:val="20"/>
              </w:rPr>
            </w:pPr>
            <w:r>
              <w:rPr>
                <w:rFonts w:cs="Arial"/>
                <w:szCs w:val="20"/>
              </w:rPr>
              <w:t>90</w:t>
            </w:r>
          </w:p>
        </w:tc>
        <w:tc>
          <w:tcPr>
            <w:tcW w:w="518" w:type="pct"/>
            <w:tcBorders>
              <w:top w:val="nil"/>
              <w:bottom w:val="nil"/>
            </w:tcBorders>
            <w:vAlign w:val="center"/>
          </w:tcPr>
          <w:p w:rsidR="000B4AD5" w:rsidRDefault="000B4AD5">
            <w:pPr>
              <w:jc w:val="center"/>
              <w:rPr>
                <w:rFonts w:cs="Arial"/>
                <w:szCs w:val="20"/>
              </w:rPr>
            </w:pPr>
            <w:r>
              <w:rPr>
                <w:rFonts w:cs="Arial"/>
                <w:szCs w:val="20"/>
              </w:rPr>
              <w:t>90</w:t>
            </w:r>
          </w:p>
        </w:tc>
        <w:tc>
          <w:tcPr>
            <w:tcW w:w="515" w:type="pct"/>
            <w:tcBorders>
              <w:top w:val="nil"/>
              <w:bottom w:val="nil"/>
            </w:tcBorders>
            <w:vAlign w:val="center"/>
          </w:tcPr>
          <w:p w:rsidR="000B4AD5" w:rsidRDefault="000B4AD5">
            <w:pPr>
              <w:jc w:val="center"/>
              <w:rPr>
                <w:rFonts w:cs="Arial"/>
                <w:szCs w:val="20"/>
              </w:rPr>
            </w:pPr>
            <w:r>
              <w:rPr>
                <w:rFonts w:cs="Arial"/>
                <w:szCs w:val="20"/>
              </w:rPr>
              <w:t>85</w:t>
            </w:r>
          </w:p>
        </w:tc>
        <w:tc>
          <w:tcPr>
            <w:tcW w:w="587" w:type="pct"/>
            <w:tcBorders>
              <w:top w:val="nil"/>
              <w:bottom w:val="nil"/>
            </w:tcBorders>
            <w:vAlign w:val="center"/>
          </w:tcPr>
          <w:p w:rsidR="000B4AD5" w:rsidRDefault="000B4AD5">
            <w:pPr>
              <w:jc w:val="center"/>
              <w:rPr>
                <w:rFonts w:cs="Arial"/>
                <w:szCs w:val="20"/>
              </w:rPr>
            </w:pPr>
            <w:r>
              <w:rPr>
                <w:rFonts w:cs="Arial"/>
                <w:szCs w:val="20"/>
              </w:rPr>
              <w:t>71</w:t>
            </w:r>
          </w:p>
        </w:tc>
      </w:tr>
      <w:tr w:rsidR="000B4AD5" w:rsidRPr="00405CDE" w:rsidTr="00A226E9">
        <w:trPr>
          <w:trHeight w:val="87"/>
        </w:trPr>
        <w:tc>
          <w:tcPr>
            <w:tcW w:w="1152" w:type="pct"/>
            <w:tcBorders>
              <w:top w:val="nil"/>
              <w:bottom w:val="nil"/>
            </w:tcBorders>
            <w:vAlign w:val="center"/>
          </w:tcPr>
          <w:p w:rsidR="000B4AD5" w:rsidRDefault="000B4AD5">
            <w:pPr>
              <w:rPr>
                <w:rFonts w:cs="Arial"/>
                <w:sz w:val="20"/>
                <w:szCs w:val="20"/>
              </w:rPr>
            </w:pPr>
            <w:r>
              <w:rPr>
                <w:rFonts w:cs="Arial"/>
                <w:sz w:val="20"/>
                <w:szCs w:val="20"/>
              </w:rPr>
              <w:t>Ex post price ($/GJ)</w:t>
            </w:r>
          </w:p>
        </w:tc>
        <w:tc>
          <w:tcPr>
            <w:tcW w:w="589" w:type="pct"/>
            <w:tcBorders>
              <w:top w:val="nil"/>
              <w:bottom w:val="nil"/>
            </w:tcBorders>
            <w:vAlign w:val="center"/>
          </w:tcPr>
          <w:p w:rsidR="000B4AD5" w:rsidRDefault="000B4AD5">
            <w:pPr>
              <w:jc w:val="center"/>
              <w:rPr>
                <w:rFonts w:cs="Arial"/>
                <w:sz w:val="20"/>
                <w:szCs w:val="20"/>
              </w:rPr>
            </w:pPr>
            <w:r>
              <w:rPr>
                <w:rFonts w:cs="Arial"/>
                <w:sz w:val="20"/>
                <w:szCs w:val="20"/>
              </w:rPr>
              <w:t>7.85</w:t>
            </w:r>
          </w:p>
        </w:tc>
        <w:tc>
          <w:tcPr>
            <w:tcW w:w="516" w:type="pct"/>
            <w:tcBorders>
              <w:top w:val="nil"/>
              <w:bottom w:val="nil"/>
            </w:tcBorders>
            <w:vAlign w:val="center"/>
          </w:tcPr>
          <w:p w:rsidR="000B4AD5" w:rsidRDefault="000B4AD5">
            <w:pPr>
              <w:jc w:val="center"/>
              <w:rPr>
                <w:rFonts w:cs="Arial"/>
                <w:sz w:val="20"/>
                <w:szCs w:val="20"/>
              </w:rPr>
            </w:pPr>
            <w:r>
              <w:rPr>
                <w:rFonts w:cs="Arial"/>
                <w:sz w:val="20"/>
                <w:szCs w:val="20"/>
              </w:rPr>
              <w:t>9.20</w:t>
            </w:r>
          </w:p>
        </w:tc>
        <w:tc>
          <w:tcPr>
            <w:tcW w:w="598" w:type="pct"/>
            <w:tcBorders>
              <w:top w:val="nil"/>
              <w:bottom w:val="nil"/>
            </w:tcBorders>
            <w:vAlign w:val="center"/>
          </w:tcPr>
          <w:p w:rsidR="000B4AD5" w:rsidRDefault="000B4AD5">
            <w:pPr>
              <w:jc w:val="center"/>
              <w:rPr>
                <w:rFonts w:cs="Arial"/>
                <w:sz w:val="20"/>
                <w:szCs w:val="20"/>
              </w:rPr>
            </w:pPr>
            <w:r>
              <w:rPr>
                <w:rFonts w:cs="Arial"/>
                <w:sz w:val="20"/>
                <w:szCs w:val="20"/>
              </w:rPr>
              <w:t>10.00</w:t>
            </w:r>
          </w:p>
        </w:tc>
        <w:tc>
          <w:tcPr>
            <w:tcW w:w="525" w:type="pct"/>
            <w:tcBorders>
              <w:top w:val="nil"/>
              <w:bottom w:val="nil"/>
            </w:tcBorders>
            <w:vAlign w:val="center"/>
          </w:tcPr>
          <w:p w:rsidR="000B4AD5" w:rsidRDefault="000B4AD5">
            <w:pPr>
              <w:jc w:val="center"/>
              <w:rPr>
                <w:rFonts w:cs="Arial"/>
                <w:sz w:val="20"/>
                <w:szCs w:val="20"/>
              </w:rPr>
            </w:pPr>
            <w:r>
              <w:rPr>
                <w:rFonts w:cs="Arial"/>
                <w:sz w:val="20"/>
                <w:szCs w:val="20"/>
              </w:rPr>
              <w:t>9.54</w:t>
            </w:r>
          </w:p>
        </w:tc>
        <w:tc>
          <w:tcPr>
            <w:tcW w:w="518" w:type="pct"/>
            <w:tcBorders>
              <w:top w:val="nil"/>
              <w:bottom w:val="nil"/>
            </w:tcBorders>
            <w:vAlign w:val="center"/>
          </w:tcPr>
          <w:p w:rsidR="000B4AD5" w:rsidRDefault="000B4AD5">
            <w:pPr>
              <w:jc w:val="center"/>
              <w:rPr>
                <w:rFonts w:cs="Arial"/>
                <w:sz w:val="20"/>
                <w:szCs w:val="20"/>
              </w:rPr>
            </w:pPr>
            <w:r>
              <w:rPr>
                <w:rFonts w:cs="Arial"/>
                <w:sz w:val="20"/>
                <w:szCs w:val="20"/>
              </w:rPr>
              <w:t>9.08</w:t>
            </w:r>
          </w:p>
        </w:tc>
        <w:tc>
          <w:tcPr>
            <w:tcW w:w="515" w:type="pct"/>
            <w:tcBorders>
              <w:top w:val="nil"/>
              <w:bottom w:val="nil"/>
            </w:tcBorders>
            <w:vAlign w:val="center"/>
          </w:tcPr>
          <w:p w:rsidR="000B4AD5" w:rsidRDefault="000B4AD5">
            <w:pPr>
              <w:jc w:val="center"/>
              <w:rPr>
                <w:rFonts w:cs="Arial"/>
                <w:sz w:val="20"/>
                <w:szCs w:val="20"/>
              </w:rPr>
            </w:pPr>
            <w:r>
              <w:rPr>
                <w:rFonts w:cs="Arial"/>
                <w:sz w:val="20"/>
                <w:szCs w:val="20"/>
              </w:rPr>
              <w:t>9.68</w:t>
            </w:r>
          </w:p>
        </w:tc>
        <w:tc>
          <w:tcPr>
            <w:tcW w:w="587" w:type="pct"/>
            <w:tcBorders>
              <w:top w:val="nil"/>
              <w:bottom w:val="nil"/>
            </w:tcBorders>
            <w:vAlign w:val="center"/>
          </w:tcPr>
          <w:p w:rsidR="000B4AD5" w:rsidRDefault="000B4AD5">
            <w:pPr>
              <w:jc w:val="center"/>
              <w:rPr>
                <w:rFonts w:cs="Arial"/>
                <w:sz w:val="20"/>
                <w:szCs w:val="20"/>
              </w:rPr>
            </w:pPr>
            <w:r>
              <w:rPr>
                <w:rFonts w:cs="Arial"/>
                <w:sz w:val="20"/>
                <w:szCs w:val="20"/>
              </w:rPr>
              <w:t>9.50</w:t>
            </w:r>
          </w:p>
        </w:tc>
      </w:tr>
      <w:tr w:rsidR="000B4AD5"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0B4AD5" w:rsidRDefault="000B4AD5">
            <w:pPr>
              <w:rPr>
                <w:rFonts w:cs="Arial"/>
                <w:szCs w:val="20"/>
              </w:rPr>
            </w:pPr>
            <w:r>
              <w:rPr>
                <w:rFonts w:cs="Arial"/>
                <w:szCs w:val="20"/>
              </w:rPr>
              <w:t>Ex post quantity (TJ)</w:t>
            </w:r>
          </w:p>
        </w:tc>
        <w:tc>
          <w:tcPr>
            <w:tcW w:w="589" w:type="pct"/>
            <w:tcBorders>
              <w:top w:val="nil"/>
              <w:bottom w:val="single" w:sz="4" w:space="0" w:color="auto"/>
            </w:tcBorders>
            <w:vAlign w:val="center"/>
          </w:tcPr>
          <w:p w:rsidR="000B4AD5" w:rsidRDefault="000B4AD5">
            <w:pPr>
              <w:jc w:val="center"/>
              <w:rPr>
                <w:rFonts w:cs="Arial"/>
                <w:szCs w:val="20"/>
              </w:rPr>
            </w:pPr>
            <w:r>
              <w:rPr>
                <w:rFonts w:cs="Arial"/>
                <w:szCs w:val="20"/>
              </w:rPr>
              <w:t>75</w:t>
            </w:r>
          </w:p>
        </w:tc>
        <w:tc>
          <w:tcPr>
            <w:tcW w:w="516" w:type="pct"/>
            <w:tcBorders>
              <w:top w:val="nil"/>
              <w:bottom w:val="single" w:sz="4" w:space="0" w:color="auto"/>
            </w:tcBorders>
            <w:vAlign w:val="center"/>
          </w:tcPr>
          <w:p w:rsidR="000B4AD5" w:rsidRDefault="000B4AD5">
            <w:pPr>
              <w:jc w:val="center"/>
              <w:rPr>
                <w:rFonts w:cs="Arial"/>
                <w:szCs w:val="20"/>
              </w:rPr>
            </w:pPr>
            <w:r>
              <w:rPr>
                <w:rFonts w:cs="Arial"/>
                <w:szCs w:val="20"/>
              </w:rPr>
              <w:t>100</w:t>
            </w:r>
          </w:p>
        </w:tc>
        <w:tc>
          <w:tcPr>
            <w:tcW w:w="598" w:type="pct"/>
            <w:tcBorders>
              <w:top w:val="nil"/>
              <w:bottom w:val="single" w:sz="4" w:space="0" w:color="auto"/>
            </w:tcBorders>
            <w:vAlign w:val="center"/>
          </w:tcPr>
          <w:p w:rsidR="000B4AD5" w:rsidRDefault="000B4AD5">
            <w:pPr>
              <w:jc w:val="center"/>
              <w:rPr>
                <w:rFonts w:cs="Arial"/>
                <w:szCs w:val="20"/>
              </w:rPr>
            </w:pPr>
            <w:r>
              <w:rPr>
                <w:rFonts w:cs="Arial"/>
                <w:szCs w:val="20"/>
              </w:rPr>
              <w:t>99</w:t>
            </w:r>
          </w:p>
        </w:tc>
        <w:tc>
          <w:tcPr>
            <w:tcW w:w="525" w:type="pct"/>
            <w:tcBorders>
              <w:top w:val="nil"/>
              <w:bottom w:val="single" w:sz="4" w:space="0" w:color="auto"/>
            </w:tcBorders>
            <w:vAlign w:val="center"/>
          </w:tcPr>
          <w:p w:rsidR="000B4AD5" w:rsidRDefault="000B4AD5">
            <w:pPr>
              <w:jc w:val="center"/>
              <w:rPr>
                <w:rFonts w:cs="Arial"/>
                <w:szCs w:val="20"/>
              </w:rPr>
            </w:pPr>
            <w:r>
              <w:rPr>
                <w:rFonts w:cs="Arial"/>
                <w:szCs w:val="20"/>
              </w:rPr>
              <w:t>85</w:t>
            </w:r>
          </w:p>
        </w:tc>
        <w:tc>
          <w:tcPr>
            <w:tcW w:w="518" w:type="pct"/>
            <w:tcBorders>
              <w:top w:val="nil"/>
              <w:bottom w:val="single" w:sz="4" w:space="0" w:color="auto"/>
            </w:tcBorders>
            <w:vAlign w:val="center"/>
          </w:tcPr>
          <w:p w:rsidR="000B4AD5" w:rsidRDefault="000B4AD5">
            <w:pPr>
              <w:jc w:val="center"/>
              <w:rPr>
                <w:rFonts w:cs="Arial"/>
                <w:szCs w:val="20"/>
              </w:rPr>
            </w:pPr>
            <w:r>
              <w:rPr>
                <w:rFonts w:cs="Arial"/>
                <w:szCs w:val="20"/>
              </w:rPr>
              <w:t>83</w:t>
            </w:r>
          </w:p>
        </w:tc>
        <w:tc>
          <w:tcPr>
            <w:tcW w:w="515" w:type="pct"/>
            <w:tcBorders>
              <w:top w:val="nil"/>
              <w:bottom w:val="single" w:sz="4" w:space="0" w:color="auto"/>
            </w:tcBorders>
            <w:vAlign w:val="center"/>
          </w:tcPr>
          <w:p w:rsidR="000B4AD5" w:rsidRDefault="000B4AD5">
            <w:pPr>
              <w:jc w:val="center"/>
              <w:rPr>
                <w:rFonts w:cs="Arial"/>
                <w:szCs w:val="20"/>
              </w:rPr>
            </w:pPr>
            <w:r>
              <w:rPr>
                <w:rFonts w:cs="Arial"/>
                <w:szCs w:val="20"/>
              </w:rPr>
              <w:t>89</w:t>
            </w:r>
          </w:p>
        </w:tc>
        <w:tc>
          <w:tcPr>
            <w:tcW w:w="587" w:type="pct"/>
            <w:tcBorders>
              <w:top w:val="nil"/>
              <w:bottom w:val="single" w:sz="4" w:space="0" w:color="auto"/>
            </w:tcBorders>
            <w:vAlign w:val="center"/>
          </w:tcPr>
          <w:p w:rsidR="000B4AD5" w:rsidRDefault="000B4AD5">
            <w:pPr>
              <w:jc w:val="center"/>
              <w:rPr>
                <w:rFonts w:cs="Arial"/>
                <w:szCs w:val="20"/>
              </w:rPr>
            </w:pPr>
            <w:r>
              <w:rPr>
                <w:rFonts w:cs="Arial"/>
                <w:szCs w:val="20"/>
              </w:rPr>
              <w:t>72</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0B4AD5" w:rsidP="00EC2CB1">
      <w:r w:rsidRPr="000B4AD5">
        <w:rPr>
          <w:noProof/>
          <w:lang w:eastAsia="en-AU"/>
        </w:rPr>
        <w:drawing>
          <wp:inline distT="0" distB="0" distL="0" distR="0" wp14:anchorId="4DF48576" wp14:editId="38B0D284">
            <wp:extent cx="5731510" cy="1739923"/>
            <wp:effectExtent l="0" t="0" r="2540" b="0"/>
            <wp:docPr id="17" name="Picture 17"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0B4AD5" w:rsidP="00EC2CB1">
      <w:r w:rsidRPr="000B4AD5">
        <w:rPr>
          <w:noProof/>
          <w:lang w:eastAsia="en-AU"/>
        </w:rPr>
        <w:drawing>
          <wp:inline distT="0" distB="0" distL="0" distR="0" wp14:anchorId="371641FD" wp14:editId="6BEE5B8A">
            <wp:extent cx="5731510" cy="1511607"/>
            <wp:effectExtent l="0" t="0" r="2540" b="0"/>
            <wp:docPr id="22" name="Picture 2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980220" w:rsidP="00A226E9">
      <w:r w:rsidRPr="00980220">
        <w:rPr>
          <w:noProof/>
          <w:lang w:eastAsia="en-AU"/>
        </w:rPr>
        <w:drawing>
          <wp:inline distT="0" distB="0" distL="0" distR="0" wp14:anchorId="6678F2AC" wp14:editId="49029BDB">
            <wp:extent cx="5731510" cy="1802652"/>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B4AD5" w:rsidRPr="00405CDE" w:rsidTr="00A226E9">
        <w:trPr>
          <w:trHeight w:val="510"/>
        </w:trPr>
        <w:tc>
          <w:tcPr>
            <w:tcW w:w="1152" w:type="pct"/>
            <w:tcBorders>
              <w:top w:val="nil"/>
              <w:bottom w:val="nil"/>
            </w:tcBorders>
            <w:vAlign w:val="center"/>
          </w:tcPr>
          <w:p w:rsidR="000B4AD5" w:rsidRDefault="000B4AD5">
            <w:pPr>
              <w:rPr>
                <w:rFonts w:cs="Arial"/>
                <w:sz w:val="20"/>
                <w:szCs w:val="20"/>
              </w:rPr>
            </w:pPr>
            <w:r>
              <w:rPr>
                <w:rFonts w:cs="Arial"/>
                <w:sz w:val="20"/>
                <w:szCs w:val="20"/>
              </w:rPr>
              <w:t>Ex ante price ($/GJ)</w:t>
            </w:r>
          </w:p>
        </w:tc>
        <w:tc>
          <w:tcPr>
            <w:tcW w:w="589" w:type="pct"/>
            <w:tcBorders>
              <w:top w:val="nil"/>
              <w:bottom w:val="nil"/>
            </w:tcBorders>
            <w:vAlign w:val="center"/>
          </w:tcPr>
          <w:p w:rsidR="000B4AD5" w:rsidRDefault="000B4AD5">
            <w:pPr>
              <w:jc w:val="center"/>
              <w:rPr>
                <w:rFonts w:cs="Arial"/>
                <w:sz w:val="20"/>
                <w:szCs w:val="20"/>
              </w:rPr>
            </w:pPr>
            <w:r>
              <w:rPr>
                <w:rFonts w:cs="Arial"/>
                <w:sz w:val="20"/>
                <w:szCs w:val="20"/>
              </w:rPr>
              <w:t>6.70</w:t>
            </w:r>
          </w:p>
        </w:tc>
        <w:tc>
          <w:tcPr>
            <w:tcW w:w="516" w:type="pct"/>
            <w:tcBorders>
              <w:top w:val="nil"/>
              <w:bottom w:val="nil"/>
            </w:tcBorders>
            <w:vAlign w:val="center"/>
          </w:tcPr>
          <w:p w:rsidR="000B4AD5" w:rsidRDefault="000B4AD5">
            <w:pPr>
              <w:jc w:val="center"/>
              <w:rPr>
                <w:rFonts w:cs="Arial"/>
                <w:sz w:val="20"/>
                <w:szCs w:val="20"/>
              </w:rPr>
            </w:pPr>
            <w:r>
              <w:rPr>
                <w:rFonts w:cs="Arial"/>
                <w:sz w:val="20"/>
                <w:szCs w:val="20"/>
              </w:rPr>
              <w:t>5.81</w:t>
            </w:r>
          </w:p>
        </w:tc>
        <w:tc>
          <w:tcPr>
            <w:tcW w:w="598"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25"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18"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15"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87" w:type="pct"/>
            <w:tcBorders>
              <w:top w:val="nil"/>
              <w:bottom w:val="nil"/>
            </w:tcBorders>
            <w:vAlign w:val="center"/>
          </w:tcPr>
          <w:p w:rsidR="000B4AD5" w:rsidRDefault="000B4AD5">
            <w:pPr>
              <w:jc w:val="center"/>
              <w:rPr>
                <w:rFonts w:cs="Arial"/>
                <w:sz w:val="20"/>
                <w:szCs w:val="20"/>
              </w:rPr>
            </w:pPr>
            <w:r>
              <w:rPr>
                <w:rFonts w:cs="Arial"/>
                <w:sz w:val="20"/>
                <w:szCs w:val="20"/>
              </w:rPr>
              <w:t>6.02</w:t>
            </w:r>
          </w:p>
        </w:tc>
      </w:tr>
      <w:tr w:rsidR="000B4AD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0B4AD5" w:rsidRDefault="000B4AD5">
            <w:pPr>
              <w:rPr>
                <w:rFonts w:cs="Arial"/>
                <w:szCs w:val="20"/>
              </w:rPr>
            </w:pPr>
            <w:r>
              <w:rPr>
                <w:rFonts w:cs="Arial"/>
                <w:szCs w:val="20"/>
              </w:rPr>
              <w:t>Ex ante quantity (TJ)</w:t>
            </w:r>
          </w:p>
        </w:tc>
        <w:tc>
          <w:tcPr>
            <w:tcW w:w="589" w:type="pct"/>
            <w:tcBorders>
              <w:top w:val="nil"/>
              <w:bottom w:val="nil"/>
            </w:tcBorders>
            <w:vAlign w:val="center"/>
          </w:tcPr>
          <w:p w:rsidR="000B4AD5" w:rsidRDefault="000B4AD5">
            <w:pPr>
              <w:jc w:val="center"/>
              <w:rPr>
                <w:rFonts w:cs="Arial"/>
                <w:szCs w:val="20"/>
              </w:rPr>
            </w:pPr>
            <w:r>
              <w:rPr>
                <w:rFonts w:cs="Arial"/>
                <w:szCs w:val="20"/>
              </w:rPr>
              <w:t>83</w:t>
            </w:r>
          </w:p>
        </w:tc>
        <w:tc>
          <w:tcPr>
            <w:tcW w:w="516" w:type="pct"/>
            <w:tcBorders>
              <w:top w:val="nil"/>
              <w:bottom w:val="nil"/>
            </w:tcBorders>
            <w:vAlign w:val="center"/>
          </w:tcPr>
          <w:p w:rsidR="000B4AD5" w:rsidRDefault="000B4AD5">
            <w:pPr>
              <w:jc w:val="center"/>
              <w:rPr>
                <w:rFonts w:cs="Arial"/>
                <w:szCs w:val="20"/>
              </w:rPr>
            </w:pPr>
            <w:r>
              <w:rPr>
                <w:rFonts w:cs="Arial"/>
                <w:szCs w:val="20"/>
              </w:rPr>
              <w:t>102</w:t>
            </w:r>
          </w:p>
        </w:tc>
        <w:tc>
          <w:tcPr>
            <w:tcW w:w="598" w:type="pct"/>
            <w:tcBorders>
              <w:top w:val="nil"/>
              <w:bottom w:val="nil"/>
            </w:tcBorders>
            <w:vAlign w:val="center"/>
          </w:tcPr>
          <w:p w:rsidR="000B4AD5" w:rsidRDefault="000B4AD5">
            <w:pPr>
              <w:jc w:val="center"/>
              <w:rPr>
                <w:rFonts w:cs="Arial"/>
                <w:szCs w:val="20"/>
              </w:rPr>
            </w:pPr>
            <w:r>
              <w:rPr>
                <w:rFonts w:cs="Arial"/>
                <w:szCs w:val="20"/>
              </w:rPr>
              <w:t>103</w:t>
            </w:r>
          </w:p>
        </w:tc>
        <w:tc>
          <w:tcPr>
            <w:tcW w:w="525" w:type="pct"/>
            <w:tcBorders>
              <w:top w:val="nil"/>
              <w:bottom w:val="nil"/>
            </w:tcBorders>
            <w:vAlign w:val="center"/>
          </w:tcPr>
          <w:p w:rsidR="000B4AD5" w:rsidRDefault="000B4AD5">
            <w:pPr>
              <w:jc w:val="center"/>
              <w:rPr>
                <w:rFonts w:cs="Arial"/>
                <w:szCs w:val="20"/>
              </w:rPr>
            </w:pPr>
            <w:r>
              <w:rPr>
                <w:rFonts w:cs="Arial"/>
                <w:szCs w:val="20"/>
              </w:rPr>
              <w:t>102</w:t>
            </w:r>
          </w:p>
        </w:tc>
        <w:tc>
          <w:tcPr>
            <w:tcW w:w="518" w:type="pct"/>
            <w:tcBorders>
              <w:top w:val="nil"/>
              <w:bottom w:val="nil"/>
            </w:tcBorders>
            <w:vAlign w:val="center"/>
          </w:tcPr>
          <w:p w:rsidR="000B4AD5" w:rsidRDefault="000B4AD5">
            <w:pPr>
              <w:jc w:val="center"/>
              <w:rPr>
                <w:rFonts w:cs="Arial"/>
                <w:szCs w:val="20"/>
              </w:rPr>
            </w:pPr>
            <w:r>
              <w:rPr>
                <w:rFonts w:cs="Arial"/>
                <w:szCs w:val="20"/>
              </w:rPr>
              <w:t>104</w:t>
            </w:r>
          </w:p>
        </w:tc>
        <w:tc>
          <w:tcPr>
            <w:tcW w:w="515" w:type="pct"/>
            <w:tcBorders>
              <w:top w:val="nil"/>
              <w:bottom w:val="nil"/>
            </w:tcBorders>
            <w:vAlign w:val="center"/>
          </w:tcPr>
          <w:p w:rsidR="000B4AD5" w:rsidRDefault="000B4AD5">
            <w:pPr>
              <w:jc w:val="center"/>
              <w:rPr>
                <w:rFonts w:cs="Arial"/>
                <w:szCs w:val="20"/>
              </w:rPr>
            </w:pPr>
            <w:r>
              <w:rPr>
                <w:rFonts w:cs="Arial"/>
                <w:szCs w:val="20"/>
              </w:rPr>
              <w:t>95</w:t>
            </w:r>
          </w:p>
        </w:tc>
        <w:tc>
          <w:tcPr>
            <w:tcW w:w="587" w:type="pct"/>
            <w:tcBorders>
              <w:top w:val="nil"/>
              <w:bottom w:val="nil"/>
            </w:tcBorders>
            <w:vAlign w:val="center"/>
          </w:tcPr>
          <w:p w:rsidR="000B4AD5" w:rsidRDefault="000B4AD5">
            <w:pPr>
              <w:jc w:val="center"/>
              <w:rPr>
                <w:rFonts w:cs="Arial"/>
                <w:szCs w:val="20"/>
              </w:rPr>
            </w:pPr>
            <w:r>
              <w:rPr>
                <w:rFonts w:cs="Arial"/>
                <w:szCs w:val="20"/>
              </w:rPr>
              <w:t>83</w:t>
            </w:r>
          </w:p>
        </w:tc>
      </w:tr>
      <w:tr w:rsidR="000B4AD5" w:rsidRPr="00405CDE" w:rsidTr="00A226E9">
        <w:trPr>
          <w:trHeight w:val="510"/>
        </w:trPr>
        <w:tc>
          <w:tcPr>
            <w:tcW w:w="1152" w:type="pct"/>
            <w:tcBorders>
              <w:top w:val="nil"/>
              <w:bottom w:val="nil"/>
            </w:tcBorders>
            <w:vAlign w:val="center"/>
          </w:tcPr>
          <w:p w:rsidR="000B4AD5" w:rsidRDefault="000B4AD5">
            <w:pPr>
              <w:rPr>
                <w:rFonts w:cs="Arial"/>
                <w:sz w:val="20"/>
                <w:szCs w:val="20"/>
              </w:rPr>
            </w:pPr>
            <w:r>
              <w:rPr>
                <w:rFonts w:cs="Arial"/>
                <w:sz w:val="20"/>
                <w:szCs w:val="20"/>
              </w:rPr>
              <w:t>Ex post price ($/GJ)</w:t>
            </w:r>
          </w:p>
        </w:tc>
        <w:tc>
          <w:tcPr>
            <w:tcW w:w="589" w:type="pct"/>
            <w:tcBorders>
              <w:top w:val="nil"/>
              <w:bottom w:val="nil"/>
            </w:tcBorders>
            <w:vAlign w:val="center"/>
          </w:tcPr>
          <w:p w:rsidR="000B4AD5" w:rsidRDefault="000B4AD5">
            <w:pPr>
              <w:jc w:val="center"/>
              <w:rPr>
                <w:rFonts w:cs="Arial"/>
                <w:sz w:val="20"/>
                <w:szCs w:val="20"/>
              </w:rPr>
            </w:pPr>
            <w:r>
              <w:rPr>
                <w:rFonts w:cs="Arial"/>
                <w:sz w:val="20"/>
                <w:szCs w:val="20"/>
              </w:rPr>
              <w:t>6.70</w:t>
            </w:r>
          </w:p>
        </w:tc>
        <w:tc>
          <w:tcPr>
            <w:tcW w:w="516" w:type="pct"/>
            <w:tcBorders>
              <w:top w:val="nil"/>
              <w:bottom w:val="nil"/>
            </w:tcBorders>
            <w:vAlign w:val="center"/>
          </w:tcPr>
          <w:p w:rsidR="000B4AD5" w:rsidRDefault="000B4AD5">
            <w:pPr>
              <w:jc w:val="center"/>
              <w:rPr>
                <w:rFonts w:cs="Arial"/>
                <w:sz w:val="20"/>
                <w:szCs w:val="20"/>
              </w:rPr>
            </w:pPr>
            <w:r>
              <w:rPr>
                <w:rFonts w:cs="Arial"/>
                <w:sz w:val="20"/>
                <w:szCs w:val="20"/>
              </w:rPr>
              <w:t>5.81</w:t>
            </w:r>
          </w:p>
        </w:tc>
        <w:tc>
          <w:tcPr>
            <w:tcW w:w="598"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25"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18"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15" w:type="pct"/>
            <w:tcBorders>
              <w:top w:val="nil"/>
              <w:bottom w:val="nil"/>
            </w:tcBorders>
            <w:vAlign w:val="center"/>
          </w:tcPr>
          <w:p w:rsidR="000B4AD5" w:rsidRDefault="000B4AD5">
            <w:pPr>
              <w:jc w:val="center"/>
              <w:rPr>
                <w:rFonts w:cs="Arial"/>
                <w:sz w:val="20"/>
                <w:szCs w:val="20"/>
              </w:rPr>
            </w:pPr>
            <w:r>
              <w:rPr>
                <w:rFonts w:cs="Arial"/>
                <w:sz w:val="20"/>
                <w:szCs w:val="20"/>
              </w:rPr>
              <w:t>7.10</w:t>
            </w:r>
          </w:p>
        </w:tc>
        <w:tc>
          <w:tcPr>
            <w:tcW w:w="587" w:type="pct"/>
            <w:tcBorders>
              <w:top w:val="nil"/>
              <w:bottom w:val="nil"/>
            </w:tcBorders>
            <w:vAlign w:val="center"/>
          </w:tcPr>
          <w:p w:rsidR="000B4AD5" w:rsidRDefault="000B4AD5">
            <w:pPr>
              <w:jc w:val="center"/>
              <w:rPr>
                <w:rFonts w:cs="Arial"/>
                <w:sz w:val="20"/>
                <w:szCs w:val="20"/>
              </w:rPr>
            </w:pPr>
            <w:r>
              <w:rPr>
                <w:rFonts w:cs="Arial"/>
                <w:sz w:val="20"/>
                <w:szCs w:val="20"/>
              </w:rPr>
              <w:t>6.02</w:t>
            </w:r>
          </w:p>
        </w:tc>
      </w:tr>
      <w:tr w:rsidR="000B4AD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0B4AD5" w:rsidRDefault="000B4AD5">
            <w:pPr>
              <w:rPr>
                <w:rFonts w:cs="Arial"/>
                <w:szCs w:val="20"/>
              </w:rPr>
            </w:pPr>
            <w:r>
              <w:rPr>
                <w:rFonts w:cs="Arial"/>
                <w:szCs w:val="20"/>
              </w:rPr>
              <w:t>Ex post quantity (TJ)</w:t>
            </w:r>
          </w:p>
        </w:tc>
        <w:tc>
          <w:tcPr>
            <w:tcW w:w="589" w:type="pct"/>
            <w:tcBorders>
              <w:top w:val="nil"/>
              <w:bottom w:val="single" w:sz="4" w:space="0" w:color="auto"/>
            </w:tcBorders>
            <w:vAlign w:val="center"/>
          </w:tcPr>
          <w:p w:rsidR="000B4AD5" w:rsidRDefault="000B4AD5">
            <w:pPr>
              <w:jc w:val="center"/>
              <w:rPr>
                <w:rFonts w:cs="Arial"/>
                <w:szCs w:val="20"/>
              </w:rPr>
            </w:pPr>
            <w:r>
              <w:rPr>
                <w:rFonts w:cs="Arial"/>
                <w:szCs w:val="20"/>
              </w:rPr>
              <w:t>86</w:t>
            </w:r>
          </w:p>
        </w:tc>
        <w:tc>
          <w:tcPr>
            <w:tcW w:w="516" w:type="pct"/>
            <w:tcBorders>
              <w:top w:val="nil"/>
              <w:bottom w:val="single" w:sz="4" w:space="0" w:color="auto"/>
            </w:tcBorders>
            <w:vAlign w:val="center"/>
          </w:tcPr>
          <w:p w:rsidR="000B4AD5" w:rsidRDefault="000B4AD5">
            <w:pPr>
              <w:jc w:val="center"/>
              <w:rPr>
                <w:rFonts w:cs="Arial"/>
                <w:szCs w:val="20"/>
              </w:rPr>
            </w:pPr>
            <w:r>
              <w:rPr>
                <w:rFonts w:cs="Arial"/>
                <w:szCs w:val="20"/>
              </w:rPr>
              <w:t>101</w:t>
            </w:r>
          </w:p>
        </w:tc>
        <w:tc>
          <w:tcPr>
            <w:tcW w:w="598" w:type="pct"/>
            <w:tcBorders>
              <w:top w:val="nil"/>
              <w:bottom w:val="single" w:sz="4" w:space="0" w:color="auto"/>
            </w:tcBorders>
            <w:vAlign w:val="center"/>
          </w:tcPr>
          <w:p w:rsidR="000B4AD5" w:rsidRDefault="000B4AD5">
            <w:pPr>
              <w:jc w:val="center"/>
              <w:rPr>
                <w:rFonts w:cs="Arial"/>
                <w:szCs w:val="20"/>
              </w:rPr>
            </w:pPr>
            <w:r>
              <w:rPr>
                <w:rFonts w:cs="Arial"/>
                <w:szCs w:val="20"/>
              </w:rPr>
              <w:t>102</w:t>
            </w:r>
          </w:p>
        </w:tc>
        <w:tc>
          <w:tcPr>
            <w:tcW w:w="525" w:type="pct"/>
            <w:tcBorders>
              <w:top w:val="nil"/>
              <w:bottom w:val="single" w:sz="4" w:space="0" w:color="auto"/>
            </w:tcBorders>
            <w:vAlign w:val="center"/>
          </w:tcPr>
          <w:p w:rsidR="000B4AD5" w:rsidRDefault="000B4AD5">
            <w:pPr>
              <w:jc w:val="center"/>
              <w:rPr>
                <w:rFonts w:cs="Arial"/>
                <w:szCs w:val="20"/>
              </w:rPr>
            </w:pPr>
            <w:r>
              <w:rPr>
                <w:rFonts w:cs="Arial"/>
                <w:szCs w:val="20"/>
              </w:rPr>
              <w:t>104</w:t>
            </w:r>
          </w:p>
        </w:tc>
        <w:tc>
          <w:tcPr>
            <w:tcW w:w="518" w:type="pct"/>
            <w:tcBorders>
              <w:top w:val="nil"/>
              <w:bottom w:val="single" w:sz="4" w:space="0" w:color="auto"/>
            </w:tcBorders>
            <w:vAlign w:val="center"/>
          </w:tcPr>
          <w:p w:rsidR="000B4AD5" w:rsidRDefault="000B4AD5">
            <w:pPr>
              <w:jc w:val="center"/>
              <w:rPr>
                <w:rFonts w:cs="Arial"/>
                <w:szCs w:val="20"/>
              </w:rPr>
            </w:pPr>
            <w:r>
              <w:rPr>
                <w:rFonts w:cs="Arial"/>
                <w:szCs w:val="20"/>
              </w:rPr>
              <w:t>105</w:t>
            </w:r>
          </w:p>
        </w:tc>
        <w:tc>
          <w:tcPr>
            <w:tcW w:w="515" w:type="pct"/>
            <w:tcBorders>
              <w:top w:val="nil"/>
              <w:bottom w:val="single" w:sz="4" w:space="0" w:color="auto"/>
            </w:tcBorders>
            <w:vAlign w:val="center"/>
          </w:tcPr>
          <w:p w:rsidR="000B4AD5" w:rsidRDefault="000B4AD5">
            <w:pPr>
              <w:jc w:val="center"/>
              <w:rPr>
                <w:rFonts w:cs="Arial"/>
                <w:szCs w:val="20"/>
              </w:rPr>
            </w:pPr>
            <w:r>
              <w:rPr>
                <w:rFonts w:cs="Arial"/>
                <w:szCs w:val="20"/>
              </w:rPr>
              <w:t>97</w:t>
            </w:r>
          </w:p>
        </w:tc>
        <w:tc>
          <w:tcPr>
            <w:tcW w:w="587" w:type="pct"/>
            <w:tcBorders>
              <w:top w:val="nil"/>
              <w:bottom w:val="single" w:sz="4" w:space="0" w:color="auto"/>
            </w:tcBorders>
            <w:vAlign w:val="center"/>
          </w:tcPr>
          <w:p w:rsidR="000B4AD5" w:rsidRDefault="000B4AD5">
            <w:pPr>
              <w:jc w:val="center"/>
              <w:rPr>
                <w:rFonts w:cs="Arial"/>
                <w:szCs w:val="20"/>
              </w:rPr>
            </w:pPr>
            <w:r>
              <w:rPr>
                <w:rFonts w:cs="Arial"/>
                <w:szCs w:val="20"/>
              </w:rPr>
              <w:t>82</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0B4AD5" w:rsidP="00EC2CB1">
      <w:r w:rsidRPr="000B4AD5">
        <w:rPr>
          <w:noProof/>
          <w:lang w:eastAsia="en-AU"/>
        </w:rPr>
        <w:drawing>
          <wp:inline distT="0" distB="0" distL="0" distR="0" wp14:anchorId="08F7A3D3" wp14:editId="1F549665">
            <wp:extent cx="5731510" cy="1725905"/>
            <wp:effectExtent l="0" t="0" r="2540" b="0"/>
            <wp:docPr id="12" name="Picture 12"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980220" w:rsidP="00EC2CB1">
      <w:r w:rsidRPr="00980220">
        <w:rPr>
          <w:noProof/>
          <w:lang w:eastAsia="en-AU"/>
        </w:rPr>
        <w:drawing>
          <wp:inline distT="0" distB="0" distL="0" distR="0" wp14:anchorId="0E02AF82" wp14:editId="1813C394">
            <wp:extent cx="5731510" cy="1475616"/>
            <wp:effectExtent l="0" t="0" r="2540" b="0"/>
            <wp:docPr id="23" name="Picture 2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980220" w:rsidP="00A226E9">
      <w:r w:rsidRPr="00980220">
        <w:rPr>
          <w:noProof/>
          <w:lang w:eastAsia="en-AU"/>
        </w:rPr>
        <w:drawing>
          <wp:inline distT="0" distB="0" distL="0" distR="0" wp14:anchorId="01B7E5AF" wp14:editId="06F32C07">
            <wp:extent cx="5731510" cy="1883137"/>
            <wp:effectExtent l="0" t="0" r="2540" b="3175"/>
            <wp:docPr id="24" name="Picture 24"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1"/>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26768C">
      <w:pPr>
        <w:spacing w:line="240" w:lineRule="auto"/>
      </w:pPr>
      <w:r>
        <w:rPr>
          <w:b/>
          <w:bCs/>
          <w:noProof/>
          <w:lang w:eastAsia="en-AU"/>
        </w:rPr>
        <w:drawing>
          <wp:inline distT="0" distB="0" distL="0" distR="0">
            <wp:extent cx="5731510" cy="6142275"/>
            <wp:effectExtent l="0" t="0" r="2540" b="0"/>
            <wp:docPr id="14" name="Picture 14"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2"/>
      </w:r>
      <w:r w:rsidRPr="00552F68">
        <w:t xml:space="preserve"> for the supply of gas traded</w:t>
      </w:r>
      <w:r w:rsidR="006A1226">
        <w:rPr>
          <w:rStyle w:val="FootnoteReference"/>
        </w:rPr>
        <w:footnoteReference w:id="13"/>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8F61BC" w:rsidRDefault="008F61BC" w:rsidP="00551D6B">
      <w:pPr>
        <w:jc w:val="both"/>
      </w:pPr>
      <w:r>
        <w:t xml:space="preserve">There were 23 trades for 175.5 TJ of gas this week at a volume weighted price of </w:t>
      </w:r>
      <w:r w:rsidR="00D84587">
        <w:t>$7.10/GJ. Balance-of-day, day-ahead and daily products were traded on the RBP (97.7 TJ, $6.41/GJ) and SWQP (62.8 TJ, $7.48/GJ). In addition to these trades, there was also an off-market non-netted product trade for 15 TJ of gas at $10/GJ for delivery on the SWQP.</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980220" w:rsidP="00E16EDC">
      <w:r w:rsidRPr="00980220">
        <w:rPr>
          <w:noProof/>
          <w:lang w:eastAsia="en-AU"/>
        </w:rPr>
        <w:drawing>
          <wp:inline distT="0" distB="0" distL="0" distR="0" wp14:anchorId="6C653CAE" wp14:editId="02D5C74A">
            <wp:extent cx="5731510" cy="3126794"/>
            <wp:effectExtent l="0" t="0" r="2540" b="0"/>
            <wp:docPr id="30" name="Picture 30"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p w:rsidR="00D26D48" w:rsidRPr="001F5FED" w:rsidRDefault="00D26D48" w:rsidP="00D26D48">
      <w:pPr>
        <w:rPr>
          <w:sz w:val="16"/>
          <w:szCs w:val="16"/>
        </w:rPr>
      </w:pPr>
      <w:r w:rsidRPr="001F5FED">
        <w:rPr>
          <w:sz w:val="16"/>
          <w:szCs w:val="16"/>
        </w:rPr>
        <w:t>WAL* = Wallumbilla non</w:t>
      </w:r>
      <w:r w:rsidRPr="001F5FED">
        <w:rPr>
          <w:sz w:val="16"/>
          <w:szCs w:val="16"/>
        </w:rPr>
        <w:noBreakHyphen/>
        <w:t>netted product (off-market trade at a specified delivery point)</w:t>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D26D48" w:rsidRPr="00D26D48">
        <w:t>August</w:t>
      </w:r>
      <w:r w:rsidR="004D5447" w:rsidRPr="00D26D48">
        <w:t xml:space="preserve"> </w:t>
      </w:r>
      <w:r w:rsidR="00C4712A" w:rsidRPr="00D26D48">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84" w:rsidRDefault="00827784" w:rsidP="004B4412">
      <w:pPr>
        <w:spacing w:before="0"/>
      </w:pPr>
      <w:r>
        <w:separator/>
      </w:r>
    </w:p>
  </w:endnote>
  <w:endnote w:type="continuationSeparator" w:id="0">
    <w:p w:rsidR="00827784" w:rsidRDefault="00827784"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84" w:rsidRPr="00A91A9E" w:rsidRDefault="00827784"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827784" w:rsidRDefault="00827784"/>
  <w:p w:rsidR="00827784" w:rsidRDefault="008277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84" w:rsidRPr="00A94D89" w:rsidRDefault="00827784"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40809">
      <w:rPr>
        <w:rFonts w:cs="Arial"/>
        <w:i/>
        <w:noProof/>
      </w:rPr>
      <w:t>8</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84" w:rsidRPr="00A94D89" w:rsidRDefault="00827784"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DC137D">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107990</w:t>
    </w:r>
  </w:p>
  <w:p w:rsidR="00827784" w:rsidRDefault="008277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84" w:rsidRDefault="00827784" w:rsidP="004B4412">
      <w:pPr>
        <w:spacing w:before="0"/>
      </w:pPr>
      <w:r>
        <w:separator/>
      </w:r>
    </w:p>
  </w:footnote>
  <w:footnote w:type="continuationSeparator" w:id="0">
    <w:p w:rsidR="00827784" w:rsidRDefault="00827784" w:rsidP="004B4412">
      <w:pPr>
        <w:spacing w:before="0"/>
      </w:pPr>
      <w:r>
        <w:continuationSeparator/>
      </w:r>
    </w:p>
  </w:footnote>
  <w:footnote w:id="1">
    <w:p w:rsidR="00827784" w:rsidRPr="000835F4" w:rsidRDefault="00827784"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827784" w:rsidRDefault="00827784" w:rsidP="00367962">
      <w:pPr>
        <w:pStyle w:val="FootnoteText"/>
        <w:spacing w:beforeLines="60" w:before="144"/>
        <w:ind w:left="709" w:hanging="709"/>
      </w:pPr>
      <w:r>
        <w:rPr>
          <w:rStyle w:val="FootnoteReference"/>
        </w:rPr>
        <w:footnoteRef/>
      </w:r>
      <w:r>
        <w:t xml:space="preserve">               </w:t>
      </w:r>
      <w:hyperlink r:id="rId1" w:history="1">
        <w:r w:rsidRPr="00C50298">
          <w:rPr>
            <w:rStyle w:val="Hyperlink"/>
            <w:sz w:val="16"/>
          </w:rPr>
          <w:t>http://www.gasbb.com.au/Reports/Medium%20Term%20Capacity.aspx</w:t>
        </w:r>
      </w:hyperlink>
      <w:r>
        <w:t xml:space="preserve"> (as at 22 July 2016)</w:t>
      </w:r>
    </w:p>
  </w:footnote>
  <w:footnote w:id="3">
    <w:p w:rsidR="00827784" w:rsidRDefault="00827784" w:rsidP="00117965">
      <w:pPr>
        <w:pStyle w:val="FootnoteText"/>
        <w:ind w:left="709" w:hanging="709"/>
        <w:jc w:val="both"/>
      </w:pPr>
      <w:r>
        <w:rPr>
          <w:rStyle w:val="FootnoteReference"/>
        </w:rPr>
        <w:footnoteRef/>
      </w:r>
      <w:r>
        <w:t xml:space="preserve"> </w:t>
      </w:r>
      <w:r>
        <w:tab/>
        <w:t xml:space="preserve">Southerly flows on the QSN link from 25 to 29 July coincided with more than three times the GSH traded quantities on the SWQP this week (62.8 TJ this week compared to 20 TJ the previous week). </w:t>
      </w:r>
      <w:r w:rsidR="009842A9">
        <w:t>The AER understand that significantly more volume of trade is also being done outside the exchange.</w:t>
      </w:r>
    </w:p>
  </w:footnote>
  <w:footnote w:id="4">
    <w:p w:rsidR="00827784" w:rsidRPr="00EC2CB1" w:rsidRDefault="0082778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5">
    <w:p w:rsidR="00827784" w:rsidRPr="00EC2CB1" w:rsidRDefault="0082778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6">
    <w:p w:rsidR="00827784" w:rsidRPr="00EC2CB1" w:rsidRDefault="0082778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7">
    <w:p w:rsidR="00827784" w:rsidRPr="00551D6B" w:rsidRDefault="00827784"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8">
    <w:p w:rsidR="00827784" w:rsidRPr="00551D6B" w:rsidRDefault="00827784"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827784" w:rsidRPr="00552F68" w:rsidRDefault="00827784"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0">
    <w:p w:rsidR="00827784" w:rsidRDefault="00827784"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w:t>
      </w:r>
      <w:proofErr w:type="gramStart"/>
      <w:r>
        <w:rPr>
          <w:sz w:val="20"/>
          <w:szCs w:val="16"/>
        </w:rPr>
        <w:t>interconnect</w:t>
      </w:r>
      <w:proofErr w:type="gramEnd"/>
      <w:r>
        <w:rPr>
          <w:sz w:val="20"/>
          <w:szCs w:val="16"/>
        </w:rPr>
        <w: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827784" w:rsidRPr="00552F68" w:rsidRDefault="00827784"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827784" w:rsidRPr="00552F68" w:rsidRDefault="00827784"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1">
    <w:p w:rsidR="00827784" w:rsidRPr="003C7B5B" w:rsidRDefault="00827784"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2">
    <w:p w:rsidR="00827784" w:rsidRPr="001C3452" w:rsidRDefault="00827784"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827784" w:rsidRDefault="00827784"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7 – 23 July 201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77BA1"/>
    <w:rsid w:val="000835F4"/>
    <w:rsid w:val="00085663"/>
    <w:rsid w:val="00085B6D"/>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B4AD5"/>
    <w:rsid w:val="000C0472"/>
    <w:rsid w:val="000C1A94"/>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17965"/>
    <w:rsid w:val="0012092C"/>
    <w:rsid w:val="00122831"/>
    <w:rsid w:val="001235DD"/>
    <w:rsid w:val="00124609"/>
    <w:rsid w:val="00125F4F"/>
    <w:rsid w:val="001270EB"/>
    <w:rsid w:val="00127CAB"/>
    <w:rsid w:val="00130196"/>
    <w:rsid w:val="0013057E"/>
    <w:rsid w:val="001337EF"/>
    <w:rsid w:val="00133FC8"/>
    <w:rsid w:val="00134BD7"/>
    <w:rsid w:val="00135FBF"/>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AFD"/>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57B68"/>
    <w:rsid w:val="00261C02"/>
    <w:rsid w:val="00262F65"/>
    <w:rsid w:val="00263AC0"/>
    <w:rsid w:val="002649D2"/>
    <w:rsid w:val="002649D8"/>
    <w:rsid w:val="00265486"/>
    <w:rsid w:val="0026768C"/>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7962"/>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170C"/>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0809"/>
    <w:rsid w:val="0054102B"/>
    <w:rsid w:val="0054173F"/>
    <w:rsid w:val="0054254C"/>
    <w:rsid w:val="00543945"/>
    <w:rsid w:val="00543BEC"/>
    <w:rsid w:val="00544C6F"/>
    <w:rsid w:val="00546B16"/>
    <w:rsid w:val="00547DC4"/>
    <w:rsid w:val="005502E7"/>
    <w:rsid w:val="00551739"/>
    <w:rsid w:val="00551D6B"/>
    <w:rsid w:val="00551E23"/>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41A"/>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4DB"/>
    <w:rsid w:val="0081253D"/>
    <w:rsid w:val="00812E7B"/>
    <w:rsid w:val="0081351D"/>
    <w:rsid w:val="00813CE4"/>
    <w:rsid w:val="0081592A"/>
    <w:rsid w:val="00817724"/>
    <w:rsid w:val="008238B2"/>
    <w:rsid w:val="008245E2"/>
    <w:rsid w:val="008257CA"/>
    <w:rsid w:val="00827784"/>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1BC"/>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0220"/>
    <w:rsid w:val="00981578"/>
    <w:rsid w:val="00981E7F"/>
    <w:rsid w:val="00982FEB"/>
    <w:rsid w:val="009837D1"/>
    <w:rsid w:val="00983EEC"/>
    <w:rsid w:val="009842A9"/>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FB9"/>
    <w:rsid w:val="009C5E81"/>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291B"/>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6D48"/>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4BA"/>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458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37D"/>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48DE"/>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hyperlink" Target="http://www.aer.gov.au/wholesale-markets/market-performance" TargetMode="External"/><Relationship Id="rId19" Type="http://schemas.openxmlformats.org/officeDocument/2006/relationships/image" Target="media/image8.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er.gov.au/wholesale-markets/market-guidelines"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gasbb.com.au/Reports/Medium%20Term%20Capacity.asp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7E9750F1.dotm</Template>
  <TotalTime>0</TotalTime>
  <Pages>12</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2016-08-11T01:50:00Z</dcterms:created>
  <dcterms:modified xsi:type="dcterms:W3CDTF">2016-08-11T03:01:00Z</dcterms:modified>
</cp:coreProperties>
</file>