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6B2009" w:rsidP="00286866">
      <w:pPr>
        <w:pStyle w:val="Heading2"/>
        <w:rPr>
          <w:i/>
        </w:rPr>
      </w:pPr>
      <w:r>
        <w:rPr>
          <w:sz w:val="36"/>
          <w:szCs w:val="36"/>
        </w:rPr>
        <w:t>25 June – 1 July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984CCF" w:rsidRDefault="00984CCF" w:rsidP="00984CCF">
      <w:pPr>
        <w:jc w:val="both"/>
      </w:pPr>
      <w:r w:rsidRPr="00A13AFE">
        <w:t>Average prices increased this week alongside higher demand, rising from $0.39/GJ in Sydney and up to $1.01/GJ in Victoria. Figure 1 shows average prices for the past financial year ranged from 54 per cent higher (</w:t>
      </w:r>
      <w:r>
        <w:t xml:space="preserve">in </w:t>
      </w:r>
      <w:r w:rsidRPr="00A13AFE">
        <w:t>Adelaide) to 76 per cent higher (</w:t>
      </w:r>
      <w:r>
        <w:t xml:space="preserve">in </w:t>
      </w:r>
      <w:r w:rsidRPr="00A13AFE">
        <w:t>Brisbane) compared to the previous financial year 2015/16.</w:t>
      </w:r>
    </w:p>
    <w:p w:rsidR="00984CCF" w:rsidRDefault="00984CCF" w:rsidP="00984CCF">
      <w:pPr>
        <w:jc w:val="both"/>
      </w:pPr>
      <w:r>
        <w:t>Production levels at Roma remain high, with bulletin board data showing record levels being reached a number of times since late-June.</w:t>
      </w:r>
      <w:r>
        <w:rPr>
          <w:rStyle w:val="FootnoteReference"/>
        </w:rPr>
        <w:footnoteReference w:id="1"/>
      </w:r>
      <w:r>
        <w:t xml:space="preserve"> </w:t>
      </w:r>
    </w:p>
    <w:p w:rsidR="00C13A50" w:rsidRDefault="00984CCF" w:rsidP="00984CCF">
      <w:pPr>
        <w:jc w:val="both"/>
      </w:pPr>
      <w:r>
        <w:t xml:space="preserve">Average daily MOS payments in Sydney increased by 77 per cent, from just under $29,000 in 2015/16 to above $50,000 in 2016/17. </w:t>
      </w:r>
      <w:r w:rsidR="00887756">
        <w:t xml:space="preserve">MOS </w:t>
      </w:r>
      <w:r w:rsidR="00C13A50">
        <w:t>payments occur primarily because balancing gas (MOS) is required to correct for hub wide forecasting error</w:t>
      </w:r>
      <w:r w:rsidR="00887756">
        <w:t>s</w:t>
      </w:r>
      <w:r w:rsidR="00C13A50">
        <w:t xml:space="preserve">. </w:t>
      </w:r>
      <w:r w:rsidR="00887756">
        <w:t xml:space="preserve">With average daily </w:t>
      </w:r>
      <w:r w:rsidR="00C13A50">
        <w:t xml:space="preserve">demand of </w:t>
      </w:r>
      <w:r w:rsidR="00887756">
        <w:t xml:space="preserve">around </w:t>
      </w:r>
      <w:r w:rsidR="00C13A50">
        <w:t>250,000 GJ per day – this increase reflects a</w:t>
      </w:r>
      <w:r w:rsidR="00887756">
        <w:t xml:space="preserve"> GJ per day cost increase for some participants from around 10 cents to 20 cents. </w:t>
      </w:r>
      <w:r w:rsidR="00C13A50">
        <w:t xml:space="preserve"> </w:t>
      </w:r>
      <w:r w:rsidR="00887756">
        <w:t>The AER is monitoring factors behind this increase (more discussion is in the market overview).</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26680A" w:rsidRDefault="0026680A">
      <w:pPr>
        <w:spacing w:line="240" w:lineRule="auto"/>
        <w:rPr>
          <w:b/>
          <w:bCs/>
          <w:color w:val="2272A3" w:themeColor="accent4" w:themeShade="80"/>
          <w:sz w:val="24"/>
          <w:szCs w:val="18"/>
        </w:rPr>
      </w:pPr>
      <w:r>
        <w:br w:type="page"/>
      </w:r>
    </w:p>
    <w:p w:rsidR="000835F4" w:rsidRDefault="000835F4" w:rsidP="000835F4">
      <w:pPr>
        <w:pStyle w:val="Caption"/>
        <w:rPr>
          <w:color w:val="2272A3"/>
          <w:szCs w:val="24"/>
        </w:rPr>
      </w:pPr>
      <w:r w:rsidRPr="00BE2075">
        <w:lastRenderedPageBreak/>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2"/>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1F73B5">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3"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1F73B5">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7"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1F73B5" w:rsidRPr="006A7228" w:rsidTr="001F73B5">
        <w:trPr>
          <w:trHeight w:val="510"/>
        </w:trPr>
        <w:tc>
          <w:tcPr>
            <w:tcW w:w="1060" w:type="pct"/>
            <w:tcBorders>
              <w:top w:val="nil"/>
              <w:bottom w:val="nil"/>
            </w:tcBorders>
            <w:vAlign w:val="center"/>
          </w:tcPr>
          <w:p w:rsidR="001F73B5" w:rsidRDefault="001F73B5">
            <w:pPr>
              <w:rPr>
                <w:rFonts w:cs="Arial"/>
                <w:sz w:val="16"/>
                <w:szCs w:val="16"/>
              </w:rPr>
            </w:pPr>
            <w:r>
              <w:rPr>
                <w:rFonts w:cs="Arial"/>
                <w:sz w:val="16"/>
                <w:szCs w:val="16"/>
              </w:rPr>
              <w:t>25 Jun - 01 Jul 2017</w:t>
            </w:r>
          </w:p>
        </w:tc>
        <w:tc>
          <w:tcPr>
            <w:tcW w:w="556" w:type="pct"/>
            <w:tcBorders>
              <w:top w:val="nil"/>
              <w:bottom w:val="nil"/>
            </w:tcBorders>
            <w:vAlign w:val="center"/>
          </w:tcPr>
          <w:p w:rsidR="001F73B5" w:rsidRDefault="001F73B5">
            <w:pPr>
              <w:jc w:val="center"/>
              <w:rPr>
                <w:rFonts w:cs="Arial"/>
                <w:sz w:val="20"/>
                <w:szCs w:val="20"/>
              </w:rPr>
            </w:pPr>
            <w:r>
              <w:rPr>
                <w:rFonts w:cs="Arial"/>
                <w:sz w:val="20"/>
                <w:szCs w:val="20"/>
              </w:rPr>
              <w:t>9.50</w:t>
            </w:r>
          </w:p>
        </w:tc>
        <w:tc>
          <w:tcPr>
            <w:tcW w:w="468" w:type="pct"/>
            <w:tcBorders>
              <w:top w:val="nil"/>
              <w:bottom w:val="nil"/>
            </w:tcBorders>
            <w:vAlign w:val="center"/>
          </w:tcPr>
          <w:p w:rsidR="001F73B5" w:rsidRDefault="001F73B5">
            <w:pPr>
              <w:jc w:val="center"/>
              <w:rPr>
                <w:rFonts w:cs="Arial"/>
                <w:sz w:val="20"/>
                <w:szCs w:val="20"/>
              </w:rPr>
            </w:pPr>
            <w:r>
              <w:rPr>
                <w:rFonts w:cs="Arial"/>
                <w:sz w:val="20"/>
                <w:szCs w:val="20"/>
              </w:rPr>
              <w:t>997</w:t>
            </w:r>
          </w:p>
        </w:tc>
        <w:tc>
          <w:tcPr>
            <w:tcW w:w="476" w:type="pct"/>
            <w:tcBorders>
              <w:top w:val="nil"/>
              <w:bottom w:val="nil"/>
            </w:tcBorders>
            <w:vAlign w:val="center"/>
          </w:tcPr>
          <w:p w:rsidR="001F73B5" w:rsidRDefault="001F73B5">
            <w:pPr>
              <w:jc w:val="center"/>
              <w:rPr>
                <w:rFonts w:cs="Arial"/>
                <w:sz w:val="20"/>
                <w:szCs w:val="20"/>
              </w:rPr>
            </w:pPr>
            <w:r>
              <w:rPr>
                <w:rFonts w:cs="Arial"/>
                <w:sz w:val="20"/>
                <w:szCs w:val="20"/>
              </w:rPr>
              <w:t>9.65</w:t>
            </w:r>
          </w:p>
        </w:tc>
        <w:tc>
          <w:tcPr>
            <w:tcW w:w="469" w:type="pct"/>
            <w:tcBorders>
              <w:top w:val="nil"/>
              <w:bottom w:val="nil"/>
            </w:tcBorders>
            <w:vAlign w:val="center"/>
          </w:tcPr>
          <w:p w:rsidR="001F73B5" w:rsidRDefault="001F73B5">
            <w:pPr>
              <w:jc w:val="center"/>
              <w:rPr>
                <w:rFonts w:cs="Arial"/>
                <w:sz w:val="20"/>
                <w:szCs w:val="20"/>
              </w:rPr>
            </w:pPr>
            <w:r>
              <w:rPr>
                <w:rFonts w:cs="Arial"/>
                <w:sz w:val="20"/>
                <w:szCs w:val="20"/>
              </w:rPr>
              <w:t>302</w:t>
            </w:r>
          </w:p>
        </w:tc>
        <w:tc>
          <w:tcPr>
            <w:tcW w:w="500" w:type="pct"/>
            <w:tcBorders>
              <w:top w:val="nil"/>
              <w:bottom w:val="nil"/>
            </w:tcBorders>
            <w:vAlign w:val="center"/>
          </w:tcPr>
          <w:p w:rsidR="001F73B5" w:rsidRDefault="001F73B5">
            <w:pPr>
              <w:jc w:val="center"/>
              <w:rPr>
                <w:rFonts w:cs="Arial"/>
                <w:sz w:val="20"/>
                <w:szCs w:val="20"/>
              </w:rPr>
            </w:pPr>
            <w:r>
              <w:rPr>
                <w:rFonts w:cs="Arial"/>
                <w:sz w:val="20"/>
                <w:szCs w:val="20"/>
              </w:rPr>
              <w:t>9.38</w:t>
            </w:r>
          </w:p>
        </w:tc>
        <w:tc>
          <w:tcPr>
            <w:tcW w:w="468" w:type="pct"/>
            <w:tcBorders>
              <w:top w:val="nil"/>
              <w:bottom w:val="nil"/>
            </w:tcBorders>
            <w:vAlign w:val="center"/>
          </w:tcPr>
          <w:p w:rsidR="001F73B5" w:rsidRDefault="001F73B5">
            <w:pPr>
              <w:jc w:val="center"/>
              <w:rPr>
                <w:rFonts w:cs="Arial"/>
                <w:sz w:val="20"/>
                <w:szCs w:val="20"/>
              </w:rPr>
            </w:pPr>
            <w:r>
              <w:rPr>
                <w:rFonts w:cs="Arial"/>
                <w:sz w:val="20"/>
                <w:szCs w:val="20"/>
              </w:rPr>
              <w:t>89</w:t>
            </w:r>
          </w:p>
        </w:tc>
        <w:tc>
          <w:tcPr>
            <w:tcW w:w="466" w:type="pct"/>
            <w:tcBorders>
              <w:top w:val="nil"/>
              <w:bottom w:val="nil"/>
            </w:tcBorders>
            <w:vAlign w:val="center"/>
          </w:tcPr>
          <w:p w:rsidR="001F73B5" w:rsidRDefault="001F73B5">
            <w:pPr>
              <w:jc w:val="center"/>
              <w:rPr>
                <w:rFonts w:cs="Arial"/>
                <w:sz w:val="20"/>
                <w:szCs w:val="20"/>
              </w:rPr>
            </w:pPr>
            <w:r>
              <w:rPr>
                <w:rFonts w:cs="Arial"/>
                <w:sz w:val="20"/>
                <w:szCs w:val="20"/>
              </w:rPr>
              <w:t>7.52</w:t>
            </w:r>
          </w:p>
        </w:tc>
        <w:tc>
          <w:tcPr>
            <w:tcW w:w="537" w:type="pct"/>
            <w:tcBorders>
              <w:top w:val="nil"/>
              <w:bottom w:val="nil"/>
            </w:tcBorders>
            <w:vAlign w:val="center"/>
          </w:tcPr>
          <w:p w:rsidR="001F73B5" w:rsidRDefault="001F73B5">
            <w:pPr>
              <w:jc w:val="center"/>
              <w:rPr>
                <w:rFonts w:cs="Arial"/>
                <w:sz w:val="20"/>
                <w:szCs w:val="20"/>
              </w:rPr>
            </w:pPr>
            <w:r>
              <w:rPr>
                <w:rFonts w:cs="Arial"/>
                <w:sz w:val="20"/>
                <w:szCs w:val="20"/>
              </w:rPr>
              <w:t>93</w:t>
            </w:r>
          </w:p>
        </w:tc>
      </w:tr>
      <w:tr w:rsidR="001F73B5" w:rsidRPr="006A7228" w:rsidTr="001F73B5">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1F73B5" w:rsidRDefault="001F73B5">
            <w:pPr>
              <w:rPr>
                <w:rFonts w:cs="Arial"/>
                <w:sz w:val="16"/>
                <w:szCs w:val="16"/>
              </w:rPr>
            </w:pPr>
            <w:r>
              <w:rPr>
                <w:rFonts w:cs="Arial"/>
                <w:sz w:val="16"/>
                <w:szCs w:val="16"/>
              </w:rPr>
              <w:t>% change from previous week</w:t>
            </w:r>
          </w:p>
        </w:tc>
        <w:tc>
          <w:tcPr>
            <w:tcW w:w="556" w:type="pct"/>
            <w:tcBorders>
              <w:top w:val="nil"/>
              <w:bottom w:val="nil"/>
            </w:tcBorders>
            <w:vAlign w:val="center"/>
          </w:tcPr>
          <w:p w:rsidR="001F73B5" w:rsidRDefault="001F73B5">
            <w:pPr>
              <w:jc w:val="center"/>
              <w:rPr>
                <w:rFonts w:cs="Arial"/>
                <w:szCs w:val="20"/>
              </w:rPr>
            </w:pPr>
            <w:r>
              <w:rPr>
                <w:rFonts w:cs="Arial"/>
                <w:szCs w:val="20"/>
              </w:rPr>
              <w:t>12</w:t>
            </w:r>
          </w:p>
        </w:tc>
        <w:tc>
          <w:tcPr>
            <w:tcW w:w="468" w:type="pct"/>
            <w:tcBorders>
              <w:top w:val="nil"/>
              <w:bottom w:val="nil"/>
            </w:tcBorders>
            <w:vAlign w:val="center"/>
          </w:tcPr>
          <w:p w:rsidR="001F73B5" w:rsidRDefault="001F73B5">
            <w:pPr>
              <w:jc w:val="center"/>
              <w:rPr>
                <w:rFonts w:cs="Arial"/>
                <w:szCs w:val="20"/>
              </w:rPr>
            </w:pPr>
            <w:r>
              <w:rPr>
                <w:rFonts w:cs="Arial"/>
                <w:szCs w:val="20"/>
              </w:rPr>
              <w:t>11</w:t>
            </w:r>
          </w:p>
        </w:tc>
        <w:tc>
          <w:tcPr>
            <w:tcW w:w="476" w:type="pct"/>
            <w:tcBorders>
              <w:top w:val="nil"/>
              <w:bottom w:val="nil"/>
            </w:tcBorders>
            <w:vAlign w:val="center"/>
          </w:tcPr>
          <w:p w:rsidR="001F73B5" w:rsidRDefault="001F73B5">
            <w:pPr>
              <w:jc w:val="center"/>
              <w:rPr>
                <w:rFonts w:cs="Arial"/>
                <w:szCs w:val="20"/>
              </w:rPr>
            </w:pPr>
            <w:r>
              <w:rPr>
                <w:rFonts w:cs="Arial"/>
                <w:szCs w:val="20"/>
              </w:rPr>
              <w:t>4</w:t>
            </w:r>
          </w:p>
        </w:tc>
        <w:tc>
          <w:tcPr>
            <w:tcW w:w="469" w:type="pct"/>
            <w:tcBorders>
              <w:top w:val="nil"/>
              <w:bottom w:val="nil"/>
            </w:tcBorders>
            <w:vAlign w:val="center"/>
          </w:tcPr>
          <w:p w:rsidR="001F73B5" w:rsidRDefault="001F73B5">
            <w:pPr>
              <w:jc w:val="center"/>
              <w:rPr>
                <w:rFonts w:cs="Arial"/>
                <w:szCs w:val="20"/>
              </w:rPr>
            </w:pPr>
            <w:r>
              <w:rPr>
                <w:rFonts w:cs="Arial"/>
                <w:szCs w:val="20"/>
              </w:rPr>
              <w:t>7</w:t>
            </w:r>
          </w:p>
        </w:tc>
        <w:tc>
          <w:tcPr>
            <w:tcW w:w="500" w:type="pct"/>
            <w:tcBorders>
              <w:top w:val="nil"/>
              <w:bottom w:val="nil"/>
            </w:tcBorders>
            <w:vAlign w:val="center"/>
          </w:tcPr>
          <w:p w:rsidR="001F73B5" w:rsidRDefault="001F73B5">
            <w:pPr>
              <w:jc w:val="center"/>
              <w:rPr>
                <w:rFonts w:cs="Arial"/>
                <w:szCs w:val="20"/>
              </w:rPr>
            </w:pPr>
            <w:r>
              <w:rPr>
                <w:rFonts w:cs="Arial"/>
                <w:szCs w:val="20"/>
              </w:rPr>
              <w:t>5</w:t>
            </w:r>
          </w:p>
        </w:tc>
        <w:tc>
          <w:tcPr>
            <w:tcW w:w="468" w:type="pct"/>
            <w:tcBorders>
              <w:top w:val="nil"/>
              <w:bottom w:val="nil"/>
            </w:tcBorders>
            <w:vAlign w:val="center"/>
          </w:tcPr>
          <w:p w:rsidR="001F73B5" w:rsidRDefault="001F73B5">
            <w:pPr>
              <w:jc w:val="center"/>
              <w:rPr>
                <w:rFonts w:cs="Arial"/>
                <w:szCs w:val="20"/>
              </w:rPr>
            </w:pPr>
            <w:r>
              <w:rPr>
                <w:rFonts w:cs="Arial"/>
                <w:szCs w:val="20"/>
              </w:rPr>
              <w:t>5</w:t>
            </w:r>
          </w:p>
        </w:tc>
        <w:tc>
          <w:tcPr>
            <w:tcW w:w="466" w:type="pct"/>
            <w:tcBorders>
              <w:top w:val="nil"/>
              <w:bottom w:val="nil"/>
            </w:tcBorders>
            <w:vAlign w:val="center"/>
          </w:tcPr>
          <w:p w:rsidR="001F73B5" w:rsidRDefault="001F73B5">
            <w:pPr>
              <w:jc w:val="center"/>
              <w:rPr>
                <w:rFonts w:cs="Arial"/>
                <w:szCs w:val="20"/>
              </w:rPr>
            </w:pPr>
            <w:r>
              <w:rPr>
                <w:rFonts w:cs="Arial"/>
                <w:szCs w:val="20"/>
              </w:rPr>
              <w:t>10</w:t>
            </w:r>
          </w:p>
        </w:tc>
        <w:tc>
          <w:tcPr>
            <w:tcW w:w="537" w:type="pct"/>
            <w:tcBorders>
              <w:top w:val="nil"/>
              <w:bottom w:val="nil"/>
            </w:tcBorders>
            <w:vAlign w:val="center"/>
          </w:tcPr>
          <w:p w:rsidR="001F73B5" w:rsidRDefault="001F73B5">
            <w:pPr>
              <w:jc w:val="center"/>
              <w:rPr>
                <w:rFonts w:cs="Arial"/>
                <w:szCs w:val="20"/>
              </w:rPr>
            </w:pPr>
            <w:r>
              <w:rPr>
                <w:rFonts w:cs="Arial"/>
                <w:szCs w:val="20"/>
              </w:rPr>
              <w:t>3</w:t>
            </w:r>
          </w:p>
        </w:tc>
      </w:tr>
      <w:tr w:rsidR="001F73B5" w:rsidRPr="006A7228" w:rsidTr="001F73B5">
        <w:trPr>
          <w:trHeight w:val="510"/>
        </w:trPr>
        <w:tc>
          <w:tcPr>
            <w:tcW w:w="1060" w:type="pct"/>
            <w:tcBorders>
              <w:top w:val="nil"/>
              <w:bottom w:val="nil"/>
            </w:tcBorders>
            <w:vAlign w:val="center"/>
          </w:tcPr>
          <w:p w:rsidR="001F73B5" w:rsidRDefault="001F73B5" w:rsidP="001F73B5">
            <w:pPr>
              <w:rPr>
                <w:rFonts w:cs="Arial"/>
                <w:sz w:val="16"/>
                <w:szCs w:val="16"/>
              </w:rPr>
            </w:pPr>
            <w:r>
              <w:rPr>
                <w:rFonts w:cs="Arial"/>
                <w:sz w:val="16"/>
                <w:szCs w:val="16"/>
              </w:rPr>
              <w:t>16-17 financial year</w:t>
            </w:r>
          </w:p>
        </w:tc>
        <w:tc>
          <w:tcPr>
            <w:tcW w:w="556" w:type="pct"/>
            <w:tcBorders>
              <w:top w:val="nil"/>
              <w:bottom w:val="nil"/>
            </w:tcBorders>
            <w:vAlign w:val="center"/>
          </w:tcPr>
          <w:p w:rsidR="001F73B5" w:rsidRDefault="001F73B5">
            <w:pPr>
              <w:jc w:val="center"/>
              <w:rPr>
                <w:rFonts w:cs="Arial"/>
                <w:sz w:val="20"/>
                <w:szCs w:val="20"/>
              </w:rPr>
            </w:pPr>
            <w:r>
              <w:rPr>
                <w:rFonts w:cs="Arial"/>
                <w:sz w:val="20"/>
                <w:szCs w:val="20"/>
              </w:rPr>
              <w:t>8.58</w:t>
            </w:r>
          </w:p>
        </w:tc>
        <w:tc>
          <w:tcPr>
            <w:tcW w:w="468" w:type="pct"/>
            <w:tcBorders>
              <w:top w:val="nil"/>
              <w:bottom w:val="nil"/>
            </w:tcBorders>
            <w:vAlign w:val="center"/>
          </w:tcPr>
          <w:p w:rsidR="001F73B5" w:rsidRDefault="001F73B5">
            <w:pPr>
              <w:jc w:val="center"/>
              <w:rPr>
                <w:rFonts w:cs="Arial"/>
                <w:sz w:val="20"/>
                <w:szCs w:val="20"/>
              </w:rPr>
            </w:pPr>
            <w:r>
              <w:rPr>
                <w:rFonts w:cs="Arial"/>
                <w:sz w:val="20"/>
                <w:szCs w:val="20"/>
              </w:rPr>
              <w:t>565</w:t>
            </w:r>
          </w:p>
        </w:tc>
        <w:tc>
          <w:tcPr>
            <w:tcW w:w="476" w:type="pct"/>
            <w:tcBorders>
              <w:top w:val="nil"/>
              <w:bottom w:val="nil"/>
            </w:tcBorders>
            <w:vAlign w:val="center"/>
          </w:tcPr>
          <w:p w:rsidR="001F73B5" w:rsidRDefault="001F73B5">
            <w:pPr>
              <w:jc w:val="center"/>
              <w:rPr>
                <w:rFonts w:cs="Arial"/>
                <w:sz w:val="20"/>
                <w:szCs w:val="20"/>
              </w:rPr>
            </w:pPr>
            <w:r>
              <w:rPr>
                <w:rFonts w:cs="Arial"/>
                <w:sz w:val="20"/>
                <w:szCs w:val="20"/>
              </w:rPr>
              <w:t>8.81</w:t>
            </w:r>
          </w:p>
        </w:tc>
        <w:tc>
          <w:tcPr>
            <w:tcW w:w="469" w:type="pct"/>
            <w:tcBorders>
              <w:top w:val="nil"/>
              <w:bottom w:val="nil"/>
            </w:tcBorders>
            <w:vAlign w:val="center"/>
          </w:tcPr>
          <w:p w:rsidR="001F73B5" w:rsidRDefault="001F73B5">
            <w:pPr>
              <w:jc w:val="center"/>
              <w:rPr>
                <w:rFonts w:cs="Arial"/>
                <w:sz w:val="20"/>
                <w:szCs w:val="20"/>
              </w:rPr>
            </w:pPr>
            <w:r>
              <w:rPr>
                <w:rFonts w:cs="Arial"/>
                <w:sz w:val="20"/>
                <w:szCs w:val="20"/>
              </w:rPr>
              <w:t>244</w:t>
            </w:r>
          </w:p>
        </w:tc>
        <w:tc>
          <w:tcPr>
            <w:tcW w:w="500" w:type="pct"/>
            <w:tcBorders>
              <w:top w:val="nil"/>
              <w:bottom w:val="nil"/>
            </w:tcBorders>
            <w:vAlign w:val="center"/>
          </w:tcPr>
          <w:p w:rsidR="001F73B5" w:rsidRDefault="001F73B5">
            <w:pPr>
              <w:jc w:val="center"/>
              <w:rPr>
                <w:rFonts w:cs="Arial"/>
                <w:sz w:val="20"/>
                <w:szCs w:val="20"/>
              </w:rPr>
            </w:pPr>
            <w:r>
              <w:rPr>
                <w:rFonts w:cs="Arial"/>
                <w:sz w:val="20"/>
                <w:szCs w:val="20"/>
              </w:rPr>
              <w:t>8.83</w:t>
            </w:r>
          </w:p>
        </w:tc>
        <w:tc>
          <w:tcPr>
            <w:tcW w:w="468" w:type="pct"/>
            <w:tcBorders>
              <w:top w:val="nil"/>
              <w:bottom w:val="nil"/>
            </w:tcBorders>
            <w:vAlign w:val="center"/>
          </w:tcPr>
          <w:p w:rsidR="001F73B5" w:rsidRDefault="001F73B5">
            <w:pPr>
              <w:jc w:val="center"/>
              <w:rPr>
                <w:rFonts w:cs="Arial"/>
                <w:sz w:val="20"/>
                <w:szCs w:val="20"/>
              </w:rPr>
            </w:pPr>
            <w:r>
              <w:rPr>
                <w:rFonts w:cs="Arial"/>
                <w:sz w:val="20"/>
                <w:szCs w:val="20"/>
              </w:rPr>
              <w:t>63</w:t>
            </w:r>
          </w:p>
        </w:tc>
        <w:tc>
          <w:tcPr>
            <w:tcW w:w="466" w:type="pct"/>
            <w:tcBorders>
              <w:top w:val="nil"/>
              <w:bottom w:val="nil"/>
            </w:tcBorders>
            <w:vAlign w:val="center"/>
          </w:tcPr>
          <w:p w:rsidR="001F73B5" w:rsidRDefault="001F73B5">
            <w:pPr>
              <w:jc w:val="center"/>
              <w:rPr>
                <w:rFonts w:cs="Arial"/>
                <w:sz w:val="20"/>
                <w:szCs w:val="20"/>
              </w:rPr>
            </w:pPr>
            <w:r>
              <w:rPr>
                <w:rFonts w:cs="Arial"/>
                <w:sz w:val="20"/>
                <w:szCs w:val="20"/>
              </w:rPr>
              <w:t>8.21</w:t>
            </w:r>
          </w:p>
        </w:tc>
        <w:tc>
          <w:tcPr>
            <w:tcW w:w="537" w:type="pct"/>
            <w:tcBorders>
              <w:top w:val="nil"/>
              <w:bottom w:val="nil"/>
            </w:tcBorders>
            <w:vAlign w:val="center"/>
          </w:tcPr>
          <w:p w:rsidR="001F73B5" w:rsidRDefault="001F73B5">
            <w:pPr>
              <w:jc w:val="center"/>
              <w:rPr>
                <w:rFonts w:cs="Arial"/>
                <w:sz w:val="20"/>
                <w:szCs w:val="20"/>
              </w:rPr>
            </w:pPr>
            <w:r>
              <w:rPr>
                <w:rFonts w:cs="Arial"/>
                <w:sz w:val="20"/>
                <w:szCs w:val="20"/>
              </w:rPr>
              <w:t>85</w:t>
            </w:r>
          </w:p>
        </w:tc>
      </w:tr>
      <w:tr w:rsidR="001F73B5" w:rsidRPr="006A7228" w:rsidTr="001F73B5">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1F73B5" w:rsidRDefault="001F73B5" w:rsidP="001F73B5">
            <w:pPr>
              <w:rPr>
                <w:rFonts w:cs="Arial"/>
                <w:sz w:val="16"/>
                <w:szCs w:val="16"/>
              </w:rPr>
            </w:pPr>
            <w:r>
              <w:rPr>
                <w:rFonts w:cs="Arial"/>
                <w:sz w:val="16"/>
                <w:szCs w:val="16"/>
              </w:rPr>
              <w:t>% change from previous financial year</w:t>
            </w:r>
          </w:p>
        </w:tc>
        <w:tc>
          <w:tcPr>
            <w:tcW w:w="556" w:type="pct"/>
            <w:tcBorders>
              <w:top w:val="nil"/>
              <w:bottom w:val="single" w:sz="4" w:space="0" w:color="auto"/>
            </w:tcBorders>
            <w:vAlign w:val="center"/>
          </w:tcPr>
          <w:p w:rsidR="001F73B5" w:rsidRDefault="001F73B5">
            <w:pPr>
              <w:jc w:val="center"/>
              <w:rPr>
                <w:rFonts w:cs="Arial"/>
                <w:szCs w:val="20"/>
              </w:rPr>
            </w:pPr>
            <w:r>
              <w:rPr>
                <w:rFonts w:cs="Arial"/>
                <w:szCs w:val="20"/>
              </w:rPr>
              <w:t>72</w:t>
            </w:r>
          </w:p>
        </w:tc>
        <w:tc>
          <w:tcPr>
            <w:tcW w:w="468" w:type="pct"/>
            <w:tcBorders>
              <w:top w:val="nil"/>
              <w:bottom w:val="single" w:sz="4" w:space="0" w:color="auto"/>
            </w:tcBorders>
            <w:vAlign w:val="center"/>
          </w:tcPr>
          <w:p w:rsidR="001F73B5" w:rsidRDefault="001F73B5">
            <w:pPr>
              <w:jc w:val="center"/>
              <w:rPr>
                <w:rFonts w:cs="Arial"/>
                <w:szCs w:val="20"/>
              </w:rPr>
            </w:pPr>
            <w:r>
              <w:rPr>
                <w:rFonts w:cs="Arial"/>
                <w:szCs w:val="20"/>
              </w:rPr>
              <w:t>1</w:t>
            </w:r>
          </w:p>
        </w:tc>
        <w:tc>
          <w:tcPr>
            <w:tcW w:w="476" w:type="pct"/>
            <w:tcBorders>
              <w:top w:val="nil"/>
              <w:bottom w:val="single" w:sz="4" w:space="0" w:color="auto"/>
            </w:tcBorders>
            <w:vAlign w:val="center"/>
          </w:tcPr>
          <w:p w:rsidR="001F73B5" w:rsidRDefault="001F73B5">
            <w:pPr>
              <w:jc w:val="center"/>
              <w:rPr>
                <w:rFonts w:cs="Arial"/>
                <w:szCs w:val="20"/>
              </w:rPr>
            </w:pPr>
            <w:r>
              <w:rPr>
                <w:rFonts w:cs="Arial"/>
                <w:szCs w:val="20"/>
              </w:rPr>
              <w:t>74</w:t>
            </w:r>
          </w:p>
        </w:tc>
        <w:tc>
          <w:tcPr>
            <w:tcW w:w="469" w:type="pct"/>
            <w:tcBorders>
              <w:top w:val="nil"/>
              <w:bottom w:val="single" w:sz="4" w:space="0" w:color="auto"/>
            </w:tcBorders>
            <w:vAlign w:val="center"/>
          </w:tcPr>
          <w:p w:rsidR="001F73B5" w:rsidRDefault="001F73B5">
            <w:pPr>
              <w:jc w:val="center"/>
              <w:rPr>
                <w:rFonts w:cs="Arial"/>
                <w:szCs w:val="20"/>
              </w:rPr>
            </w:pPr>
            <w:r>
              <w:rPr>
                <w:rFonts w:cs="Arial"/>
                <w:szCs w:val="20"/>
              </w:rPr>
              <w:t>2</w:t>
            </w:r>
          </w:p>
        </w:tc>
        <w:tc>
          <w:tcPr>
            <w:tcW w:w="500" w:type="pct"/>
            <w:tcBorders>
              <w:top w:val="nil"/>
              <w:bottom w:val="single" w:sz="4" w:space="0" w:color="auto"/>
            </w:tcBorders>
            <w:vAlign w:val="center"/>
          </w:tcPr>
          <w:p w:rsidR="001F73B5" w:rsidRDefault="001F73B5">
            <w:pPr>
              <w:jc w:val="center"/>
              <w:rPr>
                <w:rFonts w:cs="Arial"/>
                <w:szCs w:val="20"/>
              </w:rPr>
            </w:pPr>
            <w:r>
              <w:rPr>
                <w:rFonts w:cs="Arial"/>
                <w:szCs w:val="20"/>
              </w:rPr>
              <w:t>54</w:t>
            </w:r>
          </w:p>
        </w:tc>
        <w:tc>
          <w:tcPr>
            <w:tcW w:w="468" w:type="pct"/>
            <w:tcBorders>
              <w:top w:val="nil"/>
              <w:bottom w:val="single" w:sz="4" w:space="0" w:color="auto"/>
            </w:tcBorders>
            <w:vAlign w:val="center"/>
          </w:tcPr>
          <w:p w:rsidR="001F73B5" w:rsidRDefault="001F73B5">
            <w:pPr>
              <w:jc w:val="center"/>
              <w:rPr>
                <w:rFonts w:cs="Arial"/>
                <w:szCs w:val="20"/>
              </w:rPr>
            </w:pPr>
            <w:r>
              <w:rPr>
                <w:rFonts w:cs="Arial"/>
                <w:szCs w:val="20"/>
              </w:rPr>
              <w:t>3</w:t>
            </w:r>
          </w:p>
        </w:tc>
        <w:tc>
          <w:tcPr>
            <w:tcW w:w="466" w:type="pct"/>
            <w:tcBorders>
              <w:top w:val="nil"/>
              <w:bottom w:val="single" w:sz="4" w:space="0" w:color="auto"/>
            </w:tcBorders>
            <w:vAlign w:val="center"/>
          </w:tcPr>
          <w:p w:rsidR="001F73B5" w:rsidRDefault="001F73B5">
            <w:pPr>
              <w:jc w:val="center"/>
              <w:rPr>
                <w:rFonts w:cs="Arial"/>
                <w:szCs w:val="20"/>
              </w:rPr>
            </w:pPr>
            <w:r>
              <w:rPr>
                <w:rFonts w:cs="Arial"/>
                <w:szCs w:val="20"/>
              </w:rPr>
              <w:t>76</w:t>
            </w:r>
          </w:p>
        </w:tc>
        <w:tc>
          <w:tcPr>
            <w:tcW w:w="537" w:type="pct"/>
            <w:tcBorders>
              <w:top w:val="nil"/>
              <w:bottom w:val="single" w:sz="4" w:space="0" w:color="auto"/>
            </w:tcBorders>
            <w:vAlign w:val="center"/>
          </w:tcPr>
          <w:p w:rsidR="001F73B5" w:rsidRDefault="001F73B5">
            <w:pPr>
              <w:jc w:val="center"/>
              <w:rPr>
                <w:rFonts w:cs="Arial"/>
                <w:szCs w:val="20"/>
              </w:rPr>
            </w:pPr>
            <w:r>
              <w:rPr>
                <w:rFonts w:cs="Arial"/>
                <w:szCs w:val="20"/>
              </w:rPr>
              <w:t>1</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fldSimple w:instr=" SEQ Figure \* ARABIC ">
        <w:r>
          <w:rPr>
            <w:noProof/>
          </w:rPr>
          <w:t>2</w:t>
        </w:r>
      </w:fldSimple>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3"/>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622213">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622213">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622213">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622213">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622213">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622213">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622213">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622213">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622213">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622213">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622213">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622213">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622213">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1F73B5" w:rsidRPr="006A7228" w:rsidTr="00622213">
        <w:trPr>
          <w:trHeight w:val="510"/>
        </w:trPr>
        <w:tc>
          <w:tcPr>
            <w:tcW w:w="1023" w:type="pct"/>
            <w:tcBorders>
              <w:top w:val="nil"/>
              <w:bottom w:val="nil"/>
            </w:tcBorders>
            <w:vAlign w:val="center"/>
          </w:tcPr>
          <w:p w:rsidR="001F73B5" w:rsidRDefault="001F73B5">
            <w:pPr>
              <w:rPr>
                <w:rFonts w:cs="Arial"/>
                <w:sz w:val="16"/>
                <w:szCs w:val="16"/>
              </w:rPr>
            </w:pPr>
            <w:r>
              <w:rPr>
                <w:rFonts w:cs="Arial"/>
                <w:sz w:val="16"/>
                <w:szCs w:val="16"/>
              </w:rPr>
              <w:t>25 Jun - 01 Jul 2017</w:t>
            </w:r>
          </w:p>
        </w:tc>
        <w:tc>
          <w:tcPr>
            <w:tcW w:w="723" w:type="pct"/>
            <w:tcBorders>
              <w:top w:val="nil"/>
              <w:bottom w:val="nil"/>
            </w:tcBorders>
            <w:vAlign w:val="center"/>
          </w:tcPr>
          <w:p w:rsidR="001F73B5" w:rsidRDefault="001F73B5">
            <w:pPr>
              <w:jc w:val="center"/>
              <w:rPr>
                <w:rFonts w:cs="Arial"/>
                <w:sz w:val="20"/>
                <w:szCs w:val="20"/>
              </w:rPr>
            </w:pPr>
            <w:r>
              <w:rPr>
                <w:rFonts w:cs="Arial"/>
                <w:sz w:val="20"/>
                <w:szCs w:val="20"/>
              </w:rPr>
              <w:t>-</w:t>
            </w:r>
          </w:p>
        </w:tc>
        <w:tc>
          <w:tcPr>
            <w:tcW w:w="635" w:type="pct"/>
            <w:tcBorders>
              <w:top w:val="nil"/>
              <w:bottom w:val="nil"/>
            </w:tcBorders>
            <w:vAlign w:val="center"/>
          </w:tcPr>
          <w:p w:rsidR="001F73B5" w:rsidRDefault="001F73B5">
            <w:pPr>
              <w:jc w:val="center"/>
              <w:rPr>
                <w:rFonts w:cs="Arial"/>
                <w:sz w:val="20"/>
                <w:szCs w:val="20"/>
              </w:rPr>
            </w:pPr>
            <w:r>
              <w:rPr>
                <w:rFonts w:cs="Arial"/>
                <w:sz w:val="20"/>
                <w:szCs w:val="20"/>
              </w:rPr>
              <w:t>-</w:t>
            </w:r>
          </w:p>
        </w:tc>
        <w:tc>
          <w:tcPr>
            <w:tcW w:w="669" w:type="pct"/>
            <w:tcBorders>
              <w:top w:val="nil"/>
              <w:bottom w:val="nil"/>
            </w:tcBorders>
            <w:vAlign w:val="center"/>
          </w:tcPr>
          <w:p w:rsidR="001F73B5" w:rsidRDefault="001F73B5">
            <w:pPr>
              <w:jc w:val="center"/>
              <w:rPr>
                <w:rFonts w:cs="Arial"/>
                <w:sz w:val="20"/>
                <w:szCs w:val="20"/>
              </w:rPr>
            </w:pPr>
            <w:r>
              <w:rPr>
                <w:rFonts w:cs="Arial"/>
                <w:sz w:val="20"/>
                <w:szCs w:val="20"/>
              </w:rPr>
              <w:t>7.47</w:t>
            </w:r>
          </w:p>
        </w:tc>
        <w:tc>
          <w:tcPr>
            <w:tcW w:w="678" w:type="pct"/>
            <w:tcBorders>
              <w:top w:val="nil"/>
              <w:bottom w:val="nil"/>
            </w:tcBorders>
            <w:vAlign w:val="center"/>
          </w:tcPr>
          <w:p w:rsidR="001F73B5" w:rsidRDefault="001F73B5">
            <w:pPr>
              <w:jc w:val="center"/>
              <w:rPr>
                <w:rFonts w:cs="Arial"/>
                <w:sz w:val="20"/>
                <w:szCs w:val="20"/>
              </w:rPr>
            </w:pPr>
            <w:r>
              <w:rPr>
                <w:rFonts w:cs="Arial"/>
                <w:sz w:val="20"/>
                <w:szCs w:val="20"/>
              </w:rPr>
              <w:t>107</w:t>
            </w:r>
          </w:p>
        </w:tc>
        <w:tc>
          <w:tcPr>
            <w:tcW w:w="625" w:type="pct"/>
            <w:tcBorders>
              <w:top w:val="nil"/>
              <w:bottom w:val="nil"/>
            </w:tcBorders>
            <w:vAlign w:val="center"/>
          </w:tcPr>
          <w:p w:rsidR="001F73B5" w:rsidRDefault="001F73B5">
            <w:pPr>
              <w:jc w:val="center"/>
              <w:rPr>
                <w:rFonts w:cs="Arial"/>
                <w:sz w:val="20"/>
                <w:szCs w:val="20"/>
              </w:rPr>
            </w:pPr>
            <w:r>
              <w:rPr>
                <w:rFonts w:cs="Arial"/>
                <w:sz w:val="20"/>
                <w:szCs w:val="20"/>
              </w:rPr>
              <w:t>8.09</w:t>
            </w:r>
          </w:p>
        </w:tc>
        <w:tc>
          <w:tcPr>
            <w:tcW w:w="647" w:type="pct"/>
            <w:tcBorders>
              <w:top w:val="nil"/>
              <w:bottom w:val="nil"/>
            </w:tcBorders>
            <w:vAlign w:val="center"/>
          </w:tcPr>
          <w:p w:rsidR="001F73B5" w:rsidRDefault="001F73B5">
            <w:pPr>
              <w:jc w:val="center"/>
              <w:rPr>
                <w:rFonts w:cs="Arial"/>
                <w:sz w:val="20"/>
                <w:szCs w:val="20"/>
              </w:rPr>
            </w:pPr>
            <w:r>
              <w:rPr>
                <w:rFonts w:cs="Arial"/>
                <w:sz w:val="20"/>
                <w:szCs w:val="20"/>
              </w:rPr>
              <w:t>493</w:t>
            </w:r>
          </w:p>
        </w:tc>
      </w:tr>
      <w:tr w:rsidR="001F73B5" w:rsidRPr="006A7228" w:rsidTr="00622213">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1F73B5" w:rsidRDefault="001F73B5">
            <w:pPr>
              <w:rPr>
                <w:rFonts w:cs="Arial"/>
                <w:sz w:val="16"/>
                <w:szCs w:val="16"/>
              </w:rPr>
            </w:pPr>
            <w:r>
              <w:rPr>
                <w:rFonts w:cs="Arial"/>
                <w:sz w:val="16"/>
                <w:szCs w:val="16"/>
              </w:rPr>
              <w:t>% change from previous week</w:t>
            </w:r>
          </w:p>
        </w:tc>
        <w:tc>
          <w:tcPr>
            <w:tcW w:w="723" w:type="pct"/>
            <w:tcBorders>
              <w:top w:val="nil"/>
              <w:bottom w:val="nil"/>
            </w:tcBorders>
            <w:vAlign w:val="center"/>
          </w:tcPr>
          <w:p w:rsidR="001F73B5" w:rsidRDefault="001F73B5">
            <w:pPr>
              <w:jc w:val="center"/>
              <w:rPr>
                <w:rFonts w:cs="Arial"/>
                <w:szCs w:val="20"/>
              </w:rPr>
            </w:pPr>
            <w:r>
              <w:rPr>
                <w:rFonts w:cs="Arial"/>
                <w:szCs w:val="20"/>
              </w:rPr>
              <w:t>-</w:t>
            </w:r>
          </w:p>
        </w:tc>
        <w:tc>
          <w:tcPr>
            <w:tcW w:w="635" w:type="pct"/>
            <w:tcBorders>
              <w:top w:val="nil"/>
              <w:bottom w:val="nil"/>
            </w:tcBorders>
            <w:vAlign w:val="center"/>
          </w:tcPr>
          <w:p w:rsidR="001F73B5" w:rsidRDefault="001F73B5">
            <w:pPr>
              <w:jc w:val="center"/>
              <w:rPr>
                <w:rFonts w:cs="Arial"/>
                <w:szCs w:val="20"/>
              </w:rPr>
            </w:pPr>
            <w:r>
              <w:rPr>
                <w:rFonts w:cs="Arial"/>
                <w:szCs w:val="20"/>
              </w:rPr>
              <w:t>-</w:t>
            </w:r>
          </w:p>
        </w:tc>
        <w:tc>
          <w:tcPr>
            <w:tcW w:w="669" w:type="pct"/>
            <w:tcBorders>
              <w:top w:val="nil"/>
              <w:bottom w:val="nil"/>
            </w:tcBorders>
            <w:vAlign w:val="center"/>
          </w:tcPr>
          <w:p w:rsidR="001F73B5" w:rsidRDefault="001F73B5">
            <w:pPr>
              <w:jc w:val="center"/>
              <w:rPr>
                <w:rFonts w:cs="Arial"/>
                <w:szCs w:val="20"/>
              </w:rPr>
            </w:pPr>
            <w:r>
              <w:rPr>
                <w:rFonts w:cs="Arial"/>
                <w:szCs w:val="20"/>
              </w:rPr>
              <w:t>8</w:t>
            </w:r>
          </w:p>
        </w:tc>
        <w:tc>
          <w:tcPr>
            <w:tcW w:w="678" w:type="pct"/>
            <w:tcBorders>
              <w:top w:val="nil"/>
              <w:bottom w:val="nil"/>
            </w:tcBorders>
            <w:vAlign w:val="center"/>
          </w:tcPr>
          <w:p w:rsidR="001F73B5" w:rsidRDefault="001F73B5">
            <w:pPr>
              <w:jc w:val="center"/>
              <w:rPr>
                <w:rFonts w:cs="Arial"/>
                <w:szCs w:val="20"/>
              </w:rPr>
            </w:pPr>
            <w:r>
              <w:rPr>
                <w:rFonts w:cs="Arial"/>
                <w:szCs w:val="20"/>
              </w:rPr>
              <w:t>49</w:t>
            </w:r>
          </w:p>
        </w:tc>
        <w:tc>
          <w:tcPr>
            <w:tcW w:w="625" w:type="pct"/>
            <w:tcBorders>
              <w:top w:val="nil"/>
              <w:bottom w:val="nil"/>
            </w:tcBorders>
            <w:vAlign w:val="center"/>
          </w:tcPr>
          <w:p w:rsidR="001F73B5" w:rsidRDefault="001F73B5">
            <w:pPr>
              <w:jc w:val="center"/>
              <w:rPr>
                <w:rFonts w:cs="Arial"/>
                <w:szCs w:val="20"/>
              </w:rPr>
            </w:pPr>
            <w:r>
              <w:rPr>
                <w:rFonts w:cs="Arial"/>
                <w:szCs w:val="20"/>
              </w:rPr>
              <w:t>2</w:t>
            </w:r>
          </w:p>
        </w:tc>
        <w:tc>
          <w:tcPr>
            <w:tcW w:w="647" w:type="pct"/>
            <w:tcBorders>
              <w:top w:val="nil"/>
              <w:bottom w:val="nil"/>
            </w:tcBorders>
            <w:vAlign w:val="center"/>
          </w:tcPr>
          <w:p w:rsidR="001F73B5" w:rsidRDefault="001F73B5">
            <w:pPr>
              <w:jc w:val="center"/>
              <w:rPr>
                <w:rFonts w:cs="Arial"/>
                <w:szCs w:val="20"/>
              </w:rPr>
            </w:pPr>
            <w:r>
              <w:rPr>
                <w:rFonts w:cs="Arial"/>
                <w:szCs w:val="20"/>
              </w:rPr>
              <w:t>-27</w:t>
            </w:r>
          </w:p>
        </w:tc>
      </w:tr>
      <w:tr w:rsidR="001F73B5" w:rsidRPr="006A7228" w:rsidTr="00622213">
        <w:trPr>
          <w:trHeight w:val="510"/>
        </w:trPr>
        <w:tc>
          <w:tcPr>
            <w:tcW w:w="1023" w:type="pct"/>
            <w:tcBorders>
              <w:top w:val="nil"/>
              <w:bottom w:val="nil"/>
            </w:tcBorders>
            <w:vAlign w:val="center"/>
          </w:tcPr>
          <w:p w:rsidR="001F73B5" w:rsidRDefault="001F73B5" w:rsidP="001F73B5">
            <w:pPr>
              <w:rPr>
                <w:rFonts w:cs="Arial"/>
                <w:sz w:val="16"/>
                <w:szCs w:val="16"/>
              </w:rPr>
            </w:pPr>
            <w:r>
              <w:rPr>
                <w:rFonts w:cs="Arial"/>
                <w:sz w:val="16"/>
                <w:szCs w:val="16"/>
              </w:rPr>
              <w:t>16-17 financial year</w:t>
            </w:r>
          </w:p>
        </w:tc>
        <w:tc>
          <w:tcPr>
            <w:tcW w:w="723" w:type="pct"/>
            <w:tcBorders>
              <w:top w:val="nil"/>
              <w:bottom w:val="nil"/>
            </w:tcBorders>
            <w:vAlign w:val="center"/>
          </w:tcPr>
          <w:p w:rsidR="001F73B5" w:rsidRDefault="001F73B5">
            <w:pPr>
              <w:jc w:val="center"/>
              <w:rPr>
                <w:rFonts w:cs="Arial"/>
                <w:sz w:val="20"/>
                <w:szCs w:val="20"/>
              </w:rPr>
            </w:pPr>
            <w:r>
              <w:rPr>
                <w:rFonts w:cs="Arial"/>
                <w:sz w:val="20"/>
                <w:szCs w:val="20"/>
              </w:rPr>
              <w:t>-</w:t>
            </w:r>
          </w:p>
        </w:tc>
        <w:tc>
          <w:tcPr>
            <w:tcW w:w="635" w:type="pct"/>
            <w:tcBorders>
              <w:top w:val="nil"/>
              <w:bottom w:val="nil"/>
            </w:tcBorders>
            <w:vAlign w:val="center"/>
          </w:tcPr>
          <w:p w:rsidR="001F73B5" w:rsidRDefault="001F73B5">
            <w:pPr>
              <w:jc w:val="center"/>
              <w:rPr>
                <w:rFonts w:cs="Arial"/>
                <w:sz w:val="20"/>
                <w:szCs w:val="20"/>
              </w:rPr>
            </w:pPr>
            <w:r>
              <w:rPr>
                <w:rFonts w:cs="Arial"/>
                <w:sz w:val="20"/>
                <w:szCs w:val="20"/>
              </w:rPr>
              <w:t>-</w:t>
            </w:r>
          </w:p>
        </w:tc>
        <w:tc>
          <w:tcPr>
            <w:tcW w:w="669" w:type="pct"/>
            <w:tcBorders>
              <w:top w:val="nil"/>
              <w:bottom w:val="nil"/>
            </w:tcBorders>
            <w:vAlign w:val="center"/>
          </w:tcPr>
          <w:p w:rsidR="001F73B5" w:rsidRDefault="001F73B5">
            <w:pPr>
              <w:jc w:val="center"/>
              <w:rPr>
                <w:rFonts w:cs="Arial"/>
                <w:sz w:val="20"/>
                <w:szCs w:val="20"/>
              </w:rPr>
            </w:pPr>
            <w:r>
              <w:rPr>
                <w:rFonts w:cs="Arial"/>
                <w:sz w:val="20"/>
                <w:szCs w:val="20"/>
              </w:rPr>
              <w:t>7.32</w:t>
            </w:r>
          </w:p>
        </w:tc>
        <w:tc>
          <w:tcPr>
            <w:tcW w:w="678" w:type="pct"/>
            <w:tcBorders>
              <w:top w:val="nil"/>
              <w:bottom w:val="nil"/>
            </w:tcBorders>
            <w:vAlign w:val="center"/>
          </w:tcPr>
          <w:p w:rsidR="001F73B5" w:rsidRDefault="001F73B5">
            <w:pPr>
              <w:jc w:val="center"/>
              <w:rPr>
                <w:rFonts w:cs="Arial"/>
                <w:sz w:val="20"/>
                <w:szCs w:val="20"/>
              </w:rPr>
            </w:pPr>
            <w:r>
              <w:rPr>
                <w:rFonts w:cs="Arial"/>
                <w:sz w:val="20"/>
                <w:szCs w:val="20"/>
              </w:rPr>
              <w:t>995</w:t>
            </w:r>
          </w:p>
        </w:tc>
        <w:tc>
          <w:tcPr>
            <w:tcW w:w="625" w:type="pct"/>
            <w:tcBorders>
              <w:top w:val="nil"/>
              <w:bottom w:val="nil"/>
            </w:tcBorders>
            <w:vAlign w:val="center"/>
          </w:tcPr>
          <w:p w:rsidR="001F73B5" w:rsidRDefault="001F73B5">
            <w:pPr>
              <w:jc w:val="center"/>
              <w:rPr>
                <w:rFonts w:cs="Arial"/>
                <w:sz w:val="20"/>
                <w:szCs w:val="20"/>
              </w:rPr>
            </w:pPr>
            <w:r>
              <w:rPr>
                <w:rFonts w:cs="Arial"/>
                <w:sz w:val="20"/>
                <w:szCs w:val="20"/>
              </w:rPr>
              <w:t>8.27</w:t>
            </w:r>
          </w:p>
        </w:tc>
        <w:tc>
          <w:tcPr>
            <w:tcW w:w="647" w:type="pct"/>
            <w:tcBorders>
              <w:top w:val="nil"/>
              <w:bottom w:val="nil"/>
            </w:tcBorders>
            <w:vAlign w:val="center"/>
          </w:tcPr>
          <w:p w:rsidR="001F73B5" w:rsidRDefault="001F73B5">
            <w:pPr>
              <w:jc w:val="center"/>
              <w:rPr>
                <w:rFonts w:cs="Arial"/>
                <w:sz w:val="20"/>
                <w:szCs w:val="20"/>
              </w:rPr>
            </w:pPr>
            <w:r>
              <w:rPr>
                <w:rFonts w:cs="Arial"/>
                <w:sz w:val="20"/>
                <w:szCs w:val="20"/>
              </w:rPr>
              <w:t>8792</w:t>
            </w:r>
          </w:p>
        </w:tc>
      </w:tr>
      <w:tr w:rsidR="001F73B5" w:rsidRPr="006A7228" w:rsidTr="00622213">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1F73B5" w:rsidRDefault="001F73B5" w:rsidP="001F73B5">
            <w:pPr>
              <w:rPr>
                <w:rFonts w:cs="Arial"/>
                <w:sz w:val="16"/>
                <w:szCs w:val="16"/>
              </w:rPr>
            </w:pPr>
            <w:r>
              <w:rPr>
                <w:rFonts w:cs="Arial"/>
                <w:sz w:val="16"/>
                <w:szCs w:val="16"/>
              </w:rPr>
              <w:t>% change from previous financial year</w:t>
            </w:r>
          </w:p>
        </w:tc>
        <w:tc>
          <w:tcPr>
            <w:tcW w:w="723" w:type="pct"/>
            <w:tcBorders>
              <w:top w:val="nil"/>
              <w:bottom w:val="single" w:sz="4" w:space="0" w:color="auto"/>
            </w:tcBorders>
            <w:vAlign w:val="center"/>
          </w:tcPr>
          <w:p w:rsidR="001F73B5" w:rsidRDefault="001F73B5">
            <w:pPr>
              <w:jc w:val="center"/>
              <w:rPr>
                <w:rFonts w:cs="Arial"/>
                <w:szCs w:val="20"/>
              </w:rPr>
            </w:pPr>
            <w:r>
              <w:rPr>
                <w:rFonts w:cs="Arial"/>
                <w:szCs w:val="20"/>
              </w:rPr>
              <w:t>-</w:t>
            </w:r>
          </w:p>
        </w:tc>
        <w:tc>
          <w:tcPr>
            <w:tcW w:w="635" w:type="pct"/>
            <w:tcBorders>
              <w:top w:val="nil"/>
              <w:bottom w:val="single" w:sz="4" w:space="0" w:color="auto"/>
            </w:tcBorders>
            <w:vAlign w:val="center"/>
          </w:tcPr>
          <w:p w:rsidR="001F73B5" w:rsidRDefault="001F73B5">
            <w:pPr>
              <w:jc w:val="center"/>
              <w:rPr>
                <w:rFonts w:cs="Arial"/>
                <w:szCs w:val="20"/>
              </w:rPr>
            </w:pPr>
            <w:r>
              <w:rPr>
                <w:rFonts w:cs="Arial"/>
                <w:szCs w:val="20"/>
              </w:rPr>
              <w:t>-</w:t>
            </w:r>
          </w:p>
        </w:tc>
        <w:tc>
          <w:tcPr>
            <w:tcW w:w="669" w:type="pct"/>
            <w:tcBorders>
              <w:top w:val="nil"/>
              <w:bottom w:val="single" w:sz="4" w:space="0" w:color="auto"/>
            </w:tcBorders>
            <w:vAlign w:val="center"/>
          </w:tcPr>
          <w:p w:rsidR="001F73B5" w:rsidRDefault="001F73B5">
            <w:pPr>
              <w:jc w:val="center"/>
              <w:rPr>
                <w:rFonts w:cs="Arial"/>
                <w:szCs w:val="20"/>
              </w:rPr>
            </w:pPr>
            <w:r>
              <w:rPr>
                <w:rFonts w:cs="Arial"/>
                <w:szCs w:val="20"/>
              </w:rPr>
              <w:t>-</w:t>
            </w:r>
          </w:p>
        </w:tc>
        <w:tc>
          <w:tcPr>
            <w:tcW w:w="678" w:type="pct"/>
            <w:tcBorders>
              <w:top w:val="nil"/>
              <w:bottom w:val="single" w:sz="4" w:space="0" w:color="auto"/>
            </w:tcBorders>
            <w:vAlign w:val="center"/>
          </w:tcPr>
          <w:p w:rsidR="001F73B5" w:rsidRDefault="001F73B5">
            <w:pPr>
              <w:jc w:val="center"/>
              <w:rPr>
                <w:rFonts w:cs="Arial"/>
                <w:szCs w:val="20"/>
              </w:rPr>
            </w:pPr>
            <w:r>
              <w:rPr>
                <w:rFonts w:cs="Arial"/>
                <w:szCs w:val="20"/>
              </w:rPr>
              <w:t>-</w:t>
            </w:r>
          </w:p>
        </w:tc>
        <w:tc>
          <w:tcPr>
            <w:tcW w:w="625" w:type="pct"/>
            <w:tcBorders>
              <w:top w:val="nil"/>
              <w:bottom w:val="single" w:sz="4" w:space="0" w:color="auto"/>
            </w:tcBorders>
            <w:vAlign w:val="center"/>
          </w:tcPr>
          <w:p w:rsidR="001F73B5" w:rsidRDefault="001F73B5">
            <w:pPr>
              <w:jc w:val="center"/>
              <w:rPr>
                <w:rFonts w:cs="Arial"/>
                <w:szCs w:val="20"/>
              </w:rPr>
            </w:pPr>
            <w:r>
              <w:rPr>
                <w:rFonts w:cs="Arial"/>
                <w:szCs w:val="20"/>
              </w:rPr>
              <w:t>89</w:t>
            </w:r>
          </w:p>
        </w:tc>
        <w:tc>
          <w:tcPr>
            <w:tcW w:w="647" w:type="pct"/>
            <w:tcBorders>
              <w:top w:val="nil"/>
              <w:bottom w:val="single" w:sz="4" w:space="0" w:color="auto"/>
            </w:tcBorders>
            <w:vAlign w:val="center"/>
          </w:tcPr>
          <w:p w:rsidR="001F73B5" w:rsidRDefault="001F73B5">
            <w:pPr>
              <w:jc w:val="center"/>
              <w:rPr>
                <w:rFonts w:cs="Arial"/>
                <w:szCs w:val="20"/>
              </w:rPr>
            </w:pPr>
            <w:r>
              <w:rPr>
                <w:rFonts w:cs="Arial"/>
                <w:szCs w:val="20"/>
              </w:rPr>
              <w:t>16</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fldSimple w:instr=" SEQ Figure \* ARABIC ">
        <w:r w:rsidR="00674600">
          <w:rPr>
            <w:noProof/>
          </w:rPr>
          <w:t>3</w:t>
        </w:r>
      </w:fldSimple>
      <w:r w:rsidRPr="001521CB">
        <w:t xml:space="preserve">: </w:t>
      </w:r>
      <w:r w:rsidRPr="001521CB">
        <w:rPr>
          <w:color w:val="2272A3"/>
          <w:szCs w:val="24"/>
        </w:rPr>
        <w:t>Daily gas market prices</w:t>
      </w:r>
      <w:r w:rsidR="00A84149">
        <w:rPr>
          <w:color w:val="2272A3"/>
          <w:szCs w:val="24"/>
        </w:rPr>
        <w:t xml:space="preserve"> ($/GJ)</w:t>
      </w:r>
    </w:p>
    <w:p w:rsidR="001521CB" w:rsidRDefault="001F73B5" w:rsidP="001521CB">
      <w:r w:rsidRPr="001F73B5">
        <w:rPr>
          <w:noProof/>
          <w:lang w:eastAsia="en-AU"/>
        </w:rPr>
        <w:drawing>
          <wp:inline distT="0" distB="0" distL="0" distR="0" wp14:anchorId="5CDFC4EF" wp14:editId="0F92E09D">
            <wp:extent cx="5731510" cy="2104166"/>
            <wp:effectExtent l="0" t="0" r="2540" b="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4166"/>
                    </a:xfrm>
                    <a:prstGeom prst="rect">
                      <a:avLst/>
                    </a:prstGeom>
                    <a:noFill/>
                    <a:ln>
                      <a:noFill/>
                    </a:ln>
                  </pic:spPr>
                </pic:pic>
              </a:graphicData>
            </a:graphic>
          </wp:inline>
        </w:drawing>
      </w:r>
    </w:p>
    <w:p w:rsidR="001521CB" w:rsidRPr="008D4DAB" w:rsidRDefault="00674600" w:rsidP="00F26128">
      <w:pPr>
        <w:pStyle w:val="AERbodytext"/>
      </w:pPr>
      <w:r>
        <w:lastRenderedPageBreak/>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fldSimple w:instr=" SEQ Figure \* ARABIC ">
        <w:r w:rsidR="00674600">
          <w:rPr>
            <w:noProof/>
          </w:rPr>
          <w:t>4</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4043B8" w:rsidRPr="00405CDE" w:rsidTr="00534DD9">
        <w:trPr>
          <w:trHeight w:val="510"/>
        </w:trPr>
        <w:tc>
          <w:tcPr>
            <w:tcW w:w="1585" w:type="pct"/>
            <w:tcBorders>
              <w:top w:val="nil"/>
              <w:bottom w:val="nil"/>
            </w:tcBorders>
            <w:vAlign w:val="center"/>
          </w:tcPr>
          <w:p w:rsidR="004043B8" w:rsidRDefault="004043B8">
            <w:pPr>
              <w:rPr>
                <w:rFonts w:cs="Arial"/>
                <w:sz w:val="16"/>
                <w:szCs w:val="16"/>
              </w:rPr>
            </w:pPr>
            <w:r>
              <w:rPr>
                <w:rFonts w:cs="Arial"/>
                <w:sz w:val="16"/>
                <w:szCs w:val="16"/>
              </w:rPr>
              <w:t>25 Jun - 01 Jul 2017</w:t>
            </w:r>
          </w:p>
        </w:tc>
        <w:tc>
          <w:tcPr>
            <w:tcW w:w="993"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758" w:type="pct"/>
            <w:tcBorders>
              <w:top w:val="nil"/>
              <w:bottom w:val="nil"/>
            </w:tcBorders>
            <w:vAlign w:val="center"/>
          </w:tcPr>
          <w:p w:rsidR="004043B8" w:rsidRDefault="004043B8">
            <w:pPr>
              <w:jc w:val="center"/>
              <w:rPr>
                <w:rFonts w:cs="Arial"/>
                <w:sz w:val="20"/>
                <w:szCs w:val="20"/>
              </w:rPr>
            </w:pPr>
            <w:r>
              <w:rPr>
                <w:rFonts w:cs="Arial"/>
                <w:sz w:val="20"/>
                <w:szCs w:val="20"/>
              </w:rPr>
              <w:t>69.67</w:t>
            </w:r>
          </w:p>
        </w:tc>
        <w:tc>
          <w:tcPr>
            <w:tcW w:w="831" w:type="pct"/>
            <w:tcBorders>
              <w:top w:val="nil"/>
              <w:bottom w:val="nil"/>
            </w:tcBorders>
            <w:vAlign w:val="center"/>
          </w:tcPr>
          <w:p w:rsidR="004043B8" w:rsidRDefault="004043B8">
            <w:pPr>
              <w:jc w:val="center"/>
              <w:rPr>
                <w:rFonts w:cs="Arial"/>
                <w:sz w:val="20"/>
                <w:szCs w:val="20"/>
              </w:rPr>
            </w:pPr>
            <w:r>
              <w:rPr>
                <w:rFonts w:cs="Arial"/>
                <w:sz w:val="20"/>
                <w:szCs w:val="20"/>
              </w:rPr>
              <w:t>5.65</w:t>
            </w:r>
          </w:p>
        </w:tc>
        <w:tc>
          <w:tcPr>
            <w:tcW w:w="833" w:type="pct"/>
            <w:tcBorders>
              <w:top w:val="nil"/>
              <w:bottom w:val="nil"/>
            </w:tcBorders>
            <w:vAlign w:val="center"/>
          </w:tcPr>
          <w:p w:rsidR="004043B8" w:rsidRDefault="004043B8">
            <w:pPr>
              <w:jc w:val="center"/>
              <w:rPr>
                <w:rFonts w:cs="Arial"/>
                <w:sz w:val="20"/>
                <w:szCs w:val="20"/>
              </w:rPr>
            </w:pPr>
            <w:r>
              <w:rPr>
                <w:rFonts w:cs="Arial"/>
                <w:sz w:val="20"/>
                <w:szCs w:val="20"/>
              </w:rPr>
              <w:t>1.00</w:t>
            </w:r>
          </w:p>
        </w:tc>
      </w:tr>
      <w:tr w:rsidR="004043B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4043B8" w:rsidRDefault="004043B8">
            <w:pPr>
              <w:rPr>
                <w:rFonts w:cs="Arial"/>
                <w:sz w:val="16"/>
                <w:szCs w:val="16"/>
              </w:rPr>
            </w:pPr>
            <w:r>
              <w:rPr>
                <w:rFonts w:cs="Arial"/>
                <w:sz w:val="16"/>
                <w:szCs w:val="16"/>
              </w:rPr>
              <w:t>% change from previous week</w:t>
            </w:r>
          </w:p>
        </w:tc>
        <w:tc>
          <w:tcPr>
            <w:tcW w:w="993" w:type="pct"/>
            <w:tcBorders>
              <w:top w:val="nil"/>
              <w:bottom w:val="nil"/>
            </w:tcBorders>
            <w:vAlign w:val="center"/>
          </w:tcPr>
          <w:p w:rsidR="004043B8" w:rsidRDefault="004043B8">
            <w:pPr>
              <w:jc w:val="center"/>
              <w:rPr>
                <w:rFonts w:cs="Arial"/>
                <w:szCs w:val="20"/>
              </w:rPr>
            </w:pPr>
            <w:r>
              <w:rPr>
                <w:rFonts w:cs="Arial"/>
                <w:szCs w:val="20"/>
              </w:rPr>
              <w:t>-</w:t>
            </w:r>
          </w:p>
        </w:tc>
        <w:tc>
          <w:tcPr>
            <w:tcW w:w="758" w:type="pct"/>
            <w:tcBorders>
              <w:top w:val="nil"/>
              <w:bottom w:val="nil"/>
            </w:tcBorders>
            <w:vAlign w:val="center"/>
          </w:tcPr>
          <w:p w:rsidR="004043B8" w:rsidRDefault="004043B8">
            <w:pPr>
              <w:jc w:val="center"/>
              <w:rPr>
                <w:rFonts w:cs="Arial"/>
                <w:szCs w:val="20"/>
              </w:rPr>
            </w:pPr>
            <w:r>
              <w:rPr>
                <w:rFonts w:cs="Arial"/>
                <w:szCs w:val="20"/>
              </w:rPr>
              <w:t>28</w:t>
            </w:r>
          </w:p>
        </w:tc>
        <w:tc>
          <w:tcPr>
            <w:tcW w:w="831" w:type="pct"/>
            <w:tcBorders>
              <w:top w:val="nil"/>
              <w:bottom w:val="nil"/>
            </w:tcBorders>
            <w:vAlign w:val="center"/>
          </w:tcPr>
          <w:p w:rsidR="004043B8" w:rsidRDefault="004043B8">
            <w:pPr>
              <w:jc w:val="center"/>
              <w:rPr>
                <w:rFonts w:cs="Arial"/>
                <w:szCs w:val="20"/>
              </w:rPr>
            </w:pPr>
            <w:r>
              <w:rPr>
                <w:rFonts w:cs="Arial"/>
                <w:szCs w:val="20"/>
              </w:rPr>
              <w:t>27</w:t>
            </w:r>
          </w:p>
        </w:tc>
        <w:tc>
          <w:tcPr>
            <w:tcW w:w="833" w:type="pct"/>
            <w:tcBorders>
              <w:top w:val="nil"/>
              <w:bottom w:val="nil"/>
            </w:tcBorders>
            <w:vAlign w:val="center"/>
          </w:tcPr>
          <w:p w:rsidR="004043B8" w:rsidRDefault="004043B8">
            <w:pPr>
              <w:jc w:val="center"/>
              <w:rPr>
                <w:rFonts w:cs="Arial"/>
                <w:szCs w:val="20"/>
              </w:rPr>
            </w:pPr>
            <w:r>
              <w:rPr>
                <w:rFonts w:cs="Arial"/>
                <w:szCs w:val="20"/>
              </w:rPr>
              <w:t>-1</w:t>
            </w:r>
          </w:p>
        </w:tc>
      </w:tr>
      <w:tr w:rsidR="004043B8" w:rsidRPr="00405CDE" w:rsidTr="00534DD9">
        <w:trPr>
          <w:trHeight w:val="510"/>
        </w:trPr>
        <w:tc>
          <w:tcPr>
            <w:tcW w:w="1585" w:type="pct"/>
            <w:tcBorders>
              <w:top w:val="nil"/>
              <w:bottom w:val="nil"/>
            </w:tcBorders>
            <w:vAlign w:val="center"/>
          </w:tcPr>
          <w:p w:rsidR="004043B8" w:rsidRDefault="004043B8" w:rsidP="004043B8">
            <w:pPr>
              <w:rPr>
                <w:rFonts w:cs="Arial"/>
                <w:sz w:val="16"/>
                <w:szCs w:val="16"/>
              </w:rPr>
            </w:pPr>
            <w:r>
              <w:rPr>
                <w:rFonts w:cs="Arial"/>
                <w:sz w:val="16"/>
                <w:szCs w:val="16"/>
              </w:rPr>
              <w:t>16-17 financial year</w:t>
            </w:r>
          </w:p>
        </w:tc>
        <w:tc>
          <w:tcPr>
            <w:tcW w:w="993" w:type="pct"/>
            <w:tcBorders>
              <w:top w:val="nil"/>
              <w:bottom w:val="nil"/>
            </w:tcBorders>
            <w:vAlign w:val="center"/>
          </w:tcPr>
          <w:p w:rsidR="004043B8" w:rsidRDefault="004043B8">
            <w:pPr>
              <w:jc w:val="center"/>
              <w:rPr>
                <w:rFonts w:cs="Arial"/>
                <w:sz w:val="20"/>
                <w:szCs w:val="20"/>
              </w:rPr>
            </w:pPr>
            <w:r>
              <w:rPr>
                <w:rFonts w:cs="Arial"/>
                <w:sz w:val="20"/>
                <w:szCs w:val="20"/>
              </w:rPr>
              <w:t> </w:t>
            </w:r>
          </w:p>
        </w:tc>
        <w:tc>
          <w:tcPr>
            <w:tcW w:w="758" w:type="pct"/>
            <w:tcBorders>
              <w:top w:val="nil"/>
              <w:bottom w:val="nil"/>
            </w:tcBorders>
            <w:vAlign w:val="center"/>
          </w:tcPr>
          <w:p w:rsidR="004043B8" w:rsidRDefault="004043B8">
            <w:pPr>
              <w:jc w:val="center"/>
              <w:rPr>
                <w:rFonts w:cs="Arial"/>
                <w:sz w:val="20"/>
                <w:szCs w:val="20"/>
              </w:rPr>
            </w:pPr>
            <w:r>
              <w:rPr>
                <w:rFonts w:cs="Arial"/>
                <w:sz w:val="20"/>
                <w:szCs w:val="20"/>
              </w:rPr>
              <w:t>50.77</w:t>
            </w:r>
          </w:p>
        </w:tc>
        <w:tc>
          <w:tcPr>
            <w:tcW w:w="831" w:type="pct"/>
            <w:tcBorders>
              <w:top w:val="nil"/>
              <w:bottom w:val="nil"/>
            </w:tcBorders>
            <w:vAlign w:val="center"/>
          </w:tcPr>
          <w:p w:rsidR="004043B8" w:rsidRDefault="004043B8">
            <w:pPr>
              <w:jc w:val="center"/>
              <w:rPr>
                <w:rFonts w:cs="Arial"/>
                <w:sz w:val="20"/>
                <w:szCs w:val="20"/>
              </w:rPr>
            </w:pPr>
            <w:r>
              <w:rPr>
                <w:rFonts w:cs="Arial"/>
                <w:sz w:val="20"/>
                <w:szCs w:val="20"/>
              </w:rPr>
              <w:t>17.27</w:t>
            </w:r>
          </w:p>
        </w:tc>
        <w:tc>
          <w:tcPr>
            <w:tcW w:w="833" w:type="pct"/>
            <w:tcBorders>
              <w:top w:val="nil"/>
              <w:bottom w:val="nil"/>
            </w:tcBorders>
            <w:vAlign w:val="center"/>
          </w:tcPr>
          <w:p w:rsidR="004043B8" w:rsidRDefault="004043B8">
            <w:pPr>
              <w:jc w:val="center"/>
              <w:rPr>
                <w:rFonts w:cs="Arial"/>
                <w:sz w:val="20"/>
                <w:szCs w:val="20"/>
              </w:rPr>
            </w:pPr>
            <w:r>
              <w:rPr>
                <w:rFonts w:cs="Arial"/>
                <w:sz w:val="20"/>
                <w:szCs w:val="20"/>
              </w:rPr>
              <w:t>1.66</w:t>
            </w:r>
          </w:p>
        </w:tc>
      </w:tr>
      <w:tr w:rsidR="004043B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4043B8" w:rsidRDefault="004043B8" w:rsidP="004043B8">
            <w:pPr>
              <w:rPr>
                <w:rFonts w:cs="Arial"/>
                <w:sz w:val="16"/>
                <w:szCs w:val="16"/>
              </w:rPr>
            </w:pPr>
            <w:r>
              <w:rPr>
                <w:rFonts w:cs="Arial"/>
                <w:sz w:val="16"/>
                <w:szCs w:val="16"/>
              </w:rPr>
              <w:t xml:space="preserve">% change from previous financial year </w:t>
            </w:r>
          </w:p>
        </w:tc>
        <w:tc>
          <w:tcPr>
            <w:tcW w:w="993" w:type="pct"/>
            <w:tcBorders>
              <w:top w:val="nil"/>
              <w:bottom w:val="single" w:sz="4" w:space="0" w:color="auto"/>
            </w:tcBorders>
            <w:vAlign w:val="center"/>
          </w:tcPr>
          <w:p w:rsidR="004043B8" w:rsidRDefault="004043B8">
            <w:pPr>
              <w:jc w:val="center"/>
              <w:rPr>
                <w:rFonts w:cs="Arial"/>
                <w:szCs w:val="20"/>
              </w:rPr>
            </w:pPr>
            <w:r>
              <w:rPr>
                <w:rFonts w:cs="Arial"/>
                <w:szCs w:val="20"/>
              </w:rPr>
              <w:t> </w:t>
            </w:r>
          </w:p>
        </w:tc>
        <w:tc>
          <w:tcPr>
            <w:tcW w:w="758" w:type="pct"/>
            <w:tcBorders>
              <w:top w:val="nil"/>
              <w:bottom w:val="single" w:sz="4" w:space="0" w:color="auto"/>
            </w:tcBorders>
            <w:vAlign w:val="center"/>
          </w:tcPr>
          <w:p w:rsidR="004043B8" w:rsidRDefault="004043B8">
            <w:pPr>
              <w:jc w:val="center"/>
              <w:rPr>
                <w:rFonts w:cs="Arial"/>
                <w:szCs w:val="20"/>
              </w:rPr>
            </w:pPr>
            <w:r>
              <w:rPr>
                <w:rFonts w:cs="Arial"/>
                <w:szCs w:val="20"/>
              </w:rPr>
              <w:t>77</w:t>
            </w:r>
          </w:p>
        </w:tc>
        <w:tc>
          <w:tcPr>
            <w:tcW w:w="831" w:type="pct"/>
            <w:tcBorders>
              <w:top w:val="nil"/>
              <w:bottom w:val="single" w:sz="4" w:space="0" w:color="auto"/>
            </w:tcBorders>
            <w:vAlign w:val="center"/>
          </w:tcPr>
          <w:p w:rsidR="004043B8" w:rsidRDefault="004043B8">
            <w:pPr>
              <w:jc w:val="center"/>
              <w:rPr>
                <w:rFonts w:cs="Arial"/>
                <w:szCs w:val="20"/>
              </w:rPr>
            </w:pPr>
            <w:r>
              <w:rPr>
                <w:rFonts w:cs="Arial"/>
                <w:szCs w:val="20"/>
              </w:rPr>
              <w:t>52</w:t>
            </w:r>
          </w:p>
        </w:tc>
        <w:tc>
          <w:tcPr>
            <w:tcW w:w="833" w:type="pct"/>
            <w:tcBorders>
              <w:top w:val="nil"/>
              <w:bottom w:val="single" w:sz="4" w:space="0" w:color="auto"/>
            </w:tcBorders>
            <w:vAlign w:val="center"/>
          </w:tcPr>
          <w:p w:rsidR="004043B8" w:rsidRDefault="004043B8">
            <w:pPr>
              <w:jc w:val="center"/>
              <w:rPr>
                <w:rFonts w:cs="Arial"/>
                <w:szCs w:val="20"/>
              </w:rPr>
            </w:pPr>
            <w:r>
              <w:rPr>
                <w:rFonts w:cs="Arial"/>
                <w:szCs w:val="20"/>
              </w:rPr>
              <w:t>8</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fldSimple w:instr=" SEQ Figure \* ARABIC ">
        <w:r w:rsidR="00C370D1">
          <w:rPr>
            <w:noProof/>
          </w:rPr>
          <w:t>5</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622213">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622213">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622213">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622213">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622213">
            <w:pPr>
              <w:pStyle w:val="TableHeading"/>
              <w:jc w:val="center"/>
              <w:rPr>
                <w:rFonts w:cs="Arial"/>
                <w:sz w:val="20"/>
                <w:szCs w:val="20"/>
              </w:rPr>
            </w:pPr>
          </w:p>
        </w:tc>
        <w:tc>
          <w:tcPr>
            <w:tcW w:w="700" w:type="pct"/>
            <w:tcBorders>
              <w:bottom w:val="nil"/>
            </w:tcBorders>
            <w:vAlign w:val="center"/>
            <w:hideMark/>
          </w:tcPr>
          <w:p w:rsidR="008D7D94" w:rsidRPr="00587CFB" w:rsidRDefault="008D7D94" w:rsidP="00622213">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622213">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622213">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622213">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622213">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622213">
            <w:pPr>
              <w:jc w:val="center"/>
              <w:rPr>
                <w:rFonts w:cs="Arial"/>
                <w:bCs/>
                <w:color w:val="FFFFFF"/>
                <w:sz w:val="14"/>
                <w:szCs w:val="20"/>
                <w:highlight w:val="cyan"/>
              </w:rPr>
            </w:pPr>
            <w:r>
              <w:rPr>
                <w:rFonts w:cs="Arial"/>
                <w:bCs/>
                <w:color w:val="FFFFFF"/>
                <w:sz w:val="14"/>
                <w:szCs w:val="20"/>
              </w:rPr>
              <w:t>Quantity</w:t>
            </w:r>
          </w:p>
        </w:tc>
      </w:tr>
      <w:tr w:rsidR="004043B8" w:rsidRPr="006A7228" w:rsidTr="00EA6F25">
        <w:trPr>
          <w:trHeight w:val="510"/>
        </w:trPr>
        <w:tc>
          <w:tcPr>
            <w:tcW w:w="915" w:type="pct"/>
            <w:tcBorders>
              <w:top w:val="nil"/>
              <w:bottom w:val="nil"/>
            </w:tcBorders>
            <w:vAlign w:val="center"/>
          </w:tcPr>
          <w:p w:rsidR="004043B8" w:rsidRDefault="004043B8">
            <w:pPr>
              <w:rPr>
                <w:rFonts w:cs="Arial"/>
                <w:b/>
                <w:bCs/>
                <w:sz w:val="20"/>
                <w:szCs w:val="20"/>
              </w:rPr>
            </w:pPr>
            <w:r>
              <w:rPr>
                <w:rFonts w:cs="Arial"/>
                <w:b/>
                <w:bCs/>
                <w:sz w:val="20"/>
                <w:szCs w:val="20"/>
              </w:rPr>
              <w:t>Balance of day</w:t>
            </w:r>
          </w:p>
        </w:tc>
        <w:tc>
          <w:tcPr>
            <w:tcW w:w="700"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641"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727" w:type="pct"/>
            <w:tcBorders>
              <w:top w:val="nil"/>
              <w:bottom w:val="nil"/>
            </w:tcBorders>
            <w:vAlign w:val="center"/>
          </w:tcPr>
          <w:p w:rsidR="004043B8" w:rsidRDefault="004043B8">
            <w:pPr>
              <w:jc w:val="center"/>
              <w:rPr>
                <w:rFonts w:cs="Arial"/>
                <w:sz w:val="20"/>
                <w:szCs w:val="20"/>
              </w:rPr>
            </w:pPr>
            <w:r>
              <w:rPr>
                <w:rFonts w:cs="Arial"/>
                <w:sz w:val="20"/>
                <w:szCs w:val="20"/>
              </w:rPr>
              <w:t>7.15</w:t>
            </w:r>
          </w:p>
        </w:tc>
        <w:tc>
          <w:tcPr>
            <w:tcW w:w="699" w:type="pct"/>
            <w:tcBorders>
              <w:top w:val="nil"/>
              <w:bottom w:val="nil"/>
            </w:tcBorders>
            <w:vAlign w:val="center"/>
          </w:tcPr>
          <w:p w:rsidR="004043B8" w:rsidRDefault="004043B8">
            <w:pPr>
              <w:jc w:val="center"/>
              <w:rPr>
                <w:rFonts w:cs="Arial"/>
                <w:sz w:val="20"/>
                <w:szCs w:val="20"/>
              </w:rPr>
            </w:pPr>
            <w:r>
              <w:rPr>
                <w:rFonts w:cs="Arial"/>
                <w:sz w:val="20"/>
                <w:szCs w:val="20"/>
              </w:rPr>
              <w:t>14.0</w:t>
            </w:r>
          </w:p>
        </w:tc>
        <w:tc>
          <w:tcPr>
            <w:tcW w:w="622" w:type="pct"/>
            <w:tcBorders>
              <w:top w:val="nil"/>
              <w:bottom w:val="nil"/>
            </w:tcBorders>
            <w:vAlign w:val="center"/>
          </w:tcPr>
          <w:p w:rsidR="004043B8" w:rsidRDefault="004043B8">
            <w:pPr>
              <w:jc w:val="center"/>
              <w:rPr>
                <w:rFonts w:cs="Arial"/>
                <w:sz w:val="20"/>
                <w:szCs w:val="20"/>
              </w:rPr>
            </w:pPr>
            <w:r>
              <w:rPr>
                <w:rFonts w:cs="Arial"/>
                <w:sz w:val="20"/>
                <w:szCs w:val="20"/>
              </w:rPr>
              <w:t>7.68</w:t>
            </w:r>
          </w:p>
        </w:tc>
        <w:tc>
          <w:tcPr>
            <w:tcW w:w="696" w:type="pct"/>
            <w:tcBorders>
              <w:top w:val="nil"/>
              <w:bottom w:val="nil"/>
            </w:tcBorders>
            <w:vAlign w:val="center"/>
          </w:tcPr>
          <w:p w:rsidR="004043B8" w:rsidRDefault="004043B8">
            <w:pPr>
              <w:jc w:val="center"/>
              <w:rPr>
                <w:rFonts w:cs="Arial"/>
                <w:sz w:val="20"/>
                <w:szCs w:val="20"/>
              </w:rPr>
            </w:pPr>
            <w:r>
              <w:rPr>
                <w:rFonts w:cs="Arial"/>
                <w:sz w:val="20"/>
                <w:szCs w:val="20"/>
              </w:rPr>
              <w:t>85.0</w:t>
            </w:r>
          </w:p>
        </w:tc>
      </w:tr>
      <w:tr w:rsidR="004043B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4043B8" w:rsidRDefault="004043B8">
            <w:pPr>
              <w:rPr>
                <w:rFonts w:cs="Arial"/>
                <w:b/>
                <w:bCs/>
                <w:szCs w:val="20"/>
              </w:rPr>
            </w:pPr>
            <w:r>
              <w:rPr>
                <w:rFonts w:cs="Arial"/>
                <w:b/>
                <w:bCs/>
                <w:szCs w:val="20"/>
              </w:rPr>
              <w:t>Daily</w:t>
            </w:r>
          </w:p>
        </w:tc>
        <w:tc>
          <w:tcPr>
            <w:tcW w:w="700" w:type="pct"/>
            <w:tcBorders>
              <w:top w:val="nil"/>
              <w:bottom w:val="nil"/>
            </w:tcBorders>
            <w:vAlign w:val="center"/>
          </w:tcPr>
          <w:p w:rsidR="004043B8" w:rsidRDefault="004043B8">
            <w:pPr>
              <w:jc w:val="center"/>
              <w:rPr>
                <w:rFonts w:cs="Arial"/>
                <w:szCs w:val="20"/>
              </w:rPr>
            </w:pPr>
            <w:r>
              <w:rPr>
                <w:rFonts w:cs="Arial"/>
                <w:szCs w:val="20"/>
              </w:rPr>
              <w:t>-</w:t>
            </w:r>
          </w:p>
        </w:tc>
        <w:tc>
          <w:tcPr>
            <w:tcW w:w="641" w:type="pct"/>
            <w:tcBorders>
              <w:top w:val="nil"/>
              <w:bottom w:val="nil"/>
            </w:tcBorders>
            <w:vAlign w:val="center"/>
          </w:tcPr>
          <w:p w:rsidR="004043B8" w:rsidRDefault="004043B8">
            <w:pPr>
              <w:jc w:val="center"/>
              <w:rPr>
                <w:rFonts w:cs="Arial"/>
                <w:szCs w:val="20"/>
              </w:rPr>
            </w:pPr>
            <w:r>
              <w:rPr>
                <w:rFonts w:cs="Arial"/>
                <w:szCs w:val="20"/>
              </w:rPr>
              <w:t>-</w:t>
            </w:r>
          </w:p>
        </w:tc>
        <w:tc>
          <w:tcPr>
            <w:tcW w:w="727" w:type="pct"/>
            <w:tcBorders>
              <w:top w:val="nil"/>
              <w:bottom w:val="nil"/>
            </w:tcBorders>
            <w:vAlign w:val="center"/>
          </w:tcPr>
          <w:p w:rsidR="004043B8" w:rsidRDefault="004043B8">
            <w:pPr>
              <w:jc w:val="center"/>
              <w:rPr>
                <w:rFonts w:cs="Arial"/>
                <w:szCs w:val="20"/>
              </w:rPr>
            </w:pPr>
            <w:r>
              <w:rPr>
                <w:rFonts w:cs="Arial"/>
                <w:szCs w:val="20"/>
              </w:rPr>
              <w:t>7.53</w:t>
            </w:r>
          </w:p>
        </w:tc>
        <w:tc>
          <w:tcPr>
            <w:tcW w:w="699" w:type="pct"/>
            <w:tcBorders>
              <w:top w:val="nil"/>
              <w:bottom w:val="nil"/>
            </w:tcBorders>
            <w:vAlign w:val="center"/>
          </w:tcPr>
          <w:p w:rsidR="004043B8" w:rsidRDefault="004043B8">
            <w:pPr>
              <w:jc w:val="center"/>
              <w:rPr>
                <w:rFonts w:cs="Arial"/>
                <w:szCs w:val="20"/>
              </w:rPr>
            </w:pPr>
            <w:r>
              <w:rPr>
                <w:rFonts w:cs="Arial"/>
                <w:szCs w:val="20"/>
              </w:rPr>
              <w:t>31.0</w:t>
            </w:r>
          </w:p>
        </w:tc>
        <w:tc>
          <w:tcPr>
            <w:tcW w:w="622" w:type="pct"/>
            <w:tcBorders>
              <w:top w:val="nil"/>
              <w:bottom w:val="nil"/>
            </w:tcBorders>
            <w:vAlign w:val="center"/>
          </w:tcPr>
          <w:p w:rsidR="004043B8" w:rsidRDefault="004043B8">
            <w:pPr>
              <w:jc w:val="center"/>
              <w:rPr>
                <w:rFonts w:cs="Arial"/>
                <w:szCs w:val="20"/>
              </w:rPr>
            </w:pPr>
            <w:r>
              <w:rPr>
                <w:rFonts w:cs="Arial"/>
                <w:szCs w:val="20"/>
              </w:rPr>
              <w:t>8.31</w:t>
            </w:r>
          </w:p>
        </w:tc>
        <w:tc>
          <w:tcPr>
            <w:tcW w:w="696" w:type="pct"/>
            <w:tcBorders>
              <w:top w:val="nil"/>
              <w:bottom w:val="nil"/>
            </w:tcBorders>
            <w:vAlign w:val="center"/>
          </w:tcPr>
          <w:p w:rsidR="004043B8" w:rsidRDefault="004043B8">
            <w:pPr>
              <w:jc w:val="center"/>
              <w:rPr>
                <w:rFonts w:cs="Arial"/>
                <w:szCs w:val="20"/>
              </w:rPr>
            </w:pPr>
            <w:r>
              <w:rPr>
                <w:rFonts w:cs="Arial"/>
                <w:szCs w:val="20"/>
              </w:rPr>
              <w:t>87.0</w:t>
            </w:r>
          </w:p>
        </w:tc>
      </w:tr>
      <w:tr w:rsidR="004043B8" w:rsidRPr="006A7228" w:rsidTr="00EA6F25">
        <w:trPr>
          <w:trHeight w:val="510"/>
        </w:trPr>
        <w:tc>
          <w:tcPr>
            <w:tcW w:w="915" w:type="pct"/>
            <w:tcBorders>
              <w:top w:val="nil"/>
              <w:bottom w:val="nil"/>
            </w:tcBorders>
            <w:vAlign w:val="center"/>
          </w:tcPr>
          <w:p w:rsidR="004043B8" w:rsidRDefault="004043B8">
            <w:pPr>
              <w:rPr>
                <w:rFonts w:cs="Arial"/>
                <w:b/>
                <w:bCs/>
                <w:sz w:val="20"/>
                <w:szCs w:val="20"/>
              </w:rPr>
            </w:pPr>
            <w:r>
              <w:rPr>
                <w:rFonts w:cs="Arial"/>
                <w:b/>
                <w:bCs/>
                <w:sz w:val="20"/>
                <w:szCs w:val="20"/>
              </w:rPr>
              <w:t>Day ahead</w:t>
            </w:r>
          </w:p>
        </w:tc>
        <w:tc>
          <w:tcPr>
            <w:tcW w:w="700"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641"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727" w:type="pct"/>
            <w:tcBorders>
              <w:top w:val="nil"/>
              <w:bottom w:val="nil"/>
            </w:tcBorders>
            <w:vAlign w:val="center"/>
          </w:tcPr>
          <w:p w:rsidR="004043B8" w:rsidRDefault="004043B8">
            <w:pPr>
              <w:jc w:val="center"/>
              <w:rPr>
                <w:rFonts w:cs="Arial"/>
                <w:sz w:val="20"/>
                <w:szCs w:val="20"/>
              </w:rPr>
            </w:pPr>
            <w:r>
              <w:rPr>
                <w:rFonts w:cs="Arial"/>
                <w:sz w:val="20"/>
                <w:szCs w:val="20"/>
              </w:rPr>
              <w:t>7.13</w:t>
            </w:r>
          </w:p>
        </w:tc>
        <w:tc>
          <w:tcPr>
            <w:tcW w:w="699" w:type="pct"/>
            <w:tcBorders>
              <w:top w:val="nil"/>
              <w:bottom w:val="nil"/>
            </w:tcBorders>
            <w:vAlign w:val="center"/>
          </w:tcPr>
          <w:p w:rsidR="004043B8" w:rsidRDefault="004043B8">
            <w:pPr>
              <w:jc w:val="center"/>
              <w:rPr>
                <w:rFonts w:cs="Arial"/>
                <w:sz w:val="20"/>
                <w:szCs w:val="20"/>
              </w:rPr>
            </w:pPr>
            <w:r>
              <w:rPr>
                <w:rFonts w:cs="Arial"/>
                <w:sz w:val="20"/>
                <w:szCs w:val="20"/>
              </w:rPr>
              <w:t>27.0</w:t>
            </w:r>
          </w:p>
        </w:tc>
        <w:tc>
          <w:tcPr>
            <w:tcW w:w="622" w:type="pct"/>
            <w:tcBorders>
              <w:top w:val="nil"/>
              <w:bottom w:val="nil"/>
            </w:tcBorders>
            <w:vAlign w:val="center"/>
          </w:tcPr>
          <w:p w:rsidR="004043B8" w:rsidRDefault="004043B8">
            <w:pPr>
              <w:jc w:val="center"/>
              <w:rPr>
                <w:rFonts w:cs="Arial"/>
                <w:sz w:val="20"/>
                <w:szCs w:val="20"/>
              </w:rPr>
            </w:pPr>
            <w:r>
              <w:rPr>
                <w:rFonts w:cs="Arial"/>
                <w:sz w:val="20"/>
                <w:szCs w:val="20"/>
              </w:rPr>
              <w:t>7.06</w:t>
            </w:r>
          </w:p>
        </w:tc>
        <w:tc>
          <w:tcPr>
            <w:tcW w:w="696" w:type="pct"/>
            <w:tcBorders>
              <w:top w:val="nil"/>
              <w:bottom w:val="nil"/>
            </w:tcBorders>
            <w:vAlign w:val="center"/>
          </w:tcPr>
          <w:p w:rsidR="004043B8" w:rsidRDefault="004043B8">
            <w:pPr>
              <w:jc w:val="center"/>
              <w:rPr>
                <w:rFonts w:cs="Arial"/>
                <w:sz w:val="20"/>
                <w:szCs w:val="20"/>
              </w:rPr>
            </w:pPr>
            <w:r>
              <w:rPr>
                <w:rFonts w:cs="Arial"/>
                <w:sz w:val="20"/>
                <w:szCs w:val="20"/>
              </w:rPr>
              <w:t>41.0</w:t>
            </w:r>
          </w:p>
        </w:tc>
      </w:tr>
      <w:tr w:rsidR="004043B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4043B8" w:rsidRDefault="004043B8">
            <w:pPr>
              <w:rPr>
                <w:rFonts w:cs="Arial"/>
                <w:b/>
                <w:bCs/>
                <w:szCs w:val="20"/>
              </w:rPr>
            </w:pPr>
            <w:r>
              <w:rPr>
                <w:rFonts w:cs="Arial"/>
                <w:b/>
                <w:bCs/>
                <w:szCs w:val="20"/>
              </w:rPr>
              <w:t>Weekly</w:t>
            </w:r>
          </w:p>
        </w:tc>
        <w:tc>
          <w:tcPr>
            <w:tcW w:w="700" w:type="pct"/>
            <w:tcBorders>
              <w:top w:val="nil"/>
              <w:bottom w:val="nil"/>
            </w:tcBorders>
            <w:vAlign w:val="center"/>
          </w:tcPr>
          <w:p w:rsidR="004043B8" w:rsidRDefault="004043B8">
            <w:pPr>
              <w:jc w:val="center"/>
              <w:rPr>
                <w:rFonts w:cs="Arial"/>
                <w:szCs w:val="20"/>
              </w:rPr>
            </w:pPr>
            <w:r>
              <w:rPr>
                <w:rFonts w:cs="Arial"/>
                <w:szCs w:val="20"/>
              </w:rPr>
              <w:t>-</w:t>
            </w:r>
          </w:p>
        </w:tc>
        <w:tc>
          <w:tcPr>
            <w:tcW w:w="641" w:type="pct"/>
            <w:tcBorders>
              <w:top w:val="nil"/>
              <w:bottom w:val="nil"/>
            </w:tcBorders>
            <w:vAlign w:val="center"/>
          </w:tcPr>
          <w:p w:rsidR="004043B8" w:rsidRDefault="004043B8">
            <w:pPr>
              <w:jc w:val="center"/>
              <w:rPr>
                <w:rFonts w:cs="Arial"/>
                <w:szCs w:val="20"/>
              </w:rPr>
            </w:pPr>
            <w:r>
              <w:rPr>
                <w:rFonts w:cs="Arial"/>
                <w:szCs w:val="20"/>
              </w:rPr>
              <w:t>-</w:t>
            </w:r>
          </w:p>
        </w:tc>
        <w:tc>
          <w:tcPr>
            <w:tcW w:w="727" w:type="pct"/>
            <w:tcBorders>
              <w:top w:val="nil"/>
              <w:bottom w:val="nil"/>
            </w:tcBorders>
            <w:vAlign w:val="center"/>
          </w:tcPr>
          <w:p w:rsidR="004043B8" w:rsidRDefault="004043B8">
            <w:pPr>
              <w:jc w:val="center"/>
              <w:rPr>
                <w:rFonts w:cs="Arial"/>
                <w:szCs w:val="20"/>
              </w:rPr>
            </w:pPr>
            <w:r>
              <w:rPr>
                <w:rFonts w:cs="Arial"/>
                <w:szCs w:val="20"/>
              </w:rPr>
              <w:t>7.80</w:t>
            </w:r>
          </w:p>
        </w:tc>
        <w:tc>
          <w:tcPr>
            <w:tcW w:w="699" w:type="pct"/>
            <w:tcBorders>
              <w:top w:val="nil"/>
              <w:bottom w:val="nil"/>
            </w:tcBorders>
            <w:vAlign w:val="center"/>
          </w:tcPr>
          <w:p w:rsidR="004043B8" w:rsidRDefault="004043B8">
            <w:pPr>
              <w:jc w:val="center"/>
              <w:rPr>
                <w:rFonts w:cs="Arial"/>
                <w:szCs w:val="20"/>
              </w:rPr>
            </w:pPr>
            <w:r>
              <w:rPr>
                <w:rFonts w:cs="Arial"/>
                <w:szCs w:val="20"/>
              </w:rPr>
              <w:t>35.0</w:t>
            </w:r>
          </w:p>
        </w:tc>
        <w:tc>
          <w:tcPr>
            <w:tcW w:w="622" w:type="pct"/>
            <w:tcBorders>
              <w:top w:val="nil"/>
              <w:bottom w:val="nil"/>
            </w:tcBorders>
            <w:vAlign w:val="center"/>
          </w:tcPr>
          <w:p w:rsidR="004043B8" w:rsidRDefault="004043B8">
            <w:pPr>
              <w:jc w:val="center"/>
              <w:rPr>
                <w:rFonts w:cs="Arial"/>
                <w:szCs w:val="20"/>
              </w:rPr>
            </w:pPr>
            <w:r>
              <w:rPr>
                <w:rFonts w:cs="Arial"/>
                <w:szCs w:val="20"/>
              </w:rPr>
              <w:t>8.30</w:t>
            </w:r>
          </w:p>
        </w:tc>
        <w:tc>
          <w:tcPr>
            <w:tcW w:w="696" w:type="pct"/>
            <w:tcBorders>
              <w:top w:val="nil"/>
              <w:bottom w:val="nil"/>
            </w:tcBorders>
            <w:vAlign w:val="center"/>
          </w:tcPr>
          <w:p w:rsidR="004043B8" w:rsidRDefault="004043B8">
            <w:pPr>
              <w:jc w:val="center"/>
              <w:rPr>
                <w:rFonts w:cs="Arial"/>
                <w:szCs w:val="20"/>
              </w:rPr>
            </w:pPr>
            <w:r>
              <w:rPr>
                <w:rFonts w:cs="Arial"/>
                <w:szCs w:val="20"/>
              </w:rPr>
              <w:t>280.0</w:t>
            </w:r>
          </w:p>
        </w:tc>
      </w:tr>
      <w:tr w:rsidR="004043B8" w:rsidRPr="006A7228" w:rsidTr="00EA6F25">
        <w:trPr>
          <w:trHeight w:val="510"/>
        </w:trPr>
        <w:tc>
          <w:tcPr>
            <w:tcW w:w="915" w:type="pct"/>
            <w:tcBorders>
              <w:top w:val="nil"/>
              <w:bottom w:val="nil"/>
            </w:tcBorders>
            <w:vAlign w:val="center"/>
          </w:tcPr>
          <w:p w:rsidR="004043B8" w:rsidRDefault="004043B8">
            <w:pPr>
              <w:rPr>
                <w:rFonts w:cs="Arial"/>
                <w:b/>
                <w:bCs/>
                <w:sz w:val="20"/>
                <w:szCs w:val="20"/>
              </w:rPr>
            </w:pPr>
            <w:r>
              <w:rPr>
                <w:rFonts w:cs="Arial"/>
                <w:b/>
                <w:bCs/>
                <w:sz w:val="20"/>
                <w:szCs w:val="20"/>
              </w:rPr>
              <w:t>Monthly</w:t>
            </w:r>
          </w:p>
        </w:tc>
        <w:tc>
          <w:tcPr>
            <w:tcW w:w="700"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641"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727"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699"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622" w:type="pct"/>
            <w:tcBorders>
              <w:top w:val="nil"/>
              <w:bottom w:val="nil"/>
            </w:tcBorders>
            <w:vAlign w:val="center"/>
          </w:tcPr>
          <w:p w:rsidR="004043B8" w:rsidRDefault="004043B8">
            <w:pPr>
              <w:jc w:val="center"/>
              <w:rPr>
                <w:rFonts w:cs="Arial"/>
                <w:sz w:val="20"/>
                <w:szCs w:val="20"/>
              </w:rPr>
            </w:pPr>
            <w:r>
              <w:rPr>
                <w:rFonts w:cs="Arial"/>
                <w:sz w:val="20"/>
                <w:szCs w:val="20"/>
              </w:rPr>
              <w:t>-</w:t>
            </w:r>
          </w:p>
        </w:tc>
        <w:tc>
          <w:tcPr>
            <w:tcW w:w="696" w:type="pct"/>
            <w:tcBorders>
              <w:top w:val="nil"/>
              <w:bottom w:val="nil"/>
            </w:tcBorders>
            <w:vAlign w:val="center"/>
          </w:tcPr>
          <w:p w:rsidR="004043B8" w:rsidRDefault="004043B8">
            <w:pPr>
              <w:jc w:val="center"/>
              <w:rPr>
                <w:rFonts w:cs="Arial"/>
                <w:sz w:val="20"/>
                <w:szCs w:val="20"/>
              </w:rPr>
            </w:pPr>
            <w:r>
              <w:rPr>
                <w:rFonts w:cs="Arial"/>
                <w:sz w:val="20"/>
                <w:szCs w:val="20"/>
              </w:rPr>
              <w:t>-</w:t>
            </w:r>
          </w:p>
        </w:tc>
      </w:tr>
      <w:tr w:rsidR="004043B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4043B8" w:rsidRDefault="004043B8">
            <w:pPr>
              <w:rPr>
                <w:rFonts w:cs="Arial"/>
                <w:b/>
                <w:bCs/>
                <w:szCs w:val="20"/>
              </w:rPr>
            </w:pPr>
            <w:r>
              <w:rPr>
                <w:rFonts w:cs="Arial"/>
                <w:b/>
                <w:bCs/>
                <w:szCs w:val="20"/>
              </w:rPr>
              <w:t>Total</w:t>
            </w:r>
          </w:p>
        </w:tc>
        <w:tc>
          <w:tcPr>
            <w:tcW w:w="700" w:type="pct"/>
            <w:tcBorders>
              <w:top w:val="nil"/>
              <w:bottom w:val="single" w:sz="4" w:space="0" w:color="auto"/>
            </w:tcBorders>
            <w:vAlign w:val="center"/>
          </w:tcPr>
          <w:p w:rsidR="004043B8" w:rsidRDefault="004043B8">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4043B8" w:rsidRDefault="004043B8">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4043B8" w:rsidRDefault="004043B8">
            <w:pPr>
              <w:jc w:val="center"/>
              <w:rPr>
                <w:rFonts w:cs="Arial"/>
                <w:b/>
                <w:bCs/>
                <w:szCs w:val="20"/>
              </w:rPr>
            </w:pPr>
            <w:r>
              <w:rPr>
                <w:rFonts w:cs="Arial"/>
                <w:b/>
                <w:bCs/>
                <w:szCs w:val="20"/>
              </w:rPr>
              <w:t>7.47</w:t>
            </w:r>
          </w:p>
        </w:tc>
        <w:tc>
          <w:tcPr>
            <w:tcW w:w="699" w:type="pct"/>
            <w:tcBorders>
              <w:top w:val="nil"/>
              <w:bottom w:val="single" w:sz="4" w:space="0" w:color="auto"/>
            </w:tcBorders>
            <w:vAlign w:val="center"/>
          </w:tcPr>
          <w:p w:rsidR="004043B8" w:rsidRDefault="004043B8">
            <w:pPr>
              <w:jc w:val="center"/>
              <w:rPr>
                <w:rFonts w:cs="Arial"/>
                <w:b/>
                <w:bCs/>
                <w:szCs w:val="20"/>
              </w:rPr>
            </w:pPr>
            <w:r>
              <w:rPr>
                <w:rFonts w:cs="Arial"/>
                <w:b/>
                <w:bCs/>
                <w:szCs w:val="20"/>
              </w:rPr>
              <w:t>107.0</w:t>
            </w:r>
          </w:p>
        </w:tc>
        <w:tc>
          <w:tcPr>
            <w:tcW w:w="622" w:type="pct"/>
            <w:tcBorders>
              <w:top w:val="nil"/>
              <w:bottom w:val="single" w:sz="4" w:space="0" w:color="auto"/>
            </w:tcBorders>
            <w:vAlign w:val="center"/>
          </w:tcPr>
          <w:p w:rsidR="004043B8" w:rsidRDefault="004043B8">
            <w:pPr>
              <w:jc w:val="center"/>
              <w:rPr>
                <w:rFonts w:cs="Arial"/>
                <w:b/>
                <w:bCs/>
                <w:szCs w:val="20"/>
              </w:rPr>
            </w:pPr>
            <w:r>
              <w:rPr>
                <w:rFonts w:cs="Arial"/>
                <w:b/>
                <w:bCs/>
                <w:szCs w:val="20"/>
              </w:rPr>
              <w:t>8.09</w:t>
            </w:r>
          </w:p>
        </w:tc>
        <w:tc>
          <w:tcPr>
            <w:tcW w:w="696" w:type="pct"/>
            <w:tcBorders>
              <w:top w:val="nil"/>
              <w:bottom w:val="single" w:sz="4" w:space="0" w:color="auto"/>
            </w:tcBorders>
            <w:vAlign w:val="center"/>
          </w:tcPr>
          <w:p w:rsidR="004043B8" w:rsidRDefault="004043B8">
            <w:pPr>
              <w:jc w:val="center"/>
              <w:rPr>
                <w:rFonts w:cs="Arial"/>
                <w:b/>
                <w:bCs/>
                <w:szCs w:val="20"/>
              </w:rPr>
            </w:pPr>
            <w:r>
              <w:rPr>
                <w:rFonts w:cs="Arial"/>
                <w:b/>
                <w:bCs/>
                <w:szCs w:val="20"/>
              </w:rPr>
              <w:t>493.0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lastRenderedPageBreak/>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C370D1">
          <w:rPr>
            <w:noProof/>
          </w:rPr>
          <w:t>6</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4043B8" w:rsidP="00E33530">
      <w:pPr>
        <w:keepNext/>
      </w:pPr>
      <w:r w:rsidRPr="004043B8">
        <w:rPr>
          <w:noProof/>
          <w:lang w:eastAsia="en-AU"/>
        </w:rPr>
        <w:drawing>
          <wp:inline distT="0" distB="0" distL="0" distR="0" wp14:anchorId="10BFAE12" wp14:editId="2485A382">
            <wp:extent cx="5731510" cy="3180553"/>
            <wp:effectExtent l="0" t="0" r="2540" b="1270"/>
            <wp:docPr id="7" name="Picture 7"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80553"/>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7B5042" w:rsidRDefault="007B5042">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887756" w:rsidRPr="0026680A" w:rsidRDefault="00887756" w:rsidP="00887756">
      <w:pPr>
        <w:jc w:val="both"/>
        <w:rPr>
          <w:b/>
          <w:i/>
        </w:rPr>
      </w:pPr>
      <w:r w:rsidRPr="00E86544">
        <w:rPr>
          <w:b/>
          <w:i/>
        </w:rPr>
        <w:t>Sydney</w:t>
      </w:r>
      <w:r>
        <w:rPr>
          <w:b/>
          <w:i/>
        </w:rPr>
        <w:t xml:space="preserve"> MOS outcomes over 2016-17</w:t>
      </w:r>
    </w:p>
    <w:p w:rsidR="00887756" w:rsidRDefault="00887756" w:rsidP="00887756">
      <w:pPr>
        <w:jc w:val="both"/>
      </w:pPr>
      <w:r>
        <w:t xml:space="preserve">As  reported in the AER’s </w:t>
      </w:r>
      <w:hyperlink r:id="rId15" w:history="1">
        <w:r>
          <w:rPr>
            <w:rStyle w:val="Hyperlink"/>
          </w:rPr>
          <w:t>Quarterly Compliance Reports</w:t>
        </w:r>
      </w:hyperlink>
      <w:r>
        <w:t xml:space="preserve">,  a trend of over forecasting in the Sydney hub has driven higher requirements for decrease MOS, as over supply to the market is stored upstream of the hub on pipelines offering decrease services. Another contributing factor to higher MOS payments over the past year is the increase in the cost of MOS decreased services on the pressure controlled Moomba to Sydney Pipeline (MSP), which provides the majority of this service in the Sydney STTM hub. </w:t>
      </w:r>
    </w:p>
    <w:p w:rsidR="00887756" w:rsidRPr="00DF484F" w:rsidRDefault="0026680A" w:rsidP="00887756">
      <w:pPr>
        <w:jc w:val="both"/>
      </w:pPr>
      <w:r>
        <w:t>Figure 7</w:t>
      </w:r>
      <w:r w:rsidR="00887756">
        <w:t xml:space="preserve"> shows the monthly MOS offers for decrease services on the MSP, comparing 2015</w:t>
      </w:r>
      <w:r>
        <w:noBreakHyphen/>
      </w:r>
      <w:r w:rsidR="00887756">
        <w:t>16 to 2016</w:t>
      </w:r>
      <w:r>
        <w:noBreakHyphen/>
      </w:r>
      <w:r w:rsidR="00887756">
        <w:t>17. The figure highlights the increase to the cost of MOS offered to the market (in each month there was less decrease MOS offered in to the market at less than $5/GJ, the lightest blue shading). The increase in offer prices combined with higher allocations of decrease MOS on the pipeline (the blue vertical bars) have driven higher service costs in the hub this financial year.</w:t>
      </w:r>
    </w:p>
    <w:p w:rsidR="0026680A" w:rsidRDefault="0026680A" w:rsidP="0026680A">
      <w:pPr>
        <w:pStyle w:val="Caption"/>
        <w:rPr>
          <w:color w:val="2272A3"/>
          <w:szCs w:val="24"/>
        </w:rPr>
      </w:pPr>
      <w:r w:rsidRPr="001521CB">
        <w:t xml:space="preserve">Figure </w:t>
      </w:r>
      <w:fldSimple w:instr=" SEQ Figure \* ARABIC ">
        <w:r>
          <w:rPr>
            <w:noProof/>
          </w:rPr>
          <w:t>7</w:t>
        </w:r>
      </w:fldSimple>
      <w:r w:rsidRPr="001521CB">
        <w:t xml:space="preserve">: </w:t>
      </w:r>
      <w:r>
        <w:rPr>
          <w:color w:val="2272A3"/>
          <w:szCs w:val="24"/>
        </w:rPr>
        <w:t xml:space="preserve">Moomba to Sydney Pipeline decrease </w:t>
      </w:r>
      <w:r w:rsidR="001E6B12">
        <w:rPr>
          <w:color w:val="2272A3"/>
          <w:szCs w:val="24"/>
        </w:rPr>
        <w:t xml:space="preserve">MOS </w:t>
      </w:r>
      <w:r>
        <w:rPr>
          <w:color w:val="2272A3"/>
          <w:szCs w:val="24"/>
        </w:rPr>
        <w:t>offer</w:t>
      </w:r>
      <w:r w:rsidR="001E6B12">
        <w:rPr>
          <w:color w:val="2272A3"/>
          <w:szCs w:val="24"/>
        </w:rPr>
        <w:t xml:space="preserve"> stacks</w:t>
      </w:r>
      <w:r>
        <w:rPr>
          <w:color w:val="2272A3"/>
          <w:szCs w:val="24"/>
        </w:rPr>
        <w:t xml:space="preserve"> (TJ/day)</w:t>
      </w:r>
      <w:r>
        <w:rPr>
          <w:rStyle w:val="FootnoteReference"/>
          <w:color w:val="2272A3"/>
          <w:szCs w:val="24"/>
        </w:rPr>
        <w:footnoteReference w:id="4"/>
      </w:r>
    </w:p>
    <w:p w:rsidR="00887756" w:rsidRDefault="00887756" w:rsidP="00887756">
      <w:pPr>
        <w:jc w:val="both"/>
      </w:pPr>
      <w:r w:rsidRPr="00754B2F">
        <w:rPr>
          <w:noProof/>
          <w:lang w:eastAsia="en-AU"/>
        </w:rPr>
        <w:drawing>
          <wp:inline distT="0" distB="0" distL="0" distR="0" wp14:anchorId="35DE8A31" wp14:editId="35685D15">
            <wp:extent cx="5731510" cy="2490512"/>
            <wp:effectExtent l="0" t="0" r="2540" b="5080"/>
            <wp:docPr id="3" name="Picture 3" descr="Figure 7 shows the quantity of decrease MOS offered within different price bands on the Moomba to Sydney Pipeline, comparing monthly stack availability of the past financial year (2016-17) with the prior financial year (2015-16)." title="Moomba to Sydney Pipeline MOS decrease o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90512"/>
                    </a:xfrm>
                    <a:prstGeom prst="rect">
                      <a:avLst/>
                    </a:prstGeom>
                    <a:noFill/>
                    <a:ln>
                      <a:noFill/>
                    </a:ln>
                  </pic:spPr>
                </pic:pic>
              </a:graphicData>
            </a:graphic>
          </wp:inline>
        </w:drawing>
      </w:r>
    </w:p>
    <w:p w:rsidR="00887756" w:rsidRDefault="0026680A" w:rsidP="00887756">
      <w:pPr>
        <w:jc w:val="both"/>
      </w:pPr>
      <w:r>
        <w:t>Figure 8</w:t>
      </w:r>
      <w:r w:rsidR="00887756">
        <w:t xml:space="preserve"> shows that decrease MOS is allocated on the MSP on the majority of days. The figure also illustrates the higher contribution to the total cost of MOS services on those days compared to the previous financial year.</w:t>
      </w:r>
    </w:p>
    <w:p w:rsidR="0026680A" w:rsidRDefault="0026680A" w:rsidP="0026680A">
      <w:pPr>
        <w:pStyle w:val="Caption"/>
        <w:rPr>
          <w:color w:val="2272A3"/>
          <w:szCs w:val="24"/>
        </w:rPr>
      </w:pPr>
      <w:r w:rsidRPr="001521CB">
        <w:t xml:space="preserve">Figure </w:t>
      </w:r>
      <w:fldSimple w:instr=" SEQ Figure \* ARABIC ">
        <w:r>
          <w:rPr>
            <w:noProof/>
          </w:rPr>
          <w:t>8</w:t>
        </w:r>
      </w:fldSimple>
      <w:r w:rsidRPr="001521CB">
        <w:t xml:space="preserve">: </w:t>
      </w:r>
      <w:r w:rsidRPr="00DF484F">
        <w:t>Moomba to Sydne</w:t>
      </w:r>
      <w:r w:rsidR="001E6B12">
        <w:t xml:space="preserve">y Pipeline decrease MOS </w:t>
      </w:r>
      <w:r w:rsidR="00A35DC7">
        <w:t>frequency and costs</w:t>
      </w:r>
    </w:p>
    <w:tbl>
      <w:tblPr>
        <w:tblStyle w:val="AERTable-Text"/>
        <w:tblW w:w="4966" w:type="pct"/>
        <w:tblLayout w:type="fixed"/>
        <w:tblLook w:val="04A0" w:firstRow="1" w:lastRow="0" w:firstColumn="1" w:lastColumn="0" w:noHBand="0" w:noVBand="1"/>
      </w:tblPr>
      <w:tblGrid>
        <w:gridCol w:w="1922"/>
        <w:gridCol w:w="2579"/>
        <w:gridCol w:w="81"/>
        <w:gridCol w:w="1904"/>
        <w:gridCol w:w="2693"/>
      </w:tblGrid>
      <w:tr w:rsidR="00887756" w:rsidRPr="00E95390" w:rsidTr="00887756">
        <w:trPr>
          <w:cnfStyle w:val="100000000000" w:firstRow="1" w:lastRow="0" w:firstColumn="0" w:lastColumn="0" w:oddVBand="0" w:evenVBand="0" w:oddHBand="0" w:evenHBand="0" w:firstRowFirstColumn="0" w:firstRowLastColumn="0" w:lastRowFirstColumn="0" w:lastRowLastColumn="0"/>
          <w:trHeight w:val="404"/>
          <w:tblHeader/>
        </w:trPr>
        <w:tc>
          <w:tcPr>
            <w:tcW w:w="1047" w:type="pct"/>
            <w:tcBorders>
              <w:bottom w:val="nil"/>
            </w:tcBorders>
            <w:vAlign w:val="center"/>
          </w:tcPr>
          <w:p w:rsidR="00887756" w:rsidRPr="00E16EDC" w:rsidRDefault="00887756" w:rsidP="00887756">
            <w:pPr>
              <w:pStyle w:val="TableHeading"/>
              <w:spacing w:before="120" w:after="0" w:line="240" w:lineRule="auto"/>
              <w:jc w:val="center"/>
              <w:rPr>
                <w:rFonts w:cs="Arial"/>
                <w:sz w:val="20"/>
                <w:szCs w:val="20"/>
              </w:rPr>
            </w:pPr>
          </w:p>
        </w:tc>
        <w:tc>
          <w:tcPr>
            <w:tcW w:w="1405" w:type="pct"/>
            <w:tcBorders>
              <w:bottom w:val="nil"/>
            </w:tcBorders>
            <w:vAlign w:val="center"/>
          </w:tcPr>
          <w:p w:rsidR="00887756" w:rsidRPr="00E95390" w:rsidRDefault="00887756" w:rsidP="00887756">
            <w:pPr>
              <w:spacing w:before="120" w:line="240" w:lineRule="auto"/>
              <w:jc w:val="center"/>
              <w:rPr>
                <w:rFonts w:eastAsia="Times New Roman" w:cs="Arial"/>
                <w:bCs/>
                <w:color w:val="FFFFFF"/>
                <w:sz w:val="20"/>
                <w:szCs w:val="20"/>
                <w:lang w:eastAsia="en-AU"/>
              </w:rPr>
            </w:pPr>
            <w:r>
              <w:rPr>
                <w:rFonts w:cs="Arial"/>
                <w:bCs/>
                <w:sz w:val="20"/>
                <w:szCs w:val="20"/>
              </w:rPr>
              <w:t>Number of days with MSP decrease MOS allocations</w:t>
            </w:r>
          </w:p>
        </w:tc>
        <w:tc>
          <w:tcPr>
            <w:tcW w:w="1081" w:type="pct"/>
            <w:gridSpan w:val="2"/>
            <w:tcBorders>
              <w:bottom w:val="nil"/>
            </w:tcBorders>
            <w:vAlign w:val="center"/>
          </w:tcPr>
          <w:p w:rsidR="00887756" w:rsidRPr="00E95390" w:rsidRDefault="00887756" w:rsidP="00887756">
            <w:pPr>
              <w:spacing w:before="120" w:line="240" w:lineRule="auto"/>
              <w:jc w:val="center"/>
              <w:rPr>
                <w:rFonts w:eastAsia="Times New Roman" w:cs="Arial"/>
                <w:b w:val="0"/>
                <w:bCs/>
                <w:color w:val="FFFFFF"/>
                <w:sz w:val="20"/>
                <w:szCs w:val="20"/>
                <w:lang w:eastAsia="en-AU"/>
              </w:rPr>
            </w:pPr>
            <w:r>
              <w:rPr>
                <w:rFonts w:cs="Arial"/>
                <w:bCs/>
                <w:sz w:val="20"/>
                <w:szCs w:val="20"/>
              </w:rPr>
              <w:t>MSP proportion of total service costs on those days (%)</w:t>
            </w:r>
          </w:p>
        </w:tc>
        <w:tc>
          <w:tcPr>
            <w:tcW w:w="1467" w:type="pct"/>
            <w:tcBorders>
              <w:bottom w:val="nil"/>
            </w:tcBorders>
            <w:vAlign w:val="center"/>
          </w:tcPr>
          <w:p w:rsidR="00887756" w:rsidRPr="00E95390" w:rsidRDefault="00887756" w:rsidP="00887756">
            <w:pPr>
              <w:spacing w:before="120" w:line="240" w:lineRule="auto"/>
              <w:jc w:val="center"/>
              <w:rPr>
                <w:rFonts w:eastAsia="Times New Roman" w:cs="Arial"/>
                <w:bCs/>
                <w:color w:val="FFFFFF"/>
                <w:sz w:val="20"/>
                <w:szCs w:val="20"/>
                <w:lang w:eastAsia="en-AU"/>
              </w:rPr>
            </w:pPr>
            <w:r>
              <w:rPr>
                <w:rFonts w:cs="Arial"/>
                <w:bCs/>
                <w:sz w:val="20"/>
                <w:szCs w:val="20"/>
              </w:rPr>
              <w:t>Average MSP decrease cost per day ($)</w:t>
            </w:r>
          </w:p>
        </w:tc>
      </w:tr>
      <w:tr w:rsidR="00887756" w:rsidTr="00887756">
        <w:trPr>
          <w:trHeight w:val="510"/>
        </w:trPr>
        <w:tc>
          <w:tcPr>
            <w:tcW w:w="1047" w:type="pct"/>
            <w:tcBorders>
              <w:top w:val="nil"/>
              <w:bottom w:val="nil"/>
            </w:tcBorders>
            <w:vAlign w:val="center"/>
          </w:tcPr>
          <w:p w:rsidR="00887756" w:rsidRDefault="00887756" w:rsidP="00887756">
            <w:pPr>
              <w:rPr>
                <w:rFonts w:cs="Arial"/>
                <w:sz w:val="16"/>
                <w:szCs w:val="16"/>
              </w:rPr>
            </w:pPr>
            <w:r>
              <w:rPr>
                <w:rFonts w:cs="Arial"/>
                <w:sz w:val="16"/>
                <w:szCs w:val="16"/>
              </w:rPr>
              <w:t>2016-17 financial year</w:t>
            </w:r>
          </w:p>
        </w:tc>
        <w:tc>
          <w:tcPr>
            <w:tcW w:w="1449" w:type="pct"/>
            <w:gridSpan w:val="2"/>
            <w:tcBorders>
              <w:top w:val="nil"/>
              <w:bottom w:val="nil"/>
            </w:tcBorders>
            <w:vAlign w:val="center"/>
          </w:tcPr>
          <w:p w:rsidR="00887756" w:rsidRPr="005A446B" w:rsidRDefault="00887756" w:rsidP="00887756">
            <w:pPr>
              <w:jc w:val="center"/>
              <w:rPr>
                <w:rFonts w:cs="Arial"/>
                <w:sz w:val="20"/>
                <w:szCs w:val="20"/>
              </w:rPr>
            </w:pPr>
            <w:r w:rsidRPr="005A446B">
              <w:rPr>
                <w:rFonts w:cs="Arial"/>
                <w:sz w:val="20"/>
                <w:szCs w:val="20"/>
              </w:rPr>
              <w:t>298</w:t>
            </w:r>
          </w:p>
        </w:tc>
        <w:tc>
          <w:tcPr>
            <w:tcW w:w="1037" w:type="pct"/>
            <w:tcBorders>
              <w:top w:val="nil"/>
              <w:bottom w:val="nil"/>
            </w:tcBorders>
            <w:vAlign w:val="center"/>
          </w:tcPr>
          <w:p w:rsidR="00887756" w:rsidRPr="005A446B" w:rsidRDefault="00887756" w:rsidP="00887756">
            <w:pPr>
              <w:jc w:val="center"/>
              <w:rPr>
                <w:rFonts w:cs="Arial"/>
                <w:sz w:val="20"/>
                <w:szCs w:val="20"/>
              </w:rPr>
            </w:pPr>
            <w:r w:rsidRPr="005A446B">
              <w:rPr>
                <w:rFonts w:cs="Arial"/>
                <w:sz w:val="20"/>
                <w:szCs w:val="20"/>
              </w:rPr>
              <w:t>72</w:t>
            </w:r>
          </w:p>
        </w:tc>
        <w:tc>
          <w:tcPr>
            <w:tcW w:w="1467" w:type="pct"/>
            <w:tcBorders>
              <w:top w:val="nil"/>
              <w:bottom w:val="nil"/>
            </w:tcBorders>
            <w:vAlign w:val="center"/>
          </w:tcPr>
          <w:p w:rsidR="00887756" w:rsidRPr="005A446B" w:rsidRDefault="00887756" w:rsidP="00887756">
            <w:pPr>
              <w:jc w:val="center"/>
              <w:rPr>
                <w:rFonts w:cs="Arial"/>
                <w:sz w:val="20"/>
                <w:szCs w:val="20"/>
              </w:rPr>
            </w:pPr>
            <w:r w:rsidRPr="005A446B">
              <w:rPr>
                <w:rFonts w:cs="Arial"/>
                <w:sz w:val="20"/>
                <w:szCs w:val="20"/>
              </w:rPr>
              <w:t>54,525</w:t>
            </w:r>
          </w:p>
        </w:tc>
      </w:tr>
      <w:tr w:rsidR="00887756" w:rsidTr="00887756">
        <w:trPr>
          <w:cnfStyle w:val="000000010000" w:firstRow="0" w:lastRow="0" w:firstColumn="0" w:lastColumn="0" w:oddVBand="0" w:evenVBand="0" w:oddHBand="0" w:evenHBand="1" w:firstRowFirstColumn="0" w:firstRowLastColumn="0" w:lastRowFirstColumn="0" w:lastRowLastColumn="0"/>
          <w:trHeight w:val="510"/>
        </w:trPr>
        <w:tc>
          <w:tcPr>
            <w:tcW w:w="1047" w:type="pct"/>
            <w:tcBorders>
              <w:top w:val="nil"/>
              <w:bottom w:val="single" w:sz="4" w:space="0" w:color="auto"/>
            </w:tcBorders>
            <w:vAlign w:val="center"/>
          </w:tcPr>
          <w:p w:rsidR="00887756" w:rsidRDefault="00887756" w:rsidP="00887756">
            <w:pPr>
              <w:rPr>
                <w:rFonts w:cs="Arial"/>
                <w:sz w:val="16"/>
                <w:szCs w:val="16"/>
              </w:rPr>
            </w:pPr>
            <w:r>
              <w:rPr>
                <w:rFonts w:cs="Arial"/>
                <w:sz w:val="16"/>
                <w:szCs w:val="16"/>
              </w:rPr>
              <w:t>2015-16 financial year</w:t>
            </w:r>
          </w:p>
        </w:tc>
        <w:tc>
          <w:tcPr>
            <w:tcW w:w="1449" w:type="pct"/>
            <w:gridSpan w:val="2"/>
            <w:tcBorders>
              <w:top w:val="nil"/>
              <w:bottom w:val="single" w:sz="4" w:space="0" w:color="auto"/>
            </w:tcBorders>
            <w:vAlign w:val="center"/>
          </w:tcPr>
          <w:p w:rsidR="00887756" w:rsidRDefault="00887756" w:rsidP="00887756">
            <w:pPr>
              <w:jc w:val="center"/>
              <w:rPr>
                <w:rFonts w:cs="Arial"/>
                <w:szCs w:val="20"/>
              </w:rPr>
            </w:pPr>
            <w:r>
              <w:rPr>
                <w:rFonts w:cs="Arial"/>
                <w:szCs w:val="20"/>
              </w:rPr>
              <w:t>234</w:t>
            </w:r>
          </w:p>
        </w:tc>
        <w:tc>
          <w:tcPr>
            <w:tcW w:w="1037" w:type="pct"/>
            <w:tcBorders>
              <w:top w:val="nil"/>
              <w:bottom w:val="single" w:sz="4" w:space="0" w:color="auto"/>
            </w:tcBorders>
            <w:vAlign w:val="center"/>
          </w:tcPr>
          <w:p w:rsidR="00887756" w:rsidRDefault="00887756" w:rsidP="00887756">
            <w:pPr>
              <w:jc w:val="center"/>
              <w:rPr>
                <w:rFonts w:cs="Arial"/>
                <w:szCs w:val="20"/>
              </w:rPr>
            </w:pPr>
            <w:r>
              <w:rPr>
                <w:rFonts w:cs="Arial"/>
                <w:szCs w:val="20"/>
              </w:rPr>
              <w:t>59</w:t>
            </w:r>
          </w:p>
        </w:tc>
        <w:tc>
          <w:tcPr>
            <w:tcW w:w="1467" w:type="pct"/>
            <w:tcBorders>
              <w:top w:val="nil"/>
              <w:bottom w:val="single" w:sz="4" w:space="0" w:color="auto"/>
            </w:tcBorders>
            <w:vAlign w:val="center"/>
          </w:tcPr>
          <w:p w:rsidR="00887756" w:rsidRDefault="00887756" w:rsidP="00887756">
            <w:pPr>
              <w:jc w:val="center"/>
              <w:rPr>
                <w:rFonts w:cs="Arial"/>
                <w:szCs w:val="20"/>
              </w:rPr>
            </w:pPr>
            <w:r>
              <w:rPr>
                <w:rFonts w:cs="Arial"/>
                <w:szCs w:val="20"/>
              </w:rPr>
              <w:t>29,074</w:t>
            </w:r>
          </w:p>
        </w:tc>
      </w:tr>
    </w:tbl>
    <w:p w:rsidR="00887756" w:rsidRDefault="00887756" w:rsidP="000D4455">
      <w:pPr>
        <w:jc w:val="both"/>
        <w:rPr>
          <w:b/>
          <w:i/>
        </w:rPr>
      </w:pPr>
    </w:p>
    <w:p w:rsidR="00887756" w:rsidRDefault="00887756" w:rsidP="000D4455">
      <w:pPr>
        <w:jc w:val="both"/>
        <w:rPr>
          <w:b/>
          <w:i/>
        </w:rPr>
      </w:pPr>
    </w:p>
    <w:p w:rsidR="00E86544" w:rsidRPr="00E86544" w:rsidRDefault="00E86544" w:rsidP="000D4455">
      <w:pPr>
        <w:jc w:val="both"/>
        <w:rPr>
          <w:b/>
          <w:i/>
        </w:rPr>
      </w:pPr>
      <w:r w:rsidRPr="00E86544">
        <w:rPr>
          <w:b/>
          <w:i/>
        </w:rPr>
        <w:lastRenderedPageBreak/>
        <w:t>Sydney</w:t>
      </w:r>
      <w:r w:rsidR="00887756">
        <w:rPr>
          <w:b/>
          <w:i/>
        </w:rPr>
        <w:t xml:space="preserve"> </w:t>
      </w:r>
    </w:p>
    <w:p w:rsidR="001521CB" w:rsidRDefault="000D4455" w:rsidP="000D4455">
      <w:pPr>
        <w:jc w:val="both"/>
      </w:pPr>
      <w:r>
        <w:t>In Sydney, MOS service costs increased by 77 per cent on the previous week, with the majority of days seeing costs above $50,000 influenced by counteracting MOS allocations (increase MOS on the EGP offsetting decrease MOS on the MSP).</w:t>
      </w:r>
      <w:r w:rsidR="00EA71BC">
        <w:t xml:space="preserve"> Net MOS decrease requirements over the period of up to 11 TJ were offset to some extent as participants renominated to reduce supply</w:t>
      </w:r>
      <w:r w:rsidR="0093309D">
        <w:t xml:space="preserve"> on a number of days</w:t>
      </w:r>
      <w:r w:rsidR="00EA71BC">
        <w:t xml:space="preserve">. However, the combination of forecasting error and counteracting MOS </w:t>
      </w:r>
      <w:r w:rsidR="0093309D">
        <w:t xml:space="preserve">allocations </w:t>
      </w:r>
      <w:r w:rsidR="00EA71BC">
        <w:t>drove services costs as high as $112,138 on Friday, despite renominations which reduced supply on the MSP by 10 TJ (lowering the decrease MOS requirement).</w:t>
      </w:r>
    </w:p>
    <w:p w:rsidR="00E86544" w:rsidRDefault="00E86544" w:rsidP="000D4455">
      <w:pPr>
        <w:jc w:val="both"/>
        <w:rPr>
          <w:b/>
          <w:i/>
        </w:rPr>
      </w:pPr>
      <w:r>
        <w:rPr>
          <w:b/>
          <w:i/>
        </w:rPr>
        <w:t>Victoria</w:t>
      </w:r>
    </w:p>
    <w:p w:rsidR="000D4455" w:rsidRDefault="000D4455" w:rsidP="000D4455">
      <w:pPr>
        <w:jc w:val="both"/>
      </w:pPr>
      <w:r>
        <w:t xml:space="preserve">On Thursday 29 June, </w:t>
      </w:r>
      <w:r w:rsidRPr="000D4455">
        <w:t>an offshore platform outage caused by an electrical fault affected</w:t>
      </w:r>
      <w:r w:rsidR="00D94314">
        <w:t xml:space="preserve"> lower</w:t>
      </w:r>
      <w:r w:rsidRPr="000D4455">
        <w:t xml:space="preserve"> production levels at Longford.</w:t>
      </w:r>
      <w:r>
        <w:rPr>
          <w:rStyle w:val="FootnoteReference"/>
        </w:rPr>
        <w:footnoteReference w:id="5"/>
      </w:r>
      <w:r w:rsidRPr="000D4455">
        <w:t xml:space="preserve"> </w:t>
      </w:r>
      <w:r w:rsidR="00DC4462">
        <w:t xml:space="preserve">As a result, the price increased to $15.82/GJ at 2 pm. </w:t>
      </w:r>
      <w:r>
        <w:t>Schedule prices decreased in the following intervals as participants’ rebids became effective at other locations</w:t>
      </w:r>
      <w:r w:rsidR="00DC4462">
        <w:t>, largely from Iona underground storage</w:t>
      </w:r>
      <w:r>
        <w:t>.</w:t>
      </w:r>
      <w:r w:rsidR="00DC4462">
        <w:rPr>
          <w:rStyle w:val="FootnoteReference"/>
        </w:rPr>
        <w:footnoteReference w:id="6"/>
      </w:r>
      <w:r w:rsidR="00DC4462">
        <w:t xml:space="preserve"> </w:t>
      </w:r>
      <w:r>
        <w:t>Figure 1.5 shows the increased supply from other sources following the Longford outage.</w:t>
      </w:r>
    </w:p>
    <w:p w:rsidR="00DC4462" w:rsidRDefault="001B1960" w:rsidP="000D4455">
      <w:pPr>
        <w:jc w:val="both"/>
      </w:pPr>
      <w:r>
        <w:t xml:space="preserve">The facility returned to service the next day </w:t>
      </w:r>
      <w:r w:rsidR="00DC4462">
        <w:t>Victorian market demand on the following days exceeded 1.14 PJ, influenced by very cold temperatures.</w:t>
      </w:r>
      <w:r w:rsidR="00DC4462">
        <w:rPr>
          <w:rStyle w:val="FootnoteReference"/>
        </w:rPr>
        <w:footnoteReference w:id="7"/>
      </w:r>
      <w:r w:rsidR="00D84581">
        <w:t xml:space="preserve"> Demand from gas generators</w:t>
      </w:r>
      <w:r w:rsidR="00A81BD6">
        <w:t xml:space="preserve"> in the region</w:t>
      </w:r>
      <w:r w:rsidR="00D84581">
        <w:t xml:space="preserve"> also increased to above 215 TJ on 30 June, influencing the hi</w:t>
      </w:r>
      <w:r w:rsidR="00B04348">
        <w:t>gher demand on the</w:t>
      </w:r>
      <w:r w:rsidR="00D84581">
        <w:t xml:space="preserve"> day.</w:t>
      </w:r>
    </w:p>
    <w:p w:rsidR="007972AB" w:rsidRDefault="007972AB" w:rsidP="000D4455">
      <w:pPr>
        <w:jc w:val="both"/>
      </w:pP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8"/>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9"/>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0"/>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4043B8" w:rsidP="003171C6">
      <w:r w:rsidRPr="004043B8">
        <w:rPr>
          <w:noProof/>
          <w:lang w:eastAsia="en-AU"/>
        </w:rPr>
        <w:drawing>
          <wp:inline distT="0" distB="0" distL="0" distR="0" wp14:anchorId="767B110C" wp14:editId="6A49F79C">
            <wp:extent cx="5731510" cy="1647889"/>
            <wp:effectExtent l="0" t="0" r="2540" b="9525"/>
            <wp:docPr id="13" name="Picture 13" descr="Figure 1.1 shows the five Victorian schedule prices for each day this week. The marker indicates the daily imbalance weighted average price for each day. For a more detailed description of this figure, please refer to the user guide." title="Victorian 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647889"/>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4043B8" w:rsidP="003171C6">
      <w:r w:rsidRPr="004043B8">
        <w:rPr>
          <w:noProof/>
          <w:lang w:eastAsia="en-AU"/>
        </w:rPr>
        <w:drawing>
          <wp:inline distT="0" distB="0" distL="0" distR="0" wp14:anchorId="6C1A1E04" wp14:editId="40FE65E1">
            <wp:extent cx="5731510" cy="2130427"/>
            <wp:effectExtent l="0" t="0" r="2540" b="3175"/>
            <wp:docPr id="14" name="Picture 14" descr="Figure 1.2 shows the demand forecast used to calculate the five daily schedule prices for this week. For a more detailed description of this figure, please refer to the user guide." title="Victorian 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3042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4043B8" w:rsidP="003171C6">
      <w:r w:rsidRPr="004043B8">
        <w:rPr>
          <w:noProof/>
          <w:lang w:eastAsia="en-AU"/>
        </w:rPr>
        <w:drawing>
          <wp:inline distT="0" distB="0" distL="0" distR="0" wp14:anchorId="78440B5F" wp14:editId="65753232">
            <wp:extent cx="5731510" cy="2485019"/>
            <wp:effectExtent l="0" t="0" r="2540" b="0"/>
            <wp:docPr id="15" name="Picture 15" descr="Figure 1.3 shows the injection bids within certain price bands for each trading interval in Victoria this week. For a more detailed description of this figure, please refer to the user guide." title="Injections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85019"/>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4043B8" w:rsidP="003171C6">
      <w:r w:rsidRPr="004043B8">
        <w:rPr>
          <w:noProof/>
          <w:lang w:eastAsia="en-AU"/>
        </w:rPr>
        <w:drawing>
          <wp:inline distT="0" distB="0" distL="0" distR="0" wp14:anchorId="172FC5E1" wp14:editId="1EC6FBD7">
            <wp:extent cx="5731510" cy="1961153"/>
            <wp:effectExtent l="0" t="0" r="2540" b="1270"/>
            <wp:docPr id="16" name="Picture 16"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961153"/>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4043B8" w:rsidP="003171C6">
      <w:r w:rsidRPr="004043B8">
        <w:rPr>
          <w:noProof/>
          <w:lang w:eastAsia="en-AU"/>
        </w:rPr>
        <w:drawing>
          <wp:inline distT="0" distB="0" distL="0" distR="0" wp14:anchorId="6F633368" wp14:editId="4BB81A49">
            <wp:extent cx="5731510" cy="2145847"/>
            <wp:effectExtent l="0" t="0" r="2540" b="6985"/>
            <wp:docPr id="17" name="Picture 17" descr="Figure 1.5 shows the metered injections sorted by facility for each 4 hour interval in Victoria this week. For a more detailed description of this figure, please refer to the user guide." title="Victorian metere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145847"/>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1"/>
      </w:r>
      <w:r w:rsidRPr="00EF58A8">
        <w:t xml:space="preserve"> Divergences in ex ante and ex post prices for a gas day may occur due to differences in scheduled (forecast) and allocated (actual) quantities.</w:t>
      </w:r>
      <w:r>
        <w:t xml:space="preserve"> Pipeline acronyms are defined in the </w:t>
      </w:r>
      <w:hyperlink r:id="rId23"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2"/>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4043B8" w:rsidRPr="00405CDE" w:rsidTr="00A226E9">
        <w:trPr>
          <w:trHeight w:val="510"/>
        </w:trPr>
        <w:tc>
          <w:tcPr>
            <w:tcW w:w="1211" w:type="pct"/>
            <w:tcBorders>
              <w:top w:val="nil"/>
              <w:bottom w:val="nil"/>
            </w:tcBorders>
            <w:vAlign w:val="center"/>
          </w:tcPr>
          <w:p w:rsidR="004043B8" w:rsidRDefault="004043B8">
            <w:pPr>
              <w:rPr>
                <w:rFonts w:cs="Arial"/>
                <w:sz w:val="20"/>
                <w:szCs w:val="20"/>
              </w:rPr>
            </w:pPr>
            <w:r>
              <w:rPr>
                <w:rFonts w:cs="Arial"/>
                <w:sz w:val="20"/>
                <w:szCs w:val="20"/>
              </w:rPr>
              <w:t>Ex ante price ($/GJ)</w:t>
            </w:r>
          </w:p>
        </w:tc>
        <w:tc>
          <w:tcPr>
            <w:tcW w:w="580" w:type="pct"/>
            <w:tcBorders>
              <w:top w:val="nil"/>
              <w:bottom w:val="nil"/>
            </w:tcBorders>
            <w:vAlign w:val="center"/>
          </w:tcPr>
          <w:p w:rsidR="004043B8" w:rsidRDefault="004043B8">
            <w:pPr>
              <w:jc w:val="center"/>
              <w:rPr>
                <w:rFonts w:cs="Arial"/>
                <w:sz w:val="20"/>
                <w:szCs w:val="20"/>
              </w:rPr>
            </w:pPr>
            <w:r>
              <w:rPr>
                <w:rFonts w:cs="Arial"/>
                <w:sz w:val="20"/>
                <w:szCs w:val="20"/>
              </w:rPr>
              <w:t>9.42</w:t>
            </w:r>
          </w:p>
        </w:tc>
        <w:tc>
          <w:tcPr>
            <w:tcW w:w="508" w:type="pct"/>
            <w:tcBorders>
              <w:top w:val="nil"/>
              <w:bottom w:val="nil"/>
            </w:tcBorders>
            <w:vAlign w:val="center"/>
          </w:tcPr>
          <w:p w:rsidR="004043B8" w:rsidRDefault="004043B8">
            <w:pPr>
              <w:jc w:val="center"/>
              <w:rPr>
                <w:rFonts w:cs="Arial"/>
                <w:sz w:val="20"/>
                <w:szCs w:val="20"/>
              </w:rPr>
            </w:pPr>
            <w:r>
              <w:rPr>
                <w:rFonts w:cs="Arial"/>
                <w:sz w:val="20"/>
                <w:szCs w:val="20"/>
              </w:rPr>
              <w:t>9.63</w:t>
            </w:r>
          </w:p>
        </w:tc>
        <w:tc>
          <w:tcPr>
            <w:tcW w:w="589" w:type="pct"/>
            <w:tcBorders>
              <w:top w:val="nil"/>
              <w:bottom w:val="nil"/>
            </w:tcBorders>
            <w:vAlign w:val="center"/>
          </w:tcPr>
          <w:p w:rsidR="004043B8" w:rsidRDefault="004043B8">
            <w:pPr>
              <w:jc w:val="center"/>
              <w:rPr>
                <w:rFonts w:cs="Arial"/>
                <w:sz w:val="20"/>
                <w:szCs w:val="20"/>
              </w:rPr>
            </w:pPr>
            <w:r>
              <w:rPr>
                <w:rFonts w:cs="Arial"/>
                <w:sz w:val="20"/>
                <w:szCs w:val="20"/>
              </w:rPr>
              <w:t>9.00</w:t>
            </w:r>
          </w:p>
        </w:tc>
        <w:tc>
          <w:tcPr>
            <w:tcW w:w="517" w:type="pct"/>
            <w:tcBorders>
              <w:top w:val="nil"/>
              <w:bottom w:val="nil"/>
            </w:tcBorders>
            <w:vAlign w:val="center"/>
          </w:tcPr>
          <w:p w:rsidR="004043B8" w:rsidRDefault="004043B8">
            <w:pPr>
              <w:jc w:val="center"/>
              <w:rPr>
                <w:rFonts w:cs="Arial"/>
                <w:sz w:val="20"/>
                <w:szCs w:val="20"/>
              </w:rPr>
            </w:pPr>
            <w:r>
              <w:rPr>
                <w:rFonts w:cs="Arial"/>
                <w:sz w:val="20"/>
                <w:szCs w:val="20"/>
              </w:rPr>
              <w:t>9.45</w:t>
            </w:r>
          </w:p>
        </w:tc>
        <w:tc>
          <w:tcPr>
            <w:tcW w:w="510" w:type="pct"/>
            <w:tcBorders>
              <w:top w:val="nil"/>
              <w:bottom w:val="nil"/>
            </w:tcBorders>
            <w:vAlign w:val="center"/>
          </w:tcPr>
          <w:p w:rsidR="004043B8" w:rsidRDefault="004043B8">
            <w:pPr>
              <w:jc w:val="center"/>
              <w:rPr>
                <w:rFonts w:cs="Arial"/>
                <w:sz w:val="20"/>
                <w:szCs w:val="20"/>
              </w:rPr>
            </w:pPr>
            <w:r>
              <w:rPr>
                <w:rFonts w:cs="Arial"/>
                <w:sz w:val="20"/>
                <w:szCs w:val="20"/>
              </w:rPr>
              <w:t>9.40</w:t>
            </w:r>
          </w:p>
        </w:tc>
        <w:tc>
          <w:tcPr>
            <w:tcW w:w="507" w:type="pct"/>
            <w:tcBorders>
              <w:top w:val="nil"/>
              <w:bottom w:val="nil"/>
            </w:tcBorders>
            <w:vAlign w:val="center"/>
          </w:tcPr>
          <w:p w:rsidR="004043B8" w:rsidRDefault="004043B8">
            <w:pPr>
              <w:jc w:val="center"/>
              <w:rPr>
                <w:rFonts w:cs="Arial"/>
                <w:sz w:val="20"/>
                <w:szCs w:val="20"/>
              </w:rPr>
            </w:pPr>
            <w:r>
              <w:rPr>
                <w:rFonts w:cs="Arial"/>
                <w:sz w:val="20"/>
                <w:szCs w:val="20"/>
              </w:rPr>
              <w:t>10.33</w:t>
            </w:r>
          </w:p>
        </w:tc>
        <w:tc>
          <w:tcPr>
            <w:tcW w:w="578" w:type="pct"/>
            <w:tcBorders>
              <w:top w:val="nil"/>
              <w:bottom w:val="nil"/>
            </w:tcBorders>
            <w:vAlign w:val="center"/>
          </w:tcPr>
          <w:p w:rsidR="004043B8" w:rsidRDefault="004043B8">
            <w:pPr>
              <w:jc w:val="center"/>
              <w:rPr>
                <w:rFonts w:cs="Arial"/>
                <w:sz w:val="20"/>
                <w:szCs w:val="20"/>
              </w:rPr>
            </w:pPr>
            <w:r>
              <w:rPr>
                <w:rFonts w:cs="Arial"/>
                <w:sz w:val="20"/>
                <w:szCs w:val="20"/>
              </w:rPr>
              <w:t>10.33</w:t>
            </w:r>
          </w:p>
        </w:tc>
      </w:tr>
      <w:tr w:rsidR="004043B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4043B8" w:rsidRDefault="004043B8">
            <w:pPr>
              <w:rPr>
                <w:rFonts w:cs="Arial"/>
                <w:szCs w:val="20"/>
              </w:rPr>
            </w:pPr>
            <w:r>
              <w:rPr>
                <w:rFonts w:cs="Arial"/>
                <w:szCs w:val="20"/>
              </w:rPr>
              <w:t>Ex ante quantity (TJ)</w:t>
            </w:r>
          </w:p>
        </w:tc>
        <w:tc>
          <w:tcPr>
            <w:tcW w:w="580" w:type="pct"/>
            <w:tcBorders>
              <w:top w:val="nil"/>
              <w:bottom w:val="nil"/>
            </w:tcBorders>
            <w:vAlign w:val="center"/>
          </w:tcPr>
          <w:p w:rsidR="004043B8" w:rsidRDefault="004043B8">
            <w:pPr>
              <w:jc w:val="center"/>
              <w:rPr>
                <w:rFonts w:cs="Arial"/>
                <w:szCs w:val="20"/>
              </w:rPr>
            </w:pPr>
            <w:r>
              <w:rPr>
                <w:rFonts w:cs="Arial"/>
                <w:szCs w:val="20"/>
              </w:rPr>
              <w:t>269</w:t>
            </w:r>
          </w:p>
        </w:tc>
        <w:tc>
          <w:tcPr>
            <w:tcW w:w="508" w:type="pct"/>
            <w:tcBorders>
              <w:top w:val="nil"/>
              <w:bottom w:val="nil"/>
            </w:tcBorders>
            <w:vAlign w:val="center"/>
          </w:tcPr>
          <w:p w:rsidR="004043B8" w:rsidRDefault="004043B8">
            <w:pPr>
              <w:jc w:val="center"/>
              <w:rPr>
                <w:rFonts w:cs="Arial"/>
                <w:szCs w:val="20"/>
              </w:rPr>
            </w:pPr>
            <w:r>
              <w:rPr>
                <w:rFonts w:cs="Arial"/>
                <w:szCs w:val="20"/>
              </w:rPr>
              <w:t>310</w:t>
            </w:r>
          </w:p>
        </w:tc>
        <w:tc>
          <w:tcPr>
            <w:tcW w:w="589" w:type="pct"/>
            <w:tcBorders>
              <w:top w:val="nil"/>
              <w:bottom w:val="nil"/>
            </w:tcBorders>
            <w:vAlign w:val="center"/>
          </w:tcPr>
          <w:p w:rsidR="004043B8" w:rsidRDefault="004043B8">
            <w:pPr>
              <w:jc w:val="center"/>
              <w:rPr>
                <w:rFonts w:cs="Arial"/>
                <w:szCs w:val="20"/>
              </w:rPr>
            </w:pPr>
            <w:r>
              <w:rPr>
                <w:rFonts w:cs="Arial"/>
                <w:szCs w:val="20"/>
              </w:rPr>
              <w:t>310</w:t>
            </w:r>
          </w:p>
        </w:tc>
        <w:tc>
          <w:tcPr>
            <w:tcW w:w="517" w:type="pct"/>
            <w:tcBorders>
              <w:top w:val="nil"/>
              <w:bottom w:val="nil"/>
            </w:tcBorders>
            <w:vAlign w:val="center"/>
          </w:tcPr>
          <w:p w:rsidR="004043B8" w:rsidRDefault="004043B8">
            <w:pPr>
              <w:jc w:val="center"/>
              <w:rPr>
                <w:rFonts w:cs="Arial"/>
                <w:szCs w:val="20"/>
              </w:rPr>
            </w:pPr>
            <w:r>
              <w:rPr>
                <w:rFonts w:cs="Arial"/>
                <w:szCs w:val="20"/>
              </w:rPr>
              <w:t>309</w:t>
            </w:r>
          </w:p>
        </w:tc>
        <w:tc>
          <w:tcPr>
            <w:tcW w:w="510" w:type="pct"/>
            <w:tcBorders>
              <w:top w:val="nil"/>
              <w:bottom w:val="nil"/>
            </w:tcBorders>
            <w:vAlign w:val="center"/>
          </w:tcPr>
          <w:p w:rsidR="004043B8" w:rsidRDefault="004043B8">
            <w:pPr>
              <w:jc w:val="center"/>
              <w:rPr>
                <w:rFonts w:cs="Arial"/>
                <w:szCs w:val="20"/>
              </w:rPr>
            </w:pPr>
            <w:r>
              <w:rPr>
                <w:rFonts w:cs="Arial"/>
                <w:szCs w:val="20"/>
              </w:rPr>
              <w:t>311</w:t>
            </w:r>
          </w:p>
        </w:tc>
        <w:tc>
          <w:tcPr>
            <w:tcW w:w="507" w:type="pct"/>
            <w:tcBorders>
              <w:top w:val="nil"/>
              <w:bottom w:val="nil"/>
            </w:tcBorders>
            <w:vAlign w:val="center"/>
          </w:tcPr>
          <w:p w:rsidR="004043B8" w:rsidRDefault="004043B8">
            <w:pPr>
              <w:jc w:val="center"/>
              <w:rPr>
                <w:rFonts w:cs="Arial"/>
                <w:szCs w:val="20"/>
              </w:rPr>
            </w:pPr>
            <w:r>
              <w:rPr>
                <w:rFonts w:cs="Arial"/>
                <w:szCs w:val="20"/>
              </w:rPr>
              <w:t>316</w:t>
            </w:r>
          </w:p>
        </w:tc>
        <w:tc>
          <w:tcPr>
            <w:tcW w:w="578" w:type="pct"/>
            <w:tcBorders>
              <w:top w:val="nil"/>
              <w:bottom w:val="nil"/>
            </w:tcBorders>
            <w:vAlign w:val="center"/>
          </w:tcPr>
          <w:p w:rsidR="004043B8" w:rsidRDefault="004043B8">
            <w:pPr>
              <w:jc w:val="center"/>
              <w:rPr>
                <w:rFonts w:cs="Arial"/>
                <w:szCs w:val="20"/>
              </w:rPr>
            </w:pPr>
            <w:r>
              <w:rPr>
                <w:rFonts w:cs="Arial"/>
                <w:szCs w:val="20"/>
              </w:rPr>
              <w:t>290</w:t>
            </w:r>
          </w:p>
        </w:tc>
      </w:tr>
      <w:tr w:rsidR="004043B8" w:rsidRPr="00405CDE" w:rsidTr="00A226E9">
        <w:trPr>
          <w:trHeight w:val="510"/>
        </w:trPr>
        <w:tc>
          <w:tcPr>
            <w:tcW w:w="1211" w:type="pct"/>
            <w:tcBorders>
              <w:top w:val="nil"/>
              <w:bottom w:val="nil"/>
            </w:tcBorders>
            <w:vAlign w:val="center"/>
          </w:tcPr>
          <w:p w:rsidR="004043B8" w:rsidRDefault="004043B8">
            <w:pPr>
              <w:rPr>
                <w:rFonts w:cs="Arial"/>
                <w:sz w:val="20"/>
                <w:szCs w:val="20"/>
              </w:rPr>
            </w:pPr>
            <w:r>
              <w:rPr>
                <w:rFonts w:cs="Arial"/>
                <w:sz w:val="20"/>
                <w:szCs w:val="20"/>
              </w:rPr>
              <w:t>Ex post price ($/GJ)</w:t>
            </w:r>
          </w:p>
        </w:tc>
        <w:tc>
          <w:tcPr>
            <w:tcW w:w="580" w:type="pct"/>
            <w:tcBorders>
              <w:top w:val="nil"/>
              <w:bottom w:val="nil"/>
            </w:tcBorders>
            <w:vAlign w:val="center"/>
          </w:tcPr>
          <w:p w:rsidR="004043B8" w:rsidRDefault="004043B8">
            <w:pPr>
              <w:jc w:val="center"/>
              <w:rPr>
                <w:rFonts w:cs="Arial"/>
                <w:sz w:val="20"/>
                <w:szCs w:val="20"/>
              </w:rPr>
            </w:pPr>
            <w:r>
              <w:rPr>
                <w:rFonts w:cs="Arial"/>
                <w:sz w:val="20"/>
                <w:szCs w:val="20"/>
              </w:rPr>
              <w:t>8.99</w:t>
            </w:r>
          </w:p>
        </w:tc>
        <w:tc>
          <w:tcPr>
            <w:tcW w:w="508" w:type="pct"/>
            <w:tcBorders>
              <w:top w:val="nil"/>
              <w:bottom w:val="nil"/>
            </w:tcBorders>
            <w:vAlign w:val="center"/>
          </w:tcPr>
          <w:p w:rsidR="004043B8" w:rsidRDefault="004043B8">
            <w:pPr>
              <w:jc w:val="center"/>
              <w:rPr>
                <w:rFonts w:cs="Arial"/>
                <w:sz w:val="20"/>
                <w:szCs w:val="20"/>
              </w:rPr>
            </w:pPr>
            <w:r>
              <w:rPr>
                <w:rFonts w:cs="Arial"/>
                <w:sz w:val="20"/>
                <w:szCs w:val="20"/>
              </w:rPr>
              <w:t>9.33</w:t>
            </w:r>
          </w:p>
        </w:tc>
        <w:tc>
          <w:tcPr>
            <w:tcW w:w="589" w:type="pct"/>
            <w:tcBorders>
              <w:top w:val="nil"/>
              <w:bottom w:val="nil"/>
            </w:tcBorders>
            <w:vAlign w:val="center"/>
          </w:tcPr>
          <w:p w:rsidR="004043B8" w:rsidRDefault="004043B8">
            <w:pPr>
              <w:jc w:val="center"/>
              <w:rPr>
                <w:rFonts w:cs="Arial"/>
                <w:sz w:val="20"/>
                <w:szCs w:val="20"/>
              </w:rPr>
            </w:pPr>
            <w:r>
              <w:rPr>
                <w:rFonts w:cs="Arial"/>
                <w:sz w:val="20"/>
                <w:szCs w:val="20"/>
              </w:rPr>
              <w:t>9.40</w:t>
            </w:r>
          </w:p>
        </w:tc>
        <w:tc>
          <w:tcPr>
            <w:tcW w:w="517" w:type="pct"/>
            <w:tcBorders>
              <w:top w:val="nil"/>
              <w:bottom w:val="nil"/>
            </w:tcBorders>
            <w:vAlign w:val="center"/>
          </w:tcPr>
          <w:p w:rsidR="004043B8" w:rsidRDefault="004043B8">
            <w:pPr>
              <w:jc w:val="center"/>
              <w:rPr>
                <w:rFonts w:cs="Arial"/>
                <w:sz w:val="20"/>
                <w:szCs w:val="20"/>
              </w:rPr>
            </w:pPr>
            <w:r>
              <w:rPr>
                <w:rFonts w:cs="Arial"/>
                <w:sz w:val="20"/>
                <w:szCs w:val="20"/>
              </w:rPr>
              <w:t>9.37</w:t>
            </w:r>
          </w:p>
        </w:tc>
        <w:tc>
          <w:tcPr>
            <w:tcW w:w="510" w:type="pct"/>
            <w:tcBorders>
              <w:top w:val="nil"/>
              <w:bottom w:val="nil"/>
            </w:tcBorders>
            <w:vAlign w:val="center"/>
          </w:tcPr>
          <w:p w:rsidR="004043B8" w:rsidRDefault="004043B8">
            <w:pPr>
              <w:jc w:val="center"/>
              <w:rPr>
                <w:rFonts w:cs="Arial"/>
                <w:sz w:val="20"/>
                <w:szCs w:val="20"/>
              </w:rPr>
            </w:pPr>
            <w:r>
              <w:rPr>
                <w:rFonts w:cs="Arial"/>
                <w:sz w:val="20"/>
                <w:szCs w:val="20"/>
              </w:rPr>
              <w:t>9.29</w:t>
            </w:r>
          </w:p>
        </w:tc>
        <w:tc>
          <w:tcPr>
            <w:tcW w:w="507" w:type="pct"/>
            <w:tcBorders>
              <w:top w:val="nil"/>
              <w:bottom w:val="nil"/>
            </w:tcBorders>
            <w:vAlign w:val="center"/>
          </w:tcPr>
          <w:p w:rsidR="004043B8" w:rsidRDefault="004043B8">
            <w:pPr>
              <w:jc w:val="center"/>
              <w:rPr>
                <w:rFonts w:cs="Arial"/>
                <w:sz w:val="20"/>
                <w:szCs w:val="20"/>
              </w:rPr>
            </w:pPr>
            <w:r>
              <w:rPr>
                <w:rFonts w:cs="Arial"/>
                <w:sz w:val="20"/>
                <w:szCs w:val="20"/>
              </w:rPr>
              <w:t>9.34</w:t>
            </w:r>
          </w:p>
        </w:tc>
        <w:tc>
          <w:tcPr>
            <w:tcW w:w="578" w:type="pct"/>
            <w:tcBorders>
              <w:top w:val="nil"/>
              <w:bottom w:val="nil"/>
            </w:tcBorders>
            <w:vAlign w:val="center"/>
          </w:tcPr>
          <w:p w:rsidR="004043B8" w:rsidRDefault="004043B8">
            <w:pPr>
              <w:jc w:val="center"/>
              <w:rPr>
                <w:rFonts w:cs="Arial"/>
                <w:sz w:val="20"/>
                <w:szCs w:val="20"/>
              </w:rPr>
            </w:pPr>
            <w:r>
              <w:rPr>
                <w:rFonts w:cs="Arial"/>
                <w:sz w:val="20"/>
                <w:szCs w:val="20"/>
              </w:rPr>
              <w:t>9.38</w:t>
            </w:r>
          </w:p>
        </w:tc>
      </w:tr>
      <w:tr w:rsidR="004043B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4043B8" w:rsidRDefault="004043B8">
            <w:pPr>
              <w:rPr>
                <w:rFonts w:cs="Arial"/>
                <w:szCs w:val="20"/>
              </w:rPr>
            </w:pPr>
            <w:r>
              <w:rPr>
                <w:rFonts w:cs="Arial"/>
                <w:szCs w:val="20"/>
              </w:rPr>
              <w:t>Ex post quantity (TJ)</w:t>
            </w:r>
          </w:p>
        </w:tc>
        <w:tc>
          <w:tcPr>
            <w:tcW w:w="580" w:type="pct"/>
            <w:tcBorders>
              <w:top w:val="nil"/>
              <w:bottom w:val="single" w:sz="4" w:space="0" w:color="auto"/>
            </w:tcBorders>
            <w:vAlign w:val="center"/>
          </w:tcPr>
          <w:p w:rsidR="004043B8" w:rsidRDefault="004043B8">
            <w:pPr>
              <w:jc w:val="center"/>
              <w:rPr>
                <w:rFonts w:cs="Arial"/>
                <w:szCs w:val="20"/>
              </w:rPr>
            </w:pPr>
            <w:r>
              <w:rPr>
                <w:rFonts w:cs="Arial"/>
                <w:szCs w:val="20"/>
              </w:rPr>
              <w:t>259</w:t>
            </w:r>
          </w:p>
        </w:tc>
        <w:tc>
          <w:tcPr>
            <w:tcW w:w="508" w:type="pct"/>
            <w:tcBorders>
              <w:top w:val="nil"/>
              <w:bottom w:val="single" w:sz="4" w:space="0" w:color="auto"/>
            </w:tcBorders>
            <w:vAlign w:val="center"/>
          </w:tcPr>
          <w:p w:rsidR="004043B8" w:rsidRDefault="004043B8">
            <w:pPr>
              <w:jc w:val="center"/>
              <w:rPr>
                <w:rFonts w:cs="Arial"/>
                <w:szCs w:val="20"/>
              </w:rPr>
            </w:pPr>
            <w:r>
              <w:rPr>
                <w:rFonts w:cs="Arial"/>
                <w:szCs w:val="20"/>
              </w:rPr>
              <w:t>301</w:t>
            </w:r>
          </w:p>
        </w:tc>
        <w:tc>
          <w:tcPr>
            <w:tcW w:w="589" w:type="pct"/>
            <w:tcBorders>
              <w:top w:val="nil"/>
              <w:bottom w:val="single" w:sz="4" w:space="0" w:color="auto"/>
            </w:tcBorders>
            <w:vAlign w:val="center"/>
          </w:tcPr>
          <w:p w:rsidR="004043B8" w:rsidRDefault="004043B8">
            <w:pPr>
              <w:jc w:val="center"/>
              <w:rPr>
                <w:rFonts w:cs="Arial"/>
                <w:szCs w:val="20"/>
              </w:rPr>
            </w:pPr>
            <w:r>
              <w:rPr>
                <w:rFonts w:cs="Arial"/>
                <w:szCs w:val="20"/>
              </w:rPr>
              <w:t>314</w:t>
            </w:r>
          </w:p>
        </w:tc>
        <w:tc>
          <w:tcPr>
            <w:tcW w:w="517" w:type="pct"/>
            <w:tcBorders>
              <w:top w:val="nil"/>
              <w:bottom w:val="single" w:sz="4" w:space="0" w:color="auto"/>
            </w:tcBorders>
            <w:vAlign w:val="center"/>
          </w:tcPr>
          <w:p w:rsidR="004043B8" w:rsidRDefault="004043B8">
            <w:pPr>
              <w:jc w:val="center"/>
              <w:rPr>
                <w:rFonts w:cs="Arial"/>
                <w:szCs w:val="20"/>
              </w:rPr>
            </w:pPr>
            <w:r>
              <w:rPr>
                <w:rFonts w:cs="Arial"/>
                <w:szCs w:val="20"/>
              </w:rPr>
              <w:t>305</w:t>
            </w:r>
          </w:p>
        </w:tc>
        <w:tc>
          <w:tcPr>
            <w:tcW w:w="510" w:type="pct"/>
            <w:tcBorders>
              <w:top w:val="nil"/>
              <w:bottom w:val="single" w:sz="4" w:space="0" w:color="auto"/>
            </w:tcBorders>
            <w:vAlign w:val="center"/>
          </w:tcPr>
          <w:p w:rsidR="004043B8" w:rsidRDefault="004043B8">
            <w:pPr>
              <w:jc w:val="center"/>
              <w:rPr>
                <w:rFonts w:cs="Arial"/>
                <w:szCs w:val="20"/>
              </w:rPr>
            </w:pPr>
            <w:r>
              <w:rPr>
                <w:rFonts w:cs="Arial"/>
                <w:szCs w:val="20"/>
              </w:rPr>
              <w:t>300</w:t>
            </w:r>
          </w:p>
        </w:tc>
        <w:tc>
          <w:tcPr>
            <w:tcW w:w="507" w:type="pct"/>
            <w:tcBorders>
              <w:top w:val="nil"/>
              <w:bottom w:val="single" w:sz="4" w:space="0" w:color="auto"/>
            </w:tcBorders>
            <w:vAlign w:val="center"/>
          </w:tcPr>
          <w:p w:rsidR="004043B8" w:rsidRDefault="004043B8">
            <w:pPr>
              <w:jc w:val="center"/>
              <w:rPr>
                <w:rFonts w:cs="Arial"/>
                <w:szCs w:val="20"/>
              </w:rPr>
            </w:pPr>
            <w:r>
              <w:rPr>
                <w:rFonts w:cs="Arial"/>
                <w:szCs w:val="20"/>
              </w:rPr>
              <w:t>301</w:t>
            </w:r>
          </w:p>
        </w:tc>
        <w:tc>
          <w:tcPr>
            <w:tcW w:w="578" w:type="pct"/>
            <w:tcBorders>
              <w:top w:val="nil"/>
              <w:bottom w:val="single" w:sz="4" w:space="0" w:color="auto"/>
            </w:tcBorders>
            <w:vAlign w:val="center"/>
          </w:tcPr>
          <w:p w:rsidR="004043B8" w:rsidRDefault="004043B8">
            <w:pPr>
              <w:jc w:val="center"/>
              <w:rPr>
                <w:rFonts w:cs="Arial"/>
                <w:szCs w:val="20"/>
              </w:rPr>
            </w:pPr>
            <w:r>
              <w:rPr>
                <w:rFonts w:cs="Arial"/>
                <w:szCs w:val="20"/>
              </w:rPr>
              <w:t>279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4043B8" w:rsidP="00EC2CB1">
      <w:r w:rsidRPr="004043B8">
        <w:rPr>
          <w:noProof/>
          <w:lang w:eastAsia="en-AU"/>
        </w:rPr>
        <w:drawing>
          <wp:inline distT="0" distB="0" distL="0" distR="0" wp14:anchorId="639837DE" wp14:editId="61A43176">
            <wp:extent cx="5731510" cy="2048040"/>
            <wp:effectExtent l="0" t="0" r="0" b="9525"/>
            <wp:docPr id="25" name="Picture 25" descr="Figure 2.2 shows the daily hub offers and bid in within certain price bands in Sydney this week. The line indicates the scheduled quantity for each day. For a more detailed description of this figure, please refer to the user guide." title="Sydney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048040"/>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4043B8" w:rsidP="00EC2CB1">
      <w:r w:rsidRPr="004043B8">
        <w:rPr>
          <w:noProof/>
          <w:lang w:eastAsia="en-AU"/>
        </w:rPr>
        <w:drawing>
          <wp:inline distT="0" distB="0" distL="0" distR="0" wp14:anchorId="69F22FBD" wp14:editId="0B1E6844">
            <wp:extent cx="5731510" cy="2560275"/>
            <wp:effectExtent l="0" t="0" r="2540" b="0"/>
            <wp:docPr id="26" name="Picture 26" descr="Figure 2.3 shows the daily scheduled and allocated quantities sorted by facility for Sydney this week. For a more detailed description of this figure, please refer to the user guide." title="Sydney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560275"/>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3"/>
      </w:r>
    </w:p>
    <w:p w:rsidR="00EC2CB1" w:rsidRDefault="004043B8" w:rsidP="00EC2CB1">
      <w:r w:rsidRPr="004043B8">
        <w:rPr>
          <w:noProof/>
          <w:lang w:eastAsia="en-AU"/>
        </w:rPr>
        <w:drawing>
          <wp:inline distT="0" distB="0" distL="0" distR="0" wp14:anchorId="3786627E" wp14:editId="397D4FEB">
            <wp:extent cx="5731510" cy="2175579"/>
            <wp:effectExtent l="0" t="0" r="2540" b="0"/>
            <wp:docPr id="37" name="Picture 37"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175579"/>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4043B8" w:rsidRPr="00405CDE" w:rsidTr="00A226E9">
        <w:trPr>
          <w:trHeight w:val="389"/>
        </w:trPr>
        <w:tc>
          <w:tcPr>
            <w:tcW w:w="1152" w:type="pct"/>
            <w:tcBorders>
              <w:top w:val="nil"/>
              <w:bottom w:val="nil"/>
            </w:tcBorders>
            <w:vAlign w:val="center"/>
          </w:tcPr>
          <w:p w:rsidR="004043B8" w:rsidRDefault="004043B8">
            <w:pPr>
              <w:rPr>
                <w:rFonts w:cs="Arial"/>
                <w:sz w:val="20"/>
                <w:szCs w:val="20"/>
              </w:rPr>
            </w:pPr>
            <w:r>
              <w:rPr>
                <w:rFonts w:cs="Arial"/>
                <w:sz w:val="20"/>
                <w:szCs w:val="20"/>
              </w:rPr>
              <w:t>Ex ante price ($/GJ)</w:t>
            </w:r>
          </w:p>
        </w:tc>
        <w:tc>
          <w:tcPr>
            <w:tcW w:w="589" w:type="pct"/>
            <w:tcBorders>
              <w:top w:val="nil"/>
              <w:bottom w:val="nil"/>
            </w:tcBorders>
            <w:vAlign w:val="center"/>
          </w:tcPr>
          <w:p w:rsidR="004043B8" w:rsidRDefault="004043B8">
            <w:pPr>
              <w:jc w:val="center"/>
              <w:rPr>
                <w:rFonts w:cs="Arial"/>
                <w:sz w:val="20"/>
                <w:szCs w:val="20"/>
              </w:rPr>
            </w:pPr>
            <w:r>
              <w:rPr>
                <w:rFonts w:cs="Arial"/>
                <w:sz w:val="20"/>
                <w:szCs w:val="20"/>
              </w:rPr>
              <w:t>8.53</w:t>
            </w:r>
          </w:p>
        </w:tc>
        <w:tc>
          <w:tcPr>
            <w:tcW w:w="516" w:type="pct"/>
            <w:tcBorders>
              <w:top w:val="nil"/>
              <w:bottom w:val="nil"/>
            </w:tcBorders>
            <w:vAlign w:val="center"/>
          </w:tcPr>
          <w:p w:rsidR="004043B8" w:rsidRDefault="004043B8">
            <w:pPr>
              <w:jc w:val="center"/>
              <w:rPr>
                <w:rFonts w:cs="Arial"/>
                <w:sz w:val="20"/>
                <w:szCs w:val="20"/>
              </w:rPr>
            </w:pPr>
            <w:r>
              <w:rPr>
                <w:rFonts w:cs="Arial"/>
                <w:sz w:val="20"/>
                <w:szCs w:val="20"/>
              </w:rPr>
              <w:t>8.97</w:t>
            </w:r>
          </w:p>
        </w:tc>
        <w:tc>
          <w:tcPr>
            <w:tcW w:w="598" w:type="pct"/>
            <w:tcBorders>
              <w:top w:val="nil"/>
              <w:bottom w:val="nil"/>
            </w:tcBorders>
            <w:vAlign w:val="center"/>
          </w:tcPr>
          <w:p w:rsidR="004043B8" w:rsidRDefault="004043B8">
            <w:pPr>
              <w:jc w:val="center"/>
              <w:rPr>
                <w:rFonts w:cs="Arial"/>
                <w:sz w:val="20"/>
                <w:szCs w:val="20"/>
              </w:rPr>
            </w:pPr>
            <w:r>
              <w:rPr>
                <w:rFonts w:cs="Arial"/>
                <w:sz w:val="20"/>
                <w:szCs w:val="20"/>
              </w:rPr>
              <w:t>9.00</w:t>
            </w:r>
          </w:p>
        </w:tc>
        <w:tc>
          <w:tcPr>
            <w:tcW w:w="525" w:type="pct"/>
            <w:tcBorders>
              <w:top w:val="nil"/>
              <w:bottom w:val="nil"/>
            </w:tcBorders>
            <w:vAlign w:val="center"/>
          </w:tcPr>
          <w:p w:rsidR="004043B8" w:rsidRDefault="004043B8">
            <w:pPr>
              <w:jc w:val="center"/>
              <w:rPr>
                <w:rFonts w:cs="Arial"/>
                <w:sz w:val="20"/>
                <w:szCs w:val="20"/>
              </w:rPr>
            </w:pPr>
            <w:r>
              <w:rPr>
                <w:rFonts w:cs="Arial"/>
                <w:sz w:val="20"/>
                <w:szCs w:val="20"/>
              </w:rPr>
              <w:t>9.79</w:t>
            </w:r>
          </w:p>
        </w:tc>
        <w:tc>
          <w:tcPr>
            <w:tcW w:w="518" w:type="pct"/>
            <w:tcBorders>
              <w:top w:val="nil"/>
              <w:bottom w:val="nil"/>
            </w:tcBorders>
            <w:vAlign w:val="center"/>
          </w:tcPr>
          <w:p w:rsidR="004043B8" w:rsidRDefault="004043B8">
            <w:pPr>
              <w:jc w:val="center"/>
              <w:rPr>
                <w:rFonts w:cs="Arial"/>
                <w:sz w:val="20"/>
                <w:szCs w:val="20"/>
              </w:rPr>
            </w:pPr>
            <w:r>
              <w:rPr>
                <w:rFonts w:cs="Arial"/>
                <w:sz w:val="20"/>
                <w:szCs w:val="20"/>
              </w:rPr>
              <w:t>9.35</w:t>
            </w:r>
          </w:p>
        </w:tc>
        <w:tc>
          <w:tcPr>
            <w:tcW w:w="515" w:type="pct"/>
            <w:tcBorders>
              <w:top w:val="nil"/>
              <w:bottom w:val="nil"/>
            </w:tcBorders>
            <w:vAlign w:val="center"/>
          </w:tcPr>
          <w:p w:rsidR="004043B8" w:rsidRDefault="004043B8">
            <w:pPr>
              <w:jc w:val="center"/>
              <w:rPr>
                <w:rFonts w:cs="Arial"/>
                <w:sz w:val="20"/>
                <w:szCs w:val="20"/>
              </w:rPr>
            </w:pPr>
            <w:r>
              <w:rPr>
                <w:rFonts w:cs="Arial"/>
                <w:sz w:val="20"/>
                <w:szCs w:val="20"/>
              </w:rPr>
              <w:t>10.00</w:t>
            </w:r>
          </w:p>
        </w:tc>
        <w:tc>
          <w:tcPr>
            <w:tcW w:w="587" w:type="pct"/>
            <w:tcBorders>
              <w:top w:val="nil"/>
              <w:bottom w:val="nil"/>
            </w:tcBorders>
            <w:vAlign w:val="center"/>
          </w:tcPr>
          <w:p w:rsidR="004043B8" w:rsidRDefault="004043B8">
            <w:pPr>
              <w:jc w:val="center"/>
              <w:rPr>
                <w:rFonts w:cs="Arial"/>
                <w:sz w:val="20"/>
                <w:szCs w:val="20"/>
              </w:rPr>
            </w:pPr>
            <w:r>
              <w:rPr>
                <w:rFonts w:cs="Arial"/>
                <w:sz w:val="20"/>
                <w:szCs w:val="20"/>
              </w:rPr>
              <w:t>10.00</w:t>
            </w:r>
          </w:p>
        </w:tc>
      </w:tr>
      <w:tr w:rsidR="004043B8"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4043B8" w:rsidRDefault="004043B8">
            <w:pPr>
              <w:rPr>
                <w:rFonts w:cs="Arial"/>
                <w:szCs w:val="20"/>
              </w:rPr>
            </w:pPr>
            <w:r>
              <w:rPr>
                <w:rFonts w:cs="Arial"/>
                <w:szCs w:val="20"/>
              </w:rPr>
              <w:t>Ex ante quantity (TJ)</w:t>
            </w:r>
          </w:p>
        </w:tc>
        <w:tc>
          <w:tcPr>
            <w:tcW w:w="589" w:type="pct"/>
            <w:tcBorders>
              <w:top w:val="nil"/>
              <w:bottom w:val="nil"/>
            </w:tcBorders>
            <w:vAlign w:val="center"/>
          </w:tcPr>
          <w:p w:rsidR="004043B8" w:rsidRDefault="004043B8">
            <w:pPr>
              <w:jc w:val="center"/>
              <w:rPr>
                <w:rFonts w:cs="Arial"/>
                <w:szCs w:val="20"/>
              </w:rPr>
            </w:pPr>
            <w:r>
              <w:rPr>
                <w:rFonts w:cs="Arial"/>
                <w:szCs w:val="20"/>
              </w:rPr>
              <w:t>76</w:t>
            </w:r>
          </w:p>
        </w:tc>
        <w:tc>
          <w:tcPr>
            <w:tcW w:w="516" w:type="pct"/>
            <w:tcBorders>
              <w:top w:val="nil"/>
              <w:bottom w:val="nil"/>
            </w:tcBorders>
            <w:vAlign w:val="center"/>
          </w:tcPr>
          <w:p w:rsidR="004043B8" w:rsidRDefault="004043B8">
            <w:pPr>
              <w:jc w:val="center"/>
              <w:rPr>
                <w:rFonts w:cs="Arial"/>
                <w:szCs w:val="20"/>
              </w:rPr>
            </w:pPr>
            <w:r>
              <w:rPr>
                <w:rFonts w:cs="Arial"/>
                <w:szCs w:val="20"/>
              </w:rPr>
              <w:t>90</w:t>
            </w:r>
          </w:p>
        </w:tc>
        <w:tc>
          <w:tcPr>
            <w:tcW w:w="598" w:type="pct"/>
            <w:tcBorders>
              <w:top w:val="nil"/>
              <w:bottom w:val="nil"/>
            </w:tcBorders>
            <w:vAlign w:val="center"/>
          </w:tcPr>
          <w:p w:rsidR="004043B8" w:rsidRDefault="004043B8">
            <w:pPr>
              <w:jc w:val="center"/>
              <w:rPr>
                <w:rFonts w:cs="Arial"/>
                <w:szCs w:val="20"/>
              </w:rPr>
            </w:pPr>
            <w:r>
              <w:rPr>
                <w:rFonts w:cs="Arial"/>
                <w:szCs w:val="20"/>
              </w:rPr>
              <w:t>91</w:t>
            </w:r>
          </w:p>
        </w:tc>
        <w:tc>
          <w:tcPr>
            <w:tcW w:w="525" w:type="pct"/>
            <w:tcBorders>
              <w:top w:val="nil"/>
              <w:bottom w:val="nil"/>
            </w:tcBorders>
            <w:vAlign w:val="center"/>
          </w:tcPr>
          <w:p w:rsidR="004043B8" w:rsidRDefault="004043B8">
            <w:pPr>
              <w:jc w:val="center"/>
              <w:rPr>
                <w:rFonts w:cs="Arial"/>
                <w:szCs w:val="20"/>
              </w:rPr>
            </w:pPr>
            <w:r>
              <w:rPr>
                <w:rFonts w:cs="Arial"/>
                <w:szCs w:val="20"/>
              </w:rPr>
              <w:t>95</w:t>
            </w:r>
          </w:p>
        </w:tc>
        <w:tc>
          <w:tcPr>
            <w:tcW w:w="518" w:type="pct"/>
            <w:tcBorders>
              <w:top w:val="nil"/>
              <w:bottom w:val="nil"/>
            </w:tcBorders>
            <w:vAlign w:val="center"/>
          </w:tcPr>
          <w:p w:rsidR="004043B8" w:rsidRDefault="004043B8">
            <w:pPr>
              <w:jc w:val="center"/>
              <w:rPr>
                <w:rFonts w:cs="Arial"/>
                <w:szCs w:val="20"/>
              </w:rPr>
            </w:pPr>
            <w:r>
              <w:rPr>
                <w:rFonts w:cs="Arial"/>
                <w:szCs w:val="20"/>
              </w:rPr>
              <w:t>96</w:t>
            </w:r>
          </w:p>
        </w:tc>
        <w:tc>
          <w:tcPr>
            <w:tcW w:w="515" w:type="pct"/>
            <w:tcBorders>
              <w:top w:val="nil"/>
              <w:bottom w:val="nil"/>
            </w:tcBorders>
            <w:vAlign w:val="center"/>
          </w:tcPr>
          <w:p w:rsidR="004043B8" w:rsidRDefault="004043B8">
            <w:pPr>
              <w:jc w:val="center"/>
              <w:rPr>
                <w:rFonts w:cs="Arial"/>
                <w:szCs w:val="20"/>
              </w:rPr>
            </w:pPr>
            <w:r>
              <w:rPr>
                <w:rFonts w:cs="Arial"/>
                <w:szCs w:val="20"/>
              </w:rPr>
              <w:t>95</w:t>
            </w:r>
          </w:p>
        </w:tc>
        <w:tc>
          <w:tcPr>
            <w:tcW w:w="587" w:type="pct"/>
            <w:tcBorders>
              <w:top w:val="nil"/>
              <w:bottom w:val="nil"/>
            </w:tcBorders>
            <w:vAlign w:val="center"/>
          </w:tcPr>
          <w:p w:rsidR="004043B8" w:rsidRDefault="004043B8">
            <w:pPr>
              <w:jc w:val="center"/>
              <w:rPr>
                <w:rFonts w:cs="Arial"/>
                <w:szCs w:val="20"/>
              </w:rPr>
            </w:pPr>
            <w:r>
              <w:rPr>
                <w:rFonts w:cs="Arial"/>
                <w:szCs w:val="20"/>
              </w:rPr>
              <w:t>78</w:t>
            </w:r>
          </w:p>
        </w:tc>
      </w:tr>
      <w:tr w:rsidR="004043B8" w:rsidRPr="00405CDE" w:rsidTr="00A226E9">
        <w:trPr>
          <w:trHeight w:val="87"/>
        </w:trPr>
        <w:tc>
          <w:tcPr>
            <w:tcW w:w="1152" w:type="pct"/>
            <w:tcBorders>
              <w:top w:val="nil"/>
              <w:bottom w:val="nil"/>
            </w:tcBorders>
            <w:vAlign w:val="center"/>
          </w:tcPr>
          <w:p w:rsidR="004043B8" w:rsidRDefault="004043B8">
            <w:pPr>
              <w:rPr>
                <w:rFonts w:cs="Arial"/>
                <w:sz w:val="20"/>
                <w:szCs w:val="20"/>
              </w:rPr>
            </w:pPr>
            <w:r>
              <w:rPr>
                <w:rFonts w:cs="Arial"/>
                <w:sz w:val="20"/>
                <w:szCs w:val="20"/>
              </w:rPr>
              <w:t>Ex post price ($/GJ)</w:t>
            </w:r>
          </w:p>
        </w:tc>
        <w:tc>
          <w:tcPr>
            <w:tcW w:w="589" w:type="pct"/>
            <w:tcBorders>
              <w:top w:val="nil"/>
              <w:bottom w:val="nil"/>
            </w:tcBorders>
            <w:vAlign w:val="center"/>
          </w:tcPr>
          <w:p w:rsidR="004043B8" w:rsidRDefault="004043B8">
            <w:pPr>
              <w:jc w:val="center"/>
              <w:rPr>
                <w:rFonts w:cs="Arial"/>
                <w:sz w:val="20"/>
                <w:szCs w:val="20"/>
              </w:rPr>
            </w:pPr>
            <w:r>
              <w:rPr>
                <w:rFonts w:cs="Arial"/>
                <w:sz w:val="20"/>
                <w:szCs w:val="20"/>
              </w:rPr>
              <w:t>8.51</w:t>
            </w:r>
          </w:p>
        </w:tc>
        <w:tc>
          <w:tcPr>
            <w:tcW w:w="516" w:type="pct"/>
            <w:tcBorders>
              <w:top w:val="nil"/>
              <w:bottom w:val="nil"/>
            </w:tcBorders>
            <w:vAlign w:val="center"/>
          </w:tcPr>
          <w:p w:rsidR="004043B8" w:rsidRDefault="004043B8">
            <w:pPr>
              <w:jc w:val="center"/>
              <w:rPr>
                <w:rFonts w:cs="Arial"/>
                <w:sz w:val="20"/>
                <w:szCs w:val="20"/>
              </w:rPr>
            </w:pPr>
            <w:r>
              <w:rPr>
                <w:rFonts w:cs="Arial"/>
                <w:sz w:val="20"/>
                <w:szCs w:val="20"/>
              </w:rPr>
              <w:t>8.97</w:t>
            </w:r>
          </w:p>
        </w:tc>
        <w:tc>
          <w:tcPr>
            <w:tcW w:w="598" w:type="pct"/>
            <w:tcBorders>
              <w:top w:val="nil"/>
              <w:bottom w:val="nil"/>
            </w:tcBorders>
            <w:vAlign w:val="center"/>
          </w:tcPr>
          <w:p w:rsidR="004043B8" w:rsidRDefault="004043B8">
            <w:pPr>
              <w:jc w:val="center"/>
              <w:rPr>
                <w:rFonts w:cs="Arial"/>
                <w:sz w:val="20"/>
                <w:szCs w:val="20"/>
              </w:rPr>
            </w:pPr>
            <w:r>
              <w:rPr>
                <w:rFonts w:cs="Arial"/>
                <w:sz w:val="20"/>
                <w:szCs w:val="20"/>
              </w:rPr>
              <w:t>9.00</w:t>
            </w:r>
          </w:p>
        </w:tc>
        <w:tc>
          <w:tcPr>
            <w:tcW w:w="525" w:type="pct"/>
            <w:tcBorders>
              <w:top w:val="nil"/>
              <w:bottom w:val="nil"/>
            </w:tcBorders>
            <w:vAlign w:val="center"/>
          </w:tcPr>
          <w:p w:rsidR="004043B8" w:rsidRDefault="004043B8">
            <w:pPr>
              <w:jc w:val="center"/>
              <w:rPr>
                <w:rFonts w:cs="Arial"/>
                <w:sz w:val="20"/>
                <w:szCs w:val="20"/>
              </w:rPr>
            </w:pPr>
            <w:r>
              <w:rPr>
                <w:rFonts w:cs="Arial"/>
                <w:sz w:val="20"/>
                <w:szCs w:val="20"/>
              </w:rPr>
              <w:t>10.28</w:t>
            </w:r>
          </w:p>
        </w:tc>
        <w:tc>
          <w:tcPr>
            <w:tcW w:w="518" w:type="pct"/>
            <w:tcBorders>
              <w:top w:val="nil"/>
              <w:bottom w:val="nil"/>
            </w:tcBorders>
            <w:vAlign w:val="center"/>
          </w:tcPr>
          <w:p w:rsidR="004043B8" w:rsidRDefault="004043B8">
            <w:pPr>
              <w:jc w:val="center"/>
              <w:rPr>
                <w:rFonts w:cs="Arial"/>
                <w:sz w:val="20"/>
                <w:szCs w:val="20"/>
              </w:rPr>
            </w:pPr>
            <w:r>
              <w:rPr>
                <w:rFonts w:cs="Arial"/>
                <w:sz w:val="20"/>
                <w:szCs w:val="20"/>
              </w:rPr>
              <w:t>9.35</w:t>
            </w:r>
          </w:p>
        </w:tc>
        <w:tc>
          <w:tcPr>
            <w:tcW w:w="515" w:type="pct"/>
            <w:tcBorders>
              <w:top w:val="nil"/>
              <w:bottom w:val="nil"/>
            </w:tcBorders>
            <w:vAlign w:val="center"/>
          </w:tcPr>
          <w:p w:rsidR="004043B8" w:rsidRDefault="004043B8">
            <w:pPr>
              <w:jc w:val="center"/>
              <w:rPr>
                <w:rFonts w:cs="Arial"/>
                <w:sz w:val="20"/>
                <w:szCs w:val="20"/>
              </w:rPr>
            </w:pPr>
            <w:r>
              <w:rPr>
                <w:rFonts w:cs="Arial"/>
                <w:sz w:val="20"/>
                <w:szCs w:val="20"/>
              </w:rPr>
              <w:t>9.35</w:t>
            </w:r>
          </w:p>
        </w:tc>
        <w:tc>
          <w:tcPr>
            <w:tcW w:w="587" w:type="pct"/>
            <w:tcBorders>
              <w:top w:val="nil"/>
              <w:bottom w:val="nil"/>
            </w:tcBorders>
            <w:vAlign w:val="center"/>
          </w:tcPr>
          <w:p w:rsidR="004043B8" w:rsidRDefault="004043B8">
            <w:pPr>
              <w:jc w:val="center"/>
              <w:rPr>
                <w:rFonts w:cs="Arial"/>
                <w:sz w:val="20"/>
                <w:szCs w:val="20"/>
              </w:rPr>
            </w:pPr>
            <w:r>
              <w:rPr>
                <w:rFonts w:cs="Arial"/>
                <w:sz w:val="20"/>
                <w:szCs w:val="20"/>
              </w:rPr>
              <w:t>10.00</w:t>
            </w:r>
          </w:p>
        </w:tc>
      </w:tr>
      <w:tr w:rsidR="004043B8"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4043B8" w:rsidRDefault="004043B8">
            <w:pPr>
              <w:rPr>
                <w:rFonts w:cs="Arial"/>
                <w:szCs w:val="20"/>
              </w:rPr>
            </w:pPr>
            <w:r>
              <w:rPr>
                <w:rFonts w:cs="Arial"/>
                <w:szCs w:val="20"/>
              </w:rPr>
              <w:t>Ex post quantity (TJ)</w:t>
            </w:r>
          </w:p>
        </w:tc>
        <w:tc>
          <w:tcPr>
            <w:tcW w:w="589" w:type="pct"/>
            <w:tcBorders>
              <w:top w:val="nil"/>
              <w:bottom w:val="single" w:sz="4" w:space="0" w:color="auto"/>
            </w:tcBorders>
            <w:vAlign w:val="center"/>
          </w:tcPr>
          <w:p w:rsidR="004043B8" w:rsidRDefault="004043B8">
            <w:pPr>
              <w:jc w:val="center"/>
              <w:rPr>
                <w:rFonts w:cs="Arial"/>
                <w:szCs w:val="20"/>
              </w:rPr>
            </w:pPr>
            <w:r>
              <w:rPr>
                <w:rFonts w:cs="Arial"/>
                <w:szCs w:val="20"/>
              </w:rPr>
              <w:t>75</w:t>
            </w:r>
          </w:p>
        </w:tc>
        <w:tc>
          <w:tcPr>
            <w:tcW w:w="516" w:type="pct"/>
            <w:tcBorders>
              <w:top w:val="nil"/>
              <w:bottom w:val="single" w:sz="4" w:space="0" w:color="auto"/>
            </w:tcBorders>
            <w:vAlign w:val="center"/>
          </w:tcPr>
          <w:p w:rsidR="004043B8" w:rsidRDefault="004043B8">
            <w:pPr>
              <w:jc w:val="center"/>
              <w:rPr>
                <w:rFonts w:cs="Arial"/>
                <w:szCs w:val="20"/>
              </w:rPr>
            </w:pPr>
            <w:r>
              <w:rPr>
                <w:rFonts w:cs="Arial"/>
                <w:szCs w:val="20"/>
              </w:rPr>
              <w:t>92</w:t>
            </w:r>
          </w:p>
        </w:tc>
        <w:tc>
          <w:tcPr>
            <w:tcW w:w="598" w:type="pct"/>
            <w:tcBorders>
              <w:top w:val="nil"/>
              <w:bottom w:val="single" w:sz="4" w:space="0" w:color="auto"/>
            </w:tcBorders>
            <w:vAlign w:val="center"/>
          </w:tcPr>
          <w:p w:rsidR="004043B8" w:rsidRDefault="004043B8">
            <w:pPr>
              <w:jc w:val="center"/>
              <w:rPr>
                <w:rFonts w:cs="Arial"/>
                <w:szCs w:val="20"/>
              </w:rPr>
            </w:pPr>
            <w:r>
              <w:rPr>
                <w:rFonts w:cs="Arial"/>
                <w:szCs w:val="20"/>
              </w:rPr>
              <w:t>92</w:t>
            </w:r>
          </w:p>
        </w:tc>
        <w:tc>
          <w:tcPr>
            <w:tcW w:w="525" w:type="pct"/>
            <w:tcBorders>
              <w:top w:val="nil"/>
              <w:bottom w:val="single" w:sz="4" w:space="0" w:color="auto"/>
            </w:tcBorders>
            <w:vAlign w:val="center"/>
          </w:tcPr>
          <w:p w:rsidR="004043B8" w:rsidRDefault="004043B8">
            <w:pPr>
              <w:jc w:val="center"/>
              <w:rPr>
                <w:rFonts w:cs="Arial"/>
                <w:szCs w:val="20"/>
              </w:rPr>
            </w:pPr>
            <w:r>
              <w:rPr>
                <w:rFonts w:cs="Arial"/>
                <w:szCs w:val="20"/>
              </w:rPr>
              <w:t>99</w:t>
            </w:r>
          </w:p>
        </w:tc>
        <w:tc>
          <w:tcPr>
            <w:tcW w:w="518" w:type="pct"/>
            <w:tcBorders>
              <w:top w:val="nil"/>
              <w:bottom w:val="single" w:sz="4" w:space="0" w:color="auto"/>
            </w:tcBorders>
            <w:vAlign w:val="center"/>
          </w:tcPr>
          <w:p w:rsidR="004043B8" w:rsidRDefault="004043B8">
            <w:pPr>
              <w:jc w:val="center"/>
              <w:rPr>
                <w:rFonts w:cs="Arial"/>
                <w:szCs w:val="20"/>
              </w:rPr>
            </w:pPr>
            <w:r>
              <w:rPr>
                <w:rFonts w:cs="Arial"/>
                <w:szCs w:val="20"/>
              </w:rPr>
              <w:t>96</w:t>
            </w:r>
          </w:p>
        </w:tc>
        <w:tc>
          <w:tcPr>
            <w:tcW w:w="515" w:type="pct"/>
            <w:tcBorders>
              <w:top w:val="nil"/>
              <w:bottom w:val="single" w:sz="4" w:space="0" w:color="auto"/>
            </w:tcBorders>
            <w:vAlign w:val="center"/>
          </w:tcPr>
          <w:p w:rsidR="004043B8" w:rsidRDefault="004043B8">
            <w:pPr>
              <w:jc w:val="center"/>
              <w:rPr>
                <w:rFonts w:cs="Arial"/>
                <w:szCs w:val="20"/>
              </w:rPr>
            </w:pPr>
            <w:r>
              <w:rPr>
                <w:rFonts w:cs="Arial"/>
                <w:szCs w:val="20"/>
              </w:rPr>
              <w:t>91</w:t>
            </w:r>
          </w:p>
        </w:tc>
        <w:tc>
          <w:tcPr>
            <w:tcW w:w="587" w:type="pct"/>
            <w:tcBorders>
              <w:top w:val="nil"/>
              <w:bottom w:val="single" w:sz="4" w:space="0" w:color="auto"/>
            </w:tcBorders>
            <w:vAlign w:val="center"/>
          </w:tcPr>
          <w:p w:rsidR="004043B8" w:rsidRDefault="004043B8">
            <w:pPr>
              <w:jc w:val="center"/>
              <w:rPr>
                <w:rFonts w:cs="Arial"/>
                <w:szCs w:val="20"/>
              </w:rPr>
            </w:pPr>
            <w:r>
              <w:rPr>
                <w:rFonts w:cs="Arial"/>
                <w:szCs w:val="20"/>
              </w:rPr>
              <w:t>77</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4043B8" w:rsidP="00EC2CB1">
      <w:r w:rsidRPr="004043B8">
        <w:rPr>
          <w:noProof/>
          <w:lang w:eastAsia="en-AU"/>
        </w:rPr>
        <w:drawing>
          <wp:inline distT="0" distB="0" distL="0" distR="0" wp14:anchorId="14A46660" wp14:editId="01F82BB3">
            <wp:extent cx="5731510" cy="1736473"/>
            <wp:effectExtent l="0" t="0" r="2540" b="0"/>
            <wp:docPr id="20" name="Picture 20" descr="Figure 3.2 shows the daily hub offers and bid in within certain price bands in Adelaide this week. The line indicates the scheduled quantity for each day. For a more detailed description of this figure, please refer to the user guide." title="Adelaid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3647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4043B8" w:rsidP="00EC2CB1">
      <w:r w:rsidRPr="004043B8">
        <w:rPr>
          <w:noProof/>
          <w:lang w:eastAsia="en-AU"/>
        </w:rPr>
        <w:drawing>
          <wp:inline distT="0" distB="0" distL="0" distR="0" wp14:anchorId="2B29623A" wp14:editId="6DAA05F6">
            <wp:extent cx="5731510" cy="1508197"/>
            <wp:effectExtent l="0" t="0" r="2540" b="0"/>
            <wp:docPr id="27" name="Picture 27" descr="Figure 3.3 shows the daily scheduled and allocated quantities sorted by facility for Adelaide this week. For a more detailed description of this figure, please refer to the user guide." title="Adelaide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50819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4043B8" w:rsidP="00A226E9">
      <w:r w:rsidRPr="004043B8">
        <w:rPr>
          <w:noProof/>
          <w:lang w:eastAsia="en-AU"/>
        </w:rPr>
        <w:drawing>
          <wp:inline distT="0" distB="0" distL="0" distR="0" wp14:anchorId="060480AD" wp14:editId="75C9245E">
            <wp:extent cx="5731510" cy="1805030"/>
            <wp:effectExtent l="0" t="0" r="2540" b="5080"/>
            <wp:docPr id="36" name="Picture 36"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05030"/>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4043B8" w:rsidRPr="00405CDE" w:rsidTr="00A226E9">
        <w:trPr>
          <w:trHeight w:val="510"/>
        </w:trPr>
        <w:tc>
          <w:tcPr>
            <w:tcW w:w="1152" w:type="pct"/>
            <w:tcBorders>
              <w:top w:val="nil"/>
              <w:bottom w:val="nil"/>
            </w:tcBorders>
            <w:vAlign w:val="center"/>
          </w:tcPr>
          <w:p w:rsidR="004043B8" w:rsidRDefault="004043B8">
            <w:pPr>
              <w:rPr>
                <w:rFonts w:cs="Arial"/>
                <w:sz w:val="20"/>
                <w:szCs w:val="20"/>
              </w:rPr>
            </w:pPr>
            <w:r>
              <w:rPr>
                <w:rFonts w:cs="Arial"/>
                <w:sz w:val="20"/>
                <w:szCs w:val="20"/>
              </w:rPr>
              <w:t>Ex ante price ($/GJ)</w:t>
            </w:r>
          </w:p>
        </w:tc>
        <w:tc>
          <w:tcPr>
            <w:tcW w:w="589" w:type="pct"/>
            <w:tcBorders>
              <w:top w:val="nil"/>
              <w:bottom w:val="nil"/>
            </w:tcBorders>
            <w:vAlign w:val="center"/>
          </w:tcPr>
          <w:p w:rsidR="004043B8" w:rsidRDefault="004043B8">
            <w:pPr>
              <w:jc w:val="center"/>
              <w:rPr>
                <w:rFonts w:cs="Arial"/>
                <w:sz w:val="20"/>
                <w:szCs w:val="20"/>
              </w:rPr>
            </w:pPr>
            <w:r>
              <w:rPr>
                <w:rFonts w:cs="Arial"/>
                <w:sz w:val="20"/>
                <w:szCs w:val="20"/>
              </w:rPr>
              <w:t>6.90</w:t>
            </w:r>
          </w:p>
        </w:tc>
        <w:tc>
          <w:tcPr>
            <w:tcW w:w="516" w:type="pct"/>
            <w:tcBorders>
              <w:top w:val="nil"/>
              <w:bottom w:val="nil"/>
            </w:tcBorders>
            <w:vAlign w:val="center"/>
          </w:tcPr>
          <w:p w:rsidR="004043B8" w:rsidRDefault="004043B8">
            <w:pPr>
              <w:jc w:val="center"/>
              <w:rPr>
                <w:rFonts w:cs="Arial"/>
                <w:sz w:val="20"/>
                <w:szCs w:val="20"/>
              </w:rPr>
            </w:pPr>
            <w:r>
              <w:rPr>
                <w:rFonts w:cs="Arial"/>
                <w:sz w:val="20"/>
                <w:szCs w:val="20"/>
              </w:rPr>
              <w:t>7.73</w:t>
            </w:r>
          </w:p>
        </w:tc>
        <w:tc>
          <w:tcPr>
            <w:tcW w:w="598" w:type="pct"/>
            <w:tcBorders>
              <w:top w:val="nil"/>
              <w:bottom w:val="nil"/>
            </w:tcBorders>
            <w:vAlign w:val="center"/>
          </w:tcPr>
          <w:p w:rsidR="004043B8" w:rsidRDefault="004043B8">
            <w:pPr>
              <w:jc w:val="center"/>
              <w:rPr>
                <w:rFonts w:cs="Arial"/>
                <w:sz w:val="20"/>
                <w:szCs w:val="20"/>
              </w:rPr>
            </w:pPr>
            <w:r>
              <w:rPr>
                <w:rFonts w:cs="Arial"/>
                <w:sz w:val="20"/>
                <w:szCs w:val="20"/>
              </w:rPr>
              <w:t>7.38</w:t>
            </w:r>
          </w:p>
        </w:tc>
        <w:tc>
          <w:tcPr>
            <w:tcW w:w="525" w:type="pct"/>
            <w:tcBorders>
              <w:top w:val="nil"/>
              <w:bottom w:val="nil"/>
            </w:tcBorders>
            <w:vAlign w:val="center"/>
          </w:tcPr>
          <w:p w:rsidR="004043B8" w:rsidRDefault="004043B8">
            <w:pPr>
              <w:jc w:val="center"/>
              <w:rPr>
                <w:rFonts w:cs="Arial"/>
                <w:sz w:val="20"/>
                <w:szCs w:val="20"/>
              </w:rPr>
            </w:pPr>
            <w:r>
              <w:rPr>
                <w:rFonts w:cs="Arial"/>
                <w:sz w:val="20"/>
                <w:szCs w:val="20"/>
              </w:rPr>
              <w:t>7.41</w:t>
            </w:r>
          </w:p>
        </w:tc>
        <w:tc>
          <w:tcPr>
            <w:tcW w:w="518" w:type="pct"/>
            <w:tcBorders>
              <w:top w:val="nil"/>
              <w:bottom w:val="nil"/>
            </w:tcBorders>
            <w:vAlign w:val="center"/>
          </w:tcPr>
          <w:p w:rsidR="004043B8" w:rsidRDefault="004043B8">
            <w:pPr>
              <w:jc w:val="center"/>
              <w:rPr>
                <w:rFonts w:cs="Arial"/>
                <w:sz w:val="20"/>
                <w:szCs w:val="20"/>
              </w:rPr>
            </w:pPr>
            <w:r>
              <w:rPr>
                <w:rFonts w:cs="Arial"/>
                <w:sz w:val="20"/>
                <w:szCs w:val="20"/>
              </w:rPr>
              <w:t>7.86</w:t>
            </w:r>
          </w:p>
        </w:tc>
        <w:tc>
          <w:tcPr>
            <w:tcW w:w="515" w:type="pct"/>
            <w:tcBorders>
              <w:top w:val="nil"/>
              <w:bottom w:val="nil"/>
            </w:tcBorders>
            <w:vAlign w:val="center"/>
          </w:tcPr>
          <w:p w:rsidR="004043B8" w:rsidRDefault="004043B8">
            <w:pPr>
              <w:jc w:val="center"/>
              <w:rPr>
                <w:rFonts w:cs="Arial"/>
                <w:sz w:val="20"/>
                <w:szCs w:val="20"/>
              </w:rPr>
            </w:pPr>
            <w:r>
              <w:rPr>
                <w:rFonts w:cs="Arial"/>
                <w:sz w:val="20"/>
                <w:szCs w:val="20"/>
              </w:rPr>
              <w:t>7.88</w:t>
            </w:r>
          </w:p>
        </w:tc>
        <w:tc>
          <w:tcPr>
            <w:tcW w:w="587" w:type="pct"/>
            <w:tcBorders>
              <w:top w:val="nil"/>
              <w:bottom w:val="nil"/>
            </w:tcBorders>
            <w:vAlign w:val="center"/>
          </w:tcPr>
          <w:p w:rsidR="004043B8" w:rsidRDefault="004043B8">
            <w:pPr>
              <w:jc w:val="center"/>
              <w:rPr>
                <w:rFonts w:cs="Arial"/>
                <w:sz w:val="20"/>
                <w:szCs w:val="20"/>
              </w:rPr>
            </w:pPr>
            <w:r>
              <w:rPr>
                <w:rFonts w:cs="Arial"/>
                <w:sz w:val="20"/>
                <w:szCs w:val="20"/>
              </w:rPr>
              <w:t>7.47</w:t>
            </w:r>
          </w:p>
        </w:tc>
      </w:tr>
      <w:tr w:rsidR="004043B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4043B8" w:rsidRDefault="004043B8">
            <w:pPr>
              <w:rPr>
                <w:rFonts w:cs="Arial"/>
                <w:szCs w:val="20"/>
              </w:rPr>
            </w:pPr>
            <w:r>
              <w:rPr>
                <w:rFonts w:cs="Arial"/>
                <w:szCs w:val="20"/>
              </w:rPr>
              <w:t>Ex ante quantity (TJ)</w:t>
            </w:r>
          </w:p>
        </w:tc>
        <w:tc>
          <w:tcPr>
            <w:tcW w:w="589" w:type="pct"/>
            <w:tcBorders>
              <w:top w:val="nil"/>
              <w:bottom w:val="nil"/>
            </w:tcBorders>
            <w:vAlign w:val="center"/>
          </w:tcPr>
          <w:p w:rsidR="004043B8" w:rsidRDefault="004043B8">
            <w:pPr>
              <w:jc w:val="center"/>
              <w:rPr>
                <w:rFonts w:cs="Arial"/>
                <w:szCs w:val="20"/>
              </w:rPr>
            </w:pPr>
            <w:r>
              <w:rPr>
                <w:rFonts w:cs="Arial"/>
                <w:szCs w:val="20"/>
              </w:rPr>
              <w:t>81</w:t>
            </w:r>
          </w:p>
        </w:tc>
        <w:tc>
          <w:tcPr>
            <w:tcW w:w="516" w:type="pct"/>
            <w:tcBorders>
              <w:top w:val="nil"/>
              <w:bottom w:val="nil"/>
            </w:tcBorders>
            <w:vAlign w:val="center"/>
          </w:tcPr>
          <w:p w:rsidR="004043B8" w:rsidRDefault="004043B8">
            <w:pPr>
              <w:jc w:val="center"/>
              <w:rPr>
                <w:rFonts w:cs="Arial"/>
                <w:szCs w:val="20"/>
              </w:rPr>
            </w:pPr>
            <w:r>
              <w:rPr>
                <w:rFonts w:cs="Arial"/>
                <w:szCs w:val="20"/>
              </w:rPr>
              <w:t>98</w:t>
            </w:r>
          </w:p>
        </w:tc>
        <w:tc>
          <w:tcPr>
            <w:tcW w:w="598" w:type="pct"/>
            <w:tcBorders>
              <w:top w:val="nil"/>
              <w:bottom w:val="nil"/>
            </w:tcBorders>
            <w:vAlign w:val="center"/>
          </w:tcPr>
          <w:p w:rsidR="004043B8" w:rsidRDefault="004043B8">
            <w:pPr>
              <w:jc w:val="center"/>
              <w:rPr>
                <w:rFonts w:cs="Arial"/>
                <w:szCs w:val="20"/>
              </w:rPr>
            </w:pPr>
            <w:r>
              <w:rPr>
                <w:rFonts w:cs="Arial"/>
                <w:szCs w:val="20"/>
              </w:rPr>
              <w:t>99</w:t>
            </w:r>
          </w:p>
        </w:tc>
        <w:tc>
          <w:tcPr>
            <w:tcW w:w="525" w:type="pct"/>
            <w:tcBorders>
              <w:top w:val="nil"/>
              <w:bottom w:val="nil"/>
            </w:tcBorders>
            <w:vAlign w:val="center"/>
          </w:tcPr>
          <w:p w:rsidR="004043B8" w:rsidRDefault="004043B8">
            <w:pPr>
              <w:jc w:val="center"/>
              <w:rPr>
                <w:rFonts w:cs="Arial"/>
                <w:szCs w:val="20"/>
              </w:rPr>
            </w:pPr>
            <w:r>
              <w:rPr>
                <w:rFonts w:cs="Arial"/>
                <w:szCs w:val="20"/>
              </w:rPr>
              <w:t>100</w:t>
            </w:r>
          </w:p>
        </w:tc>
        <w:tc>
          <w:tcPr>
            <w:tcW w:w="518" w:type="pct"/>
            <w:tcBorders>
              <w:top w:val="nil"/>
              <w:bottom w:val="nil"/>
            </w:tcBorders>
            <w:vAlign w:val="center"/>
          </w:tcPr>
          <w:p w:rsidR="004043B8" w:rsidRDefault="004043B8">
            <w:pPr>
              <w:jc w:val="center"/>
              <w:rPr>
                <w:rFonts w:cs="Arial"/>
                <w:szCs w:val="20"/>
              </w:rPr>
            </w:pPr>
            <w:r>
              <w:rPr>
                <w:rFonts w:cs="Arial"/>
                <w:szCs w:val="20"/>
              </w:rPr>
              <w:t>98</w:t>
            </w:r>
          </w:p>
        </w:tc>
        <w:tc>
          <w:tcPr>
            <w:tcW w:w="515" w:type="pct"/>
            <w:tcBorders>
              <w:top w:val="nil"/>
              <w:bottom w:val="nil"/>
            </w:tcBorders>
            <w:vAlign w:val="center"/>
          </w:tcPr>
          <w:p w:rsidR="004043B8" w:rsidRDefault="004043B8">
            <w:pPr>
              <w:jc w:val="center"/>
              <w:rPr>
                <w:rFonts w:cs="Arial"/>
                <w:szCs w:val="20"/>
              </w:rPr>
            </w:pPr>
            <w:r>
              <w:rPr>
                <w:rFonts w:cs="Arial"/>
                <w:szCs w:val="20"/>
              </w:rPr>
              <w:t>94</w:t>
            </w:r>
          </w:p>
        </w:tc>
        <w:tc>
          <w:tcPr>
            <w:tcW w:w="587" w:type="pct"/>
            <w:tcBorders>
              <w:top w:val="nil"/>
              <w:bottom w:val="nil"/>
            </w:tcBorders>
            <w:vAlign w:val="center"/>
          </w:tcPr>
          <w:p w:rsidR="004043B8" w:rsidRDefault="004043B8">
            <w:pPr>
              <w:jc w:val="center"/>
              <w:rPr>
                <w:rFonts w:cs="Arial"/>
                <w:szCs w:val="20"/>
              </w:rPr>
            </w:pPr>
            <w:r>
              <w:rPr>
                <w:rFonts w:cs="Arial"/>
                <w:szCs w:val="20"/>
              </w:rPr>
              <w:t>82</w:t>
            </w:r>
          </w:p>
        </w:tc>
      </w:tr>
      <w:tr w:rsidR="004043B8" w:rsidRPr="00405CDE" w:rsidTr="00A226E9">
        <w:trPr>
          <w:trHeight w:val="510"/>
        </w:trPr>
        <w:tc>
          <w:tcPr>
            <w:tcW w:w="1152" w:type="pct"/>
            <w:tcBorders>
              <w:top w:val="nil"/>
              <w:bottom w:val="nil"/>
            </w:tcBorders>
            <w:vAlign w:val="center"/>
          </w:tcPr>
          <w:p w:rsidR="004043B8" w:rsidRDefault="004043B8">
            <w:pPr>
              <w:rPr>
                <w:rFonts w:cs="Arial"/>
                <w:sz w:val="20"/>
                <w:szCs w:val="20"/>
              </w:rPr>
            </w:pPr>
            <w:r>
              <w:rPr>
                <w:rFonts w:cs="Arial"/>
                <w:sz w:val="20"/>
                <w:szCs w:val="20"/>
              </w:rPr>
              <w:t>Ex post price ($/GJ)</w:t>
            </w:r>
          </w:p>
        </w:tc>
        <w:tc>
          <w:tcPr>
            <w:tcW w:w="589" w:type="pct"/>
            <w:tcBorders>
              <w:top w:val="nil"/>
              <w:bottom w:val="nil"/>
            </w:tcBorders>
            <w:vAlign w:val="center"/>
          </w:tcPr>
          <w:p w:rsidR="004043B8" w:rsidRDefault="004043B8">
            <w:pPr>
              <w:jc w:val="center"/>
              <w:rPr>
                <w:rFonts w:cs="Arial"/>
                <w:sz w:val="20"/>
                <w:szCs w:val="20"/>
              </w:rPr>
            </w:pPr>
            <w:r>
              <w:rPr>
                <w:rFonts w:cs="Arial"/>
                <w:sz w:val="20"/>
                <w:szCs w:val="20"/>
              </w:rPr>
              <w:t>7.33</w:t>
            </w:r>
          </w:p>
        </w:tc>
        <w:tc>
          <w:tcPr>
            <w:tcW w:w="516" w:type="pct"/>
            <w:tcBorders>
              <w:top w:val="nil"/>
              <w:bottom w:val="nil"/>
            </w:tcBorders>
            <w:vAlign w:val="center"/>
          </w:tcPr>
          <w:p w:rsidR="004043B8" w:rsidRDefault="004043B8">
            <w:pPr>
              <w:jc w:val="center"/>
              <w:rPr>
                <w:rFonts w:cs="Arial"/>
                <w:sz w:val="20"/>
                <w:szCs w:val="20"/>
              </w:rPr>
            </w:pPr>
            <w:r>
              <w:rPr>
                <w:rFonts w:cs="Arial"/>
                <w:sz w:val="20"/>
                <w:szCs w:val="20"/>
              </w:rPr>
              <w:t>7.73</w:t>
            </w:r>
          </w:p>
        </w:tc>
        <w:tc>
          <w:tcPr>
            <w:tcW w:w="598" w:type="pct"/>
            <w:tcBorders>
              <w:top w:val="nil"/>
              <w:bottom w:val="nil"/>
            </w:tcBorders>
            <w:vAlign w:val="center"/>
          </w:tcPr>
          <w:p w:rsidR="004043B8" w:rsidRDefault="004043B8">
            <w:pPr>
              <w:jc w:val="center"/>
              <w:rPr>
                <w:rFonts w:cs="Arial"/>
                <w:sz w:val="20"/>
                <w:szCs w:val="20"/>
              </w:rPr>
            </w:pPr>
            <w:r>
              <w:rPr>
                <w:rFonts w:cs="Arial"/>
                <w:sz w:val="20"/>
                <w:szCs w:val="20"/>
              </w:rPr>
              <w:t>7.38</w:t>
            </w:r>
          </w:p>
        </w:tc>
        <w:tc>
          <w:tcPr>
            <w:tcW w:w="525" w:type="pct"/>
            <w:tcBorders>
              <w:top w:val="nil"/>
              <w:bottom w:val="nil"/>
            </w:tcBorders>
            <w:vAlign w:val="center"/>
          </w:tcPr>
          <w:p w:rsidR="004043B8" w:rsidRDefault="004043B8">
            <w:pPr>
              <w:jc w:val="center"/>
              <w:rPr>
                <w:rFonts w:cs="Arial"/>
                <w:sz w:val="20"/>
                <w:szCs w:val="20"/>
              </w:rPr>
            </w:pPr>
            <w:r>
              <w:rPr>
                <w:rFonts w:cs="Arial"/>
                <w:sz w:val="20"/>
                <w:szCs w:val="20"/>
              </w:rPr>
              <w:t>7.40</w:t>
            </w:r>
          </w:p>
        </w:tc>
        <w:tc>
          <w:tcPr>
            <w:tcW w:w="518" w:type="pct"/>
            <w:tcBorders>
              <w:top w:val="nil"/>
              <w:bottom w:val="nil"/>
            </w:tcBorders>
            <w:vAlign w:val="center"/>
          </w:tcPr>
          <w:p w:rsidR="004043B8" w:rsidRDefault="004043B8">
            <w:pPr>
              <w:jc w:val="center"/>
              <w:rPr>
                <w:rFonts w:cs="Arial"/>
                <w:sz w:val="20"/>
                <w:szCs w:val="20"/>
              </w:rPr>
            </w:pPr>
            <w:r>
              <w:rPr>
                <w:rFonts w:cs="Arial"/>
                <w:sz w:val="20"/>
                <w:szCs w:val="20"/>
              </w:rPr>
              <w:t>7.86</w:t>
            </w:r>
          </w:p>
        </w:tc>
        <w:tc>
          <w:tcPr>
            <w:tcW w:w="515" w:type="pct"/>
            <w:tcBorders>
              <w:top w:val="nil"/>
              <w:bottom w:val="nil"/>
            </w:tcBorders>
            <w:vAlign w:val="center"/>
          </w:tcPr>
          <w:p w:rsidR="004043B8" w:rsidRDefault="004043B8">
            <w:pPr>
              <w:jc w:val="center"/>
              <w:rPr>
                <w:rFonts w:cs="Arial"/>
                <w:sz w:val="20"/>
                <w:szCs w:val="20"/>
              </w:rPr>
            </w:pPr>
            <w:r>
              <w:rPr>
                <w:rFonts w:cs="Arial"/>
                <w:sz w:val="20"/>
                <w:szCs w:val="20"/>
              </w:rPr>
              <w:t>7.88</w:t>
            </w:r>
          </w:p>
        </w:tc>
        <w:tc>
          <w:tcPr>
            <w:tcW w:w="587" w:type="pct"/>
            <w:tcBorders>
              <w:top w:val="nil"/>
              <w:bottom w:val="nil"/>
            </w:tcBorders>
            <w:vAlign w:val="center"/>
          </w:tcPr>
          <w:p w:rsidR="004043B8" w:rsidRDefault="004043B8">
            <w:pPr>
              <w:jc w:val="center"/>
              <w:rPr>
                <w:rFonts w:cs="Arial"/>
                <w:sz w:val="20"/>
                <w:szCs w:val="20"/>
              </w:rPr>
            </w:pPr>
            <w:r>
              <w:rPr>
                <w:rFonts w:cs="Arial"/>
                <w:sz w:val="20"/>
                <w:szCs w:val="20"/>
              </w:rPr>
              <w:t>7.47</w:t>
            </w:r>
          </w:p>
        </w:tc>
      </w:tr>
      <w:tr w:rsidR="004043B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4043B8" w:rsidRDefault="004043B8">
            <w:pPr>
              <w:rPr>
                <w:rFonts w:cs="Arial"/>
                <w:szCs w:val="20"/>
              </w:rPr>
            </w:pPr>
            <w:r>
              <w:rPr>
                <w:rFonts w:cs="Arial"/>
                <w:szCs w:val="20"/>
              </w:rPr>
              <w:t>Ex post quantity (TJ)</w:t>
            </w:r>
          </w:p>
        </w:tc>
        <w:tc>
          <w:tcPr>
            <w:tcW w:w="589" w:type="pct"/>
            <w:tcBorders>
              <w:top w:val="nil"/>
              <w:bottom w:val="single" w:sz="4" w:space="0" w:color="auto"/>
            </w:tcBorders>
            <w:vAlign w:val="center"/>
          </w:tcPr>
          <w:p w:rsidR="004043B8" w:rsidRDefault="004043B8">
            <w:pPr>
              <w:jc w:val="center"/>
              <w:rPr>
                <w:rFonts w:cs="Arial"/>
                <w:szCs w:val="20"/>
              </w:rPr>
            </w:pPr>
            <w:r>
              <w:rPr>
                <w:rFonts w:cs="Arial"/>
                <w:szCs w:val="20"/>
              </w:rPr>
              <w:t>83</w:t>
            </w:r>
          </w:p>
        </w:tc>
        <w:tc>
          <w:tcPr>
            <w:tcW w:w="516" w:type="pct"/>
            <w:tcBorders>
              <w:top w:val="nil"/>
              <w:bottom w:val="single" w:sz="4" w:space="0" w:color="auto"/>
            </w:tcBorders>
            <w:vAlign w:val="center"/>
          </w:tcPr>
          <w:p w:rsidR="004043B8" w:rsidRDefault="004043B8">
            <w:pPr>
              <w:jc w:val="center"/>
              <w:rPr>
                <w:rFonts w:cs="Arial"/>
                <w:szCs w:val="20"/>
              </w:rPr>
            </w:pPr>
            <w:r>
              <w:rPr>
                <w:rFonts w:cs="Arial"/>
                <w:szCs w:val="20"/>
              </w:rPr>
              <w:t>98</w:t>
            </w:r>
          </w:p>
        </w:tc>
        <w:tc>
          <w:tcPr>
            <w:tcW w:w="598" w:type="pct"/>
            <w:tcBorders>
              <w:top w:val="nil"/>
              <w:bottom w:val="single" w:sz="4" w:space="0" w:color="auto"/>
            </w:tcBorders>
            <w:vAlign w:val="center"/>
          </w:tcPr>
          <w:p w:rsidR="004043B8" w:rsidRDefault="004043B8">
            <w:pPr>
              <w:jc w:val="center"/>
              <w:rPr>
                <w:rFonts w:cs="Arial"/>
                <w:szCs w:val="20"/>
              </w:rPr>
            </w:pPr>
            <w:r>
              <w:rPr>
                <w:rFonts w:cs="Arial"/>
                <w:szCs w:val="20"/>
              </w:rPr>
              <w:t>97</w:t>
            </w:r>
          </w:p>
        </w:tc>
        <w:tc>
          <w:tcPr>
            <w:tcW w:w="525" w:type="pct"/>
            <w:tcBorders>
              <w:top w:val="nil"/>
              <w:bottom w:val="single" w:sz="4" w:space="0" w:color="auto"/>
            </w:tcBorders>
            <w:vAlign w:val="center"/>
          </w:tcPr>
          <w:p w:rsidR="004043B8" w:rsidRDefault="004043B8">
            <w:pPr>
              <w:jc w:val="center"/>
              <w:rPr>
                <w:rFonts w:cs="Arial"/>
                <w:szCs w:val="20"/>
              </w:rPr>
            </w:pPr>
            <w:r>
              <w:rPr>
                <w:rFonts w:cs="Arial"/>
                <w:szCs w:val="20"/>
              </w:rPr>
              <w:t>98</w:t>
            </w:r>
          </w:p>
        </w:tc>
        <w:tc>
          <w:tcPr>
            <w:tcW w:w="518" w:type="pct"/>
            <w:tcBorders>
              <w:top w:val="nil"/>
              <w:bottom w:val="single" w:sz="4" w:space="0" w:color="auto"/>
            </w:tcBorders>
            <w:vAlign w:val="center"/>
          </w:tcPr>
          <w:p w:rsidR="004043B8" w:rsidRDefault="004043B8">
            <w:pPr>
              <w:jc w:val="center"/>
              <w:rPr>
                <w:rFonts w:cs="Arial"/>
                <w:szCs w:val="20"/>
              </w:rPr>
            </w:pPr>
            <w:r>
              <w:rPr>
                <w:rFonts w:cs="Arial"/>
                <w:szCs w:val="20"/>
              </w:rPr>
              <w:t>94</w:t>
            </w:r>
          </w:p>
        </w:tc>
        <w:tc>
          <w:tcPr>
            <w:tcW w:w="515" w:type="pct"/>
            <w:tcBorders>
              <w:top w:val="nil"/>
              <w:bottom w:val="single" w:sz="4" w:space="0" w:color="auto"/>
            </w:tcBorders>
            <w:vAlign w:val="center"/>
          </w:tcPr>
          <w:p w:rsidR="004043B8" w:rsidRDefault="004043B8">
            <w:pPr>
              <w:jc w:val="center"/>
              <w:rPr>
                <w:rFonts w:cs="Arial"/>
                <w:szCs w:val="20"/>
              </w:rPr>
            </w:pPr>
            <w:r>
              <w:rPr>
                <w:rFonts w:cs="Arial"/>
                <w:szCs w:val="20"/>
              </w:rPr>
              <w:t>92</w:t>
            </w:r>
          </w:p>
        </w:tc>
        <w:tc>
          <w:tcPr>
            <w:tcW w:w="587" w:type="pct"/>
            <w:tcBorders>
              <w:top w:val="nil"/>
              <w:bottom w:val="single" w:sz="4" w:space="0" w:color="auto"/>
            </w:tcBorders>
            <w:vAlign w:val="center"/>
          </w:tcPr>
          <w:p w:rsidR="004043B8" w:rsidRDefault="004043B8">
            <w:pPr>
              <w:jc w:val="center"/>
              <w:rPr>
                <w:rFonts w:cs="Arial"/>
                <w:szCs w:val="20"/>
              </w:rPr>
            </w:pPr>
            <w:r>
              <w:rPr>
                <w:rFonts w:cs="Arial"/>
                <w:szCs w:val="20"/>
              </w:rPr>
              <w:t>80</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4043B8" w:rsidP="00EC2CB1">
      <w:r w:rsidRPr="004043B8">
        <w:rPr>
          <w:noProof/>
          <w:lang w:eastAsia="en-AU"/>
        </w:rPr>
        <w:drawing>
          <wp:inline distT="0" distB="0" distL="0" distR="0" wp14:anchorId="15D82923" wp14:editId="20AED159">
            <wp:extent cx="5731510" cy="1728881"/>
            <wp:effectExtent l="0" t="0" r="2540" b="0"/>
            <wp:docPr id="18" name="Picture 18" descr="Figure 4.2 shows the daily hub offers and bid in within certain price bands in Brisbane this week. The line indicates the scheduled quantity for each day. For a more detailed description of this figure, please refer to the user guide." title="Brisban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728881"/>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4043B8" w:rsidP="00EC2CB1">
      <w:r w:rsidRPr="004043B8">
        <w:rPr>
          <w:noProof/>
          <w:lang w:eastAsia="en-AU"/>
        </w:rPr>
        <w:drawing>
          <wp:inline distT="0" distB="0" distL="0" distR="0" wp14:anchorId="438A27F9" wp14:editId="262C5E4A">
            <wp:extent cx="5731510" cy="1475789"/>
            <wp:effectExtent l="0" t="0" r="2540" b="0"/>
            <wp:docPr id="32" name="Picture 32" descr="Figure 4.3 shows the daily scheduled and allocated quantities sorted by facility for Brisbane this week. For a more detailed description of this figure, please refer to the user guide." title="Brisbane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1475789"/>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4043B8" w:rsidP="00A226E9">
      <w:r w:rsidRPr="004043B8">
        <w:rPr>
          <w:noProof/>
          <w:lang w:eastAsia="en-AU"/>
        </w:rPr>
        <w:drawing>
          <wp:inline distT="0" distB="0" distL="0" distR="0" wp14:anchorId="2974AE51" wp14:editId="7C502FAA">
            <wp:extent cx="5731510" cy="1882673"/>
            <wp:effectExtent l="0" t="0" r="2540" b="3810"/>
            <wp:docPr id="35" name="Picture 35"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882673"/>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4"/>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5"/>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6"/>
      </w:r>
    </w:p>
    <w:p w:rsidR="00665C0C" w:rsidRDefault="004043B8" w:rsidP="00596DE3">
      <w:pPr>
        <w:spacing w:line="240" w:lineRule="auto"/>
      </w:pPr>
      <w:r>
        <w:rPr>
          <w:b/>
          <w:bCs/>
          <w:noProof/>
          <w:lang w:eastAsia="en-AU"/>
        </w:rPr>
        <w:drawing>
          <wp:inline distT="0" distB="0" distL="0" distR="0">
            <wp:extent cx="5731510" cy="6276978"/>
            <wp:effectExtent l="0" t="0" r="2540" b="9525"/>
            <wp:docPr id="38" name="Picture 38"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6276978"/>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7"/>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Default="00366910" w:rsidP="00551D6B">
      <w:pPr>
        <w:jc w:val="both"/>
      </w:pPr>
      <w:r w:rsidRPr="00B6163C">
        <w:t xml:space="preserve">This week there were </w:t>
      </w:r>
      <w:r w:rsidR="00B6163C" w:rsidRPr="00B6163C">
        <w:t>47</w:t>
      </w:r>
      <w:r w:rsidRPr="00B6163C">
        <w:t xml:space="preserve"> trades for </w:t>
      </w:r>
      <w:r w:rsidR="00B6163C" w:rsidRPr="00B6163C">
        <w:t>600</w:t>
      </w:r>
      <w:r w:rsidRPr="00B6163C">
        <w:t> TJ of gas at a volume weighted price of $</w:t>
      </w:r>
      <w:r w:rsidR="00B6163C" w:rsidRPr="00B6163C">
        <w:t>7.98</w:t>
      </w:r>
      <w:r w:rsidRPr="00B6163C">
        <w:t xml:space="preserve">/GJ. These consisted of </w:t>
      </w:r>
      <w:r w:rsidR="00B6163C" w:rsidRPr="00B6163C">
        <w:t>28</w:t>
      </w:r>
      <w:r w:rsidRPr="00B6163C">
        <w:t xml:space="preserve"> trades at WAL (</w:t>
      </w:r>
      <w:r w:rsidR="00B6163C" w:rsidRPr="00B6163C">
        <w:t>493</w:t>
      </w:r>
      <w:r w:rsidRPr="00B6163C">
        <w:t xml:space="preserve"> TJ at </w:t>
      </w:r>
      <w:r w:rsidR="00B6163C" w:rsidRPr="00B6163C">
        <w:t>$8.09/GJ) and 19 trades at SEQ (107</w:t>
      </w:r>
      <w:r w:rsidRPr="00B6163C">
        <w:t> TJ at $</w:t>
      </w:r>
      <w:r w:rsidR="00B6163C" w:rsidRPr="00B6163C">
        <w:t>7.47</w:t>
      </w:r>
      <w:r w:rsidRPr="00B6163C">
        <w:t>/GJ).</w:t>
      </w:r>
      <w:r w:rsidR="00B402D5">
        <w:t xml:space="preserve"> Figure 6.1 highlights four weekly trades on 29 June, which accounted for 315 TJ of the gas traded in the hub this week (the majority of this gas was traded off-market at WAL for $8.30/GJ, with one SEQ trade on the exchange for $7.80/GJ).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8"/>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AD5D3E" w:rsidP="00E16EDC">
      <w:r w:rsidRPr="00AD5D3E">
        <w:rPr>
          <w:noProof/>
          <w:lang w:eastAsia="en-AU"/>
        </w:rPr>
        <w:drawing>
          <wp:inline distT="0" distB="0" distL="0" distR="0" wp14:anchorId="5A4E8677" wp14:editId="118963D1">
            <wp:extent cx="5731510" cy="3126209"/>
            <wp:effectExtent l="0" t="0" r="2540" b="0"/>
            <wp:docPr id="5" name="Picture 5"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126209"/>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B6163C" w:rsidRPr="00B6163C">
        <w:t>July</w:t>
      </w:r>
      <w:r w:rsidR="004D5447" w:rsidRPr="00B6163C">
        <w:t xml:space="preserve"> </w:t>
      </w:r>
      <w:r w:rsidR="00C4712A" w:rsidRPr="00B6163C">
        <w:t>20</w:t>
      </w:r>
      <w:r w:rsidR="00280CAF" w:rsidRPr="00B6163C">
        <w:t>17</w:t>
      </w:r>
      <w:bookmarkStart w:id="6" w:name="_GoBack"/>
      <w:bookmarkEnd w:id="6"/>
    </w:p>
    <w:sectPr w:rsidR="00275002" w:rsidRPr="009F2CAC" w:rsidSect="00A226E9">
      <w:footerReference w:type="even" r:id="rId35"/>
      <w:footerReference w:type="default" r:id="rId36"/>
      <w:footerReference w:type="first" r:id="rId37"/>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B12" w:rsidRDefault="001E6B12" w:rsidP="004B4412">
      <w:pPr>
        <w:spacing w:before="0"/>
      </w:pPr>
      <w:r>
        <w:separator/>
      </w:r>
    </w:p>
  </w:endnote>
  <w:endnote w:type="continuationSeparator" w:id="0">
    <w:p w:rsidR="001E6B12" w:rsidRDefault="001E6B12"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B12" w:rsidRPr="00A91A9E" w:rsidRDefault="001E6B12"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1E6B12" w:rsidRDefault="001E6B12"/>
  <w:p w:rsidR="001E6B12" w:rsidRDefault="001E6B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B12" w:rsidRPr="00A94D89" w:rsidRDefault="001E6B12"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910F5F">
      <w:rPr>
        <w:rFonts w:cs="Arial"/>
        <w:i/>
        <w:noProof/>
      </w:rPr>
      <w:t>14</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B12" w:rsidRPr="00A94D89" w:rsidRDefault="001E6B12"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910F5F">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93243</w:t>
    </w:r>
  </w:p>
  <w:p w:rsidR="001E6B12" w:rsidRDefault="001E6B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B12" w:rsidRDefault="001E6B12" w:rsidP="004B4412">
      <w:pPr>
        <w:spacing w:before="0"/>
      </w:pPr>
      <w:r>
        <w:separator/>
      </w:r>
    </w:p>
  </w:footnote>
  <w:footnote w:type="continuationSeparator" w:id="0">
    <w:p w:rsidR="001E6B12" w:rsidRDefault="001E6B12" w:rsidP="004B4412">
      <w:pPr>
        <w:spacing w:before="0"/>
      </w:pPr>
      <w:r>
        <w:continuationSeparator/>
      </w:r>
    </w:p>
  </w:footnote>
  <w:footnote w:id="1">
    <w:p w:rsidR="001E6B12" w:rsidRDefault="001E6B12" w:rsidP="00984CCF">
      <w:pPr>
        <w:pStyle w:val="FootnoteText"/>
        <w:ind w:left="709" w:hanging="709"/>
        <w:jc w:val="both"/>
      </w:pPr>
      <w:r>
        <w:rPr>
          <w:rStyle w:val="FootnoteReference"/>
        </w:rPr>
        <w:footnoteRef/>
      </w:r>
      <w:r>
        <w:t xml:space="preserve"> </w:t>
      </w:r>
      <w:r>
        <w:tab/>
        <w:t>New record production levels were set on 23 June (3675 TJ), 27 June (3688 TJ), 1 July (3698 TJ) and 4 July (3710 TJ). APLNG is understood to be continuing to run its 2 trains at maximum capacity pursuant to “lenders testing” requirements, influencing the high production.</w:t>
      </w:r>
    </w:p>
  </w:footnote>
  <w:footnote w:id="2">
    <w:p w:rsidR="001E6B12" w:rsidRPr="000835F4" w:rsidRDefault="001E6B12"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3">
    <w:p w:rsidR="001E6B12" w:rsidRPr="000835F4" w:rsidRDefault="001E6B12"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4">
    <w:p w:rsidR="001E6B12" w:rsidRDefault="001E6B12" w:rsidP="0026680A">
      <w:pPr>
        <w:pStyle w:val="FootnoteText"/>
        <w:ind w:left="709" w:hanging="709"/>
        <w:jc w:val="both"/>
      </w:pPr>
      <w:r>
        <w:rPr>
          <w:rStyle w:val="FootnoteReference"/>
        </w:rPr>
        <w:footnoteRef/>
      </w:r>
      <w:r>
        <w:t xml:space="preserve"> </w:t>
      </w:r>
      <w:r>
        <w:tab/>
        <w:t>The average level of MOS decrease allocations in each month are shown in red, with the blue error bars indicating the range of MOS decrease service allocations provided across the month (minimum/maximum requirements).</w:t>
      </w:r>
    </w:p>
  </w:footnote>
  <w:footnote w:id="5">
    <w:p w:rsidR="001E6B12" w:rsidRDefault="001E6B12" w:rsidP="000D4455">
      <w:pPr>
        <w:pStyle w:val="FootnoteText"/>
        <w:ind w:left="709" w:hanging="709"/>
        <w:jc w:val="both"/>
      </w:pPr>
      <w:r>
        <w:rPr>
          <w:rStyle w:val="FootnoteReference"/>
        </w:rPr>
        <w:footnoteRef/>
      </w:r>
      <w:r>
        <w:t xml:space="preserve"> </w:t>
      </w:r>
      <w:r>
        <w:tab/>
        <w:t xml:space="preserve">The facility was constrained to 640 TJ/day just prior to the 2 pm scheduling horizon. </w:t>
      </w:r>
      <w:r w:rsidRPr="000D4455">
        <w:t>The issue was resolved the following day</w:t>
      </w:r>
      <w:r>
        <w:t>.</w:t>
      </w:r>
    </w:p>
  </w:footnote>
  <w:footnote w:id="6">
    <w:p w:rsidR="001E6B12" w:rsidRDefault="001E6B12" w:rsidP="00DC4462">
      <w:pPr>
        <w:pStyle w:val="FootnoteText"/>
        <w:ind w:left="709" w:hanging="709"/>
        <w:jc w:val="both"/>
      </w:pPr>
      <w:r>
        <w:rPr>
          <w:rStyle w:val="FootnoteReference"/>
        </w:rPr>
        <w:footnoteRef/>
      </w:r>
      <w:r>
        <w:t xml:space="preserve"> </w:t>
      </w:r>
      <w:r>
        <w:tab/>
      </w:r>
      <w:r w:rsidRPr="00DC4462">
        <w:t xml:space="preserve">Some additional supply was also provided by the relatively recently commissioned </w:t>
      </w:r>
      <w:proofErr w:type="spellStart"/>
      <w:r w:rsidRPr="00DC4462">
        <w:t>TasHub</w:t>
      </w:r>
      <w:proofErr w:type="spellEnd"/>
      <w:r w:rsidRPr="00DC4462">
        <w:t xml:space="preserve"> system point, which provides a new storage connection to the market from the Tasmanian Gas Pipeline (TGP).</w:t>
      </w:r>
      <w:r>
        <w:t xml:space="preserve"> While additional supply into Victoria was provided from NSW (Culcairn), the net flows transported more gas into NSW on that gas day.</w:t>
      </w:r>
    </w:p>
  </w:footnote>
  <w:footnote w:id="7">
    <w:p w:rsidR="001E6B12" w:rsidRDefault="001E6B12" w:rsidP="00C07965">
      <w:pPr>
        <w:pStyle w:val="FootnoteText"/>
        <w:ind w:left="709" w:hanging="709"/>
        <w:jc w:val="both"/>
      </w:pPr>
      <w:r>
        <w:rPr>
          <w:rStyle w:val="FootnoteReference"/>
        </w:rPr>
        <w:footnoteRef/>
      </w:r>
      <w:r>
        <w:t xml:space="preserve"> </w:t>
      </w:r>
      <w:r>
        <w:tab/>
        <w:t>The temperature fell to around 1 degree in the Melbourne on the morning of 1 July and was much lower at inland locations, decreasing to negative temperatures in a number of regions (including Essendon at -2 degrees). This was the coldest day since mid-July 2015.</w:t>
      </w:r>
    </w:p>
  </w:footnote>
  <w:footnote w:id="8">
    <w:p w:rsidR="001E6B12" w:rsidRPr="00EC2CB1" w:rsidRDefault="001E6B12"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9">
    <w:p w:rsidR="001E6B12" w:rsidRPr="00EC2CB1" w:rsidRDefault="001E6B12"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10">
    <w:p w:rsidR="001E6B12" w:rsidRPr="00EC2CB1" w:rsidRDefault="001E6B12"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11">
    <w:p w:rsidR="001E6B12" w:rsidRPr="00551D6B" w:rsidRDefault="001E6B12"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2">
    <w:p w:rsidR="001E6B12" w:rsidRPr="00551D6B" w:rsidRDefault="001E6B12"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3">
    <w:p w:rsidR="001E6B12" w:rsidRPr="00552F68" w:rsidRDefault="001E6B12"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4">
    <w:p w:rsidR="001E6B12" w:rsidRPr="0087350F" w:rsidRDefault="001E6B12"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1E6B12" w:rsidRPr="0087350F" w:rsidRDefault="001E6B12"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1E6B12" w:rsidRPr="0087350F" w:rsidRDefault="001E6B12"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5">
    <w:p w:rsidR="001E6B12" w:rsidRPr="0087350F" w:rsidRDefault="001E6B12"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6">
    <w:p w:rsidR="001E6B12" w:rsidRDefault="001E6B12"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7">
    <w:p w:rsidR="001E6B12" w:rsidRDefault="001E6B12"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8">
    <w:p w:rsidR="001E6B12" w:rsidRDefault="001E6B12"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mailMerge>
    <w:mainDocumentType w:val="formLetters"/>
    <w:dataType w:val="textFile"/>
    <w:activeRecord w:val="-1"/>
  </w:mailMerge>
  <w:defaultTabStop w:val="720"/>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3040\D17 93243  20170625 - 20170701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65"/>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4455"/>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5024"/>
    <w:rsid w:val="001A6790"/>
    <w:rsid w:val="001B0C3B"/>
    <w:rsid w:val="001B1960"/>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B12"/>
    <w:rsid w:val="001E6FDD"/>
    <w:rsid w:val="001F03EF"/>
    <w:rsid w:val="001F0EC9"/>
    <w:rsid w:val="001F1548"/>
    <w:rsid w:val="001F1B78"/>
    <w:rsid w:val="001F22EE"/>
    <w:rsid w:val="001F2577"/>
    <w:rsid w:val="001F3530"/>
    <w:rsid w:val="001F492E"/>
    <w:rsid w:val="001F6DA3"/>
    <w:rsid w:val="001F73B5"/>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680A"/>
    <w:rsid w:val="0026772D"/>
    <w:rsid w:val="00270A51"/>
    <w:rsid w:val="00270AF4"/>
    <w:rsid w:val="0027318A"/>
    <w:rsid w:val="00275002"/>
    <w:rsid w:val="00275927"/>
    <w:rsid w:val="002762EA"/>
    <w:rsid w:val="00276A9F"/>
    <w:rsid w:val="00276CD4"/>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E6AEA"/>
    <w:rsid w:val="002E7DAB"/>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3E"/>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6910"/>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3B8"/>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4D99"/>
    <w:rsid w:val="00495574"/>
    <w:rsid w:val="0049751C"/>
    <w:rsid w:val="004A0AB5"/>
    <w:rsid w:val="004A1061"/>
    <w:rsid w:val="004A1184"/>
    <w:rsid w:val="004A13A6"/>
    <w:rsid w:val="004A2770"/>
    <w:rsid w:val="004A315F"/>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446B"/>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489C"/>
    <w:rsid w:val="00615619"/>
    <w:rsid w:val="00615C6B"/>
    <w:rsid w:val="00616CEC"/>
    <w:rsid w:val="00620B1B"/>
    <w:rsid w:val="00621545"/>
    <w:rsid w:val="00622213"/>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009"/>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2B9B"/>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54B2F"/>
    <w:rsid w:val="00760B4D"/>
    <w:rsid w:val="00760FD8"/>
    <w:rsid w:val="007618A3"/>
    <w:rsid w:val="00762D41"/>
    <w:rsid w:val="00763E5D"/>
    <w:rsid w:val="00764C7F"/>
    <w:rsid w:val="00767740"/>
    <w:rsid w:val="00771822"/>
    <w:rsid w:val="00772A95"/>
    <w:rsid w:val="007776D7"/>
    <w:rsid w:val="00777EE6"/>
    <w:rsid w:val="00780452"/>
    <w:rsid w:val="00781A01"/>
    <w:rsid w:val="00782B23"/>
    <w:rsid w:val="00782EEA"/>
    <w:rsid w:val="0078319A"/>
    <w:rsid w:val="00783D4E"/>
    <w:rsid w:val="00783E1A"/>
    <w:rsid w:val="00784059"/>
    <w:rsid w:val="0078423F"/>
    <w:rsid w:val="00784A7E"/>
    <w:rsid w:val="007861E0"/>
    <w:rsid w:val="0079277A"/>
    <w:rsid w:val="0079310A"/>
    <w:rsid w:val="007959E7"/>
    <w:rsid w:val="00796C78"/>
    <w:rsid w:val="00796D6A"/>
    <w:rsid w:val="007972AB"/>
    <w:rsid w:val="007A1135"/>
    <w:rsid w:val="007A1428"/>
    <w:rsid w:val="007A1AB0"/>
    <w:rsid w:val="007A33E8"/>
    <w:rsid w:val="007A6656"/>
    <w:rsid w:val="007A7264"/>
    <w:rsid w:val="007B1732"/>
    <w:rsid w:val="007B2C72"/>
    <w:rsid w:val="007B3F68"/>
    <w:rsid w:val="007B497F"/>
    <w:rsid w:val="007B5042"/>
    <w:rsid w:val="007B57F8"/>
    <w:rsid w:val="007B742A"/>
    <w:rsid w:val="007B78AB"/>
    <w:rsid w:val="007C1C53"/>
    <w:rsid w:val="007C2EE8"/>
    <w:rsid w:val="007C62FE"/>
    <w:rsid w:val="007C6FE2"/>
    <w:rsid w:val="007D1133"/>
    <w:rsid w:val="007D2028"/>
    <w:rsid w:val="007D47B2"/>
    <w:rsid w:val="007D53A8"/>
    <w:rsid w:val="007D6FC9"/>
    <w:rsid w:val="007E0122"/>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0E8C"/>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02C4"/>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756"/>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0F5F"/>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26FF5"/>
    <w:rsid w:val="00932606"/>
    <w:rsid w:val="0093309D"/>
    <w:rsid w:val="009335AE"/>
    <w:rsid w:val="00933913"/>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4CCF"/>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3AFE"/>
    <w:rsid w:val="00A159BF"/>
    <w:rsid w:val="00A15E40"/>
    <w:rsid w:val="00A16975"/>
    <w:rsid w:val="00A16DAF"/>
    <w:rsid w:val="00A16F26"/>
    <w:rsid w:val="00A21F54"/>
    <w:rsid w:val="00A226E9"/>
    <w:rsid w:val="00A2302C"/>
    <w:rsid w:val="00A25353"/>
    <w:rsid w:val="00A26739"/>
    <w:rsid w:val="00A26C2F"/>
    <w:rsid w:val="00A30B76"/>
    <w:rsid w:val="00A35DC7"/>
    <w:rsid w:val="00A3632A"/>
    <w:rsid w:val="00A42006"/>
    <w:rsid w:val="00A432BC"/>
    <w:rsid w:val="00A433FB"/>
    <w:rsid w:val="00A4478A"/>
    <w:rsid w:val="00A44852"/>
    <w:rsid w:val="00A45EAC"/>
    <w:rsid w:val="00A47A03"/>
    <w:rsid w:val="00A52A18"/>
    <w:rsid w:val="00A5404A"/>
    <w:rsid w:val="00A5631E"/>
    <w:rsid w:val="00A575E8"/>
    <w:rsid w:val="00A57D04"/>
    <w:rsid w:val="00A57D69"/>
    <w:rsid w:val="00A60A26"/>
    <w:rsid w:val="00A61598"/>
    <w:rsid w:val="00A61DCF"/>
    <w:rsid w:val="00A645F9"/>
    <w:rsid w:val="00A64EBB"/>
    <w:rsid w:val="00A672B8"/>
    <w:rsid w:val="00A6730F"/>
    <w:rsid w:val="00A679F2"/>
    <w:rsid w:val="00A707C0"/>
    <w:rsid w:val="00A70908"/>
    <w:rsid w:val="00A71AA6"/>
    <w:rsid w:val="00A72667"/>
    <w:rsid w:val="00A75AAA"/>
    <w:rsid w:val="00A81710"/>
    <w:rsid w:val="00A81BD6"/>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7"/>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5D3E"/>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4348"/>
    <w:rsid w:val="00B050A6"/>
    <w:rsid w:val="00B057C8"/>
    <w:rsid w:val="00B06353"/>
    <w:rsid w:val="00B065C9"/>
    <w:rsid w:val="00B0779B"/>
    <w:rsid w:val="00B109DD"/>
    <w:rsid w:val="00B11C09"/>
    <w:rsid w:val="00B1285B"/>
    <w:rsid w:val="00B13048"/>
    <w:rsid w:val="00B135AC"/>
    <w:rsid w:val="00B13B34"/>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02D5"/>
    <w:rsid w:val="00B4128D"/>
    <w:rsid w:val="00B41686"/>
    <w:rsid w:val="00B44E99"/>
    <w:rsid w:val="00B474EE"/>
    <w:rsid w:val="00B52EC8"/>
    <w:rsid w:val="00B55C24"/>
    <w:rsid w:val="00B56CF6"/>
    <w:rsid w:val="00B56E03"/>
    <w:rsid w:val="00B6163C"/>
    <w:rsid w:val="00B6278D"/>
    <w:rsid w:val="00B62BB5"/>
    <w:rsid w:val="00B63E2C"/>
    <w:rsid w:val="00B64331"/>
    <w:rsid w:val="00B64DF7"/>
    <w:rsid w:val="00B652AF"/>
    <w:rsid w:val="00B65CAC"/>
    <w:rsid w:val="00B66E74"/>
    <w:rsid w:val="00B673A4"/>
    <w:rsid w:val="00B70A7F"/>
    <w:rsid w:val="00B70CA5"/>
    <w:rsid w:val="00B70CCA"/>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BD0"/>
    <w:rsid w:val="00BD10B4"/>
    <w:rsid w:val="00BD1AD7"/>
    <w:rsid w:val="00BD1BCA"/>
    <w:rsid w:val="00BD26AE"/>
    <w:rsid w:val="00BD2968"/>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965"/>
    <w:rsid w:val="00C07A89"/>
    <w:rsid w:val="00C101F2"/>
    <w:rsid w:val="00C11AE0"/>
    <w:rsid w:val="00C12A83"/>
    <w:rsid w:val="00C13A50"/>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5B3B"/>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24CC"/>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3CFE"/>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1E8E"/>
    <w:rsid w:val="00D725C2"/>
    <w:rsid w:val="00D73D17"/>
    <w:rsid w:val="00D74261"/>
    <w:rsid w:val="00D74971"/>
    <w:rsid w:val="00D80893"/>
    <w:rsid w:val="00D839A7"/>
    <w:rsid w:val="00D84581"/>
    <w:rsid w:val="00D86899"/>
    <w:rsid w:val="00D87097"/>
    <w:rsid w:val="00D90FB7"/>
    <w:rsid w:val="00D92A31"/>
    <w:rsid w:val="00D92CF1"/>
    <w:rsid w:val="00D92D38"/>
    <w:rsid w:val="00D92E07"/>
    <w:rsid w:val="00D936B6"/>
    <w:rsid w:val="00D94314"/>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3DB8"/>
    <w:rsid w:val="00DC4462"/>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484F"/>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2A35"/>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1BA5"/>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544"/>
    <w:rsid w:val="00E86851"/>
    <w:rsid w:val="00E91678"/>
    <w:rsid w:val="00E91BED"/>
    <w:rsid w:val="00E926FC"/>
    <w:rsid w:val="00E95390"/>
    <w:rsid w:val="00E95CA7"/>
    <w:rsid w:val="00E96EFF"/>
    <w:rsid w:val="00EA1DEE"/>
    <w:rsid w:val="00EA3D42"/>
    <w:rsid w:val="00EA4DD9"/>
    <w:rsid w:val="00EA6B1B"/>
    <w:rsid w:val="00EA6F25"/>
    <w:rsid w:val="00EA71BC"/>
    <w:rsid w:val="00EB049F"/>
    <w:rsid w:val="00EB100D"/>
    <w:rsid w:val="00EB456D"/>
    <w:rsid w:val="00EB540F"/>
    <w:rsid w:val="00EB7D7F"/>
    <w:rsid w:val="00EC05BF"/>
    <w:rsid w:val="00EC0D58"/>
    <w:rsid w:val="00EC10A1"/>
    <w:rsid w:val="00EC137F"/>
    <w:rsid w:val="00EC24B0"/>
    <w:rsid w:val="00EC2CB1"/>
    <w:rsid w:val="00EC317E"/>
    <w:rsid w:val="00EC67D4"/>
    <w:rsid w:val="00EC7539"/>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1979"/>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2725"/>
    <w:rsid w:val="00F63156"/>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13772446">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image" Target="media/image21.emf"/><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s://www.aer.gov.au/wholesale-markets/compliance-reporting?f%5b0%5d=field_accc_aer_report_type%3A318" TargetMode="External"/><Relationship Id="rId23" Type="http://schemas.openxmlformats.org/officeDocument/2006/relationships/hyperlink" Target="http://www.aer.gov.au/node/451" TargetMode="External"/><Relationship Id="rId28" Type="http://schemas.openxmlformats.org/officeDocument/2006/relationships/image" Target="media/image15.emf"/><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89A13B-34D2-4E3A-A0E4-75957CB3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BE62999A.dotm</Template>
  <TotalTime>0</TotalTime>
  <Pages>14</Pages>
  <Words>2136</Words>
  <Characters>12177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2017-08-01T06:36:00Z</dcterms:created>
  <dcterms:modified xsi:type="dcterms:W3CDTF">2017-08-01T06:36:00Z</dcterms:modified>
</cp:coreProperties>
</file>