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0E5151" w:rsidP="00286866">
      <w:pPr>
        <w:pStyle w:val="Heading2"/>
        <w:rPr>
          <w:i/>
        </w:rPr>
      </w:pPr>
      <w:r w:rsidRPr="000E5151">
        <w:rPr>
          <w:sz w:val="36"/>
          <w:szCs w:val="36"/>
        </w:rPr>
        <w:t>28 May – 3 June</w:t>
      </w:r>
      <w:r w:rsidR="00286866" w:rsidRPr="000E5151">
        <w:rPr>
          <w:sz w:val="36"/>
          <w:szCs w:val="36"/>
        </w:rPr>
        <w:t xml:space="preserve"> </w:t>
      </w:r>
      <w:r>
        <w:rPr>
          <w:sz w:val="36"/>
          <w:szCs w:val="36"/>
        </w:rPr>
        <w:t>2017</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6B245C" w:rsidRDefault="0037565A" w:rsidP="00F26128">
      <w:pPr>
        <w:jc w:val="both"/>
      </w:pPr>
      <w:r>
        <w:t>This week, there were small price increases</w:t>
      </w:r>
      <w:r w:rsidR="00E55280">
        <w:t xml:space="preserve"> in Victoria </w:t>
      </w:r>
      <w:r>
        <w:t>(14</w:t>
      </w:r>
      <w:r w:rsidR="008416E2">
        <w:t> per cent</w:t>
      </w:r>
      <w:r>
        <w:t>) and</w:t>
      </w:r>
      <w:r w:rsidR="00E55280">
        <w:t xml:space="preserve"> Sydney</w:t>
      </w:r>
      <w:r>
        <w:t xml:space="preserve"> (13</w:t>
      </w:r>
      <w:r w:rsidR="008416E2">
        <w:t xml:space="preserve"> per cent</w:t>
      </w:r>
      <w:r>
        <w:t xml:space="preserve">). </w:t>
      </w:r>
      <w:r w:rsidR="008416E2">
        <w:t>Average p</w:t>
      </w:r>
      <w:r>
        <w:t>rices</w:t>
      </w:r>
      <w:r w:rsidR="00E55280">
        <w:t xml:space="preserve"> </w:t>
      </w:r>
      <w:r>
        <w:t>were</w:t>
      </w:r>
      <w:r w:rsidR="00095566">
        <w:t xml:space="preserve"> stable in Adelaide and </w:t>
      </w:r>
      <w:r w:rsidR="00E55280">
        <w:t>decreas</w:t>
      </w:r>
      <w:r>
        <w:t xml:space="preserve">ed marginally </w:t>
      </w:r>
      <w:r w:rsidR="002028FE">
        <w:t>in Brisbane</w:t>
      </w:r>
      <w:r>
        <w:t xml:space="preserve"> (5</w:t>
      </w:r>
      <w:r w:rsidR="008416E2">
        <w:t> per cent</w:t>
      </w:r>
      <w:r>
        <w:t>)</w:t>
      </w:r>
      <w:r w:rsidR="002028FE">
        <w:t xml:space="preserve">. </w:t>
      </w:r>
      <w:r>
        <w:t xml:space="preserve">There were demand increases in </w:t>
      </w:r>
      <w:r w:rsidR="008416E2">
        <w:t>southern markets</w:t>
      </w:r>
      <w:r w:rsidR="00E55280">
        <w:t>, with the most notab</w:t>
      </w:r>
      <w:r>
        <w:t>le increases being in Victoria (45</w:t>
      </w:r>
      <w:r w:rsidR="008416E2">
        <w:t> per cent</w:t>
      </w:r>
      <w:r>
        <w:t>) and Adelaide (25</w:t>
      </w:r>
      <w:r w:rsidR="008416E2">
        <w:t> per cent</w:t>
      </w:r>
      <w:r>
        <w:t>)</w:t>
      </w:r>
      <w:r w:rsidR="00E55280">
        <w:t xml:space="preserve">.   </w:t>
      </w:r>
    </w:p>
    <w:p w:rsidR="00524419" w:rsidRPr="00E55280" w:rsidRDefault="008A7EC2" w:rsidP="008416E2">
      <w:pPr>
        <w:jc w:val="both"/>
      </w:pPr>
      <w:r>
        <w:t>After increasing the previous week, t</w:t>
      </w:r>
      <w:r w:rsidR="00C00DD6">
        <w:t xml:space="preserve">he gas held at Victoria’s Iona Underground Storage </w:t>
      </w:r>
      <w:r>
        <w:t xml:space="preserve">facility decreased by </w:t>
      </w:r>
      <w:r w:rsidR="008416E2">
        <w:t>669 </w:t>
      </w:r>
      <w:r>
        <w:t xml:space="preserve">TJ to </w:t>
      </w:r>
      <w:r w:rsidR="008416E2">
        <w:t>20</w:t>
      </w:r>
      <w:r>
        <w:t>,</w:t>
      </w:r>
      <w:r w:rsidR="008416E2">
        <w:t>246 </w:t>
      </w:r>
      <w:r>
        <w:t>TJ.</w:t>
      </w:r>
      <w:r w:rsidR="00524419" w:rsidRPr="00524419">
        <w:t xml:space="preserve"> </w:t>
      </w:r>
      <w:r w:rsidR="00524419" w:rsidRPr="003B2C23">
        <w:t>The decrease correspond</w:t>
      </w:r>
      <w:r w:rsidR="00524419">
        <w:t>ed</w:t>
      </w:r>
      <w:r w:rsidR="00524419" w:rsidRPr="003B2C23">
        <w:t xml:space="preserve"> with a cold week in Melbourne</w:t>
      </w:r>
      <w:r w:rsidR="00F81F20">
        <w:t xml:space="preserve">, with </w:t>
      </w:r>
      <w:r w:rsidR="00524419" w:rsidRPr="003B2C23">
        <w:t xml:space="preserve">notable withdrawals on 31 May and 1 June as maximum temperatures dipped to 13 and 14 degrees respectively (see figure 1.5).  </w:t>
      </w:r>
    </w:p>
    <w:p w:rsidR="00DF7CED" w:rsidRDefault="001D1422" w:rsidP="008416E2">
      <w:pPr>
        <w:jc w:val="both"/>
      </w:pPr>
      <w:r>
        <w:t>Ancillary service costs decreased by 28 p</w:t>
      </w:r>
      <w:r w:rsidR="00AA18DE">
        <w:t>er cent in Sydney, which fo</w:t>
      </w:r>
      <w:bookmarkStart w:id="6" w:name="_GoBack"/>
      <w:bookmarkEnd w:id="6"/>
      <w:r w:rsidR="00AA18DE">
        <w:t>llowed</w:t>
      </w:r>
      <w:r w:rsidR="00383216">
        <w:t xml:space="preserve"> a 25 per cent decrease </w:t>
      </w:r>
      <w:r w:rsidR="00A061BB">
        <w:t>the previous week.</w:t>
      </w:r>
      <w:r w:rsidR="00115532">
        <w:t xml:space="preserve"> </w:t>
      </w:r>
      <w:r w:rsidR="00C54C29">
        <w:t xml:space="preserve">Due to </w:t>
      </w:r>
      <w:r w:rsidR="00074A64">
        <w:t xml:space="preserve">the </w:t>
      </w:r>
      <w:r w:rsidR="00C54C29">
        <w:t>comparison with</w:t>
      </w:r>
      <w:r w:rsidR="008416E2">
        <w:t xml:space="preserve"> very</w:t>
      </w:r>
      <w:r w:rsidR="00C54C29">
        <w:t xml:space="preserve"> low costs the previous week, a</w:t>
      </w:r>
      <w:r w:rsidR="00DF7CED">
        <w:t xml:space="preserve">ncillary service costs in Adelaide </w:t>
      </w:r>
      <w:r w:rsidR="008416E2">
        <w:t xml:space="preserve">rose </w:t>
      </w:r>
      <w:r w:rsidR="00DF7CED">
        <w:t>b</w:t>
      </w:r>
      <w:r w:rsidR="00C54C29">
        <w:t xml:space="preserve">y 184 per cent. </w:t>
      </w:r>
    </w:p>
    <w:p w:rsidR="00074A64" w:rsidRDefault="00137F74" w:rsidP="008416E2">
      <w:pPr>
        <w:jc w:val="both"/>
      </w:pPr>
      <w:r>
        <w:t xml:space="preserve">Figure 5.1 shows </w:t>
      </w:r>
      <w:r w:rsidR="00074A64">
        <w:t>Gas Powered Generation (GPG) gas usage increased by 126</w:t>
      </w:r>
      <w:r>
        <w:t> </w:t>
      </w:r>
      <w:r w:rsidR="00074A64">
        <w:t>TJ from the previous week.  The most notable increase in GPG gas usage was 60</w:t>
      </w:r>
      <w:r>
        <w:t> </w:t>
      </w:r>
      <w:r w:rsidR="00074A64">
        <w:t>TJ in South Australia and a 24</w:t>
      </w:r>
      <w:r>
        <w:t> </w:t>
      </w:r>
      <w:r w:rsidR="00074A64">
        <w:t>TJ increase in b</w:t>
      </w:r>
      <w:r>
        <w:t>oth Victoria and Queensland.</w:t>
      </w:r>
    </w:p>
    <w:p w:rsidR="001D1422" w:rsidRPr="003B2C23" w:rsidRDefault="0081310A" w:rsidP="008416E2">
      <w:pPr>
        <w:jc w:val="both"/>
      </w:pPr>
      <w:r w:rsidRPr="003B2C23">
        <w:t xml:space="preserve">There was </w:t>
      </w:r>
      <w:r w:rsidR="003B2C23" w:rsidRPr="003B2C23">
        <w:t>reduced</w:t>
      </w:r>
      <w:r w:rsidR="00254037" w:rsidRPr="003B2C23">
        <w:t xml:space="preserve"> activity on the Wallumbilla Gas Supply Hub</w:t>
      </w:r>
      <w:r w:rsidR="001846A6" w:rsidRPr="003B2C23">
        <w:t xml:space="preserve"> </w:t>
      </w:r>
      <w:r w:rsidR="003B2C23" w:rsidRPr="003B2C23">
        <w:t>exchange</w:t>
      </w:r>
      <w:r w:rsidR="00137F74">
        <w:t xml:space="preserve"> </w:t>
      </w:r>
      <w:r w:rsidR="00137F74" w:rsidRPr="003B2C23">
        <w:t>(</w:t>
      </w:r>
      <w:r w:rsidR="00137F74">
        <w:t xml:space="preserve">i.e. </w:t>
      </w:r>
      <w:r w:rsidR="00137F74" w:rsidRPr="003B2C23">
        <w:t>excluding off-market trades)</w:t>
      </w:r>
      <w:r w:rsidR="003B2C23" w:rsidRPr="003B2C23">
        <w:t>, with 26</w:t>
      </w:r>
      <w:r w:rsidR="00137F74">
        <w:t> </w:t>
      </w:r>
      <w:r w:rsidR="003B2C23" w:rsidRPr="003B2C23">
        <w:t>TJ of gas traded</w:t>
      </w:r>
      <w:r w:rsidR="00095566" w:rsidRPr="003B2C23">
        <w:t xml:space="preserve"> compared with 74</w:t>
      </w:r>
      <w:r w:rsidR="00137F74">
        <w:t> </w:t>
      </w:r>
      <w:r w:rsidR="00095566" w:rsidRPr="003B2C23">
        <w:t>TJ</w:t>
      </w:r>
      <w:r w:rsidR="00254037" w:rsidRPr="003B2C23">
        <w:t xml:space="preserve"> the </w:t>
      </w:r>
      <w:r w:rsidRPr="003B2C23">
        <w:t>previous week</w:t>
      </w:r>
      <w:r w:rsidR="00DF7CED" w:rsidRPr="003B2C23">
        <w:t>.</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p>
    <w:p w:rsidR="00F81F20" w:rsidRDefault="00F81F20">
      <w:pPr>
        <w:spacing w:line="240" w:lineRule="auto"/>
        <w:rPr>
          <w:b/>
          <w:bCs/>
          <w:color w:val="2272A3" w:themeColor="accent4" w:themeShade="80"/>
          <w:sz w:val="24"/>
          <w:szCs w:val="18"/>
        </w:rPr>
      </w:pPr>
      <w:r>
        <w:br w:type="page"/>
      </w:r>
    </w:p>
    <w:p w:rsidR="000835F4" w:rsidRDefault="000835F4" w:rsidP="000835F4">
      <w:pPr>
        <w:pStyle w:val="Caption"/>
        <w:rPr>
          <w:color w:val="2272A3"/>
          <w:szCs w:val="24"/>
        </w:rPr>
      </w:pPr>
      <w:r w:rsidRPr="00BE2075">
        <w:lastRenderedPageBreak/>
        <w:t xml:space="preserve">Figure </w:t>
      </w:r>
      <w:fldSimple w:instr=" SEQ Figure \* ARABIC ">
        <w:r w:rsidR="001521CB">
          <w:rPr>
            <w:noProof/>
          </w:rPr>
          <w:t>1</w:t>
        </w:r>
      </w:fldSimple>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09" w:type="pct"/>
        <w:tblLayout w:type="fixed"/>
        <w:tblLook w:val="04A0" w:firstRow="1" w:lastRow="0" w:firstColumn="1" w:lastColumn="0" w:noHBand="0" w:noVBand="1"/>
      </w:tblPr>
      <w:tblGrid>
        <w:gridCol w:w="1924"/>
        <w:gridCol w:w="1009"/>
        <w:gridCol w:w="849"/>
        <w:gridCol w:w="864"/>
        <w:gridCol w:w="851"/>
        <w:gridCol w:w="907"/>
        <w:gridCol w:w="849"/>
        <w:gridCol w:w="846"/>
        <w:gridCol w:w="975"/>
      </w:tblGrid>
      <w:tr w:rsidR="00DD5D65" w:rsidRPr="002861A9" w:rsidTr="00C52233">
        <w:trPr>
          <w:cnfStyle w:val="100000000000" w:firstRow="1" w:lastRow="0" w:firstColumn="0" w:lastColumn="0" w:oddVBand="0" w:evenVBand="0" w:oddHBand="0" w:evenHBand="0" w:firstRowFirstColumn="0" w:firstRowLastColumn="0" w:lastRowFirstColumn="0" w:lastRowLastColumn="0"/>
          <w:trHeight w:val="404"/>
          <w:tblHeader/>
        </w:trPr>
        <w:tc>
          <w:tcPr>
            <w:tcW w:w="1060" w:type="pct"/>
            <w:tcBorders>
              <w:bottom w:val="nil"/>
            </w:tcBorders>
            <w:vAlign w:val="center"/>
          </w:tcPr>
          <w:p w:rsidR="00674600" w:rsidRPr="00E16EDC" w:rsidRDefault="00674600" w:rsidP="00674600">
            <w:pPr>
              <w:pStyle w:val="TableHeading"/>
              <w:spacing w:before="120" w:after="0" w:line="240" w:lineRule="auto"/>
              <w:jc w:val="center"/>
              <w:rPr>
                <w:rFonts w:cs="Arial"/>
                <w:sz w:val="20"/>
                <w:szCs w:val="20"/>
              </w:rPr>
            </w:pPr>
          </w:p>
        </w:tc>
        <w:tc>
          <w:tcPr>
            <w:tcW w:w="1024"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945"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968"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1004"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r>
      <w:tr w:rsidR="00DD5D65" w:rsidRPr="002861A9" w:rsidTr="00C52233">
        <w:trPr>
          <w:cnfStyle w:val="100000000000" w:firstRow="1" w:lastRow="0" w:firstColumn="0" w:lastColumn="0" w:oddVBand="0" w:evenVBand="0" w:oddHBand="0" w:evenHBand="0" w:firstRowFirstColumn="0" w:firstRowLastColumn="0" w:lastRowFirstColumn="0" w:lastRowLastColumn="0"/>
          <w:tblHeader/>
        </w:trPr>
        <w:tc>
          <w:tcPr>
            <w:tcW w:w="1060" w:type="pct"/>
            <w:tcBorders>
              <w:bottom w:val="nil"/>
            </w:tcBorders>
            <w:vAlign w:val="center"/>
            <w:hideMark/>
          </w:tcPr>
          <w:p w:rsidR="00674600" w:rsidRPr="00A226E9" w:rsidRDefault="00674600" w:rsidP="00674600">
            <w:pPr>
              <w:spacing w:before="0" w:line="240" w:lineRule="auto"/>
              <w:rPr>
                <w:rFonts w:cs="Arial"/>
                <w:sz w:val="20"/>
                <w:szCs w:val="20"/>
                <w:highlight w:val="yellow"/>
              </w:rPr>
            </w:pPr>
          </w:p>
        </w:tc>
        <w:tc>
          <w:tcPr>
            <w:tcW w:w="55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7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9"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500"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66"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53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r>
      <w:tr w:rsidR="00C52233" w:rsidRPr="006A7228" w:rsidTr="00C52233">
        <w:trPr>
          <w:trHeight w:val="510"/>
        </w:trPr>
        <w:tc>
          <w:tcPr>
            <w:tcW w:w="1060" w:type="pct"/>
            <w:tcBorders>
              <w:top w:val="nil"/>
              <w:bottom w:val="nil"/>
            </w:tcBorders>
            <w:vAlign w:val="center"/>
          </w:tcPr>
          <w:p w:rsidR="00C52233" w:rsidRDefault="00C52233">
            <w:pPr>
              <w:rPr>
                <w:rFonts w:cs="Arial"/>
                <w:sz w:val="16"/>
                <w:szCs w:val="16"/>
              </w:rPr>
            </w:pPr>
            <w:r>
              <w:rPr>
                <w:rFonts w:cs="Arial"/>
                <w:sz w:val="16"/>
                <w:szCs w:val="16"/>
              </w:rPr>
              <w:t>28 May - 03 Jun 2017</w:t>
            </w:r>
          </w:p>
        </w:tc>
        <w:tc>
          <w:tcPr>
            <w:tcW w:w="556" w:type="pct"/>
            <w:tcBorders>
              <w:top w:val="nil"/>
              <w:bottom w:val="nil"/>
            </w:tcBorders>
            <w:vAlign w:val="center"/>
          </w:tcPr>
          <w:p w:rsidR="00C52233" w:rsidRDefault="00C52233">
            <w:pPr>
              <w:jc w:val="center"/>
              <w:rPr>
                <w:rFonts w:cs="Arial"/>
                <w:sz w:val="20"/>
                <w:szCs w:val="20"/>
              </w:rPr>
            </w:pPr>
            <w:r>
              <w:rPr>
                <w:rFonts w:cs="Arial"/>
                <w:sz w:val="20"/>
                <w:szCs w:val="20"/>
              </w:rPr>
              <w:t>9.84</w:t>
            </w:r>
          </w:p>
        </w:tc>
        <w:tc>
          <w:tcPr>
            <w:tcW w:w="468" w:type="pct"/>
            <w:tcBorders>
              <w:top w:val="nil"/>
              <w:bottom w:val="nil"/>
            </w:tcBorders>
            <w:vAlign w:val="center"/>
          </w:tcPr>
          <w:p w:rsidR="00C52233" w:rsidRDefault="00C52233">
            <w:pPr>
              <w:jc w:val="center"/>
              <w:rPr>
                <w:rFonts w:cs="Arial"/>
                <w:sz w:val="20"/>
                <w:szCs w:val="20"/>
              </w:rPr>
            </w:pPr>
            <w:r>
              <w:rPr>
                <w:rFonts w:cs="Arial"/>
                <w:sz w:val="20"/>
                <w:szCs w:val="20"/>
              </w:rPr>
              <w:t>869</w:t>
            </w:r>
          </w:p>
        </w:tc>
        <w:tc>
          <w:tcPr>
            <w:tcW w:w="476" w:type="pct"/>
            <w:tcBorders>
              <w:top w:val="nil"/>
              <w:bottom w:val="nil"/>
            </w:tcBorders>
            <w:vAlign w:val="center"/>
          </w:tcPr>
          <w:p w:rsidR="00C52233" w:rsidRDefault="00C52233">
            <w:pPr>
              <w:jc w:val="center"/>
              <w:rPr>
                <w:rFonts w:cs="Arial"/>
                <w:sz w:val="20"/>
                <w:szCs w:val="20"/>
              </w:rPr>
            </w:pPr>
            <w:r>
              <w:rPr>
                <w:rFonts w:cs="Arial"/>
                <w:sz w:val="20"/>
                <w:szCs w:val="20"/>
              </w:rPr>
              <w:t>11.38</w:t>
            </w:r>
          </w:p>
        </w:tc>
        <w:tc>
          <w:tcPr>
            <w:tcW w:w="469" w:type="pct"/>
            <w:tcBorders>
              <w:top w:val="nil"/>
              <w:bottom w:val="nil"/>
            </w:tcBorders>
            <w:vAlign w:val="center"/>
          </w:tcPr>
          <w:p w:rsidR="00C52233" w:rsidRDefault="00C52233">
            <w:pPr>
              <w:jc w:val="center"/>
              <w:rPr>
                <w:rFonts w:cs="Arial"/>
                <w:sz w:val="20"/>
                <w:szCs w:val="20"/>
              </w:rPr>
            </w:pPr>
            <w:r>
              <w:rPr>
                <w:rFonts w:cs="Arial"/>
                <w:sz w:val="20"/>
                <w:szCs w:val="20"/>
              </w:rPr>
              <w:t>290</w:t>
            </w:r>
          </w:p>
        </w:tc>
        <w:tc>
          <w:tcPr>
            <w:tcW w:w="500" w:type="pct"/>
            <w:tcBorders>
              <w:top w:val="nil"/>
              <w:bottom w:val="nil"/>
            </w:tcBorders>
            <w:vAlign w:val="center"/>
          </w:tcPr>
          <w:p w:rsidR="00C52233" w:rsidRDefault="00C52233">
            <w:pPr>
              <w:jc w:val="center"/>
              <w:rPr>
                <w:rFonts w:cs="Arial"/>
                <w:sz w:val="20"/>
                <w:szCs w:val="20"/>
              </w:rPr>
            </w:pPr>
            <w:r>
              <w:rPr>
                <w:rFonts w:cs="Arial"/>
                <w:sz w:val="20"/>
                <w:szCs w:val="20"/>
              </w:rPr>
              <w:t>9.14</w:t>
            </w:r>
          </w:p>
        </w:tc>
        <w:tc>
          <w:tcPr>
            <w:tcW w:w="468" w:type="pct"/>
            <w:tcBorders>
              <w:top w:val="nil"/>
              <w:bottom w:val="nil"/>
            </w:tcBorders>
            <w:vAlign w:val="center"/>
          </w:tcPr>
          <w:p w:rsidR="00C52233" w:rsidRDefault="00C52233">
            <w:pPr>
              <w:jc w:val="center"/>
              <w:rPr>
                <w:rFonts w:cs="Arial"/>
                <w:sz w:val="20"/>
                <w:szCs w:val="20"/>
              </w:rPr>
            </w:pPr>
            <w:r>
              <w:rPr>
                <w:rFonts w:cs="Arial"/>
                <w:sz w:val="20"/>
                <w:szCs w:val="20"/>
              </w:rPr>
              <w:t>82</w:t>
            </w:r>
          </w:p>
        </w:tc>
        <w:tc>
          <w:tcPr>
            <w:tcW w:w="466" w:type="pct"/>
            <w:tcBorders>
              <w:top w:val="nil"/>
              <w:bottom w:val="nil"/>
            </w:tcBorders>
            <w:vAlign w:val="center"/>
          </w:tcPr>
          <w:p w:rsidR="00C52233" w:rsidRDefault="00C52233">
            <w:pPr>
              <w:jc w:val="center"/>
              <w:rPr>
                <w:rFonts w:cs="Arial"/>
                <w:sz w:val="20"/>
                <w:szCs w:val="20"/>
              </w:rPr>
            </w:pPr>
            <w:r>
              <w:rPr>
                <w:rFonts w:cs="Arial"/>
                <w:sz w:val="20"/>
                <w:szCs w:val="20"/>
              </w:rPr>
              <w:t>7.19</w:t>
            </w:r>
          </w:p>
        </w:tc>
        <w:tc>
          <w:tcPr>
            <w:tcW w:w="538" w:type="pct"/>
            <w:tcBorders>
              <w:top w:val="nil"/>
              <w:bottom w:val="nil"/>
            </w:tcBorders>
            <w:vAlign w:val="center"/>
          </w:tcPr>
          <w:p w:rsidR="00C52233" w:rsidRDefault="00C52233">
            <w:pPr>
              <w:jc w:val="center"/>
              <w:rPr>
                <w:rFonts w:cs="Arial"/>
                <w:sz w:val="20"/>
                <w:szCs w:val="20"/>
              </w:rPr>
            </w:pPr>
            <w:r>
              <w:rPr>
                <w:rFonts w:cs="Arial"/>
                <w:sz w:val="20"/>
                <w:szCs w:val="20"/>
              </w:rPr>
              <w:t>88</w:t>
            </w:r>
          </w:p>
        </w:tc>
      </w:tr>
      <w:tr w:rsidR="00C52233" w:rsidRPr="006A7228" w:rsidTr="00C52233">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nil"/>
            </w:tcBorders>
            <w:vAlign w:val="center"/>
          </w:tcPr>
          <w:p w:rsidR="00C52233" w:rsidRDefault="00C52233">
            <w:pPr>
              <w:rPr>
                <w:rFonts w:cs="Arial"/>
                <w:sz w:val="16"/>
                <w:szCs w:val="16"/>
              </w:rPr>
            </w:pPr>
            <w:r>
              <w:rPr>
                <w:rFonts w:cs="Arial"/>
                <w:sz w:val="16"/>
                <w:szCs w:val="16"/>
              </w:rPr>
              <w:t>% change from previous week</w:t>
            </w:r>
          </w:p>
        </w:tc>
        <w:tc>
          <w:tcPr>
            <w:tcW w:w="556" w:type="pct"/>
            <w:tcBorders>
              <w:top w:val="nil"/>
              <w:bottom w:val="nil"/>
            </w:tcBorders>
            <w:vAlign w:val="center"/>
          </w:tcPr>
          <w:p w:rsidR="00C52233" w:rsidRDefault="00C52233">
            <w:pPr>
              <w:jc w:val="center"/>
              <w:rPr>
                <w:rFonts w:cs="Arial"/>
                <w:szCs w:val="20"/>
              </w:rPr>
            </w:pPr>
            <w:r>
              <w:rPr>
                <w:rFonts w:cs="Arial"/>
                <w:szCs w:val="20"/>
              </w:rPr>
              <w:t>14</w:t>
            </w:r>
          </w:p>
        </w:tc>
        <w:tc>
          <w:tcPr>
            <w:tcW w:w="468" w:type="pct"/>
            <w:tcBorders>
              <w:top w:val="nil"/>
              <w:bottom w:val="nil"/>
            </w:tcBorders>
            <w:vAlign w:val="center"/>
          </w:tcPr>
          <w:p w:rsidR="00C52233" w:rsidRDefault="00C52233">
            <w:pPr>
              <w:jc w:val="center"/>
              <w:rPr>
                <w:rFonts w:cs="Arial"/>
                <w:szCs w:val="20"/>
              </w:rPr>
            </w:pPr>
            <w:r>
              <w:rPr>
                <w:rFonts w:cs="Arial"/>
                <w:szCs w:val="20"/>
              </w:rPr>
              <w:t>45</w:t>
            </w:r>
          </w:p>
        </w:tc>
        <w:tc>
          <w:tcPr>
            <w:tcW w:w="476" w:type="pct"/>
            <w:tcBorders>
              <w:top w:val="nil"/>
              <w:bottom w:val="nil"/>
            </w:tcBorders>
            <w:vAlign w:val="center"/>
          </w:tcPr>
          <w:p w:rsidR="00C52233" w:rsidRDefault="00C52233">
            <w:pPr>
              <w:jc w:val="center"/>
              <w:rPr>
                <w:rFonts w:cs="Arial"/>
                <w:szCs w:val="20"/>
              </w:rPr>
            </w:pPr>
            <w:r>
              <w:rPr>
                <w:rFonts w:cs="Arial"/>
                <w:szCs w:val="20"/>
              </w:rPr>
              <w:t>13</w:t>
            </w:r>
          </w:p>
        </w:tc>
        <w:tc>
          <w:tcPr>
            <w:tcW w:w="469" w:type="pct"/>
            <w:tcBorders>
              <w:top w:val="nil"/>
              <w:bottom w:val="nil"/>
            </w:tcBorders>
            <w:vAlign w:val="center"/>
          </w:tcPr>
          <w:p w:rsidR="00C52233" w:rsidRDefault="00C52233">
            <w:pPr>
              <w:jc w:val="center"/>
              <w:rPr>
                <w:rFonts w:cs="Arial"/>
                <w:szCs w:val="20"/>
              </w:rPr>
            </w:pPr>
            <w:r>
              <w:rPr>
                <w:rFonts w:cs="Arial"/>
                <w:szCs w:val="20"/>
              </w:rPr>
              <w:t>14</w:t>
            </w:r>
          </w:p>
        </w:tc>
        <w:tc>
          <w:tcPr>
            <w:tcW w:w="500" w:type="pct"/>
            <w:tcBorders>
              <w:top w:val="nil"/>
              <w:bottom w:val="nil"/>
            </w:tcBorders>
            <w:vAlign w:val="center"/>
          </w:tcPr>
          <w:p w:rsidR="00C52233" w:rsidRDefault="00C52233">
            <w:pPr>
              <w:jc w:val="center"/>
              <w:rPr>
                <w:rFonts w:cs="Arial"/>
                <w:szCs w:val="20"/>
              </w:rPr>
            </w:pPr>
            <w:r>
              <w:rPr>
                <w:rFonts w:cs="Arial"/>
                <w:szCs w:val="20"/>
              </w:rPr>
              <w:t>0</w:t>
            </w:r>
          </w:p>
        </w:tc>
        <w:tc>
          <w:tcPr>
            <w:tcW w:w="468" w:type="pct"/>
            <w:tcBorders>
              <w:top w:val="nil"/>
              <w:bottom w:val="nil"/>
            </w:tcBorders>
            <w:vAlign w:val="center"/>
          </w:tcPr>
          <w:p w:rsidR="00C52233" w:rsidRDefault="00C52233">
            <w:pPr>
              <w:jc w:val="center"/>
              <w:rPr>
                <w:rFonts w:cs="Arial"/>
                <w:szCs w:val="20"/>
              </w:rPr>
            </w:pPr>
            <w:r>
              <w:rPr>
                <w:rFonts w:cs="Arial"/>
                <w:szCs w:val="20"/>
              </w:rPr>
              <w:t>25</w:t>
            </w:r>
          </w:p>
        </w:tc>
        <w:tc>
          <w:tcPr>
            <w:tcW w:w="466" w:type="pct"/>
            <w:tcBorders>
              <w:top w:val="nil"/>
              <w:bottom w:val="nil"/>
            </w:tcBorders>
            <w:vAlign w:val="center"/>
          </w:tcPr>
          <w:p w:rsidR="00C52233" w:rsidRDefault="00C52233">
            <w:pPr>
              <w:jc w:val="center"/>
              <w:rPr>
                <w:rFonts w:cs="Arial"/>
                <w:szCs w:val="20"/>
              </w:rPr>
            </w:pPr>
            <w:r>
              <w:rPr>
                <w:rFonts w:cs="Arial"/>
                <w:szCs w:val="20"/>
              </w:rPr>
              <w:t>-5</w:t>
            </w:r>
          </w:p>
        </w:tc>
        <w:tc>
          <w:tcPr>
            <w:tcW w:w="538" w:type="pct"/>
            <w:tcBorders>
              <w:top w:val="nil"/>
              <w:bottom w:val="nil"/>
            </w:tcBorders>
            <w:vAlign w:val="center"/>
          </w:tcPr>
          <w:p w:rsidR="00C52233" w:rsidRDefault="00C52233">
            <w:pPr>
              <w:jc w:val="center"/>
              <w:rPr>
                <w:rFonts w:cs="Arial"/>
                <w:szCs w:val="20"/>
              </w:rPr>
            </w:pPr>
            <w:r>
              <w:rPr>
                <w:rFonts w:cs="Arial"/>
                <w:szCs w:val="20"/>
              </w:rPr>
              <w:t>0</w:t>
            </w:r>
          </w:p>
        </w:tc>
      </w:tr>
      <w:tr w:rsidR="00C52233" w:rsidRPr="006A7228" w:rsidTr="00C52233">
        <w:trPr>
          <w:trHeight w:val="510"/>
        </w:trPr>
        <w:tc>
          <w:tcPr>
            <w:tcW w:w="1060" w:type="pct"/>
            <w:tcBorders>
              <w:top w:val="nil"/>
              <w:bottom w:val="nil"/>
            </w:tcBorders>
            <w:vAlign w:val="center"/>
          </w:tcPr>
          <w:p w:rsidR="00C52233" w:rsidRDefault="00C52233">
            <w:pPr>
              <w:rPr>
                <w:rFonts w:cs="Arial"/>
                <w:sz w:val="16"/>
                <w:szCs w:val="16"/>
              </w:rPr>
            </w:pPr>
            <w:r>
              <w:rPr>
                <w:rFonts w:cs="Arial"/>
                <w:sz w:val="16"/>
                <w:szCs w:val="16"/>
              </w:rPr>
              <w:t>16-17 financial YTD</w:t>
            </w:r>
          </w:p>
        </w:tc>
        <w:tc>
          <w:tcPr>
            <w:tcW w:w="556" w:type="pct"/>
            <w:tcBorders>
              <w:top w:val="nil"/>
              <w:bottom w:val="nil"/>
            </w:tcBorders>
            <w:vAlign w:val="center"/>
          </w:tcPr>
          <w:p w:rsidR="00C52233" w:rsidRDefault="00C52233">
            <w:pPr>
              <w:jc w:val="center"/>
              <w:rPr>
                <w:rFonts w:cs="Arial"/>
                <w:sz w:val="20"/>
                <w:szCs w:val="20"/>
              </w:rPr>
            </w:pPr>
            <w:r>
              <w:rPr>
                <w:rFonts w:cs="Arial"/>
                <w:sz w:val="20"/>
                <w:szCs w:val="20"/>
              </w:rPr>
              <w:t>8.48</w:t>
            </w:r>
          </w:p>
        </w:tc>
        <w:tc>
          <w:tcPr>
            <w:tcW w:w="468" w:type="pct"/>
            <w:tcBorders>
              <w:top w:val="nil"/>
              <w:bottom w:val="nil"/>
            </w:tcBorders>
            <w:vAlign w:val="center"/>
          </w:tcPr>
          <w:p w:rsidR="00C52233" w:rsidRDefault="00C52233">
            <w:pPr>
              <w:jc w:val="center"/>
              <w:rPr>
                <w:rFonts w:cs="Arial"/>
                <w:sz w:val="20"/>
                <w:szCs w:val="20"/>
              </w:rPr>
            </w:pPr>
            <w:r>
              <w:rPr>
                <w:rFonts w:cs="Arial"/>
                <w:sz w:val="20"/>
                <w:szCs w:val="20"/>
              </w:rPr>
              <w:t>536</w:t>
            </w:r>
          </w:p>
        </w:tc>
        <w:tc>
          <w:tcPr>
            <w:tcW w:w="476" w:type="pct"/>
            <w:tcBorders>
              <w:top w:val="nil"/>
              <w:bottom w:val="nil"/>
            </w:tcBorders>
            <w:vAlign w:val="center"/>
          </w:tcPr>
          <w:p w:rsidR="00C52233" w:rsidRDefault="00C52233">
            <w:pPr>
              <w:jc w:val="center"/>
              <w:rPr>
                <w:rFonts w:cs="Arial"/>
                <w:sz w:val="20"/>
                <w:szCs w:val="20"/>
              </w:rPr>
            </w:pPr>
            <w:r>
              <w:rPr>
                <w:rFonts w:cs="Arial"/>
                <w:sz w:val="20"/>
                <w:szCs w:val="20"/>
              </w:rPr>
              <w:t>8.69</w:t>
            </w:r>
          </w:p>
        </w:tc>
        <w:tc>
          <w:tcPr>
            <w:tcW w:w="469" w:type="pct"/>
            <w:tcBorders>
              <w:top w:val="nil"/>
              <w:bottom w:val="nil"/>
            </w:tcBorders>
            <w:vAlign w:val="center"/>
          </w:tcPr>
          <w:p w:rsidR="00C52233" w:rsidRDefault="00C52233">
            <w:pPr>
              <w:jc w:val="center"/>
              <w:rPr>
                <w:rFonts w:cs="Arial"/>
                <w:sz w:val="20"/>
                <w:szCs w:val="20"/>
              </w:rPr>
            </w:pPr>
            <w:r>
              <w:rPr>
                <w:rFonts w:cs="Arial"/>
                <w:sz w:val="20"/>
                <w:szCs w:val="20"/>
              </w:rPr>
              <w:t>240</w:t>
            </w:r>
          </w:p>
        </w:tc>
        <w:tc>
          <w:tcPr>
            <w:tcW w:w="500" w:type="pct"/>
            <w:tcBorders>
              <w:top w:val="nil"/>
              <w:bottom w:val="nil"/>
            </w:tcBorders>
            <w:vAlign w:val="center"/>
          </w:tcPr>
          <w:p w:rsidR="00C52233" w:rsidRDefault="00C52233">
            <w:pPr>
              <w:jc w:val="center"/>
              <w:rPr>
                <w:rFonts w:cs="Arial"/>
                <w:sz w:val="20"/>
                <w:szCs w:val="20"/>
              </w:rPr>
            </w:pPr>
            <w:r>
              <w:rPr>
                <w:rFonts w:cs="Arial"/>
                <w:sz w:val="20"/>
                <w:szCs w:val="20"/>
              </w:rPr>
              <w:t>8.79</w:t>
            </w:r>
          </w:p>
        </w:tc>
        <w:tc>
          <w:tcPr>
            <w:tcW w:w="468" w:type="pct"/>
            <w:tcBorders>
              <w:top w:val="nil"/>
              <w:bottom w:val="nil"/>
            </w:tcBorders>
            <w:vAlign w:val="center"/>
          </w:tcPr>
          <w:p w:rsidR="00C52233" w:rsidRDefault="00C52233">
            <w:pPr>
              <w:jc w:val="center"/>
              <w:rPr>
                <w:rFonts w:cs="Arial"/>
                <w:sz w:val="20"/>
                <w:szCs w:val="20"/>
              </w:rPr>
            </w:pPr>
            <w:r>
              <w:rPr>
                <w:rFonts w:cs="Arial"/>
                <w:sz w:val="20"/>
                <w:szCs w:val="20"/>
              </w:rPr>
              <w:t>61</w:t>
            </w:r>
          </w:p>
        </w:tc>
        <w:tc>
          <w:tcPr>
            <w:tcW w:w="466" w:type="pct"/>
            <w:tcBorders>
              <w:top w:val="nil"/>
              <w:bottom w:val="nil"/>
            </w:tcBorders>
            <w:vAlign w:val="center"/>
          </w:tcPr>
          <w:p w:rsidR="00C52233" w:rsidRDefault="00C52233">
            <w:pPr>
              <w:jc w:val="center"/>
              <w:rPr>
                <w:rFonts w:cs="Arial"/>
                <w:sz w:val="20"/>
                <w:szCs w:val="20"/>
              </w:rPr>
            </w:pPr>
            <w:r>
              <w:rPr>
                <w:rFonts w:cs="Arial"/>
                <w:sz w:val="20"/>
                <w:szCs w:val="20"/>
              </w:rPr>
              <w:t>8.27</w:t>
            </w:r>
          </w:p>
        </w:tc>
        <w:tc>
          <w:tcPr>
            <w:tcW w:w="538" w:type="pct"/>
            <w:tcBorders>
              <w:top w:val="nil"/>
              <w:bottom w:val="nil"/>
            </w:tcBorders>
            <w:vAlign w:val="center"/>
          </w:tcPr>
          <w:p w:rsidR="00C52233" w:rsidRDefault="00C52233">
            <w:pPr>
              <w:jc w:val="center"/>
              <w:rPr>
                <w:rFonts w:cs="Arial"/>
                <w:sz w:val="20"/>
                <w:szCs w:val="20"/>
              </w:rPr>
            </w:pPr>
            <w:r>
              <w:rPr>
                <w:rFonts w:cs="Arial"/>
                <w:sz w:val="20"/>
                <w:szCs w:val="20"/>
              </w:rPr>
              <w:t>84</w:t>
            </w:r>
          </w:p>
        </w:tc>
      </w:tr>
      <w:tr w:rsidR="00C52233" w:rsidRPr="006A7228" w:rsidTr="00C52233">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single" w:sz="4" w:space="0" w:color="auto"/>
            </w:tcBorders>
            <w:vAlign w:val="center"/>
          </w:tcPr>
          <w:p w:rsidR="00C52233" w:rsidRDefault="00C52233">
            <w:pPr>
              <w:rPr>
                <w:rFonts w:cs="Arial"/>
                <w:sz w:val="16"/>
                <w:szCs w:val="16"/>
              </w:rPr>
            </w:pPr>
            <w:r>
              <w:rPr>
                <w:rFonts w:cs="Arial"/>
                <w:sz w:val="16"/>
                <w:szCs w:val="16"/>
              </w:rPr>
              <w:t>% change from previous financial YTD</w:t>
            </w:r>
          </w:p>
        </w:tc>
        <w:tc>
          <w:tcPr>
            <w:tcW w:w="556" w:type="pct"/>
            <w:tcBorders>
              <w:top w:val="nil"/>
              <w:bottom w:val="single" w:sz="4" w:space="0" w:color="auto"/>
            </w:tcBorders>
            <w:vAlign w:val="center"/>
          </w:tcPr>
          <w:p w:rsidR="00C52233" w:rsidRDefault="00C52233">
            <w:pPr>
              <w:jc w:val="center"/>
              <w:rPr>
                <w:rFonts w:cs="Arial"/>
                <w:szCs w:val="20"/>
              </w:rPr>
            </w:pPr>
            <w:r>
              <w:rPr>
                <w:rFonts w:cs="Arial"/>
                <w:szCs w:val="20"/>
              </w:rPr>
              <w:t>85</w:t>
            </w:r>
          </w:p>
        </w:tc>
        <w:tc>
          <w:tcPr>
            <w:tcW w:w="468" w:type="pct"/>
            <w:tcBorders>
              <w:top w:val="nil"/>
              <w:bottom w:val="single" w:sz="4" w:space="0" w:color="auto"/>
            </w:tcBorders>
            <w:vAlign w:val="center"/>
          </w:tcPr>
          <w:p w:rsidR="00C52233" w:rsidRDefault="00C52233">
            <w:pPr>
              <w:jc w:val="center"/>
              <w:rPr>
                <w:rFonts w:cs="Arial"/>
                <w:szCs w:val="20"/>
              </w:rPr>
            </w:pPr>
            <w:r>
              <w:rPr>
                <w:rFonts w:cs="Arial"/>
                <w:szCs w:val="20"/>
              </w:rPr>
              <w:t>1</w:t>
            </w:r>
          </w:p>
        </w:tc>
        <w:tc>
          <w:tcPr>
            <w:tcW w:w="476" w:type="pct"/>
            <w:tcBorders>
              <w:top w:val="nil"/>
              <w:bottom w:val="single" w:sz="4" w:space="0" w:color="auto"/>
            </w:tcBorders>
            <w:vAlign w:val="center"/>
          </w:tcPr>
          <w:p w:rsidR="00C52233" w:rsidRDefault="00C52233">
            <w:pPr>
              <w:jc w:val="center"/>
              <w:rPr>
                <w:rFonts w:cs="Arial"/>
                <w:szCs w:val="20"/>
              </w:rPr>
            </w:pPr>
            <w:r>
              <w:rPr>
                <w:rFonts w:cs="Arial"/>
                <w:szCs w:val="20"/>
              </w:rPr>
              <w:t>84</w:t>
            </w:r>
          </w:p>
        </w:tc>
        <w:tc>
          <w:tcPr>
            <w:tcW w:w="469" w:type="pct"/>
            <w:tcBorders>
              <w:top w:val="nil"/>
              <w:bottom w:val="single" w:sz="4" w:space="0" w:color="auto"/>
            </w:tcBorders>
            <w:vAlign w:val="center"/>
          </w:tcPr>
          <w:p w:rsidR="00C52233" w:rsidRDefault="00C52233">
            <w:pPr>
              <w:jc w:val="center"/>
              <w:rPr>
                <w:rFonts w:cs="Arial"/>
                <w:szCs w:val="20"/>
              </w:rPr>
            </w:pPr>
            <w:r>
              <w:rPr>
                <w:rFonts w:cs="Arial"/>
                <w:szCs w:val="20"/>
              </w:rPr>
              <w:t>2</w:t>
            </w:r>
          </w:p>
        </w:tc>
        <w:tc>
          <w:tcPr>
            <w:tcW w:w="500" w:type="pct"/>
            <w:tcBorders>
              <w:top w:val="nil"/>
              <w:bottom w:val="single" w:sz="4" w:space="0" w:color="auto"/>
            </w:tcBorders>
            <w:vAlign w:val="center"/>
          </w:tcPr>
          <w:p w:rsidR="00C52233" w:rsidRDefault="00C52233">
            <w:pPr>
              <w:jc w:val="center"/>
              <w:rPr>
                <w:rFonts w:cs="Arial"/>
                <w:szCs w:val="20"/>
              </w:rPr>
            </w:pPr>
            <w:r>
              <w:rPr>
                <w:rFonts w:cs="Arial"/>
                <w:szCs w:val="20"/>
              </w:rPr>
              <w:t>61</w:t>
            </w:r>
          </w:p>
        </w:tc>
        <w:tc>
          <w:tcPr>
            <w:tcW w:w="468" w:type="pct"/>
            <w:tcBorders>
              <w:top w:val="nil"/>
              <w:bottom w:val="single" w:sz="4" w:space="0" w:color="auto"/>
            </w:tcBorders>
            <w:vAlign w:val="center"/>
          </w:tcPr>
          <w:p w:rsidR="00C52233" w:rsidRDefault="00C52233">
            <w:pPr>
              <w:jc w:val="center"/>
              <w:rPr>
                <w:rFonts w:cs="Arial"/>
                <w:szCs w:val="20"/>
              </w:rPr>
            </w:pPr>
            <w:r>
              <w:rPr>
                <w:rFonts w:cs="Arial"/>
                <w:szCs w:val="20"/>
              </w:rPr>
              <w:t>3</w:t>
            </w:r>
          </w:p>
        </w:tc>
        <w:tc>
          <w:tcPr>
            <w:tcW w:w="466" w:type="pct"/>
            <w:tcBorders>
              <w:top w:val="nil"/>
              <w:bottom w:val="single" w:sz="4" w:space="0" w:color="auto"/>
            </w:tcBorders>
            <w:vAlign w:val="center"/>
          </w:tcPr>
          <w:p w:rsidR="00C52233" w:rsidRDefault="00C52233">
            <w:pPr>
              <w:jc w:val="center"/>
              <w:rPr>
                <w:rFonts w:cs="Arial"/>
                <w:szCs w:val="20"/>
              </w:rPr>
            </w:pPr>
            <w:r>
              <w:rPr>
                <w:rFonts w:cs="Arial"/>
                <w:szCs w:val="20"/>
              </w:rPr>
              <w:t>89</w:t>
            </w:r>
          </w:p>
        </w:tc>
        <w:tc>
          <w:tcPr>
            <w:tcW w:w="538" w:type="pct"/>
            <w:tcBorders>
              <w:top w:val="nil"/>
              <w:bottom w:val="single" w:sz="4" w:space="0" w:color="auto"/>
            </w:tcBorders>
            <w:vAlign w:val="center"/>
          </w:tcPr>
          <w:p w:rsidR="00C52233" w:rsidRDefault="00C52233">
            <w:pPr>
              <w:jc w:val="center"/>
              <w:rPr>
                <w:rFonts w:cs="Arial"/>
                <w:szCs w:val="20"/>
              </w:rPr>
            </w:pPr>
            <w:r>
              <w:rPr>
                <w:rFonts w:cs="Arial"/>
                <w:szCs w:val="20"/>
              </w:rPr>
              <w:t>1</w:t>
            </w:r>
          </w:p>
        </w:tc>
      </w:tr>
    </w:tbl>
    <w:p w:rsidR="00674600" w:rsidRDefault="00674600" w:rsidP="00674600">
      <w:pPr>
        <w:jc w:val="both"/>
      </w:pPr>
      <w:r>
        <w:t>Figure 2 sets out p</w:t>
      </w:r>
      <w:r w:rsidRPr="00EC137F">
        <w:t xml:space="preserve">rice and demand information is also shown for the voluntary Wallumbilla and Moomba Gas Supply Hubs </w:t>
      </w:r>
      <w:r w:rsidRPr="00EC137F">
        <w:rPr>
          <w:b/>
        </w:rPr>
        <w:t>(GSH)</w:t>
      </w:r>
      <w:r w:rsidRPr="00EC137F">
        <w:t>.</w:t>
      </w:r>
    </w:p>
    <w:p w:rsidR="00674600" w:rsidRDefault="00674600" w:rsidP="00674600">
      <w:pPr>
        <w:pStyle w:val="Caption"/>
        <w:rPr>
          <w:color w:val="2272A3"/>
          <w:szCs w:val="24"/>
        </w:rPr>
      </w:pPr>
      <w:r w:rsidRPr="00BE2075">
        <w:t xml:space="preserve">Figure </w:t>
      </w:r>
      <w:fldSimple w:instr=" SEQ Figure \* ARABIC ">
        <w:r>
          <w:rPr>
            <w:noProof/>
          </w:rPr>
          <w:t>2</w:t>
        </w:r>
      </w:fldSimple>
      <w:r w:rsidRPr="00BE2075">
        <w:t xml:space="preserve">: </w:t>
      </w:r>
      <w:r w:rsidRPr="006E7E57">
        <w:rPr>
          <w:color w:val="2272A3"/>
          <w:szCs w:val="24"/>
        </w:rPr>
        <w:t>Average prices</w:t>
      </w:r>
      <w:r>
        <w:rPr>
          <w:color w:val="2272A3"/>
          <w:szCs w:val="24"/>
        </w:rPr>
        <w:t xml:space="preserve"> and </w:t>
      </w:r>
      <w:r w:rsidR="0060313E">
        <w:rPr>
          <w:color w:val="2272A3"/>
          <w:szCs w:val="24"/>
        </w:rPr>
        <w:t xml:space="preserve">total </w:t>
      </w:r>
      <w:r w:rsidR="009904FF">
        <w:rPr>
          <w:color w:val="2272A3"/>
          <w:szCs w:val="24"/>
        </w:rPr>
        <w:t>quantity</w:t>
      </w:r>
      <w:r w:rsidRPr="006E7E57">
        <w:rPr>
          <w:color w:val="2272A3"/>
          <w:szCs w:val="24"/>
        </w:rPr>
        <w:t xml:space="preserve"> – </w:t>
      </w:r>
      <w:r w:rsidR="008D7D94">
        <w:rPr>
          <w:color w:val="2272A3"/>
          <w:szCs w:val="24"/>
        </w:rPr>
        <w:t>Gas supply hub</w:t>
      </w:r>
      <w:r w:rsidRPr="006E7E57">
        <w:rPr>
          <w:color w:val="2272A3"/>
          <w:szCs w:val="24"/>
        </w:rPr>
        <w:t xml:space="preserve"> ($/GJ</w:t>
      </w:r>
      <w:r w:rsidRPr="00EC137F">
        <w:rPr>
          <w:color w:val="2272A3"/>
          <w:szCs w:val="24"/>
        </w:rPr>
        <w:t>, TJ)</w:t>
      </w:r>
      <w:r w:rsidRPr="00EC137F">
        <w:rPr>
          <w:color w:val="2272A3"/>
          <w:szCs w:val="24"/>
          <w:vertAlign w:val="superscript"/>
        </w:rPr>
        <w:footnoteReference w:id="2"/>
      </w:r>
    </w:p>
    <w:tbl>
      <w:tblPr>
        <w:tblStyle w:val="AERTable-Text"/>
        <w:tblW w:w="5000" w:type="pct"/>
        <w:tblLayout w:type="fixed"/>
        <w:tblLook w:val="04A0" w:firstRow="1" w:lastRow="0" w:firstColumn="1" w:lastColumn="0" w:noHBand="0" w:noVBand="1"/>
      </w:tblPr>
      <w:tblGrid>
        <w:gridCol w:w="1891"/>
        <w:gridCol w:w="1336"/>
        <w:gridCol w:w="1174"/>
        <w:gridCol w:w="1237"/>
        <w:gridCol w:w="1253"/>
        <w:gridCol w:w="1155"/>
        <w:gridCol w:w="1196"/>
      </w:tblGrid>
      <w:tr w:rsidR="008D7D94" w:rsidRPr="002861A9" w:rsidTr="004C5EF8">
        <w:trPr>
          <w:cnfStyle w:val="100000000000" w:firstRow="1" w:lastRow="0" w:firstColumn="0" w:lastColumn="0" w:oddVBand="0" w:evenVBand="0" w:oddHBand="0" w:evenHBand="0" w:firstRowFirstColumn="0" w:firstRowLastColumn="0" w:lastRowFirstColumn="0" w:lastRowLastColumn="0"/>
          <w:trHeight w:val="404"/>
          <w:tblHeader/>
        </w:trPr>
        <w:tc>
          <w:tcPr>
            <w:tcW w:w="1023" w:type="pct"/>
            <w:tcBorders>
              <w:top w:val="nil"/>
              <w:left w:val="nil"/>
              <w:bottom w:val="nil"/>
              <w:right w:val="nil"/>
            </w:tcBorders>
            <w:vAlign w:val="center"/>
          </w:tcPr>
          <w:p w:rsidR="008D7D94" w:rsidRPr="00E16EDC" w:rsidRDefault="008D7D94" w:rsidP="004C5EF8">
            <w:pPr>
              <w:pStyle w:val="TableHeading"/>
              <w:spacing w:before="120" w:after="0" w:line="240" w:lineRule="auto"/>
              <w:jc w:val="center"/>
              <w:rPr>
                <w:rFonts w:cs="Arial"/>
                <w:sz w:val="20"/>
                <w:szCs w:val="20"/>
              </w:rPr>
            </w:pPr>
          </w:p>
        </w:tc>
        <w:tc>
          <w:tcPr>
            <w:tcW w:w="1358" w:type="pct"/>
            <w:gridSpan w:val="2"/>
            <w:tcBorders>
              <w:top w:val="nil"/>
              <w:left w:val="nil"/>
              <w:bottom w:val="nil"/>
              <w:right w:val="nil"/>
            </w:tcBorders>
            <w:vAlign w:val="center"/>
          </w:tcPr>
          <w:p w:rsidR="008D7D94" w:rsidRPr="00E95390" w:rsidRDefault="008D7D94" w:rsidP="004C5EF8">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Moomba</w:t>
            </w:r>
          </w:p>
        </w:tc>
        <w:tc>
          <w:tcPr>
            <w:tcW w:w="1347" w:type="pct"/>
            <w:gridSpan w:val="2"/>
            <w:tcBorders>
              <w:top w:val="nil"/>
              <w:left w:val="nil"/>
              <w:bottom w:val="nil"/>
              <w:right w:val="nil"/>
            </w:tcBorders>
            <w:vAlign w:val="center"/>
          </w:tcPr>
          <w:p w:rsidR="008D7D94" w:rsidRPr="00E95390" w:rsidRDefault="008D7D94" w:rsidP="004C5EF8">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South East Queensland</w:t>
            </w:r>
          </w:p>
        </w:tc>
        <w:tc>
          <w:tcPr>
            <w:tcW w:w="1272" w:type="pct"/>
            <w:gridSpan w:val="2"/>
            <w:tcBorders>
              <w:top w:val="nil"/>
              <w:left w:val="nil"/>
              <w:bottom w:val="nil"/>
              <w:right w:val="nil"/>
            </w:tcBorders>
            <w:vAlign w:val="center"/>
          </w:tcPr>
          <w:p w:rsidR="008D7D94" w:rsidRPr="00E95390" w:rsidRDefault="008D7D94" w:rsidP="004C5EF8">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Wallumbilla</w:t>
            </w:r>
          </w:p>
        </w:tc>
      </w:tr>
      <w:tr w:rsidR="008D7D94" w:rsidRPr="002861A9" w:rsidTr="004C5EF8">
        <w:trPr>
          <w:cnfStyle w:val="100000000000" w:firstRow="1" w:lastRow="0" w:firstColumn="0" w:lastColumn="0" w:oddVBand="0" w:evenVBand="0" w:oddHBand="0" w:evenHBand="0" w:firstRowFirstColumn="0" w:firstRowLastColumn="0" w:lastRowFirstColumn="0" w:lastRowLastColumn="0"/>
          <w:tblHeader/>
        </w:trPr>
        <w:tc>
          <w:tcPr>
            <w:tcW w:w="1023" w:type="pct"/>
            <w:tcBorders>
              <w:top w:val="nil"/>
              <w:left w:val="nil"/>
              <w:bottom w:val="nil"/>
              <w:right w:val="nil"/>
            </w:tcBorders>
            <w:vAlign w:val="center"/>
            <w:hideMark/>
          </w:tcPr>
          <w:p w:rsidR="008D7D94" w:rsidRPr="00A226E9" w:rsidRDefault="008D7D94" w:rsidP="004C5EF8">
            <w:pPr>
              <w:spacing w:before="0" w:line="240" w:lineRule="auto"/>
              <w:rPr>
                <w:rFonts w:cs="Arial"/>
                <w:sz w:val="20"/>
                <w:szCs w:val="20"/>
                <w:highlight w:val="yellow"/>
              </w:rPr>
            </w:pPr>
          </w:p>
        </w:tc>
        <w:tc>
          <w:tcPr>
            <w:tcW w:w="723" w:type="pct"/>
            <w:tcBorders>
              <w:top w:val="nil"/>
              <w:left w:val="nil"/>
              <w:bottom w:val="nil"/>
              <w:right w:val="nil"/>
            </w:tcBorders>
            <w:vAlign w:val="center"/>
            <w:hideMark/>
          </w:tcPr>
          <w:p w:rsidR="008D7D94" w:rsidRPr="00E16EDC" w:rsidRDefault="008D7D94" w:rsidP="004C5EF8">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35" w:type="pct"/>
            <w:tcBorders>
              <w:top w:val="nil"/>
              <w:left w:val="nil"/>
              <w:bottom w:val="nil"/>
              <w:right w:val="nil"/>
            </w:tcBorders>
            <w:vAlign w:val="center"/>
            <w:hideMark/>
          </w:tcPr>
          <w:p w:rsidR="008D7D94" w:rsidRPr="00E16EDC" w:rsidRDefault="009904FF" w:rsidP="004C5EF8">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69" w:type="pct"/>
            <w:tcBorders>
              <w:top w:val="nil"/>
              <w:left w:val="nil"/>
              <w:bottom w:val="nil"/>
              <w:right w:val="nil"/>
            </w:tcBorders>
            <w:vAlign w:val="center"/>
            <w:hideMark/>
          </w:tcPr>
          <w:p w:rsidR="008D7D94" w:rsidRPr="00E16EDC" w:rsidRDefault="008D7D94" w:rsidP="004C5EF8">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78" w:type="pct"/>
            <w:tcBorders>
              <w:top w:val="nil"/>
              <w:left w:val="nil"/>
              <w:bottom w:val="nil"/>
              <w:right w:val="nil"/>
            </w:tcBorders>
            <w:vAlign w:val="center"/>
          </w:tcPr>
          <w:p w:rsidR="008D7D94" w:rsidRPr="00E16EDC" w:rsidRDefault="009904FF" w:rsidP="004C5EF8">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25" w:type="pct"/>
            <w:tcBorders>
              <w:top w:val="nil"/>
              <w:left w:val="nil"/>
              <w:bottom w:val="nil"/>
              <w:right w:val="nil"/>
            </w:tcBorders>
            <w:vAlign w:val="center"/>
          </w:tcPr>
          <w:p w:rsidR="008D7D94" w:rsidRPr="00E16EDC" w:rsidRDefault="008D7D94" w:rsidP="004C5EF8">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47" w:type="pct"/>
            <w:tcBorders>
              <w:top w:val="nil"/>
              <w:left w:val="nil"/>
              <w:bottom w:val="nil"/>
              <w:right w:val="nil"/>
            </w:tcBorders>
            <w:vAlign w:val="center"/>
          </w:tcPr>
          <w:p w:rsidR="008D7D94" w:rsidRPr="00E16EDC" w:rsidRDefault="009904FF" w:rsidP="004C5EF8">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C52233" w:rsidRPr="006A7228" w:rsidTr="004C5EF8">
        <w:trPr>
          <w:trHeight w:val="510"/>
        </w:trPr>
        <w:tc>
          <w:tcPr>
            <w:tcW w:w="1023" w:type="pct"/>
            <w:tcBorders>
              <w:top w:val="nil"/>
              <w:bottom w:val="nil"/>
            </w:tcBorders>
            <w:vAlign w:val="center"/>
          </w:tcPr>
          <w:p w:rsidR="00C52233" w:rsidRDefault="00C52233">
            <w:pPr>
              <w:rPr>
                <w:rFonts w:cs="Arial"/>
                <w:sz w:val="16"/>
                <w:szCs w:val="16"/>
              </w:rPr>
            </w:pPr>
            <w:r>
              <w:rPr>
                <w:rFonts w:cs="Arial"/>
                <w:sz w:val="16"/>
                <w:szCs w:val="16"/>
              </w:rPr>
              <w:t>28 May - 03 Jun 2017</w:t>
            </w:r>
          </w:p>
        </w:tc>
        <w:tc>
          <w:tcPr>
            <w:tcW w:w="723" w:type="pct"/>
            <w:tcBorders>
              <w:top w:val="nil"/>
              <w:bottom w:val="nil"/>
            </w:tcBorders>
            <w:vAlign w:val="center"/>
          </w:tcPr>
          <w:p w:rsidR="00C52233" w:rsidRDefault="00C52233">
            <w:pPr>
              <w:jc w:val="center"/>
              <w:rPr>
                <w:rFonts w:cs="Arial"/>
                <w:sz w:val="20"/>
                <w:szCs w:val="20"/>
              </w:rPr>
            </w:pPr>
            <w:r>
              <w:rPr>
                <w:rFonts w:cs="Arial"/>
                <w:sz w:val="20"/>
                <w:szCs w:val="20"/>
              </w:rPr>
              <w:t>-</w:t>
            </w:r>
          </w:p>
        </w:tc>
        <w:tc>
          <w:tcPr>
            <w:tcW w:w="635" w:type="pct"/>
            <w:tcBorders>
              <w:top w:val="nil"/>
              <w:bottom w:val="nil"/>
            </w:tcBorders>
            <w:vAlign w:val="center"/>
          </w:tcPr>
          <w:p w:rsidR="00C52233" w:rsidRDefault="00C52233">
            <w:pPr>
              <w:jc w:val="center"/>
              <w:rPr>
                <w:rFonts w:cs="Arial"/>
                <w:sz w:val="20"/>
                <w:szCs w:val="20"/>
              </w:rPr>
            </w:pPr>
            <w:r>
              <w:rPr>
                <w:rFonts w:cs="Arial"/>
                <w:sz w:val="20"/>
                <w:szCs w:val="20"/>
              </w:rPr>
              <w:t>-</w:t>
            </w:r>
          </w:p>
        </w:tc>
        <w:tc>
          <w:tcPr>
            <w:tcW w:w="669" w:type="pct"/>
            <w:tcBorders>
              <w:top w:val="nil"/>
              <w:bottom w:val="nil"/>
            </w:tcBorders>
            <w:vAlign w:val="center"/>
          </w:tcPr>
          <w:p w:rsidR="00C52233" w:rsidRDefault="00C52233">
            <w:pPr>
              <w:jc w:val="center"/>
              <w:rPr>
                <w:rFonts w:cs="Arial"/>
                <w:sz w:val="20"/>
                <w:szCs w:val="20"/>
              </w:rPr>
            </w:pPr>
            <w:r>
              <w:rPr>
                <w:rFonts w:cs="Arial"/>
                <w:sz w:val="20"/>
                <w:szCs w:val="20"/>
              </w:rPr>
              <w:t>7.07</w:t>
            </w:r>
          </w:p>
        </w:tc>
        <w:tc>
          <w:tcPr>
            <w:tcW w:w="678" w:type="pct"/>
            <w:tcBorders>
              <w:top w:val="nil"/>
              <w:bottom w:val="nil"/>
            </w:tcBorders>
            <w:vAlign w:val="center"/>
          </w:tcPr>
          <w:p w:rsidR="00C52233" w:rsidRDefault="00C52233">
            <w:pPr>
              <w:jc w:val="center"/>
              <w:rPr>
                <w:rFonts w:cs="Arial"/>
                <w:sz w:val="20"/>
                <w:szCs w:val="20"/>
              </w:rPr>
            </w:pPr>
            <w:r>
              <w:rPr>
                <w:rFonts w:cs="Arial"/>
                <w:sz w:val="20"/>
                <w:szCs w:val="20"/>
              </w:rPr>
              <w:t>43</w:t>
            </w:r>
          </w:p>
        </w:tc>
        <w:tc>
          <w:tcPr>
            <w:tcW w:w="625" w:type="pct"/>
            <w:tcBorders>
              <w:top w:val="nil"/>
              <w:bottom w:val="nil"/>
            </w:tcBorders>
            <w:vAlign w:val="center"/>
          </w:tcPr>
          <w:p w:rsidR="00C52233" w:rsidRDefault="00C52233">
            <w:pPr>
              <w:jc w:val="center"/>
              <w:rPr>
                <w:rFonts w:cs="Arial"/>
                <w:sz w:val="20"/>
                <w:szCs w:val="20"/>
              </w:rPr>
            </w:pPr>
            <w:r>
              <w:rPr>
                <w:rFonts w:cs="Arial"/>
                <w:sz w:val="20"/>
                <w:szCs w:val="20"/>
              </w:rPr>
              <w:t>7.75</w:t>
            </w:r>
          </w:p>
        </w:tc>
        <w:tc>
          <w:tcPr>
            <w:tcW w:w="647" w:type="pct"/>
            <w:tcBorders>
              <w:top w:val="nil"/>
              <w:bottom w:val="nil"/>
            </w:tcBorders>
            <w:vAlign w:val="center"/>
          </w:tcPr>
          <w:p w:rsidR="00C52233" w:rsidRDefault="00C52233">
            <w:pPr>
              <w:jc w:val="center"/>
              <w:rPr>
                <w:rFonts w:cs="Arial"/>
                <w:sz w:val="20"/>
                <w:szCs w:val="20"/>
              </w:rPr>
            </w:pPr>
            <w:r>
              <w:rPr>
                <w:rFonts w:cs="Arial"/>
                <w:sz w:val="20"/>
                <w:szCs w:val="20"/>
              </w:rPr>
              <w:t>160</w:t>
            </w:r>
          </w:p>
        </w:tc>
      </w:tr>
      <w:tr w:rsidR="00C52233" w:rsidRPr="006A7228" w:rsidTr="004C5EF8">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nil"/>
            </w:tcBorders>
            <w:vAlign w:val="center"/>
          </w:tcPr>
          <w:p w:rsidR="00C52233" w:rsidRDefault="00C52233">
            <w:pPr>
              <w:rPr>
                <w:rFonts w:cs="Arial"/>
                <w:sz w:val="16"/>
                <w:szCs w:val="16"/>
              </w:rPr>
            </w:pPr>
            <w:r>
              <w:rPr>
                <w:rFonts w:cs="Arial"/>
                <w:sz w:val="16"/>
                <w:szCs w:val="16"/>
              </w:rPr>
              <w:t>% change from previous week</w:t>
            </w:r>
          </w:p>
        </w:tc>
        <w:tc>
          <w:tcPr>
            <w:tcW w:w="723" w:type="pct"/>
            <w:tcBorders>
              <w:top w:val="nil"/>
              <w:bottom w:val="nil"/>
            </w:tcBorders>
            <w:vAlign w:val="center"/>
          </w:tcPr>
          <w:p w:rsidR="00C52233" w:rsidRDefault="00C52233">
            <w:pPr>
              <w:jc w:val="center"/>
              <w:rPr>
                <w:rFonts w:cs="Arial"/>
                <w:szCs w:val="20"/>
              </w:rPr>
            </w:pPr>
            <w:r>
              <w:rPr>
                <w:rFonts w:cs="Arial"/>
                <w:szCs w:val="20"/>
              </w:rPr>
              <w:t>-</w:t>
            </w:r>
          </w:p>
        </w:tc>
        <w:tc>
          <w:tcPr>
            <w:tcW w:w="635" w:type="pct"/>
            <w:tcBorders>
              <w:top w:val="nil"/>
              <w:bottom w:val="nil"/>
            </w:tcBorders>
            <w:vAlign w:val="center"/>
          </w:tcPr>
          <w:p w:rsidR="00C52233" w:rsidRDefault="00C52233">
            <w:pPr>
              <w:jc w:val="center"/>
              <w:rPr>
                <w:rFonts w:cs="Arial"/>
                <w:szCs w:val="20"/>
              </w:rPr>
            </w:pPr>
            <w:r>
              <w:rPr>
                <w:rFonts w:cs="Arial"/>
                <w:szCs w:val="20"/>
              </w:rPr>
              <w:t>-</w:t>
            </w:r>
          </w:p>
        </w:tc>
        <w:tc>
          <w:tcPr>
            <w:tcW w:w="669" w:type="pct"/>
            <w:tcBorders>
              <w:top w:val="nil"/>
              <w:bottom w:val="nil"/>
            </w:tcBorders>
            <w:vAlign w:val="center"/>
          </w:tcPr>
          <w:p w:rsidR="00C52233" w:rsidRDefault="00C52233">
            <w:pPr>
              <w:jc w:val="center"/>
              <w:rPr>
                <w:rFonts w:cs="Arial"/>
                <w:szCs w:val="20"/>
              </w:rPr>
            </w:pPr>
            <w:r>
              <w:rPr>
                <w:rFonts w:cs="Arial"/>
                <w:szCs w:val="20"/>
              </w:rPr>
              <w:t>-2</w:t>
            </w:r>
          </w:p>
        </w:tc>
        <w:tc>
          <w:tcPr>
            <w:tcW w:w="678" w:type="pct"/>
            <w:tcBorders>
              <w:top w:val="nil"/>
              <w:bottom w:val="nil"/>
            </w:tcBorders>
            <w:vAlign w:val="center"/>
          </w:tcPr>
          <w:p w:rsidR="00C52233" w:rsidRDefault="00C52233">
            <w:pPr>
              <w:jc w:val="center"/>
              <w:rPr>
                <w:rFonts w:cs="Arial"/>
                <w:szCs w:val="20"/>
              </w:rPr>
            </w:pPr>
            <w:r>
              <w:rPr>
                <w:rFonts w:cs="Arial"/>
                <w:szCs w:val="20"/>
              </w:rPr>
              <w:t>-72</w:t>
            </w:r>
          </w:p>
        </w:tc>
        <w:tc>
          <w:tcPr>
            <w:tcW w:w="625" w:type="pct"/>
            <w:tcBorders>
              <w:top w:val="nil"/>
              <w:bottom w:val="nil"/>
            </w:tcBorders>
            <w:vAlign w:val="center"/>
          </w:tcPr>
          <w:p w:rsidR="00C52233" w:rsidRDefault="00C52233">
            <w:pPr>
              <w:jc w:val="center"/>
              <w:rPr>
                <w:rFonts w:cs="Arial"/>
                <w:szCs w:val="20"/>
              </w:rPr>
            </w:pPr>
            <w:r>
              <w:rPr>
                <w:rFonts w:cs="Arial"/>
                <w:szCs w:val="20"/>
              </w:rPr>
              <w:t>7</w:t>
            </w:r>
          </w:p>
        </w:tc>
        <w:tc>
          <w:tcPr>
            <w:tcW w:w="647" w:type="pct"/>
            <w:tcBorders>
              <w:top w:val="nil"/>
              <w:bottom w:val="nil"/>
            </w:tcBorders>
            <w:vAlign w:val="center"/>
          </w:tcPr>
          <w:p w:rsidR="00C52233" w:rsidRDefault="00C52233">
            <w:pPr>
              <w:jc w:val="center"/>
              <w:rPr>
                <w:rFonts w:cs="Arial"/>
                <w:szCs w:val="20"/>
              </w:rPr>
            </w:pPr>
            <w:r>
              <w:rPr>
                <w:rFonts w:cs="Arial"/>
                <w:szCs w:val="20"/>
              </w:rPr>
              <w:t>233</w:t>
            </w:r>
          </w:p>
        </w:tc>
      </w:tr>
      <w:tr w:rsidR="00C52233" w:rsidRPr="006A7228" w:rsidTr="004C5EF8">
        <w:trPr>
          <w:trHeight w:val="510"/>
        </w:trPr>
        <w:tc>
          <w:tcPr>
            <w:tcW w:w="1023" w:type="pct"/>
            <w:tcBorders>
              <w:top w:val="nil"/>
              <w:bottom w:val="nil"/>
            </w:tcBorders>
            <w:vAlign w:val="center"/>
          </w:tcPr>
          <w:p w:rsidR="00C52233" w:rsidRDefault="00C52233">
            <w:pPr>
              <w:rPr>
                <w:rFonts w:cs="Arial"/>
                <w:sz w:val="16"/>
                <w:szCs w:val="16"/>
              </w:rPr>
            </w:pPr>
            <w:r>
              <w:rPr>
                <w:rFonts w:cs="Arial"/>
                <w:sz w:val="16"/>
                <w:szCs w:val="16"/>
              </w:rPr>
              <w:t>16-17 financial YTD</w:t>
            </w:r>
          </w:p>
        </w:tc>
        <w:tc>
          <w:tcPr>
            <w:tcW w:w="723" w:type="pct"/>
            <w:tcBorders>
              <w:top w:val="nil"/>
              <w:bottom w:val="nil"/>
            </w:tcBorders>
            <w:vAlign w:val="center"/>
          </w:tcPr>
          <w:p w:rsidR="00C52233" w:rsidRDefault="00C52233">
            <w:pPr>
              <w:jc w:val="center"/>
              <w:rPr>
                <w:rFonts w:cs="Arial"/>
                <w:sz w:val="20"/>
                <w:szCs w:val="20"/>
              </w:rPr>
            </w:pPr>
            <w:r>
              <w:rPr>
                <w:rFonts w:cs="Arial"/>
                <w:sz w:val="20"/>
                <w:szCs w:val="20"/>
              </w:rPr>
              <w:t>-</w:t>
            </w:r>
          </w:p>
        </w:tc>
        <w:tc>
          <w:tcPr>
            <w:tcW w:w="635" w:type="pct"/>
            <w:tcBorders>
              <w:top w:val="nil"/>
              <w:bottom w:val="nil"/>
            </w:tcBorders>
            <w:vAlign w:val="center"/>
          </w:tcPr>
          <w:p w:rsidR="00C52233" w:rsidRDefault="00C52233">
            <w:pPr>
              <w:jc w:val="center"/>
              <w:rPr>
                <w:rFonts w:cs="Arial"/>
                <w:sz w:val="20"/>
                <w:szCs w:val="20"/>
              </w:rPr>
            </w:pPr>
            <w:r>
              <w:rPr>
                <w:rFonts w:cs="Arial"/>
                <w:sz w:val="20"/>
                <w:szCs w:val="20"/>
              </w:rPr>
              <w:t>-</w:t>
            </w:r>
          </w:p>
        </w:tc>
        <w:tc>
          <w:tcPr>
            <w:tcW w:w="669" w:type="pct"/>
            <w:tcBorders>
              <w:top w:val="nil"/>
              <w:bottom w:val="nil"/>
            </w:tcBorders>
            <w:vAlign w:val="center"/>
          </w:tcPr>
          <w:p w:rsidR="00C52233" w:rsidRDefault="00C52233">
            <w:pPr>
              <w:jc w:val="center"/>
              <w:rPr>
                <w:rFonts w:cs="Arial"/>
                <w:sz w:val="20"/>
                <w:szCs w:val="20"/>
              </w:rPr>
            </w:pPr>
            <w:r>
              <w:rPr>
                <w:rFonts w:cs="Arial"/>
                <w:sz w:val="20"/>
                <w:szCs w:val="20"/>
              </w:rPr>
              <w:t>7.31</w:t>
            </w:r>
          </w:p>
        </w:tc>
        <w:tc>
          <w:tcPr>
            <w:tcW w:w="678" w:type="pct"/>
            <w:tcBorders>
              <w:top w:val="nil"/>
              <w:bottom w:val="nil"/>
            </w:tcBorders>
            <w:vAlign w:val="center"/>
          </w:tcPr>
          <w:p w:rsidR="00C52233" w:rsidRDefault="00C52233">
            <w:pPr>
              <w:jc w:val="center"/>
              <w:rPr>
                <w:rFonts w:cs="Arial"/>
                <w:sz w:val="20"/>
                <w:szCs w:val="20"/>
              </w:rPr>
            </w:pPr>
            <w:r>
              <w:rPr>
                <w:rFonts w:cs="Arial"/>
                <w:sz w:val="20"/>
                <w:szCs w:val="20"/>
              </w:rPr>
              <w:t>585</w:t>
            </w:r>
          </w:p>
        </w:tc>
        <w:tc>
          <w:tcPr>
            <w:tcW w:w="625" w:type="pct"/>
            <w:tcBorders>
              <w:top w:val="nil"/>
              <w:bottom w:val="nil"/>
            </w:tcBorders>
            <w:vAlign w:val="center"/>
          </w:tcPr>
          <w:p w:rsidR="00C52233" w:rsidRDefault="00C52233">
            <w:pPr>
              <w:jc w:val="center"/>
              <w:rPr>
                <w:rFonts w:cs="Arial"/>
                <w:sz w:val="20"/>
                <w:szCs w:val="20"/>
              </w:rPr>
            </w:pPr>
            <w:r>
              <w:rPr>
                <w:rFonts w:cs="Arial"/>
                <w:sz w:val="20"/>
                <w:szCs w:val="20"/>
              </w:rPr>
              <w:t>8.34</w:t>
            </w:r>
          </w:p>
        </w:tc>
        <w:tc>
          <w:tcPr>
            <w:tcW w:w="647" w:type="pct"/>
            <w:tcBorders>
              <w:top w:val="nil"/>
              <w:bottom w:val="nil"/>
            </w:tcBorders>
            <w:vAlign w:val="center"/>
          </w:tcPr>
          <w:p w:rsidR="00C52233" w:rsidRDefault="00C52233">
            <w:pPr>
              <w:jc w:val="center"/>
              <w:rPr>
                <w:rFonts w:cs="Arial"/>
                <w:sz w:val="20"/>
                <w:szCs w:val="20"/>
              </w:rPr>
            </w:pPr>
            <w:r>
              <w:rPr>
                <w:rFonts w:cs="Arial"/>
                <w:sz w:val="20"/>
                <w:szCs w:val="20"/>
              </w:rPr>
              <w:t>7125</w:t>
            </w:r>
          </w:p>
        </w:tc>
      </w:tr>
      <w:tr w:rsidR="00C52233" w:rsidRPr="006A7228" w:rsidTr="004C5EF8">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single" w:sz="4" w:space="0" w:color="auto"/>
            </w:tcBorders>
            <w:vAlign w:val="center"/>
          </w:tcPr>
          <w:p w:rsidR="00C52233" w:rsidRDefault="00C52233">
            <w:pPr>
              <w:rPr>
                <w:rFonts w:cs="Arial"/>
                <w:sz w:val="16"/>
                <w:szCs w:val="16"/>
              </w:rPr>
            </w:pPr>
            <w:r>
              <w:rPr>
                <w:rFonts w:cs="Arial"/>
                <w:sz w:val="16"/>
                <w:szCs w:val="16"/>
              </w:rPr>
              <w:t>% change from previous financial YTD</w:t>
            </w:r>
          </w:p>
        </w:tc>
        <w:tc>
          <w:tcPr>
            <w:tcW w:w="723" w:type="pct"/>
            <w:tcBorders>
              <w:top w:val="nil"/>
              <w:bottom w:val="single" w:sz="4" w:space="0" w:color="auto"/>
            </w:tcBorders>
            <w:vAlign w:val="center"/>
          </w:tcPr>
          <w:p w:rsidR="00C52233" w:rsidRDefault="00C52233">
            <w:pPr>
              <w:jc w:val="center"/>
              <w:rPr>
                <w:rFonts w:cs="Arial"/>
                <w:szCs w:val="20"/>
              </w:rPr>
            </w:pPr>
            <w:r>
              <w:rPr>
                <w:rFonts w:cs="Arial"/>
                <w:szCs w:val="20"/>
              </w:rPr>
              <w:t>-</w:t>
            </w:r>
          </w:p>
        </w:tc>
        <w:tc>
          <w:tcPr>
            <w:tcW w:w="635" w:type="pct"/>
            <w:tcBorders>
              <w:top w:val="nil"/>
              <w:bottom w:val="single" w:sz="4" w:space="0" w:color="auto"/>
            </w:tcBorders>
            <w:vAlign w:val="center"/>
          </w:tcPr>
          <w:p w:rsidR="00C52233" w:rsidRDefault="00C52233">
            <w:pPr>
              <w:jc w:val="center"/>
              <w:rPr>
                <w:rFonts w:cs="Arial"/>
                <w:szCs w:val="20"/>
              </w:rPr>
            </w:pPr>
            <w:r>
              <w:rPr>
                <w:rFonts w:cs="Arial"/>
                <w:szCs w:val="20"/>
              </w:rPr>
              <w:t>-</w:t>
            </w:r>
          </w:p>
        </w:tc>
        <w:tc>
          <w:tcPr>
            <w:tcW w:w="669" w:type="pct"/>
            <w:tcBorders>
              <w:top w:val="nil"/>
              <w:bottom w:val="single" w:sz="4" w:space="0" w:color="auto"/>
            </w:tcBorders>
            <w:vAlign w:val="center"/>
          </w:tcPr>
          <w:p w:rsidR="00C52233" w:rsidRDefault="00C52233">
            <w:pPr>
              <w:jc w:val="center"/>
              <w:rPr>
                <w:rFonts w:cs="Arial"/>
                <w:szCs w:val="20"/>
              </w:rPr>
            </w:pPr>
            <w:r>
              <w:rPr>
                <w:rFonts w:cs="Arial"/>
                <w:szCs w:val="20"/>
              </w:rPr>
              <w:t>-</w:t>
            </w:r>
          </w:p>
        </w:tc>
        <w:tc>
          <w:tcPr>
            <w:tcW w:w="678" w:type="pct"/>
            <w:tcBorders>
              <w:top w:val="nil"/>
              <w:bottom w:val="single" w:sz="4" w:space="0" w:color="auto"/>
            </w:tcBorders>
            <w:vAlign w:val="center"/>
          </w:tcPr>
          <w:p w:rsidR="00C52233" w:rsidRDefault="00C52233">
            <w:pPr>
              <w:jc w:val="center"/>
              <w:rPr>
                <w:rFonts w:cs="Arial"/>
                <w:szCs w:val="20"/>
              </w:rPr>
            </w:pPr>
            <w:r>
              <w:rPr>
                <w:rFonts w:cs="Arial"/>
                <w:szCs w:val="20"/>
              </w:rPr>
              <w:t>-</w:t>
            </w:r>
          </w:p>
        </w:tc>
        <w:tc>
          <w:tcPr>
            <w:tcW w:w="625" w:type="pct"/>
            <w:tcBorders>
              <w:top w:val="nil"/>
              <w:bottom w:val="single" w:sz="4" w:space="0" w:color="auto"/>
            </w:tcBorders>
            <w:vAlign w:val="center"/>
          </w:tcPr>
          <w:p w:rsidR="00C52233" w:rsidRDefault="00C52233">
            <w:pPr>
              <w:jc w:val="center"/>
              <w:rPr>
                <w:rFonts w:cs="Arial"/>
                <w:szCs w:val="20"/>
              </w:rPr>
            </w:pPr>
            <w:r>
              <w:rPr>
                <w:rFonts w:cs="Arial"/>
                <w:szCs w:val="20"/>
              </w:rPr>
              <w:t>107</w:t>
            </w:r>
          </w:p>
        </w:tc>
        <w:tc>
          <w:tcPr>
            <w:tcW w:w="647" w:type="pct"/>
            <w:tcBorders>
              <w:top w:val="nil"/>
              <w:bottom w:val="single" w:sz="4" w:space="0" w:color="auto"/>
            </w:tcBorders>
            <w:vAlign w:val="center"/>
          </w:tcPr>
          <w:p w:rsidR="00C52233" w:rsidRDefault="00C52233">
            <w:pPr>
              <w:jc w:val="center"/>
              <w:rPr>
                <w:rFonts w:cs="Arial"/>
                <w:szCs w:val="20"/>
              </w:rPr>
            </w:pPr>
            <w:r>
              <w:rPr>
                <w:rFonts w:cs="Arial"/>
                <w:szCs w:val="20"/>
              </w:rPr>
              <w:t>1</w:t>
            </w:r>
          </w:p>
        </w:tc>
      </w:tr>
    </w:tbl>
    <w:p w:rsidR="001521CB" w:rsidRPr="008D4DAB" w:rsidRDefault="00674600" w:rsidP="00D352AB">
      <w:pPr>
        <w:pStyle w:val="AERbodytext"/>
        <w:keepNext/>
        <w:spacing w:before="200"/>
      </w:pPr>
      <w:r w:rsidRPr="00EC137F">
        <w:t>Figure</w:t>
      </w:r>
      <w:r>
        <w:t> 3</w:t>
      </w:r>
      <w:r w:rsidRPr="00EC137F">
        <w:t xml:space="preserve"> </w:t>
      </w:r>
      <w:r w:rsidR="001521CB" w:rsidRPr="00EC137F">
        <w:t>illustrates the daily prices in each gas market</w:t>
      </w:r>
      <w:r w:rsidR="00580E72" w:rsidRPr="00EC137F">
        <w:t>, as defined in figure</w:t>
      </w:r>
      <w:r>
        <w:t>s</w:t>
      </w:r>
      <w:r w:rsidR="00580E72" w:rsidRPr="00EC137F">
        <w:t> 1</w:t>
      </w:r>
      <w:r>
        <w:t xml:space="preserve"> and 2</w:t>
      </w:r>
      <w:r w:rsidR="001521CB" w:rsidRPr="00EC137F">
        <w:t>.</w:t>
      </w:r>
    </w:p>
    <w:p w:rsidR="001521CB" w:rsidRPr="001521CB" w:rsidRDefault="001521CB" w:rsidP="001521CB">
      <w:pPr>
        <w:pStyle w:val="Caption"/>
      </w:pPr>
      <w:r w:rsidRPr="001521CB">
        <w:t xml:space="preserve">Figure </w:t>
      </w:r>
      <w:fldSimple w:instr=" SEQ Figure \* ARABIC ">
        <w:r w:rsidR="00674600">
          <w:rPr>
            <w:noProof/>
          </w:rPr>
          <w:t>3</w:t>
        </w:r>
      </w:fldSimple>
      <w:r w:rsidRPr="001521CB">
        <w:t xml:space="preserve">: </w:t>
      </w:r>
      <w:r w:rsidRPr="001521CB">
        <w:rPr>
          <w:color w:val="2272A3"/>
          <w:szCs w:val="24"/>
        </w:rPr>
        <w:t>Daily gas market prices</w:t>
      </w:r>
      <w:r w:rsidR="00A84149">
        <w:rPr>
          <w:color w:val="2272A3"/>
          <w:szCs w:val="24"/>
        </w:rPr>
        <w:t xml:space="preserve"> ($/GJ)</w:t>
      </w:r>
    </w:p>
    <w:p w:rsidR="001521CB" w:rsidRDefault="00C52233" w:rsidP="001521CB">
      <w:r w:rsidRPr="00C52233">
        <w:rPr>
          <w:noProof/>
          <w:lang w:eastAsia="en-AU"/>
        </w:rPr>
        <w:drawing>
          <wp:inline distT="0" distB="0" distL="0" distR="0" wp14:anchorId="3E87CF6A" wp14:editId="7B2CF2DD">
            <wp:extent cx="5731510" cy="2107462"/>
            <wp:effectExtent l="0" t="0" r="2540" b="7620"/>
            <wp:docPr id="2" name="Picture 2" descr="Figure 3 shows the daily price of gas in the mandatory gas markets and voluntary gas supply hubs (GSH). The weighted average daily imbalance price applies for Victoria. The prices shown for the GSH in Wallumbilla and Moomba are volume weighted average prices for all commodity products traded on each day for each hub. The price shown for South East Queensland is the volume weighted average price for all commodity products traded on each day for that specific product location.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107462"/>
                    </a:xfrm>
                    <a:prstGeom prst="rect">
                      <a:avLst/>
                    </a:prstGeom>
                    <a:noFill/>
                    <a:ln>
                      <a:noFill/>
                    </a:ln>
                  </pic:spPr>
                </pic:pic>
              </a:graphicData>
            </a:graphic>
          </wp:inline>
        </w:drawing>
      </w:r>
    </w:p>
    <w:p w:rsidR="001521CB" w:rsidRPr="008D4DAB" w:rsidRDefault="00674600" w:rsidP="00F26128">
      <w:pPr>
        <w:pStyle w:val="AERbodytext"/>
      </w:pPr>
      <w:r>
        <w:lastRenderedPageBreak/>
        <w:t>Figure 4</w:t>
      </w:r>
      <w:r w:rsidR="001521CB" w:rsidRPr="00EC137F">
        <w:t xml:space="preserve"> compares average ancillary market payments </w:t>
      </w:r>
      <w:r w:rsidR="006621AB" w:rsidRPr="00EC137F">
        <w:t xml:space="preserve">(VGM) </w:t>
      </w:r>
      <w:r w:rsidR="001521CB" w:rsidRPr="00EC137F">
        <w:t xml:space="preserve">and </w:t>
      </w:r>
      <w:r w:rsidR="006621AB" w:rsidRPr="00EC137F">
        <w:t xml:space="preserve">balancing gas service payments (STTM) </w:t>
      </w:r>
      <w:r w:rsidR="001521CB" w:rsidRPr="00EC137F">
        <w:t>against historical averages.</w:t>
      </w:r>
    </w:p>
    <w:p w:rsidR="001521CB" w:rsidRPr="001521CB" w:rsidRDefault="001521CB" w:rsidP="001521CB">
      <w:pPr>
        <w:pStyle w:val="Caption"/>
      </w:pPr>
      <w:r w:rsidRPr="001521CB">
        <w:t xml:space="preserve">Figure </w:t>
      </w:r>
      <w:fldSimple w:instr=" SEQ Figure \* ARABIC ">
        <w:r w:rsidR="00674600">
          <w:rPr>
            <w:noProof/>
          </w:rPr>
          <w:t>4</w:t>
        </w:r>
      </w:fldSimple>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C52233" w:rsidRPr="00405CDE" w:rsidTr="00534DD9">
        <w:trPr>
          <w:trHeight w:val="510"/>
        </w:trPr>
        <w:tc>
          <w:tcPr>
            <w:tcW w:w="1585" w:type="pct"/>
            <w:tcBorders>
              <w:top w:val="nil"/>
              <w:bottom w:val="nil"/>
            </w:tcBorders>
            <w:vAlign w:val="center"/>
          </w:tcPr>
          <w:p w:rsidR="00C52233" w:rsidRDefault="00C52233">
            <w:pPr>
              <w:rPr>
                <w:rFonts w:cs="Arial"/>
                <w:sz w:val="16"/>
                <w:szCs w:val="16"/>
              </w:rPr>
            </w:pPr>
            <w:r>
              <w:rPr>
                <w:rFonts w:cs="Arial"/>
                <w:sz w:val="16"/>
                <w:szCs w:val="16"/>
              </w:rPr>
              <w:t>28 May - 03 Jun 2017</w:t>
            </w:r>
          </w:p>
        </w:tc>
        <w:tc>
          <w:tcPr>
            <w:tcW w:w="993" w:type="pct"/>
            <w:tcBorders>
              <w:top w:val="nil"/>
              <w:bottom w:val="nil"/>
            </w:tcBorders>
            <w:vAlign w:val="center"/>
          </w:tcPr>
          <w:p w:rsidR="00C52233" w:rsidRDefault="00C52233">
            <w:pPr>
              <w:jc w:val="center"/>
              <w:rPr>
                <w:rFonts w:cs="Arial"/>
                <w:sz w:val="20"/>
                <w:szCs w:val="20"/>
              </w:rPr>
            </w:pPr>
            <w:r>
              <w:rPr>
                <w:rFonts w:cs="Arial"/>
                <w:sz w:val="20"/>
                <w:szCs w:val="20"/>
              </w:rPr>
              <w:t>-</w:t>
            </w:r>
          </w:p>
        </w:tc>
        <w:tc>
          <w:tcPr>
            <w:tcW w:w="758" w:type="pct"/>
            <w:tcBorders>
              <w:top w:val="nil"/>
              <w:bottom w:val="nil"/>
            </w:tcBorders>
            <w:vAlign w:val="center"/>
          </w:tcPr>
          <w:p w:rsidR="00C52233" w:rsidRDefault="00C52233">
            <w:pPr>
              <w:jc w:val="center"/>
              <w:rPr>
                <w:rFonts w:cs="Arial"/>
                <w:sz w:val="20"/>
                <w:szCs w:val="20"/>
              </w:rPr>
            </w:pPr>
            <w:r>
              <w:rPr>
                <w:rFonts w:cs="Arial"/>
                <w:sz w:val="20"/>
                <w:szCs w:val="20"/>
              </w:rPr>
              <w:t>38.15</w:t>
            </w:r>
          </w:p>
        </w:tc>
        <w:tc>
          <w:tcPr>
            <w:tcW w:w="831" w:type="pct"/>
            <w:tcBorders>
              <w:top w:val="nil"/>
              <w:bottom w:val="nil"/>
            </w:tcBorders>
            <w:vAlign w:val="center"/>
          </w:tcPr>
          <w:p w:rsidR="00C52233" w:rsidRDefault="00C52233">
            <w:pPr>
              <w:jc w:val="center"/>
              <w:rPr>
                <w:rFonts w:cs="Arial"/>
                <w:sz w:val="20"/>
                <w:szCs w:val="20"/>
              </w:rPr>
            </w:pPr>
            <w:r>
              <w:rPr>
                <w:rFonts w:cs="Arial"/>
                <w:sz w:val="20"/>
                <w:szCs w:val="20"/>
              </w:rPr>
              <w:t>9.76</w:t>
            </w:r>
          </w:p>
        </w:tc>
        <w:tc>
          <w:tcPr>
            <w:tcW w:w="833" w:type="pct"/>
            <w:tcBorders>
              <w:top w:val="nil"/>
              <w:bottom w:val="nil"/>
            </w:tcBorders>
            <w:vAlign w:val="center"/>
          </w:tcPr>
          <w:p w:rsidR="00C52233" w:rsidRDefault="00C52233">
            <w:pPr>
              <w:jc w:val="center"/>
              <w:rPr>
                <w:rFonts w:cs="Arial"/>
                <w:sz w:val="20"/>
                <w:szCs w:val="20"/>
              </w:rPr>
            </w:pPr>
            <w:r>
              <w:rPr>
                <w:rFonts w:cs="Arial"/>
                <w:sz w:val="20"/>
                <w:szCs w:val="20"/>
              </w:rPr>
              <w:t>1.17</w:t>
            </w:r>
          </w:p>
        </w:tc>
      </w:tr>
      <w:tr w:rsidR="00C52233"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C52233" w:rsidRDefault="00C52233">
            <w:pPr>
              <w:rPr>
                <w:rFonts w:cs="Arial"/>
                <w:sz w:val="16"/>
                <w:szCs w:val="16"/>
              </w:rPr>
            </w:pPr>
            <w:r>
              <w:rPr>
                <w:rFonts w:cs="Arial"/>
                <w:sz w:val="16"/>
                <w:szCs w:val="16"/>
              </w:rPr>
              <w:t>% change from previous week</w:t>
            </w:r>
          </w:p>
        </w:tc>
        <w:tc>
          <w:tcPr>
            <w:tcW w:w="993" w:type="pct"/>
            <w:tcBorders>
              <w:top w:val="nil"/>
              <w:bottom w:val="nil"/>
            </w:tcBorders>
            <w:vAlign w:val="center"/>
          </w:tcPr>
          <w:p w:rsidR="00C52233" w:rsidRDefault="00C52233">
            <w:pPr>
              <w:jc w:val="center"/>
              <w:rPr>
                <w:rFonts w:cs="Arial"/>
                <w:szCs w:val="20"/>
              </w:rPr>
            </w:pPr>
            <w:r>
              <w:rPr>
                <w:rFonts w:cs="Arial"/>
                <w:szCs w:val="20"/>
              </w:rPr>
              <w:t>-</w:t>
            </w:r>
          </w:p>
        </w:tc>
        <w:tc>
          <w:tcPr>
            <w:tcW w:w="758" w:type="pct"/>
            <w:tcBorders>
              <w:top w:val="nil"/>
              <w:bottom w:val="nil"/>
            </w:tcBorders>
            <w:vAlign w:val="center"/>
          </w:tcPr>
          <w:p w:rsidR="00C52233" w:rsidRDefault="00C52233">
            <w:pPr>
              <w:jc w:val="center"/>
              <w:rPr>
                <w:rFonts w:cs="Arial"/>
                <w:szCs w:val="20"/>
              </w:rPr>
            </w:pPr>
            <w:r>
              <w:rPr>
                <w:rFonts w:cs="Arial"/>
                <w:szCs w:val="20"/>
              </w:rPr>
              <w:t>-28</w:t>
            </w:r>
          </w:p>
        </w:tc>
        <w:tc>
          <w:tcPr>
            <w:tcW w:w="831" w:type="pct"/>
            <w:tcBorders>
              <w:top w:val="nil"/>
              <w:bottom w:val="nil"/>
            </w:tcBorders>
            <w:vAlign w:val="center"/>
          </w:tcPr>
          <w:p w:rsidR="00C52233" w:rsidRDefault="00C52233">
            <w:pPr>
              <w:jc w:val="center"/>
              <w:rPr>
                <w:rFonts w:cs="Arial"/>
                <w:szCs w:val="20"/>
              </w:rPr>
            </w:pPr>
            <w:r>
              <w:rPr>
                <w:rFonts w:cs="Arial"/>
                <w:szCs w:val="20"/>
              </w:rPr>
              <w:t>184</w:t>
            </w:r>
          </w:p>
        </w:tc>
        <w:tc>
          <w:tcPr>
            <w:tcW w:w="833" w:type="pct"/>
            <w:tcBorders>
              <w:top w:val="nil"/>
              <w:bottom w:val="nil"/>
            </w:tcBorders>
            <w:vAlign w:val="center"/>
          </w:tcPr>
          <w:p w:rsidR="00C52233" w:rsidRDefault="00C52233">
            <w:pPr>
              <w:jc w:val="center"/>
              <w:rPr>
                <w:rFonts w:cs="Arial"/>
                <w:szCs w:val="20"/>
              </w:rPr>
            </w:pPr>
            <w:r>
              <w:rPr>
                <w:rFonts w:cs="Arial"/>
                <w:szCs w:val="20"/>
              </w:rPr>
              <w:t>-2</w:t>
            </w:r>
          </w:p>
        </w:tc>
      </w:tr>
      <w:tr w:rsidR="00C52233" w:rsidRPr="00405CDE" w:rsidTr="00534DD9">
        <w:trPr>
          <w:trHeight w:val="510"/>
        </w:trPr>
        <w:tc>
          <w:tcPr>
            <w:tcW w:w="1585" w:type="pct"/>
            <w:tcBorders>
              <w:top w:val="nil"/>
              <w:bottom w:val="nil"/>
            </w:tcBorders>
            <w:vAlign w:val="center"/>
          </w:tcPr>
          <w:p w:rsidR="00C52233" w:rsidRDefault="00C52233">
            <w:pPr>
              <w:rPr>
                <w:rFonts w:cs="Arial"/>
                <w:sz w:val="16"/>
                <w:szCs w:val="16"/>
              </w:rPr>
            </w:pPr>
            <w:r>
              <w:rPr>
                <w:rFonts w:cs="Arial"/>
                <w:sz w:val="16"/>
                <w:szCs w:val="16"/>
              </w:rPr>
              <w:t>16-17 financial YTD</w:t>
            </w:r>
          </w:p>
        </w:tc>
        <w:tc>
          <w:tcPr>
            <w:tcW w:w="993" w:type="pct"/>
            <w:tcBorders>
              <w:top w:val="nil"/>
              <w:bottom w:val="nil"/>
            </w:tcBorders>
            <w:vAlign w:val="center"/>
          </w:tcPr>
          <w:p w:rsidR="00C52233" w:rsidRDefault="00C52233">
            <w:pPr>
              <w:jc w:val="center"/>
              <w:rPr>
                <w:rFonts w:cs="Arial"/>
                <w:sz w:val="20"/>
                <w:szCs w:val="20"/>
              </w:rPr>
            </w:pPr>
            <w:r>
              <w:rPr>
                <w:rFonts w:cs="Arial"/>
                <w:sz w:val="20"/>
                <w:szCs w:val="20"/>
              </w:rPr>
              <w:t> </w:t>
            </w:r>
          </w:p>
        </w:tc>
        <w:tc>
          <w:tcPr>
            <w:tcW w:w="758" w:type="pct"/>
            <w:tcBorders>
              <w:top w:val="nil"/>
              <w:bottom w:val="nil"/>
            </w:tcBorders>
            <w:vAlign w:val="center"/>
          </w:tcPr>
          <w:p w:rsidR="00C52233" w:rsidRDefault="00C52233">
            <w:pPr>
              <w:jc w:val="center"/>
              <w:rPr>
                <w:rFonts w:cs="Arial"/>
                <w:sz w:val="20"/>
                <w:szCs w:val="20"/>
              </w:rPr>
            </w:pPr>
            <w:r>
              <w:rPr>
                <w:rFonts w:cs="Arial"/>
                <w:sz w:val="20"/>
                <w:szCs w:val="20"/>
              </w:rPr>
              <w:t>50.08</w:t>
            </w:r>
          </w:p>
        </w:tc>
        <w:tc>
          <w:tcPr>
            <w:tcW w:w="831" w:type="pct"/>
            <w:tcBorders>
              <w:top w:val="nil"/>
              <w:bottom w:val="nil"/>
            </w:tcBorders>
            <w:vAlign w:val="center"/>
          </w:tcPr>
          <w:p w:rsidR="00C52233" w:rsidRDefault="00C52233">
            <w:pPr>
              <w:jc w:val="center"/>
              <w:rPr>
                <w:rFonts w:cs="Arial"/>
                <w:sz w:val="20"/>
                <w:szCs w:val="20"/>
              </w:rPr>
            </w:pPr>
            <w:r>
              <w:rPr>
                <w:rFonts w:cs="Arial"/>
                <w:sz w:val="20"/>
                <w:szCs w:val="20"/>
              </w:rPr>
              <w:t>18.16</w:t>
            </w:r>
          </w:p>
        </w:tc>
        <w:tc>
          <w:tcPr>
            <w:tcW w:w="833" w:type="pct"/>
            <w:tcBorders>
              <w:top w:val="nil"/>
              <w:bottom w:val="nil"/>
            </w:tcBorders>
            <w:vAlign w:val="center"/>
          </w:tcPr>
          <w:p w:rsidR="00C52233" w:rsidRDefault="00C52233">
            <w:pPr>
              <w:jc w:val="center"/>
              <w:rPr>
                <w:rFonts w:cs="Arial"/>
                <w:sz w:val="20"/>
                <w:szCs w:val="20"/>
              </w:rPr>
            </w:pPr>
            <w:r>
              <w:rPr>
                <w:rFonts w:cs="Arial"/>
                <w:sz w:val="20"/>
                <w:szCs w:val="20"/>
              </w:rPr>
              <w:t>1.66</w:t>
            </w:r>
          </w:p>
        </w:tc>
      </w:tr>
      <w:tr w:rsidR="00C52233"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C52233" w:rsidRDefault="00C52233">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C52233" w:rsidRDefault="00C52233">
            <w:pPr>
              <w:jc w:val="center"/>
              <w:rPr>
                <w:rFonts w:cs="Arial"/>
                <w:szCs w:val="20"/>
              </w:rPr>
            </w:pPr>
            <w:r>
              <w:rPr>
                <w:rFonts w:cs="Arial"/>
                <w:szCs w:val="20"/>
              </w:rPr>
              <w:t> </w:t>
            </w:r>
          </w:p>
        </w:tc>
        <w:tc>
          <w:tcPr>
            <w:tcW w:w="758" w:type="pct"/>
            <w:tcBorders>
              <w:top w:val="nil"/>
              <w:bottom w:val="single" w:sz="4" w:space="0" w:color="auto"/>
            </w:tcBorders>
            <w:vAlign w:val="center"/>
          </w:tcPr>
          <w:p w:rsidR="00C52233" w:rsidRDefault="00C52233">
            <w:pPr>
              <w:jc w:val="center"/>
              <w:rPr>
                <w:rFonts w:cs="Arial"/>
                <w:szCs w:val="20"/>
              </w:rPr>
            </w:pPr>
            <w:r>
              <w:rPr>
                <w:rFonts w:cs="Arial"/>
                <w:szCs w:val="20"/>
              </w:rPr>
              <w:t>81</w:t>
            </w:r>
          </w:p>
        </w:tc>
        <w:tc>
          <w:tcPr>
            <w:tcW w:w="831" w:type="pct"/>
            <w:tcBorders>
              <w:top w:val="nil"/>
              <w:bottom w:val="single" w:sz="4" w:space="0" w:color="auto"/>
            </w:tcBorders>
            <w:vAlign w:val="center"/>
          </w:tcPr>
          <w:p w:rsidR="00C52233" w:rsidRDefault="00C52233">
            <w:pPr>
              <w:jc w:val="center"/>
              <w:rPr>
                <w:rFonts w:cs="Arial"/>
                <w:szCs w:val="20"/>
              </w:rPr>
            </w:pPr>
            <w:r>
              <w:rPr>
                <w:rFonts w:cs="Arial"/>
                <w:szCs w:val="20"/>
              </w:rPr>
              <w:t>96</w:t>
            </w:r>
          </w:p>
        </w:tc>
        <w:tc>
          <w:tcPr>
            <w:tcW w:w="833" w:type="pct"/>
            <w:tcBorders>
              <w:top w:val="nil"/>
              <w:bottom w:val="single" w:sz="4" w:space="0" w:color="auto"/>
            </w:tcBorders>
            <w:vAlign w:val="center"/>
          </w:tcPr>
          <w:p w:rsidR="00C52233" w:rsidRDefault="00C52233">
            <w:pPr>
              <w:jc w:val="center"/>
              <w:rPr>
                <w:rFonts w:cs="Arial"/>
                <w:szCs w:val="20"/>
              </w:rPr>
            </w:pPr>
            <w:r>
              <w:rPr>
                <w:rFonts w:cs="Arial"/>
                <w:szCs w:val="20"/>
              </w:rPr>
              <w:t>6</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4C571B" w:rsidRPr="00552F68" w:rsidRDefault="00674600" w:rsidP="008D7D94">
      <w:pPr>
        <w:keepNext/>
        <w:jc w:val="both"/>
      </w:pPr>
      <w:r>
        <w:t>Figure 5</w:t>
      </w:r>
      <w:r w:rsidR="004C571B"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Moomba</w:t>
      </w:r>
      <w:r w:rsidR="00C370D1">
        <w:t>, South East Queensland and Wallumbilla</w:t>
      </w:r>
      <w:r w:rsidR="00A226E9" w:rsidRPr="00552F68">
        <w:t>.</w:t>
      </w:r>
    </w:p>
    <w:p w:rsidR="001521CB" w:rsidRDefault="001521CB" w:rsidP="001521CB">
      <w:pPr>
        <w:pStyle w:val="Caption"/>
        <w:rPr>
          <w:color w:val="2272A3"/>
          <w:szCs w:val="24"/>
        </w:rPr>
      </w:pPr>
      <w:r w:rsidRPr="00552F68">
        <w:t xml:space="preserve">Figure </w:t>
      </w:r>
      <w:fldSimple w:instr=" SEQ Figure \* ARABIC ">
        <w:r w:rsidR="00C370D1">
          <w:rPr>
            <w:noProof/>
          </w:rPr>
          <w:t>5</w:t>
        </w:r>
      </w:fldSimple>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p>
    <w:tbl>
      <w:tblPr>
        <w:tblStyle w:val="AERTable-Text"/>
        <w:tblW w:w="4890" w:type="pct"/>
        <w:tblLayout w:type="fixed"/>
        <w:tblLook w:val="04A0" w:firstRow="1" w:lastRow="0" w:firstColumn="1" w:lastColumn="0" w:noHBand="0" w:noVBand="1"/>
      </w:tblPr>
      <w:tblGrid>
        <w:gridCol w:w="1655"/>
        <w:gridCol w:w="1265"/>
        <w:gridCol w:w="1159"/>
        <w:gridCol w:w="1314"/>
        <w:gridCol w:w="1264"/>
        <w:gridCol w:w="1124"/>
        <w:gridCol w:w="1258"/>
      </w:tblGrid>
      <w:tr w:rsidR="00FA5B9C" w:rsidRPr="002861A9" w:rsidTr="00EA6F25">
        <w:trPr>
          <w:cnfStyle w:val="100000000000" w:firstRow="1" w:lastRow="0" w:firstColumn="0" w:lastColumn="0" w:oddVBand="0" w:evenVBand="0" w:oddHBand="0" w:evenHBand="0" w:firstRowFirstColumn="0" w:firstRowLastColumn="0" w:lastRowFirstColumn="0" w:lastRowLastColumn="0"/>
          <w:trHeight w:val="404"/>
          <w:tblHeader/>
        </w:trPr>
        <w:tc>
          <w:tcPr>
            <w:tcW w:w="915" w:type="pct"/>
            <w:tcBorders>
              <w:bottom w:val="nil"/>
            </w:tcBorders>
            <w:vAlign w:val="center"/>
          </w:tcPr>
          <w:p w:rsidR="008D7D94" w:rsidRPr="00E16EDC" w:rsidRDefault="008D7D94" w:rsidP="004C5EF8">
            <w:pPr>
              <w:pStyle w:val="TableHeading"/>
              <w:spacing w:before="120" w:after="0" w:line="240" w:lineRule="auto"/>
              <w:jc w:val="center"/>
              <w:rPr>
                <w:rFonts w:cs="Arial"/>
                <w:sz w:val="20"/>
                <w:szCs w:val="20"/>
              </w:rPr>
            </w:pPr>
          </w:p>
        </w:tc>
        <w:tc>
          <w:tcPr>
            <w:tcW w:w="1341" w:type="pct"/>
            <w:gridSpan w:val="2"/>
            <w:tcBorders>
              <w:bottom w:val="nil"/>
            </w:tcBorders>
            <w:vAlign w:val="center"/>
          </w:tcPr>
          <w:p w:rsidR="008D7D94" w:rsidRPr="00E16EDC" w:rsidRDefault="008D7D94" w:rsidP="004C5EF8">
            <w:pPr>
              <w:spacing w:before="120" w:after="0" w:line="240" w:lineRule="auto"/>
              <w:jc w:val="center"/>
              <w:rPr>
                <w:rFonts w:cs="Arial"/>
                <w:bCs/>
                <w:color w:val="FFFFFF"/>
                <w:sz w:val="20"/>
                <w:szCs w:val="20"/>
              </w:rPr>
            </w:pPr>
            <w:r>
              <w:rPr>
                <w:rFonts w:cs="Arial"/>
                <w:bCs/>
                <w:color w:val="FFFFFF"/>
                <w:sz w:val="20"/>
                <w:szCs w:val="20"/>
              </w:rPr>
              <w:t>Moomba</w:t>
            </w:r>
          </w:p>
        </w:tc>
        <w:tc>
          <w:tcPr>
            <w:tcW w:w="1426" w:type="pct"/>
            <w:gridSpan w:val="2"/>
            <w:tcBorders>
              <w:bottom w:val="nil"/>
            </w:tcBorders>
            <w:vAlign w:val="center"/>
          </w:tcPr>
          <w:p w:rsidR="008D7D94" w:rsidRPr="00E16EDC" w:rsidRDefault="008D7D94" w:rsidP="004C5EF8">
            <w:pPr>
              <w:spacing w:before="120" w:after="0" w:line="240" w:lineRule="auto"/>
              <w:jc w:val="center"/>
              <w:rPr>
                <w:rFonts w:cs="Arial"/>
                <w:bCs/>
                <w:color w:val="FFFFFF"/>
                <w:sz w:val="20"/>
                <w:szCs w:val="20"/>
              </w:rPr>
            </w:pPr>
            <w:r>
              <w:rPr>
                <w:rFonts w:cs="Arial"/>
                <w:bCs/>
                <w:color w:val="FFFFFF"/>
                <w:sz w:val="20"/>
                <w:szCs w:val="20"/>
              </w:rPr>
              <w:t>South East Queensland</w:t>
            </w:r>
          </w:p>
        </w:tc>
        <w:tc>
          <w:tcPr>
            <w:tcW w:w="1318" w:type="pct"/>
            <w:gridSpan w:val="2"/>
            <w:tcBorders>
              <w:bottom w:val="nil"/>
            </w:tcBorders>
            <w:vAlign w:val="center"/>
          </w:tcPr>
          <w:p w:rsidR="008D7D94" w:rsidRPr="00E16EDC" w:rsidRDefault="008D7D94" w:rsidP="004C5EF8">
            <w:pPr>
              <w:spacing w:before="120" w:after="0" w:line="240" w:lineRule="auto"/>
              <w:jc w:val="center"/>
              <w:rPr>
                <w:rFonts w:cs="Arial"/>
                <w:bCs/>
                <w:color w:val="FFFFFF"/>
                <w:sz w:val="20"/>
                <w:szCs w:val="20"/>
              </w:rPr>
            </w:pPr>
            <w:r>
              <w:rPr>
                <w:rFonts w:cs="Arial"/>
                <w:bCs/>
                <w:color w:val="FFFFFF"/>
                <w:sz w:val="20"/>
                <w:szCs w:val="20"/>
              </w:rPr>
              <w:t>Wallumbilla</w:t>
            </w:r>
            <w:r w:rsidR="00C370D1">
              <w:rPr>
                <w:rFonts w:cs="Arial"/>
                <w:bCs/>
                <w:color w:val="FFFFFF"/>
                <w:sz w:val="20"/>
                <w:szCs w:val="20"/>
              </w:rPr>
              <w:t>*</w:t>
            </w:r>
          </w:p>
        </w:tc>
      </w:tr>
      <w:tr w:rsidR="008D7D94" w:rsidRPr="002861A9" w:rsidTr="00EA6F25">
        <w:trPr>
          <w:cnfStyle w:val="100000000000" w:firstRow="1" w:lastRow="0" w:firstColumn="0" w:lastColumn="0" w:oddVBand="0" w:evenVBand="0" w:oddHBand="0" w:evenHBand="0" w:firstRowFirstColumn="0" w:firstRowLastColumn="0" w:lastRowFirstColumn="0" w:lastRowLastColumn="0"/>
          <w:tblHeader/>
        </w:trPr>
        <w:tc>
          <w:tcPr>
            <w:tcW w:w="915" w:type="pct"/>
            <w:tcBorders>
              <w:bottom w:val="nil"/>
            </w:tcBorders>
            <w:vAlign w:val="center"/>
          </w:tcPr>
          <w:p w:rsidR="008D7D94" w:rsidRPr="00587CFB" w:rsidRDefault="008D7D94" w:rsidP="004C5EF8">
            <w:pPr>
              <w:pStyle w:val="TableHeading"/>
              <w:jc w:val="center"/>
              <w:rPr>
                <w:rFonts w:cs="Arial"/>
                <w:sz w:val="20"/>
                <w:szCs w:val="20"/>
              </w:rPr>
            </w:pPr>
          </w:p>
        </w:tc>
        <w:tc>
          <w:tcPr>
            <w:tcW w:w="700" w:type="pct"/>
            <w:tcBorders>
              <w:bottom w:val="nil"/>
            </w:tcBorders>
            <w:vAlign w:val="center"/>
            <w:hideMark/>
          </w:tcPr>
          <w:p w:rsidR="008D7D94" w:rsidRPr="00587CFB" w:rsidRDefault="008D7D94" w:rsidP="004C5EF8">
            <w:pPr>
              <w:jc w:val="center"/>
              <w:rPr>
                <w:rFonts w:cs="Arial"/>
                <w:bCs/>
                <w:color w:val="FFFFFF"/>
                <w:sz w:val="14"/>
                <w:szCs w:val="20"/>
                <w:highlight w:val="cyan"/>
              </w:rPr>
            </w:pPr>
            <w:r w:rsidRPr="00587CFB">
              <w:rPr>
                <w:rFonts w:cs="Arial"/>
                <w:bCs/>
                <w:color w:val="FFFFFF"/>
                <w:sz w:val="14"/>
                <w:szCs w:val="20"/>
              </w:rPr>
              <w:t>VWA price</w:t>
            </w:r>
          </w:p>
        </w:tc>
        <w:tc>
          <w:tcPr>
            <w:tcW w:w="641" w:type="pct"/>
            <w:tcBorders>
              <w:bottom w:val="nil"/>
            </w:tcBorders>
            <w:vAlign w:val="center"/>
            <w:hideMark/>
          </w:tcPr>
          <w:p w:rsidR="008D7D94" w:rsidRPr="00587CFB" w:rsidRDefault="008D7D94" w:rsidP="004C5EF8">
            <w:pPr>
              <w:jc w:val="center"/>
              <w:rPr>
                <w:rFonts w:cs="Arial"/>
                <w:bCs/>
                <w:color w:val="FFFFFF"/>
                <w:sz w:val="14"/>
                <w:szCs w:val="20"/>
                <w:highlight w:val="cyan"/>
              </w:rPr>
            </w:pPr>
            <w:r>
              <w:rPr>
                <w:rFonts w:cs="Arial"/>
                <w:bCs/>
                <w:color w:val="FFFFFF"/>
                <w:sz w:val="14"/>
                <w:szCs w:val="20"/>
              </w:rPr>
              <w:t>Quantity</w:t>
            </w:r>
          </w:p>
        </w:tc>
        <w:tc>
          <w:tcPr>
            <w:tcW w:w="727" w:type="pct"/>
            <w:tcBorders>
              <w:bottom w:val="nil"/>
            </w:tcBorders>
            <w:vAlign w:val="center"/>
            <w:hideMark/>
          </w:tcPr>
          <w:p w:rsidR="008D7D94" w:rsidRPr="00587CFB" w:rsidRDefault="008D7D94" w:rsidP="004C5EF8">
            <w:pPr>
              <w:jc w:val="center"/>
              <w:rPr>
                <w:rFonts w:cs="Arial"/>
                <w:bCs/>
                <w:color w:val="FFFFFF"/>
                <w:sz w:val="14"/>
                <w:szCs w:val="20"/>
                <w:highlight w:val="cyan"/>
              </w:rPr>
            </w:pPr>
            <w:r w:rsidRPr="00587CFB">
              <w:rPr>
                <w:rFonts w:cs="Arial"/>
                <w:bCs/>
                <w:color w:val="FFFFFF"/>
                <w:sz w:val="14"/>
                <w:szCs w:val="20"/>
              </w:rPr>
              <w:t>VWA price</w:t>
            </w:r>
          </w:p>
        </w:tc>
        <w:tc>
          <w:tcPr>
            <w:tcW w:w="699" w:type="pct"/>
            <w:tcBorders>
              <w:bottom w:val="nil"/>
            </w:tcBorders>
            <w:vAlign w:val="center"/>
          </w:tcPr>
          <w:p w:rsidR="008D7D94" w:rsidRPr="00587CFB" w:rsidRDefault="008D7D94" w:rsidP="004C5EF8">
            <w:pPr>
              <w:jc w:val="center"/>
              <w:rPr>
                <w:rFonts w:cs="Arial"/>
                <w:bCs/>
                <w:color w:val="FFFFFF"/>
                <w:sz w:val="14"/>
                <w:szCs w:val="20"/>
                <w:highlight w:val="cyan"/>
              </w:rPr>
            </w:pPr>
            <w:r>
              <w:rPr>
                <w:rFonts w:cs="Arial"/>
                <w:bCs/>
                <w:color w:val="FFFFFF"/>
                <w:sz w:val="14"/>
                <w:szCs w:val="20"/>
              </w:rPr>
              <w:t>Quantity</w:t>
            </w:r>
          </w:p>
        </w:tc>
        <w:tc>
          <w:tcPr>
            <w:tcW w:w="622" w:type="pct"/>
            <w:tcBorders>
              <w:bottom w:val="nil"/>
            </w:tcBorders>
            <w:vAlign w:val="center"/>
          </w:tcPr>
          <w:p w:rsidR="008D7D94" w:rsidRPr="00587CFB" w:rsidRDefault="008D7D94" w:rsidP="004C5EF8">
            <w:pPr>
              <w:jc w:val="center"/>
              <w:rPr>
                <w:rFonts w:cs="Arial"/>
                <w:bCs/>
                <w:color w:val="FFFFFF"/>
                <w:sz w:val="14"/>
                <w:szCs w:val="20"/>
                <w:highlight w:val="cyan"/>
              </w:rPr>
            </w:pPr>
            <w:r w:rsidRPr="00587CFB">
              <w:rPr>
                <w:rFonts w:cs="Arial"/>
                <w:bCs/>
                <w:color w:val="FFFFFF"/>
                <w:sz w:val="14"/>
                <w:szCs w:val="20"/>
              </w:rPr>
              <w:t>VWA price</w:t>
            </w:r>
          </w:p>
        </w:tc>
        <w:tc>
          <w:tcPr>
            <w:tcW w:w="696" w:type="pct"/>
            <w:tcBorders>
              <w:bottom w:val="nil"/>
            </w:tcBorders>
            <w:vAlign w:val="center"/>
          </w:tcPr>
          <w:p w:rsidR="008D7D94" w:rsidRPr="00587CFB" w:rsidRDefault="008D7D94" w:rsidP="004C5EF8">
            <w:pPr>
              <w:jc w:val="center"/>
              <w:rPr>
                <w:rFonts w:cs="Arial"/>
                <w:bCs/>
                <w:color w:val="FFFFFF"/>
                <w:sz w:val="14"/>
                <w:szCs w:val="20"/>
                <w:highlight w:val="cyan"/>
              </w:rPr>
            </w:pPr>
            <w:r>
              <w:rPr>
                <w:rFonts w:cs="Arial"/>
                <w:bCs/>
                <w:color w:val="FFFFFF"/>
                <w:sz w:val="14"/>
                <w:szCs w:val="20"/>
              </w:rPr>
              <w:t>Quantity</w:t>
            </w:r>
          </w:p>
        </w:tc>
      </w:tr>
      <w:tr w:rsidR="00C52233" w:rsidRPr="006A7228" w:rsidTr="00EA6F25">
        <w:trPr>
          <w:trHeight w:val="510"/>
        </w:trPr>
        <w:tc>
          <w:tcPr>
            <w:tcW w:w="915" w:type="pct"/>
            <w:tcBorders>
              <w:top w:val="nil"/>
              <w:bottom w:val="nil"/>
            </w:tcBorders>
            <w:vAlign w:val="center"/>
          </w:tcPr>
          <w:p w:rsidR="00C52233" w:rsidRDefault="00C52233">
            <w:pPr>
              <w:rPr>
                <w:rFonts w:cs="Arial"/>
                <w:b/>
                <w:bCs/>
                <w:sz w:val="20"/>
                <w:szCs w:val="20"/>
              </w:rPr>
            </w:pPr>
            <w:r>
              <w:rPr>
                <w:rFonts w:cs="Arial"/>
                <w:b/>
                <w:bCs/>
                <w:sz w:val="20"/>
                <w:szCs w:val="20"/>
              </w:rPr>
              <w:t>Balance of day</w:t>
            </w:r>
          </w:p>
        </w:tc>
        <w:tc>
          <w:tcPr>
            <w:tcW w:w="700" w:type="pct"/>
            <w:tcBorders>
              <w:top w:val="nil"/>
              <w:bottom w:val="nil"/>
            </w:tcBorders>
            <w:vAlign w:val="center"/>
          </w:tcPr>
          <w:p w:rsidR="00C52233" w:rsidRDefault="00C52233">
            <w:pPr>
              <w:jc w:val="center"/>
              <w:rPr>
                <w:rFonts w:cs="Arial"/>
                <w:sz w:val="20"/>
                <w:szCs w:val="20"/>
              </w:rPr>
            </w:pPr>
            <w:r>
              <w:rPr>
                <w:rFonts w:cs="Arial"/>
                <w:sz w:val="20"/>
                <w:szCs w:val="20"/>
              </w:rPr>
              <w:t>-</w:t>
            </w:r>
          </w:p>
        </w:tc>
        <w:tc>
          <w:tcPr>
            <w:tcW w:w="641" w:type="pct"/>
            <w:tcBorders>
              <w:top w:val="nil"/>
              <w:bottom w:val="nil"/>
            </w:tcBorders>
            <w:vAlign w:val="center"/>
          </w:tcPr>
          <w:p w:rsidR="00C52233" w:rsidRDefault="00C52233">
            <w:pPr>
              <w:jc w:val="center"/>
              <w:rPr>
                <w:rFonts w:cs="Arial"/>
                <w:sz w:val="20"/>
                <w:szCs w:val="20"/>
              </w:rPr>
            </w:pPr>
            <w:r>
              <w:rPr>
                <w:rFonts w:cs="Arial"/>
                <w:sz w:val="20"/>
                <w:szCs w:val="20"/>
              </w:rPr>
              <w:t>-</w:t>
            </w:r>
          </w:p>
        </w:tc>
        <w:tc>
          <w:tcPr>
            <w:tcW w:w="727" w:type="pct"/>
            <w:tcBorders>
              <w:top w:val="nil"/>
              <w:bottom w:val="nil"/>
            </w:tcBorders>
            <w:vAlign w:val="center"/>
          </w:tcPr>
          <w:p w:rsidR="00C52233" w:rsidRDefault="00C52233">
            <w:pPr>
              <w:jc w:val="center"/>
              <w:rPr>
                <w:rFonts w:cs="Arial"/>
                <w:sz w:val="20"/>
                <w:szCs w:val="20"/>
              </w:rPr>
            </w:pPr>
            <w:r>
              <w:rPr>
                <w:rFonts w:cs="Arial"/>
                <w:sz w:val="20"/>
                <w:szCs w:val="20"/>
              </w:rPr>
              <w:t>6.60</w:t>
            </w:r>
          </w:p>
        </w:tc>
        <w:tc>
          <w:tcPr>
            <w:tcW w:w="699" w:type="pct"/>
            <w:tcBorders>
              <w:top w:val="nil"/>
              <w:bottom w:val="nil"/>
            </w:tcBorders>
            <w:vAlign w:val="center"/>
          </w:tcPr>
          <w:p w:rsidR="00C52233" w:rsidRDefault="00C52233">
            <w:pPr>
              <w:jc w:val="center"/>
              <w:rPr>
                <w:rFonts w:cs="Arial"/>
                <w:sz w:val="20"/>
                <w:szCs w:val="20"/>
              </w:rPr>
            </w:pPr>
            <w:r>
              <w:rPr>
                <w:rFonts w:cs="Arial"/>
                <w:sz w:val="20"/>
                <w:szCs w:val="20"/>
              </w:rPr>
              <w:t>5.0</w:t>
            </w:r>
          </w:p>
        </w:tc>
        <w:tc>
          <w:tcPr>
            <w:tcW w:w="622" w:type="pct"/>
            <w:tcBorders>
              <w:top w:val="nil"/>
              <w:bottom w:val="nil"/>
            </w:tcBorders>
            <w:vAlign w:val="center"/>
          </w:tcPr>
          <w:p w:rsidR="00C52233" w:rsidRDefault="00C52233">
            <w:pPr>
              <w:jc w:val="center"/>
              <w:rPr>
                <w:rFonts w:cs="Arial"/>
                <w:sz w:val="20"/>
                <w:szCs w:val="20"/>
              </w:rPr>
            </w:pPr>
            <w:r>
              <w:rPr>
                <w:rFonts w:cs="Arial"/>
                <w:sz w:val="20"/>
                <w:szCs w:val="20"/>
              </w:rPr>
              <w:t>-</w:t>
            </w:r>
          </w:p>
        </w:tc>
        <w:tc>
          <w:tcPr>
            <w:tcW w:w="696" w:type="pct"/>
            <w:tcBorders>
              <w:top w:val="nil"/>
              <w:bottom w:val="nil"/>
            </w:tcBorders>
            <w:vAlign w:val="center"/>
          </w:tcPr>
          <w:p w:rsidR="00C52233" w:rsidRDefault="00C52233">
            <w:pPr>
              <w:jc w:val="center"/>
              <w:rPr>
                <w:rFonts w:cs="Arial"/>
                <w:sz w:val="20"/>
                <w:szCs w:val="20"/>
              </w:rPr>
            </w:pPr>
            <w:r>
              <w:rPr>
                <w:rFonts w:cs="Arial"/>
                <w:sz w:val="20"/>
                <w:szCs w:val="20"/>
              </w:rPr>
              <w:t>-</w:t>
            </w:r>
          </w:p>
        </w:tc>
      </w:tr>
      <w:tr w:rsidR="00C52233"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C52233" w:rsidRDefault="00C52233">
            <w:pPr>
              <w:rPr>
                <w:rFonts w:cs="Arial"/>
                <w:b/>
                <w:bCs/>
                <w:szCs w:val="20"/>
              </w:rPr>
            </w:pPr>
            <w:r>
              <w:rPr>
                <w:rFonts w:cs="Arial"/>
                <w:b/>
                <w:bCs/>
                <w:szCs w:val="20"/>
              </w:rPr>
              <w:t>Daily</w:t>
            </w:r>
          </w:p>
        </w:tc>
        <w:tc>
          <w:tcPr>
            <w:tcW w:w="700" w:type="pct"/>
            <w:tcBorders>
              <w:top w:val="nil"/>
              <w:bottom w:val="nil"/>
            </w:tcBorders>
            <w:vAlign w:val="center"/>
          </w:tcPr>
          <w:p w:rsidR="00C52233" w:rsidRDefault="00C52233">
            <w:pPr>
              <w:jc w:val="center"/>
              <w:rPr>
                <w:rFonts w:cs="Arial"/>
                <w:szCs w:val="20"/>
              </w:rPr>
            </w:pPr>
            <w:r>
              <w:rPr>
                <w:rFonts w:cs="Arial"/>
                <w:szCs w:val="20"/>
              </w:rPr>
              <w:t>-</w:t>
            </w:r>
          </w:p>
        </w:tc>
        <w:tc>
          <w:tcPr>
            <w:tcW w:w="641" w:type="pct"/>
            <w:tcBorders>
              <w:top w:val="nil"/>
              <w:bottom w:val="nil"/>
            </w:tcBorders>
            <w:vAlign w:val="center"/>
          </w:tcPr>
          <w:p w:rsidR="00C52233" w:rsidRDefault="00C52233">
            <w:pPr>
              <w:jc w:val="center"/>
              <w:rPr>
                <w:rFonts w:cs="Arial"/>
                <w:szCs w:val="20"/>
              </w:rPr>
            </w:pPr>
            <w:r>
              <w:rPr>
                <w:rFonts w:cs="Arial"/>
                <w:szCs w:val="20"/>
              </w:rPr>
              <w:t>-</w:t>
            </w:r>
          </w:p>
        </w:tc>
        <w:tc>
          <w:tcPr>
            <w:tcW w:w="727" w:type="pct"/>
            <w:tcBorders>
              <w:top w:val="nil"/>
              <w:bottom w:val="nil"/>
            </w:tcBorders>
            <w:vAlign w:val="center"/>
          </w:tcPr>
          <w:p w:rsidR="00C52233" w:rsidRDefault="00C52233">
            <w:pPr>
              <w:jc w:val="center"/>
              <w:rPr>
                <w:rFonts w:cs="Arial"/>
                <w:szCs w:val="20"/>
              </w:rPr>
            </w:pPr>
            <w:r>
              <w:rPr>
                <w:rFonts w:cs="Arial"/>
                <w:szCs w:val="20"/>
              </w:rPr>
              <w:t>7.50</w:t>
            </w:r>
          </w:p>
        </w:tc>
        <w:tc>
          <w:tcPr>
            <w:tcW w:w="699" w:type="pct"/>
            <w:tcBorders>
              <w:top w:val="nil"/>
              <w:bottom w:val="nil"/>
            </w:tcBorders>
            <w:vAlign w:val="center"/>
          </w:tcPr>
          <w:p w:rsidR="00C52233" w:rsidRDefault="00C52233">
            <w:pPr>
              <w:jc w:val="center"/>
              <w:rPr>
                <w:rFonts w:cs="Arial"/>
                <w:szCs w:val="20"/>
              </w:rPr>
            </w:pPr>
            <w:r>
              <w:rPr>
                <w:rFonts w:cs="Arial"/>
                <w:szCs w:val="20"/>
              </w:rPr>
              <w:t>4.0</w:t>
            </w:r>
          </w:p>
        </w:tc>
        <w:tc>
          <w:tcPr>
            <w:tcW w:w="622" w:type="pct"/>
            <w:tcBorders>
              <w:top w:val="nil"/>
              <w:bottom w:val="nil"/>
            </w:tcBorders>
            <w:vAlign w:val="center"/>
          </w:tcPr>
          <w:p w:rsidR="00C52233" w:rsidRDefault="00C52233">
            <w:pPr>
              <w:jc w:val="center"/>
              <w:rPr>
                <w:rFonts w:cs="Arial"/>
                <w:szCs w:val="20"/>
              </w:rPr>
            </w:pPr>
            <w:r>
              <w:rPr>
                <w:rFonts w:cs="Arial"/>
                <w:szCs w:val="20"/>
              </w:rPr>
              <w:t>7.74</w:t>
            </w:r>
          </w:p>
        </w:tc>
        <w:tc>
          <w:tcPr>
            <w:tcW w:w="696" w:type="pct"/>
            <w:tcBorders>
              <w:top w:val="nil"/>
              <w:bottom w:val="nil"/>
            </w:tcBorders>
            <w:vAlign w:val="center"/>
          </w:tcPr>
          <w:p w:rsidR="00C52233" w:rsidRDefault="00C52233">
            <w:pPr>
              <w:jc w:val="center"/>
              <w:rPr>
                <w:rFonts w:cs="Arial"/>
                <w:szCs w:val="20"/>
              </w:rPr>
            </w:pPr>
            <w:r>
              <w:rPr>
                <w:rFonts w:cs="Arial"/>
                <w:szCs w:val="20"/>
              </w:rPr>
              <w:t>125.0</w:t>
            </w:r>
          </w:p>
        </w:tc>
      </w:tr>
      <w:tr w:rsidR="00C52233" w:rsidRPr="006A7228" w:rsidTr="00EA6F25">
        <w:trPr>
          <w:trHeight w:val="510"/>
        </w:trPr>
        <w:tc>
          <w:tcPr>
            <w:tcW w:w="915" w:type="pct"/>
            <w:tcBorders>
              <w:top w:val="nil"/>
              <w:bottom w:val="nil"/>
            </w:tcBorders>
            <w:vAlign w:val="center"/>
          </w:tcPr>
          <w:p w:rsidR="00C52233" w:rsidRDefault="00C52233">
            <w:pPr>
              <w:rPr>
                <w:rFonts w:cs="Arial"/>
                <w:b/>
                <w:bCs/>
                <w:sz w:val="20"/>
                <w:szCs w:val="20"/>
              </w:rPr>
            </w:pPr>
            <w:r>
              <w:rPr>
                <w:rFonts w:cs="Arial"/>
                <w:b/>
                <w:bCs/>
                <w:sz w:val="20"/>
                <w:szCs w:val="20"/>
              </w:rPr>
              <w:t>Day ahead</w:t>
            </w:r>
          </w:p>
        </w:tc>
        <w:tc>
          <w:tcPr>
            <w:tcW w:w="700" w:type="pct"/>
            <w:tcBorders>
              <w:top w:val="nil"/>
              <w:bottom w:val="nil"/>
            </w:tcBorders>
            <w:vAlign w:val="center"/>
          </w:tcPr>
          <w:p w:rsidR="00C52233" w:rsidRDefault="00C52233">
            <w:pPr>
              <w:jc w:val="center"/>
              <w:rPr>
                <w:rFonts w:cs="Arial"/>
                <w:sz w:val="20"/>
                <w:szCs w:val="20"/>
              </w:rPr>
            </w:pPr>
            <w:r>
              <w:rPr>
                <w:rFonts w:cs="Arial"/>
                <w:sz w:val="20"/>
                <w:szCs w:val="20"/>
              </w:rPr>
              <w:t>-</w:t>
            </w:r>
          </w:p>
        </w:tc>
        <w:tc>
          <w:tcPr>
            <w:tcW w:w="641" w:type="pct"/>
            <w:tcBorders>
              <w:top w:val="nil"/>
              <w:bottom w:val="nil"/>
            </w:tcBorders>
            <w:vAlign w:val="center"/>
          </w:tcPr>
          <w:p w:rsidR="00C52233" w:rsidRDefault="00C52233">
            <w:pPr>
              <w:jc w:val="center"/>
              <w:rPr>
                <w:rFonts w:cs="Arial"/>
                <w:sz w:val="20"/>
                <w:szCs w:val="20"/>
              </w:rPr>
            </w:pPr>
            <w:r>
              <w:rPr>
                <w:rFonts w:cs="Arial"/>
                <w:sz w:val="20"/>
                <w:szCs w:val="20"/>
              </w:rPr>
              <w:t>-</w:t>
            </w:r>
          </w:p>
        </w:tc>
        <w:tc>
          <w:tcPr>
            <w:tcW w:w="727" w:type="pct"/>
            <w:tcBorders>
              <w:top w:val="nil"/>
              <w:bottom w:val="nil"/>
            </w:tcBorders>
            <w:vAlign w:val="center"/>
          </w:tcPr>
          <w:p w:rsidR="00C52233" w:rsidRDefault="00C52233">
            <w:pPr>
              <w:jc w:val="center"/>
              <w:rPr>
                <w:rFonts w:cs="Arial"/>
                <w:sz w:val="20"/>
                <w:szCs w:val="20"/>
              </w:rPr>
            </w:pPr>
            <w:r>
              <w:rPr>
                <w:rFonts w:cs="Arial"/>
                <w:sz w:val="20"/>
                <w:szCs w:val="20"/>
              </w:rPr>
              <w:t>7.09</w:t>
            </w:r>
          </w:p>
        </w:tc>
        <w:tc>
          <w:tcPr>
            <w:tcW w:w="699" w:type="pct"/>
            <w:tcBorders>
              <w:top w:val="nil"/>
              <w:bottom w:val="nil"/>
            </w:tcBorders>
            <w:vAlign w:val="center"/>
          </w:tcPr>
          <w:p w:rsidR="00C52233" w:rsidRDefault="00C52233">
            <w:pPr>
              <w:jc w:val="center"/>
              <w:rPr>
                <w:rFonts w:cs="Arial"/>
                <w:sz w:val="20"/>
                <w:szCs w:val="20"/>
              </w:rPr>
            </w:pPr>
            <w:r>
              <w:rPr>
                <w:rFonts w:cs="Arial"/>
                <w:sz w:val="20"/>
                <w:szCs w:val="20"/>
              </w:rPr>
              <w:t>34.0</w:t>
            </w:r>
          </w:p>
        </w:tc>
        <w:tc>
          <w:tcPr>
            <w:tcW w:w="622" w:type="pct"/>
            <w:tcBorders>
              <w:top w:val="nil"/>
              <w:bottom w:val="nil"/>
            </w:tcBorders>
            <w:vAlign w:val="center"/>
          </w:tcPr>
          <w:p w:rsidR="00C52233" w:rsidRDefault="00C52233">
            <w:pPr>
              <w:jc w:val="center"/>
              <w:rPr>
                <w:rFonts w:cs="Arial"/>
                <w:sz w:val="20"/>
                <w:szCs w:val="20"/>
              </w:rPr>
            </w:pPr>
            <w:r>
              <w:rPr>
                <w:rFonts w:cs="Arial"/>
                <w:sz w:val="20"/>
                <w:szCs w:val="20"/>
              </w:rPr>
              <w:t>7.76</w:t>
            </w:r>
          </w:p>
        </w:tc>
        <w:tc>
          <w:tcPr>
            <w:tcW w:w="696" w:type="pct"/>
            <w:tcBorders>
              <w:top w:val="nil"/>
              <w:bottom w:val="nil"/>
            </w:tcBorders>
            <w:vAlign w:val="center"/>
          </w:tcPr>
          <w:p w:rsidR="00C52233" w:rsidRDefault="00C52233">
            <w:pPr>
              <w:jc w:val="center"/>
              <w:rPr>
                <w:rFonts w:cs="Arial"/>
                <w:sz w:val="20"/>
                <w:szCs w:val="20"/>
              </w:rPr>
            </w:pPr>
            <w:r>
              <w:rPr>
                <w:rFonts w:cs="Arial"/>
                <w:sz w:val="20"/>
                <w:szCs w:val="20"/>
              </w:rPr>
              <w:t>35.0</w:t>
            </w:r>
          </w:p>
        </w:tc>
      </w:tr>
      <w:tr w:rsidR="00C52233"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C52233" w:rsidRDefault="00C52233">
            <w:pPr>
              <w:rPr>
                <w:rFonts w:cs="Arial"/>
                <w:b/>
                <w:bCs/>
                <w:szCs w:val="20"/>
              </w:rPr>
            </w:pPr>
            <w:r>
              <w:rPr>
                <w:rFonts w:cs="Arial"/>
                <w:b/>
                <w:bCs/>
                <w:szCs w:val="20"/>
              </w:rPr>
              <w:t>Weekly</w:t>
            </w:r>
          </w:p>
        </w:tc>
        <w:tc>
          <w:tcPr>
            <w:tcW w:w="700" w:type="pct"/>
            <w:tcBorders>
              <w:top w:val="nil"/>
              <w:bottom w:val="nil"/>
            </w:tcBorders>
            <w:vAlign w:val="center"/>
          </w:tcPr>
          <w:p w:rsidR="00C52233" w:rsidRDefault="00C52233">
            <w:pPr>
              <w:jc w:val="center"/>
              <w:rPr>
                <w:rFonts w:cs="Arial"/>
                <w:szCs w:val="20"/>
              </w:rPr>
            </w:pPr>
            <w:r>
              <w:rPr>
                <w:rFonts w:cs="Arial"/>
                <w:szCs w:val="20"/>
              </w:rPr>
              <w:t>-</w:t>
            </w:r>
          </w:p>
        </w:tc>
        <w:tc>
          <w:tcPr>
            <w:tcW w:w="641" w:type="pct"/>
            <w:tcBorders>
              <w:top w:val="nil"/>
              <w:bottom w:val="nil"/>
            </w:tcBorders>
            <w:vAlign w:val="center"/>
          </w:tcPr>
          <w:p w:rsidR="00C52233" w:rsidRDefault="00C52233">
            <w:pPr>
              <w:jc w:val="center"/>
              <w:rPr>
                <w:rFonts w:cs="Arial"/>
                <w:szCs w:val="20"/>
              </w:rPr>
            </w:pPr>
            <w:r>
              <w:rPr>
                <w:rFonts w:cs="Arial"/>
                <w:szCs w:val="20"/>
              </w:rPr>
              <w:t>-</w:t>
            </w:r>
          </w:p>
        </w:tc>
        <w:tc>
          <w:tcPr>
            <w:tcW w:w="727" w:type="pct"/>
            <w:tcBorders>
              <w:top w:val="nil"/>
              <w:bottom w:val="nil"/>
            </w:tcBorders>
            <w:vAlign w:val="center"/>
          </w:tcPr>
          <w:p w:rsidR="00C52233" w:rsidRDefault="00C52233">
            <w:pPr>
              <w:jc w:val="center"/>
              <w:rPr>
                <w:rFonts w:cs="Arial"/>
                <w:szCs w:val="20"/>
              </w:rPr>
            </w:pPr>
            <w:r>
              <w:rPr>
                <w:rFonts w:cs="Arial"/>
                <w:szCs w:val="20"/>
              </w:rPr>
              <w:t>-</w:t>
            </w:r>
          </w:p>
        </w:tc>
        <w:tc>
          <w:tcPr>
            <w:tcW w:w="699" w:type="pct"/>
            <w:tcBorders>
              <w:top w:val="nil"/>
              <w:bottom w:val="nil"/>
            </w:tcBorders>
            <w:vAlign w:val="center"/>
          </w:tcPr>
          <w:p w:rsidR="00C52233" w:rsidRDefault="00C52233">
            <w:pPr>
              <w:jc w:val="center"/>
              <w:rPr>
                <w:rFonts w:cs="Arial"/>
                <w:szCs w:val="20"/>
              </w:rPr>
            </w:pPr>
            <w:r>
              <w:rPr>
                <w:rFonts w:cs="Arial"/>
                <w:szCs w:val="20"/>
              </w:rPr>
              <w:t>-</w:t>
            </w:r>
          </w:p>
        </w:tc>
        <w:tc>
          <w:tcPr>
            <w:tcW w:w="622" w:type="pct"/>
            <w:tcBorders>
              <w:top w:val="nil"/>
              <w:bottom w:val="nil"/>
            </w:tcBorders>
            <w:vAlign w:val="center"/>
          </w:tcPr>
          <w:p w:rsidR="00C52233" w:rsidRDefault="00C52233">
            <w:pPr>
              <w:jc w:val="center"/>
              <w:rPr>
                <w:rFonts w:cs="Arial"/>
                <w:szCs w:val="20"/>
              </w:rPr>
            </w:pPr>
            <w:r>
              <w:rPr>
                <w:rFonts w:cs="Arial"/>
                <w:szCs w:val="20"/>
              </w:rPr>
              <w:t>-</w:t>
            </w:r>
          </w:p>
        </w:tc>
        <w:tc>
          <w:tcPr>
            <w:tcW w:w="696" w:type="pct"/>
            <w:tcBorders>
              <w:top w:val="nil"/>
              <w:bottom w:val="nil"/>
            </w:tcBorders>
            <w:vAlign w:val="center"/>
          </w:tcPr>
          <w:p w:rsidR="00C52233" w:rsidRDefault="00C52233">
            <w:pPr>
              <w:jc w:val="center"/>
              <w:rPr>
                <w:rFonts w:cs="Arial"/>
                <w:szCs w:val="20"/>
              </w:rPr>
            </w:pPr>
            <w:r>
              <w:rPr>
                <w:rFonts w:cs="Arial"/>
                <w:szCs w:val="20"/>
              </w:rPr>
              <w:t>-</w:t>
            </w:r>
          </w:p>
        </w:tc>
      </w:tr>
      <w:tr w:rsidR="00C52233" w:rsidRPr="006A7228" w:rsidTr="00EA6F25">
        <w:trPr>
          <w:trHeight w:val="510"/>
        </w:trPr>
        <w:tc>
          <w:tcPr>
            <w:tcW w:w="915" w:type="pct"/>
            <w:tcBorders>
              <w:top w:val="nil"/>
              <w:bottom w:val="nil"/>
            </w:tcBorders>
            <w:vAlign w:val="center"/>
          </w:tcPr>
          <w:p w:rsidR="00C52233" w:rsidRDefault="00C52233">
            <w:pPr>
              <w:rPr>
                <w:rFonts w:cs="Arial"/>
                <w:b/>
                <w:bCs/>
                <w:sz w:val="20"/>
                <w:szCs w:val="20"/>
              </w:rPr>
            </w:pPr>
            <w:r>
              <w:rPr>
                <w:rFonts w:cs="Arial"/>
                <w:b/>
                <w:bCs/>
                <w:sz w:val="20"/>
                <w:szCs w:val="20"/>
              </w:rPr>
              <w:t>Monthly</w:t>
            </w:r>
          </w:p>
        </w:tc>
        <w:tc>
          <w:tcPr>
            <w:tcW w:w="700" w:type="pct"/>
            <w:tcBorders>
              <w:top w:val="nil"/>
              <w:bottom w:val="nil"/>
            </w:tcBorders>
            <w:vAlign w:val="center"/>
          </w:tcPr>
          <w:p w:rsidR="00C52233" w:rsidRDefault="00C52233">
            <w:pPr>
              <w:jc w:val="center"/>
              <w:rPr>
                <w:rFonts w:cs="Arial"/>
                <w:sz w:val="20"/>
                <w:szCs w:val="20"/>
              </w:rPr>
            </w:pPr>
            <w:r>
              <w:rPr>
                <w:rFonts w:cs="Arial"/>
                <w:sz w:val="20"/>
                <w:szCs w:val="20"/>
              </w:rPr>
              <w:t>-</w:t>
            </w:r>
          </w:p>
        </w:tc>
        <w:tc>
          <w:tcPr>
            <w:tcW w:w="641" w:type="pct"/>
            <w:tcBorders>
              <w:top w:val="nil"/>
              <w:bottom w:val="nil"/>
            </w:tcBorders>
            <w:vAlign w:val="center"/>
          </w:tcPr>
          <w:p w:rsidR="00C52233" w:rsidRDefault="00C52233">
            <w:pPr>
              <w:jc w:val="center"/>
              <w:rPr>
                <w:rFonts w:cs="Arial"/>
                <w:sz w:val="20"/>
                <w:szCs w:val="20"/>
              </w:rPr>
            </w:pPr>
            <w:r>
              <w:rPr>
                <w:rFonts w:cs="Arial"/>
                <w:sz w:val="20"/>
                <w:szCs w:val="20"/>
              </w:rPr>
              <w:t>-</w:t>
            </w:r>
          </w:p>
        </w:tc>
        <w:tc>
          <w:tcPr>
            <w:tcW w:w="727" w:type="pct"/>
            <w:tcBorders>
              <w:top w:val="nil"/>
              <w:bottom w:val="nil"/>
            </w:tcBorders>
            <w:vAlign w:val="center"/>
          </w:tcPr>
          <w:p w:rsidR="00C52233" w:rsidRDefault="00C52233">
            <w:pPr>
              <w:jc w:val="center"/>
              <w:rPr>
                <w:rFonts w:cs="Arial"/>
                <w:sz w:val="20"/>
                <w:szCs w:val="20"/>
              </w:rPr>
            </w:pPr>
            <w:r>
              <w:rPr>
                <w:rFonts w:cs="Arial"/>
                <w:sz w:val="20"/>
                <w:szCs w:val="20"/>
              </w:rPr>
              <w:t>-</w:t>
            </w:r>
          </w:p>
        </w:tc>
        <w:tc>
          <w:tcPr>
            <w:tcW w:w="699" w:type="pct"/>
            <w:tcBorders>
              <w:top w:val="nil"/>
              <w:bottom w:val="nil"/>
            </w:tcBorders>
            <w:vAlign w:val="center"/>
          </w:tcPr>
          <w:p w:rsidR="00C52233" w:rsidRDefault="00C52233">
            <w:pPr>
              <w:jc w:val="center"/>
              <w:rPr>
                <w:rFonts w:cs="Arial"/>
                <w:sz w:val="20"/>
                <w:szCs w:val="20"/>
              </w:rPr>
            </w:pPr>
            <w:r>
              <w:rPr>
                <w:rFonts w:cs="Arial"/>
                <w:sz w:val="20"/>
                <w:szCs w:val="20"/>
              </w:rPr>
              <w:t>-</w:t>
            </w:r>
          </w:p>
        </w:tc>
        <w:tc>
          <w:tcPr>
            <w:tcW w:w="622" w:type="pct"/>
            <w:tcBorders>
              <w:top w:val="nil"/>
              <w:bottom w:val="nil"/>
            </w:tcBorders>
            <w:vAlign w:val="center"/>
          </w:tcPr>
          <w:p w:rsidR="00C52233" w:rsidRDefault="00C52233">
            <w:pPr>
              <w:jc w:val="center"/>
              <w:rPr>
                <w:rFonts w:cs="Arial"/>
                <w:sz w:val="20"/>
                <w:szCs w:val="20"/>
              </w:rPr>
            </w:pPr>
            <w:r>
              <w:rPr>
                <w:rFonts w:cs="Arial"/>
                <w:sz w:val="20"/>
                <w:szCs w:val="20"/>
              </w:rPr>
              <w:t>-</w:t>
            </w:r>
          </w:p>
        </w:tc>
        <w:tc>
          <w:tcPr>
            <w:tcW w:w="696" w:type="pct"/>
            <w:tcBorders>
              <w:top w:val="nil"/>
              <w:bottom w:val="nil"/>
            </w:tcBorders>
            <w:vAlign w:val="center"/>
          </w:tcPr>
          <w:p w:rsidR="00C52233" w:rsidRDefault="00C52233">
            <w:pPr>
              <w:jc w:val="center"/>
              <w:rPr>
                <w:rFonts w:cs="Arial"/>
                <w:sz w:val="20"/>
                <w:szCs w:val="20"/>
              </w:rPr>
            </w:pPr>
            <w:r>
              <w:rPr>
                <w:rFonts w:cs="Arial"/>
                <w:sz w:val="20"/>
                <w:szCs w:val="20"/>
              </w:rPr>
              <w:t>-</w:t>
            </w:r>
          </w:p>
        </w:tc>
      </w:tr>
      <w:tr w:rsidR="00C52233"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single" w:sz="4" w:space="0" w:color="auto"/>
            </w:tcBorders>
            <w:vAlign w:val="center"/>
          </w:tcPr>
          <w:p w:rsidR="00C52233" w:rsidRDefault="00C52233">
            <w:pPr>
              <w:rPr>
                <w:rFonts w:cs="Arial"/>
                <w:b/>
                <w:bCs/>
                <w:szCs w:val="20"/>
              </w:rPr>
            </w:pPr>
            <w:r>
              <w:rPr>
                <w:rFonts w:cs="Arial"/>
                <w:b/>
                <w:bCs/>
                <w:szCs w:val="20"/>
              </w:rPr>
              <w:t>Total</w:t>
            </w:r>
          </w:p>
        </w:tc>
        <w:tc>
          <w:tcPr>
            <w:tcW w:w="700" w:type="pct"/>
            <w:tcBorders>
              <w:top w:val="nil"/>
              <w:bottom w:val="single" w:sz="4" w:space="0" w:color="auto"/>
            </w:tcBorders>
            <w:vAlign w:val="center"/>
          </w:tcPr>
          <w:p w:rsidR="00C52233" w:rsidRDefault="00C52233">
            <w:pPr>
              <w:jc w:val="center"/>
              <w:rPr>
                <w:rFonts w:cs="Arial"/>
                <w:b/>
                <w:bCs/>
                <w:szCs w:val="20"/>
              </w:rPr>
            </w:pPr>
            <w:r>
              <w:rPr>
                <w:rFonts w:cs="Arial"/>
                <w:b/>
                <w:bCs/>
                <w:szCs w:val="20"/>
              </w:rPr>
              <w:t>-</w:t>
            </w:r>
          </w:p>
        </w:tc>
        <w:tc>
          <w:tcPr>
            <w:tcW w:w="641" w:type="pct"/>
            <w:tcBorders>
              <w:top w:val="nil"/>
              <w:bottom w:val="single" w:sz="4" w:space="0" w:color="auto"/>
            </w:tcBorders>
            <w:vAlign w:val="center"/>
          </w:tcPr>
          <w:p w:rsidR="00C52233" w:rsidRDefault="00C52233">
            <w:pPr>
              <w:jc w:val="center"/>
              <w:rPr>
                <w:rFonts w:cs="Arial"/>
                <w:b/>
                <w:bCs/>
                <w:szCs w:val="20"/>
              </w:rPr>
            </w:pPr>
            <w:r>
              <w:rPr>
                <w:rFonts w:cs="Arial"/>
                <w:b/>
                <w:bCs/>
                <w:szCs w:val="20"/>
              </w:rPr>
              <w:t>-</w:t>
            </w:r>
          </w:p>
        </w:tc>
        <w:tc>
          <w:tcPr>
            <w:tcW w:w="727" w:type="pct"/>
            <w:tcBorders>
              <w:top w:val="nil"/>
              <w:bottom w:val="single" w:sz="4" w:space="0" w:color="auto"/>
            </w:tcBorders>
            <w:vAlign w:val="center"/>
          </w:tcPr>
          <w:p w:rsidR="00C52233" w:rsidRDefault="00C52233">
            <w:pPr>
              <w:jc w:val="center"/>
              <w:rPr>
                <w:rFonts w:cs="Arial"/>
                <w:b/>
                <w:bCs/>
                <w:szCs w:val="20"/>
              </w:rPr>
            </w:pPr>
            <w:r>
              <w:rPr>
                <w:rFonts w:cs="Arial"/>
                <w:b/>
                <w:bCs/>
                <w:szCs w:val="20"/>
              </w:rPr>
              <w:t>7.07</w:t>
            </w:r>
          </w:p>
        </w:tc>
        <w:tc>
          <w:tcPr>
            <w:tcW w:w="699" w:type="pct"/>
            <w:tcBorders>
              <w:top w:val="nil"/>
              <w:bottom w:val="single" w:sz="4" w:space="0" w:color="auto"/>
            </w:tcBorders>
            <w:vAlign w:val="center"/>
          </w:tcPr>
          <w:p w:rsidR="00C52233" w:rsidRDefault="00C52233">
            <w:pPr>
              <w:jc w:val="center"/>
              <w:rPr>
                <w:rFonts w:cs="Arial"/>
                <w:b/>
                <w:bCs/>
                <w:szCs w:val="20"/>
              </w:rPr>
            </w:pPr>
            <w:r>
              <w:rPr>
                <w:rFonts w:cs="Arial"/>
                <w:b/>
                <w:bCs/>
                <w:szCs w:val="20"/>
              </w:rPr>
              <w:t>43.0</w:t>
            </w:r>
          </w:p>
        </w:tc>
        <w:tc>
          <w:tcPr>
            <w:tcW w:w="622" w:type="pct"/>
            <w:tcBorders>
              <w:top w:val="nil"/>
              <w:bottom w:val="single" w:sz="4" w:space="0" w:color="auto"/>
            </w:tcBorders>
            <w:vAlign w:val="center"/>
          </w:tcPr>
          <w:p w:rsidR="00C52233" w:rsidRDefault="00C52233">
            <w:pPr>
              <w:jc w:val="center"/>
              <w:rPr>
                <w:rFonts w:cs="Arial"/>
                <w:b/>
                <w:bCs/>
                <w:szCs w:val="20"/>
              </w:rPr>
            </w:pPr>
            <w:r>
              <w:rPr>
                <w:rFonts w:cs="Arial"/>
                <w:b/>
                <w:bCs/>
                <w:szCs w:val="20"/>
              </w:rPr>
              <w:t>7.75</w:t>
            </w:r>
          </w:p>
        </w:tc>
        <w:tc>
          <w:tcPr>
            <w:tcW w:w="696" w:type="pct"/>
            <w:tcBorders>
              <w:top w:val="nil"/>
              <w:bottom w:val="single" w:sz="4" w:space="0" w:color="auto"/>
            </w:tcBorders>
            <w:vAlign w:val="center"/>
          </w:tcPr>
          <w:p w:rsidR="00C52233" w:rsidRDefault="00C52233">
            <w:pPr>
              <w:jc w:val="center"/>
              <w:rPr>
                <w:rFonts w:cs="Arial"/>
                <w:b/>
                <w:bCs/>
                <w:szCs w:val="20"/>
              </w:rPr>
            </w:pPr>
            <w:r>
              <w:rPr>
                <w:rFonts w:cs="Arial"/>
                <w:b/>
                <w:bCs/>
                <w:szCs w:val="20"/>
              </w:rPr>
              <w:t>160.0</w:t>
            </w:r>
          </w:p>
        </w:tc>
      </w:tr>
    </w:tbl>
    <w:p w:rsidR="00410584" w:rsidRPr="00552F68" w:rsidRDefault="00410584" w:rsidP="00410584">
      <w:pPr>
        <w:pStyle w:val="AERbodytext"/>
        <w:rPr>
          <w:sz w:val="16"/>
        </w:rPr>
      </w:pPr>
      <w:r w:rsidRPr="00552F68">
        <w:rPr>
          <w:sz w:val="16"/>
        </w:rPr>
        <w:t xml:space="preserve">* </w:t>
      </w:r>
      <w:r w:rsidR="008D7D94">
        <w:rPr>
          <w:sz w:val="16"/>
        </w:rPr>
        <w:t>includes n</w:t>
      </w:r>
      <w:r w:rsidRPr="00552F68">
        <w:rPr>
          <w:sz w:val="16"/>
        </w:rPr>
        <w:t xml:space="preserve">on-netted </w:t>
      </w:r>
      <w:r w:rsidR="008D7D94">
        <w:rPr>
          <w:sz w:val="16"/>
        </w:rPr>
        <w:t>(off-market) trades</w:t>
      </w:r>
      <w:r w:rsidRPr="00552F68">
        <w:rPr>
          <w:sz w:val="16"/>
        </w:rPr>
        <w:t>.</w:t>
      </w:r>
    </w:p>
    <w:p w:rsidR="001934E9" w:rsidRDefault="00C370D1" w:rsidP="00F81F20">
      <w:r>
        <w:t>Figure 6</w:t>
      </w:r>
      <w:r w:rsidR="001934E9"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lastRenderedPageBreak/>
        <w:t xml:space="preserve">Figure </w:t>
      </w:r>
      <w:fldSimple w:instr=" SEQ Figure \* ARABIC ">
        <w:r w:rsidR="00C370D1">
          <w:rPr>
            <w:noProof/>
          </w:rPr>
          <w:t>6</w:t>
        </w:r>
      </w:fldSimple>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C52233" w:rsidP="00E33530">
      <w:pPr>
        <w:keepNext/>
      </w:pPr>
      <w:r w:rsidRPr="00C52233">
        <w:rPr>
          <w:noProof/>
          <w:lang w:eastAsia="en-AU"/>
        </w:rPr>
        <w:drawing>
          <wp:inline distT="0" distB="0" distL="0" distR="0" wp14:anchorId="50782E5E" wp14:editId="2D97B86C">
            <wp:extent cx="5731510" cy="3179062"/>
            <wp:effectExtent l="0" t="0" r="2540" b="2540"/>
            <wp:docPr id="7" name="Picture 7" descr="Figure 6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DC745D" w:rsidRPr="00095566" w:rsidRDefault="009C4C5E" w:rsidP="00095566">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1521CB" w:rsidRDefault="00DC745D" w:rsidP="00475F8E">
      <w:pPr>
        <w:jc w:val="both"/>
        <w:rPr>
          <w:b/>
          <w:i/>
        </w:rPr>
      </w:pPr>
      <w:r>
        <w:rPr>
          <w:b/>
          <w:i/>
        </w:rPr>
        <w:t>Victoria</w:t>
      </w:r>
    </w:p>
    <w:p w:rsidR="00DC745D" w:rsidRPr="003B2C23" w:rsidRDefault="00585305" w:rsidP="00524419">
      <w:pPr>
        <w:jc w:val="both"/>
      </w:pPr>
      <w:r w:rsidRPr="003B2C23">
        <w:t xml:space="preserve">Temperatures in Melbourne were </w:t>
      </w:r>
      <w:r w:rsidR="00095566" w:rsidRPr="003B2C23">
        <w:t xml:space="preserve">comparatively </w:t>
      </w:r>
      <w:r w:rsidR="008A7EC2" w:rsidRPr="003B2C23">
        <w:t>colder this week compared to</w:t>
      </w:r>
      <w:r w:rsidRPr="003B2C23">
        <w:t xml:space="preserve"> the previ</w:t>
      </w:r>
      <w:r w:rsidR="008A7EC2" w:rsidRPr="003B2C23">
        <w:t>ous week. Accordingly, the average</w:t>
      </w:r>
      <w:r w:rsidRPr="003B2C23">
        <w:t xml:space="preserve"> </w:t>
      </w:r>
      <w:r w:rsidR="008A7EC2" w:rsidRPr="003B2C23">
        <w:t xml:space="preserve">daily </w:t>
      </w:r>
      <w:r w:rsidRPr="003B2C23">
        <w:t>demand exceeded 900</w:t>
      </w:r>
      <w:r w:rsidR="00524419">
        <w:t> </w:t>
      </w:r>
      <w:r w:rsidRPr="003B2C23">
        <w:t xml:space="preserve">TJ </w:t>
      </w:r>
      <w:r w:rsidR="00095566" w:rsidRPr="003B2C23">
        <w:t>on</w:t>
      </w:r>
      <w:r w:rsidRPr="003B2C23">
        <w:t xml:space="preserve"> three days of the week (30-31 May and 1 June). In contrast, Victorian demand remained un</w:t>
      </w:r>
      <w:r w:rsidR="008A7EC2" w:rsidRPr="003B2C23">
        <w:t>der 700</w:t>
      </w:r>
      <w:r w:rsidR="00524419">
        <w:t> </w:t>
      </w:r>
      <w:r w:rsidR="008A7EC2" w:rsidRPr="003B2C23">
        <w:t>TJ throughout</w:t>
      </w:r>
      <w:r w:rsidRPr="003B2C23">
        <w:t xml:space="preserve"> the previous week.  </w:t>
      </w:r>
    </w:p>
    <w:p w:rsidR="00192BA2" w:rsidRPr="003B2C23" w:rsidRDefault="00074A64" w:rsidP="00524419">
      <w:pPr>
        <w:jc w:val="both"/>
        <w:rPr>
          <w:b/>
          <w:i/>
        </w:rPr>
      </w:pPr>
      <w:r w:rsidRPr="003B2C23">
        <w:rPr>
          <w:b/>
          <w:i/>
        </w:rPr>
        <w:t>Adelaide</w:t>
      </w:r>
    </w:p>
    <w:p w:rsidR="00074A64" w:rsidRPr="003B2C23" w:rsidRDefault="00074A64" w:rsidP="00524419">
      <w:pPr>
        <w:jc w:val="both"/>
      </w:pPr>
      <w:r w:rsidRPr="003B2C23">
        <w:t xml:space="preserve">Ancillary service costs in Adelaide increased by 184 per cent following low comparative daily MOS payments, averaging $5,457, the previous week. A $29,508 MOS payment on 31 May provided the basis for this week-to-week percentage increase. </w:t>
      </w:r>
    </w:p>
    <w:p w:rsidR="004C5EF8" w:rsidRPr="003B2C23" w:rsidRDefault="004C5EF8" w:rsidP="00524419">
      <w:pPr>
        <w:jc w:val="both"/>
        <w:rPr>
          <w:b/>
          <w:i/>
        </w:rPr>
      </w:pPr>
      <w:r w:rsidRPr="003B2C23">
        <w:rPr>
          <w:b/>
          <w:i/>
        </w:rPr>
        <w:t>Sydney</w:t>
      </w:r>
    </w:p>
    <w:p w:rsidR="00A914D6" w:rsidRDefault="007224AE" w:rsidP="00524419">
      <w:pPr>
        <w:jc w:val="both"/>
      </w:pPr>
      <w:r>
        <w:t>In Sydney, a</w:t>
      </w:r>
      <w:r w:rsidR="00020139" w:rsidRPr="003B2C23">
        <w:t>verage daily MOS payments</w:t>
      </w:r>
      <w:r>
        <w:t xml:space="preserve"> </w:t>
      </w:r>
      <w:r w:rsidR="00020139" w:rsidRPr="003B2C23">
        <w:t xml:space="preserve">were comparatively low this week </w:t>
      </w:r>
      <w:r>
        <w:t xml:space="preserve">at </w:t>
      </w:r>
      <w:r w:rsidR="00020139" w:rsidRPr="003B2C23">
        <w:t xml:space="preserve">$38,145. This follows several incidences of large Market Operator Service (MOS) payments that resulted in much higher ancillary service costs during the first three week of May. </w:t>
      </w:r>
      <w:r w:rsidR="007B0CA0" w:rsidRPr="003B2C23">
        <w:t xml:space="preserve">MOS service payments exceeded $50,000 on </w:t>
      </w:r>
      <w:r w:rsidR="00BC6231" w:rsidRPr="003B2C23">
        <w:t>one</w:t>
      </w:r>
      <w:r w:rsidR="00074A64" w:rsidRPr="003B2C23">
        <w:t xml:space="preserve"> occasion</w:t>
      </w:r>
      <w:r w:rsidR="00020139" w:rsidRPr="003B2C23">
        <w:t xml:space="preserve"> </w:t>
      </w:r>
      <w:r w:rsidR="00A914D6" w:rsidRPr="003B2C23">
        <w:t xml:space="preserve">(see figure 2.4). </w:t>
      </w:r>
      <w:r w:rsidR="007B0CA0" w:rsidRPr="003B2C23">
        <w:t xml:space="preserve">This </w:t>
      </w:r>
      <w:r w:rsidR="001F7433" w:rsidRPr="003B2C23">
        <w:t>was a</w:t>
      </w:r>
      <w:r w:rsidR="00BC6231" w:rsidRPr="003B2C23">
        <w:t xml:space="preserve"> </w:t>
      </w:r>
      <w:r w:rsidR="007B0CA0" w:rsidRPr="003B2C23">
        <w:t xml:space="preserve">payment of $67,833 on 1 June.  </w:t>
      </w:r>
      <w:r w:rsidR="00BC6231" w:rsidRPr="003B2C23">
        <w:t>There was also a payment of $49,529 on 2 June.</w:t>
      </w:r>
    </w:p>
    <w:p w:rsidR="004C5EF8" w:rsidRPr="003B2C23" w:rsidRDefault="00FB2DE8" w:rsidP="00524419">
      <w:pPr>
        <w:jc w:val="both"/>
        <w:rPr>
          <w:b/>
          <w:i/>
        </w:rPr>
      </w:pPr>
      <w:r w:rsidRPr="003B2C23">
        <w:rPr>
          <w:b/>
          <w:i/>
        </w:rPr>
        <w:t>Queensland</w:t>
      </w:r>
    </w:p>
    <w:p w:rsidR="001521CB" w:rsidRDefault="00020139" w:rsidP="00F81F20">
      <w:pPr>
        <w:jc w:val="both"/>
        <w:rPr>
          <w:rFonts w:eastAsiaTheme="majorEastAsia" w:cstheme="majorBidi"/>
          <w:b/>
          <w:bCs/>
          <w:color w:val="51626F"/>
          <w:sz w:val="28"/>
          <w:szCs w:val="26"/>
        </w:rPr>
      </w:pPr>
      <w:r w:rsidRPr="003B2C23">
        <w:t>Gas production at Roma continues</w:t>
      </w:r>
      <w:r w:rsidR="00FB2DE8" w:rsidRPr="003B2C23">
        <w:t xml:space="preserve"> to be high</w:t>
      </w:r>
      <w:r w:rsidR="0032743C" w:rsidRPr="003B2C23">
        <w:t xml:space="preserve"> with</w:t>
      </w:r>
      <w:r w:rsidRPr="003B2C23">
        <w:t xml:space="preserve"> five days exceeding 3</w:t>
      </w:r>
      <w:r w:rsidR="007224AE">
        <w:t>,</w:t>
      </w:r>
      <w:r w:rsidRPr="003B2C23">
        <w:t xml:space="preserve">600 TJ/d. This is </w:t>
      </w:r>
      <w:r w:rsidR="0032743C" w:rsidRPr="003B2C23">
        <w:t xml:space="preserve">close to </w:t>
      </w:r>
      <w:r w:rsidR="001F7433" w:rsidRPr="003B2C23">
        <w:t xml:space="preserve">Roma’s </w:t>
      </w:r>
      <w:r w:rsidR="0032743C" w:rsidRPr="003B2C23">
        <w:t>record maximum production of 3</w:t>
      </w:r>
      <w:r w:rsidR="007224AE">
        <w:t>,</w:t>
      </w:r>
      <w:r w:rsidR="0032743C" w:rsidRPr="003B2C23">
        <w:t>670</w:t>
      </w:r>
      <w:r w:rsidR="001F7433" w:rsidRPr="003B2C23">
        <w:t xml:space="preserve"> TJ/d</w:t>
      </w:r>
      <w:r w:rsidRPr="003B2C23">
        <w:t>.</w:t>
      </w:r>
      <w:r w:rsidR="00B56587" w:rsidRPr="003B2C23">
        <w:t xml:space="preserve"> </w:t>
      </w:r>
      <w:r w:rsidRPr="003B2C23">
        <w:t>The high export pipeline flows</w:t>
      </w:r>
      <w:r w:rsidR="00B56587" w:rsidRPr="003B2C23">
        <w:t xml:space="preserve"> precede a</w:t>
      </w:r>
      <w:r w:rsidRPr="003B2C23">
        <w:t xml:space="preserve"> </w:t>
      </w:r>
      <w:r w:rsidR="00B56587" w:rsidRPr="003B2C23">
        <w:t xml:space="preserve">long-term export </w:t>
      </w:r>
      <w:r w:rsidRPr="003B2C23">
        <w:t>train outage</w:t>
      </w:r>
      <w:r w:rsidR="00B56587" w:rsidRPr="003B2C23">
        <w:t xml:space="preserve"> at Curtis Island. </w:t>
      </w:r>
      <w:r w:rsidR="007224AE" w:rsidRPr="003B2C23">
        <w:t>Santos GLNG</w:t>
      </w:r>
      <w:r w:rsidR="007224AE">
        <w:t xml:space="preserve"> has scheduled full single-train </w:t>
      </w:r>
      <w:r w:rsidR="00B56587" w:rsidRPr="003B2C23">
        <w:t>maintenance outage</w:t>
      </w:r>
      <w:r w:rsidR="007224AE">
        <w:t>s</w:t>
      </w:r>
      <w:r w:rsidR="00B56587" w:rsidRPr="003B2C23">
        <w:t xml:space="preserve"> from 5 June to 2 July and from 10 July to 6 August 2017.</w:t>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3"/>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4"/>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5"/>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C52233" w:rsidP="003171C6">
      <w:r w:rsidRPr="00C52233">
        <w:rPr>
          <w:noProof/>
          <w:lang w:eastAsia="en-AU"/>
        </w:rPr>
        <w:drawing>
          <wp:inline distT="0" distB="0" distL="0" distR="0" wp14:anchorId="4A85BA50" wp14:editId="074975CB">
            <wp:extent cx="5731510" cy="1650203"/>
            <wp:effectExtent l="0" t="0" r="2540" b="7620"/>
            <wp:docPr id="13" name="Picture 13" descr="Figure 1.1 shows the five Victorian schedule prices for each day this week. The marker indicates the daily imbalance weighted average price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C52233" w:rsidP="003171C6">
      <w:r w:rsidRPr="00C52233">
        <w:rPr>
          <w:noProof/>
          <w:lang w:eastAsia="en-AU"/>
        </w:rPr>
        <w:drawing>
          <wp:inline distT="0" distB="0" distL="0" distR="0" wp14:anchorId="0E8E4CC4" wp14:editId="0423B101">
            <wp:extent cx="5731510" cy="2132322"/>
            <wp:effectExtent l="0" t="0" r="2540" b="1905"/>
            <wp:docPr id="14" name="Picture 14"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C52233" w:rsidP="003171C6">
      <w:r w:rsidRPr="00C52233">
        <w:rPr>
          <w:noProof/>
          <w:lang w:eastAsia="en-AU"/>
        </w:rPr>
        <w:drawing>
          <wp:inline distT="0" distB="0" distL="0" distR="0" wp14:anchorId="43D5749A" wp14:editId="6EE7160D">
            <wp:extent cx="5731510" cy="2486687"/>
            <wp:effectExtent l="0" t="0" r="2540" b="8890"/>
            <wp:docPr id="15" name="Picture 15"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C52233" w:rsidP="003171C6">
      <w:r w:rsidRPr="00C52233">
        <w:rPr>
          <w:noProof/>
          <w:lang w:eastAsia="en-AU"/>
        </w:rPr>
        <w:drawing>
          <wp:inline distT="0" distB="0" distL="0" distR="0" wp14:anchorId="2893B0AE" wp14:editId="44EDCB71">
            <wp:extent cx="5731510" cy="1958582"/>
            <wp:effectExtent l="0" t="0" r="2540" b="3810"/>
            <wp:docPr id="16" name="Picture 16"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CB1D62" w:rsidP="003171C6">
      <w:r w:rsidRPr="00CB1D62">
        <w:rPr>
          <w:noProof/>
          <w:lang w:eastAsia="en-AU"/>
        </w:rPr>
        <w:drawing>
          <wp:inline distT="0" distB="0" distL="0" distR="0" wp14:anchorId="17224551" wp14:editId="18C9EBE0">
            <wp:extent cx="5731510" cy="2147108"/>
            <wp:effectExtent l="0" t="0" r="2540" b="5715"/>
            <wp:docPr id="5" name="Picture 5"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7108"/>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6"/>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7"/>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C52233" w:rsidRPr="00405CDE" w:rsidTr="00A226E9">
        <w:trPr>
          <w:trHeight w:val="510"/>
        </w:trPr>
        <w:tc>
          <w:tcPr>
            <w:tcW w:w="1211" w:type="pct"/>
            <w:tcBorders>
              <w:top w:val="nil"/>
              <w:bottom w:val="nil"/>
            </w:tcBorders>
            <w:vAlign w:val="center"/>
          </w:tcPr>
          <w:p w:rsidR="00C52233" w:rsidRDefault="00C52233">
            <w:pPr>
              <w:rPr>
                <w:rFonts w:cs="Arial"/>
                <w:sz w:val="20"/>
                <w:szCs w:val="20"/>
              </w:rPr>
            </w:pPr>
            <w:r>
              <w:rPr>
                <w:rFonts w:cs="Arial"/>
                <w:sz w:val="20"/>
                <w:szCs w:val="20"/>
              </w:rPr>
              <w:t>Ex ante price ($/GJ)</w:t>
            </w:r>
          </w:p>
        </w:tc>
        <w:tc>
          <w:tcPr>
            <w:tcW w:w="580" w:type="pct"/>
            <w:tcBorders>
              <w:top w:val="nil"/>
              <w:bottom w:val="nil"/>
            </w:tcBorders>
            <w:vAlign w:val="center"/>
          </w:tcPr>
          <w:p w:rsidR="00C52233" w:rsidRDefault="00C52233">
            <w:pPr>
              <w:jc w:val="center"/>
              <w:rPr>
                <w:rFonts w:cs="Arial"/>
                <w:sz w:val="20"/>
                <w:szCs w:val="20"/>
              </w:rPr>
            </w:pPr>
            <w:r>
              <w:rPr>
                <w:rFonts w:cs="Arial"/>
                <w:sz w:val="20"/>
                <w:szCs w:val="20"/>
              </w:rPr>
              <w:t>10.01</w:t>
            </w:r>
          </w:p>
        </w:tc>
        <w:tc>
          <w:tcPr>
            <w:tcW w:w="508" w:type="pct"/>
            <w:tcBorders>
              <w:top w:val="nil"/>
              <w:bottom w:val="nil"/>
            </w:tcBorders>
            <w:vAlign w:val="center"/>
          </w:tcPr>
          <w:p w:rsidR="00C52233" w:rsidRDefault="00C52233">
            <w:pPr>
              <w:jc w:val="center"/>
              <w:rPr>
                <w:rFonts w:cs="Arial"/>
                <w:sz w:val="20"/>
                <w:szCs w:val="20"/>
              </w:rPr>
            </w:pPr>
            <w:r>
              <w:rPr>
                <w:rFonts w:cs="Arial"/>
                <w:sz w:val="20"/>
                <w:szCs w:val="20"/>
              </w:rPr>
              <w:t>10.64</w:t>
            </w:r>
          </w:p>
        </w:tc>
        <w:tc>
          <w:tcPr>
            <w:tcW w:w="589" w:type="pct"/>
            <w:tcBorders>
              <w:top w:val="nil"/>
              <w:bottom w:val="nil"/>
            </w:tcBorders>
            <w:vAlign w:val="center"/>
          </w:tcPr>
          <w:p w:rsidR="00C52233" w:rsidRDefault="00C52233">
            <w:pPr>
              <w:jc w:val="center"/>
              <w:rPr>
                <w:rFonts w:cs="Arial"/>
                <w:sz w:val="20"/>
                <w:szCs w:val="20"/>
              </w:rPr>
            </w:pPr>
            <w:r>
              <w:rPr>
                <w:rFonts w:cs="Arial"/>
                <w:sz w:val="20"/>
                <w:szCs w:val="20"/>
              </w:rPr>
              <w:t>10.95</w:t>
            </w:r>
          </w:p>
        </w:tc>
        <w:tc>
          <w:tcPr>
            <w:tcW w:w="517" w:type="pct"/>
            <w:tcBorders>
              <w:top w:val="nil"/>
              <w:bottom w:val="nil"/>
            </w:tcBorders>
            <w:vAlign w:val="center"/>
          </w:tcPr>
          <w:p w:rsidR="00C52233" w:rsidRDefault="00C52233">
            <w:pPr>
              <w:jc w:val="center"/>
              <w:rPr>
                <w:rFonts w:cs="Arial"/>
                <w:sz w:val="20"/>
                <w:szCs w:val="20"/>
              </w:rPr>
            </w:pPr>
            <w:r>
              <w:rPr>
                <w:rFonts w:cs="Arial"/>
                <w:sz w:val="20"/>
                <w:szCs w:val="20"/>
              </w:rPr>
              <w:t>10.64</w:t>
            </w:r>
          </w:p>
        </w:tc>
        <w:tc>
          <w:tcPr>
            <w:tcW w:w="510" w:type="pct"/>
            <w:tcBorders>
              <w:top w:val="nil"/>
              <w:bottom w:val="nil"/>
            </w:tcBorders>
            <w:vAlign w:val="center"/>
          </w:tcPr>
          <w:p w:rsidR="00C52233" w:rsidRDefault="00C52233">
            <w:pPr>
              <w:jc w:val="center"/>
              <w:rPr>
                <w:rFonts w:cs="Arial"/>
                <w:sz w:val="20"/>
                <w:szCs w:val="20"/>
              </w:rPr>
            </w:pPr>
            <w:r>
              <w:rPr>
                <w:rFonts w:cs="Arial"/>
                <w:sz w:val="20"/>
                <w:szCs w:val="20"/>
              </w:rPr>
              <w:t>11.78</w:t>
            </w:r>
          </w:p>
        </w:tc>
        <w:tc>
          <w:tcPr>
            <w:tcW w:w="507" w:type="pct"/>
            <w:tcBorders>
              <w:top w:val="nil"/>
              <w:bottom w:val="nil"/>
            </w:tcBorders>
            <w:vAlign w:val="center"/>
          </w:tcPr>
          <w:p w:rsidR="00C52233" w:rsidRDefault="00C52233">
            <w:pPr>
              <w:jc w:val="center"/>
              <w:rPr>
                <w:rFonts w:cs="Arial"/>
                <w:sz w:val="20"/>
                <w:szCs w:val="20"/>
              </w:rPr>
            </w:pPr>
            <w:r>
              <w:rPr>
                <w:rFonts w:cs="Arial"/>
                <w:sz w:val="20"/>
                <w:szCs w:val="20"/>
              </w:rPr>
              <w:t>12.54</w:t>
            </w:r>
          </w:p>
        </w:tc>
        <w:tc>
          <w:tcPr>
            <w:tcW w:w="578" w:type="pct"/>
            <w:tcBorders>
              <w:top w:val="nil"/>
              <w:bottom w:val="nil"/>
            </w:tcBorders>
            <w:vAlign w:val="center"/>
          </w:tcPr>
          <w:p w:rsidR="00C52233" w:rsidRDefault="00C52233">
            <w:pPr>
              <w:jc w:val="center"/>
              <w:rPr>
                <w:rFonts w:cs="Arial"/>
                <w:sz w:val="20"/>
                <w:szCs w:val="20"/>
              </w:rPr>
            </w:pPr>
            <w:r>
              <w:rPr>
                <w:rFonts w:cs="Arial"/>
                <w:sz w:val="20"/>
                <w:szCs w:val="20"/>
              </w:rPr>
              <w:t>13.12</w:t>
            </w:r>
          </w:p>
        </w:tc>
      </w:tr>
      <w:tr w:rsidR="00C52233"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C52233" w:rsidRDefault="00C52233">
            <w:pPr>
              <w:rPr>
                <w:rFonts w:cs="Arial"/>
                <w:szCs w:val="20"/>
              </w:rPr>
            </w:pPr>
            <w:r>
              <w:rPr>
                <w:rFonts w:cs="Arial"/>
                <w:szCs w:val="20"/>
              </w:rPr>
              <w:t>Ex ante quantity (TJ)</w:t>
            </w:r>
          </w:p>
        </w:tc>
        <w:tc>
          <w:tcPr>
            <w:tcW w:w="580" w:type="pct"/>
            <w:tcBorders>
              <w:top w:val="nil"/>
              <w:bottom w:val="nil"/>
            </w:tcBorders>
            <w:vAlign w:val="center"/>
          </w:tcPr>
          <w:p w:rsidR="00C52233" w:rsidRDefault="00C52233">
            <w:pPr>
              <w:jc w:val="center"/>
              <w:rPr>
                <w:rFonts w:cs="Arial"/>
                <w:szCs w:val="20"/>
              </w:rPr>
            </w:pPr>
            <w:r>
              <w:rPr>
                <w:rFonts w:cs="Arial"/>
                <w:szCs w:val="20"/>
              </w:rPr>
              <w:t>246</w:t>
            </w:r>
          </w:p>
        </w:tc>
        <w:tc>
          <w:tcPr>
            <w:tcW w:w="508" w:type="pct"/>
            <w:tcBorders>
              <w:top w:val="nil"/>
              <w:bottom w:val="nil"/>
            </w:tcBorders>
            <w:vAlign w:val="center"/>
          </w:tcPr>
          <w:p w:rsidR="00C52233" w:rsidRDefault="00C52233">
            <w:pPr>
              <w:jc w:val="center"/>
              <w:rPr>
                <w:rFonts w:cs="Arial"/>
                <w:szCs w:val="20"/>
              </w:rPr>
            </w:pPr>
            <w:r>
              <w:rPr>
                <w:rFonts w:cs="Arial"/>
                <w:szCs w:val="20"/>
              </w:rPr>
              <w:t>289</w:t>
            </w:r>
          </w:p>
        </w:tc>
        <w:tc>
          <w:tcPr>
            <w:tcW w:w="589" w:type="pct"/>
            <w:tcBorders>
              <w:top w:val="nil"/>
              <w:bottom w:val="nil"/>
            </w:tcBorders>
            <w:vAlign w:val="center"/>
          </w:tcPr>
          <w:p w:rsidR="00C52233" w:rsidRDefault="00C52233">
            <w:pPr>
              <w:jc w:val="center"/>
              <w:rPr>
                <w:rFonts w:cs="Arial"/>
                <w:szCs w:val="20"/>
              </w:rPr>
            </w:pPr>
            <w:r>
              <w:rPr>
                <w:rFonts w:cs="Arial"/>
                <w:szCs w:val="20"/>
              </w:rPr>
              <w:t>305</w:t>
            </w:r>
          </w:p>
        </w:tc>
        <w:tc>
          <w:tcPr>
            <w:tcW w:w="517" w:type="pct"/>
            <w:tcBorders>
              <w:top w:val="nil"/>
              <w:bottom w:val="nil"/>
            </w:tcBorders>
            <w:vAlign w:val="center"/>
          </w:tcPr>
          <w:p w:rsidR="00C52233" w:rsidRDefault="00C52233">
            <w:pPr>
              <w:jc w:val="center"/>
              <w:rPr>
                <w:rFonts w:cs="Arial"/>
                <w:szCs w:val="20"/>
              </w:rPr>
            </w:pPr>
            <w:r>
              <w:rPr>
                <w:rFonts w:cs="Arial"/>
                <w:szCs w:val="20"/>
              </w:rPr>
              <w:t>307</w:t>
            </w:r>
          </w:p>
        </w:tc>
        <w:tc>
          <w:tcPr>
            <w:tcW w:w="510" w:type="pct"/>
            <w:tcBorders>
              <w:top w:val="nil"/>
              <w:bottom w:val="nil"/>
            </w:tcBorders>
            <w:vAlign w:val="center"/>
          </w:tcPr>
          <w:p w:rsidR="00C52233" w:rsidRDefault="00C52233">
            <w:pPr>
              <w:jc w:val="center"/>
              <w:rPr>
                <w:rFonts w:cs="Arial"/>
                <w:szCs w:val="20"/>
              </w:rPr>
            </w:pPr>
            <w:r>
              <w:rPr>
                <w:rFonts w:cs="Arial"/>
                <w:szCs w:val="20"/>
              </w:rPr>
              <w:t>309</w:t>
            </w:r>
          </w:p>
        </w:tc>
        <w:tc>
          <w:tcPr>
            <w:tcW w:w="507" w:type="pct"/>
            <w:tcBorders>
              <w:top w:val="nil"/>
              <w:bottom w:val="nil"/>
            </w:tcBorders>
            <w:vAlign w:val="center"/>
          </w:tcPr>
          <w:p w:rsidR="00C52233" w:rsidRDefault="00C52233">
            <w:pPr>
              <w:jc w:val="center"/>
              <w:rPr>
                <w:rFonts w:cs="Arial"/>
                <w:szCs w:val="20"/>
              </w:rPr>
            </w:pPr>
            <w:r>
              <w:rPr>
                <w:rFonts w:cs="Arial"/>
                <w:szCs w:val="20"/>
              </w:rPr>
              <w:t>296</w:t>
            </w:r>
          </w:p>
        </w:tc>
        <w:tc>
          <w:tcPr>
            <w:tcW w:w="578" w:type="pct"/>
            <w:tcBorders>
              <w:top w:val="nil"/>
              <w:bottom w:val="nil"/>
            </w:tcBorders>
            <w:vAlign w:val="center"/>
          </w:tcPr>
          <w:p w:rsidR="00C52233" w:rsidRDefault="00C52233">
            <w:pPr>
              <w:jc w:val="center"/>
              <w:rPr>
                <w:rFonts w:cs="Arial"/>
                <w:szCs w:val="20"/>
              </w:rPr>
            </w:pPr>
            <w:r>
              <w:rPr>
                <w:rFonts w:cs="Arial"/>
                <w:szCs w:val="20"/>
              </w:rPr>
              <w:t>279</w:t>
            </w:r>
          </w:p>
        </w:tc>
      </w:tr>
      <w:tr w:rsidR="00C52233" w:rsidRPr="00405CDE" w:rsidTr="00A226E9">
        <w:trPr>
          <w:trHeight w:val="510"/>
        </w:trPr>
        <w:tc>
          <w:tcPr>
            <w:tcW w:w="1211" w:type="pct"/>
            <w:tcBorders>
              <w:top w:val="nil"/>
              <w:bottom w:val="nil"/>
            </w:tcBorders>
            <w:vAlign w:val="center"/>
          </w:tcPr>
          <w:p w:rsidR="00C52233" w:rsidRDefault="00C52233">
            <w:pPr>
              <w:rPr>
                <w:rFonts w:cs="Arial"/>
                <w:sz w:val="20"/>
                <w:szCs w:val="20"/>
              </w:rPr>
            </w:pPr>
            <w:r>
              <w:rPr>
                <w:rFonts w:cs="Arial"/>
                <w:sz w:val="20"/>
                <w:szCs w:val="20"/>
              </w:rPr>
              <w:t>Ex post price ($/GJ)</w:t>
            </w:r>
          </w:p>
        </w:tc>
        <w:tc>
          <w:tcPr>
            <w:tcW w:w="580" w:type="pct"/>
            <w:tcBorders>
              <w:top w:val="nil"/>
              <w:bottom w:val="nil"/>
            </w:tcBorders>
            <w:vAlign w:val="center"/>
          </w:tcPr>
          <w:p w:rsidR="00C52233" w:rsidRDefault="00C52233">
            <w:pPr>
              <w:jc w:val="center"/>
              <w:rPr>
                <w:rFonts w:cs="Arial"/>
                <w:sz w:val="20"/>
                <w:szCs w:val="20"/>
              </w:rPr>
            </w:pPr>
            <w:r>
              <w:rPr>
                <w:rFonts w:cs="Arial"/>
                <w:sz w:val="20"/>
                <w:szCs w:val="20"/>
              </w:rPr>
              <w:t>10.11</w:t>
            </w:r>
          </w:p>
        </w:tc>
        <w:tc>
          <w:tcPr>
            <w:tcW w:w="508" w:type="pct"/>
            <w:tcBorders>
              <w:top w:val="nil"/>
              <w:bottom w:val="nil"/>
            </w:tcBorders>
            <w:vAlign w:val="center"/>
          </w:tcPr>
          <w:p w:rsidR="00C52233" w:rsidRDefault="00C52233">
            <w:pPr>
              <w:jc w:val="center"/>
              <w:rPr>
                <w:rFonts w:cs="Arial"/>
                <w:sz w:val="20"/>
                <w:szCs w:val="20"/>
              </w:rPr>
            </w:pPr>
            <w:r>
              <w:rPr>
                <w:rFonts w:cs="Arial"/>
                <w:sz w:val="20"/>
                <w:szCs w:val="20"/>
              </w:rPr>
              <w:t>10.64</w:t>
            </w:r>
          </w:p>
        </w:tc>
        <w:tc>
          <w:tcPr>
            <w:tcW w:w="589" w:type="pct"/>
            <w:tcBorders>
              <w:top w:val="nil"/>
              <w:bottom w:val="nil"/>
            </w:tcBorders>
            <w:vAlign w:val="center"/>
          </w:tcPr>
          <w:p w:rsidR="00C52233" w:rsidRDefault="00C52233">
            <w:pPr>
              <w:jc w:val="center"/>
              <w:rPr>
                <w:rFonts w:cs="Arial"/>
                <w:sz w:val="20"/>
                <w:szCs w:val="20"/>
              </w:rPr>
            </w:pPr>
            <w:r>
              <w:rPr>
                <w:rFonts w:cs="Arial"/>
                <w:sz w:val="20"/>
                <w:szCs w:val="20"/>
              </w:rPr>
              <w:t>10.24</w:t>
            </w:r>
          </w:p>
        </w:tc>
        <w:tc>
          <w:tcPr>
            <w:tcW w:w="517" w:type="pct"/>
            <w:tcBorders>
              <w:top w:val="nil"/>
              <w:bottom w:val="nil"/>
            </w:tcBorders>
            <w:vAlign w:val="center"/>
          </w:tcPr>
          <w:p w:rsidR="00C52233" w:rsidRDefault="00C52233">
            <w:pPr>
              <w:jc w:val="center"/>
              <w:rPr>
                <w:rFonts w:cs="Arial"/>
                <w:sz w:val="20"/>
                <w:szCs w:val="20"/>
              </w:rPr>
            </w:pPr>
            <w:r>
              <w:rPr>
                <w:rFonts w:cs="Arial"/>
                <w:sz w:val="20"/>
                <w:szCs w:val="20"/>
              </w:rPr>
              <w:t>10.89</w:t>
            </w:r>
          </w:p>
        </w:tc>
        <w:tc>
          <w:tcPr>
            <w:tcW w:w="510" w:type="pct"/>
            <w:tcBorders>
              <w:top w:val="nil"/>
              <w:bottom w:val="nil"/>
            </w:tcBorders>
            <w:vAlign w:val="center"/>
          </w:tcPr>
          <w:p w:rsidR="00C52233" w:rsidRDefault="00C52233">
            <w:pPr>
              <w:jc w:val="center"/>
              <w:rPr>
                <w:rFonts w:cs="Arial"/>
                <w:sz w:val="20"/>
                <w:szCs w:val="20"/>
              </w:rPr>
            </w:pPr>
            <w:r>
              <w:rPr>
                <w:rFonts w:cs="Arial"/>
                <w:sz w:val="20"/>
                <w:szCs w:val="20"/>
              </w:rPr>
              <w:t>11.75</w:t>
            </w:r>
          </w:p>
        </w:tc>
        <w:tc>
          <w:tcPr>
            <w:tcW w:w="507" w:type="pct"/>
            <w:tcBorders>
              <w:top w:val="nil"/>
              <w:bottom w:val="nil"/>
            </w:tcBorders>
            <w:vAlign w:val="center"/>
          </w:tcPr>
          <w:p w:rsidR="00C52233" w:rsidRDefault="00C52233">
            <w:pPr>
              <w:jc w:val="center"/>
              <w:rPr>
                <w:rFonts w:cs="Arial"/>
                <w:sz w:val="20"/>
                <w:szCs w:val="20"/>
              </w:rPr>
            </w:pPr>
            <w:r>
              <w:rPr>
                <w:rFonts w:cs="Arial"/>
                <w:sz w:val="20"/>
                <w:szCs w:val="20"/>
              </w:rPr>
              <w:t>12.54</w:t>
            </w:r>
          </w:p>
        </w:tc>
        <w:tc>
          <w:tcPr>
            <w:tcW w:w="578" w:type="pct"/>
            <w:tcBorders>
              <w:top w:val="nil"/>
              <w:bottom w:val="nil"/>
            </w:tcBorders>
            <w:vAlign w:val="center"/>
          </w:tcPr>
          <w:p w:rsidR="00C52233" w:rsidRDefault="00C52233">
            <w:pPr>
              <w:jc w:val="center"/>
              <w:rPr>
                <w:rFonts w:cs="Arial"/>
                <w:sz w:val="20"/>
                <w:szCs w:val="20"/>
              </w:rPr>
            </w:pPr>
            <w:r>
              <w:rPr>
                <w:rFonts w:cs="Arial"/>
                <w:sz w:val="20"/>
                <w:szCs w:val="20"/>
              </w:rPr>
              <w:t>13.12</w:t>
            </w:r>
          </w:p>
        </w:tc>
      </w:tr>
      <w:tr w:rsidR="00C52233"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C52233" w:rsidRDefault="00C52233">
            <w:pPr>
              <w:rPr>
                <w:rFonts w:cs="Arial"/>
                <w:szCs w:val="20"/>
              </w:rPr>
            </w:pPr>
            <w:r>
              <w:rPr>
                <w:rFonts w:cs="Arial"/>
                <w:szCs w:val="20"/>
              </w:rPr>
              <w:t>Ex post quantity (TJ)</w:t>
            </w:r>
          </w:p>
        </w:tc>
        <w:tc>
          <w:tcPr>
            <w:tcW w:w="580" w:type="pct"/>
            <w:tcBorders>
              <w:top w:val="nil"/>
              <w:bottom w:val="single" w:sz="4" w:space="0" w:color="auto"/>
            </w:tcBorders>
            <w:vAlign w:val="center"/>
          </w:tcPr>
          <w:p w:rsidR="00C52233" w:rsidRDefault="00C52233">
            <w:pPr>
              <w:jc w:val="center"/>
              <w:rPr>
                <w:rFonts w:cs="Arial"/>
                <w:szCs w:val="20"/>
              </w:rPr>
            </w:pPr>
            <w:r>
              <w:rPr>
                <w:rFonts w:cs="Arial"/>
                <w:szCs w:val="20"/>
              </w:rPr>
              <w:t>249</w:t>
            </w:r>
          </w:p>
        </w:tc>
        <w:tc>
          <w:tcPr>
            <w:tcW w:w="508" w:type="pct"/>
            <w:tcBorders>
              <w:top w:val="nil"/>
              <w:bottom w:val="single" w:sz="4" w:space="0" w:color="auto"/>
            </w:tcBorders>
            <w:vAlign w:val="center"/>
          </w:tcPr>
          <w:p w:rsidR="00C52233" w:rsidRDefault="00C52233">
            <w:pPr>
              <w:jc w:val="center"/>
              <w:rPr>
                <w:rFonts w:cs="Arial"/>
                <w:szCs w:val="20"/>
              </w:rPr>
            </w:pPr>
            <w:r>
              <w:rPr>
                <w:rFonts w:cs="Arial"/>
                <w:szCs w:val="20"/>
              </w:rPr>
              <w:t>289</w:t>
            </w:r>
          </w:p>
        </w:tc>
        <w:tc>
          <w:tcPr>
            <w:tcW w:w="589" w:type="pct"/>
            <w:tcBorders>
              <w:top w:val="nil"/>
              <w:bottom w:val="single" w:sz="4" w:space="0" w:color="auto"/>
            </w:tcBorders>
            <w:vAlign w:val="center"/>
          </w:tcPr>
          <w:p w:rsidR="00C52233" w:rsidRDefault="00C52233">
            <w:pPr>
              <w:jc w:val="center"/>
              <w:rPr>
                <w:rFonts w:cs="Arial"/>
                <w:szCs w:val="20"/>
              </w:rPr>
            </w:pPr>
            <w:r>
              <w:rPr>
                <w:rFonts w:cs="Arial"/>
                <w:szCs w:val="20"/>
              </w:rPr>
              <w:t>289</w:t>
            </w:r>
          </w:p>
        </w:tc>
        <w:tc>
          <w:tcPr>
            <w:tcW w:w="517" w:type="pct"/>
            <w:tcBorders>
              <w:top w:val="nil"/>
              <w:bottom w:val="single" w:sz="4" w:space="0" w:color="auto"/>
            </w:tcBorders>
            <w:vAlign w:val="center"/>
          </w:tcPr>
          <w:p w:rsidR="00C52233" w:rsidRDefault="00C52233">
            <w:pPr>
              <w:jc w:val="center"/>
              <w:rPr>
                <w:rFonts w:cs="Arial"/>
                <w:szCs w:val="20"/>
              </w:rPr>
            </w:pPr>
            <w:r>
              <w:rPr>
                <w:rFonts w:cs="Arial"/>
                <w:szCs w:val="20"/>
              </w:rPr>
              <w:t>313</w:t>
            </w:r>
          </w:p>
        </w:tc>
        <w:tc>
          <w:tcPr>
            <w:tcW w:w="510" w:type="pct"/>
            <w:tcBorders>
              <w:top w:val="nil"/>
              <w:bottom w:val="single" w:sz="4" w:space="0" w:color="auto"/>
            </w:tcBorders>
            <w:vAlign w:val="center"/>
          </w:tcPr>
          <w:p w:rsidR="00C52233" w:rsidRDefault="00C52233">
            <w:pPr>
              <w:jc w:val="center"/>
              <w:rPr>
                <w:rFonts w:cs="Arial"/>
                <w:szCs w:val="20"/>
              </w:rPr>
            </w:pPr>
            <w:r>
              <w:rPr>
                <w:rFonts w:cs="Arial"/>
                <w:szCs w:val="20"/>
              </w:rPr>
              <w:t>307</w:t>
            </w:r>
          </w:p>
        </w:tc>
        <w:tc>
          <w:tcPr>
            <w:tcW w:w="507" w:type="pct"/>
            <w:tcBorders>
              <w:top w:val="nil"/>
              <w:bottom w:val="single" w:sz="4" w:space="0" w:color="auto"/>
            </w:tcBorders>
            <w:vAlign w:val="center"/>
          </w:tcPr>
          <w:p w:rsidR="00C52233" w:rsidRDefault="00C52233">
            <w:pPr>
              <w:jc w:val="center"/>
              <w:rPr>
                <w:rFonts w:cs="Arial"/>
                <w:szCs w:val="20"/>
              </w:rPr>
            </w:pPr>
            <w:r>
              <w:rPr>
                <w:rFonts w:cs="Arial"/>
                <w:szCs w:val="20"/>
              </w:rPr>
              <w:t>294</w:t>
            </w:r>
          </w:p>
        </w:tc>
        <w:tc>
          <w:tcPr>
            <w:tcW w:w="578" w:type="pct"/>
            <w:tcBorders>
              <w:top w:val="nil"/>
              <w:bottom w:val="single" w:sz="4" w:space="0" w:color="auto"/>
            </w:tcBorders>
            <w:vAlign w:val="center"/>
          </w:tcPr>
          <w:p w:rsidR="00C52233" w:rsidRDefault="00C52233">
            <w:pPr>
              <w:jc w:val="center"/>
              <w:rPr>
                <w:rFonts w:cs="Arial"/>
                <w:szCs w:val="20"/>
              </w:rPr>
            </w:pPr>
            <w:r>
              <w:rPr>
                <w:rFonts w:cs="Arial"/>
                <w:szCs w:val="20"/>
              </w:rPr>
              <w:t>279</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761365" w:rsidP="00EC2CB1">
      <w:r w:rsidRPr="00761365">
        <w:rPr>
          <w:noProof/>
          <w:lang w:eastAsia="en-AU"/>
        </w:rPr>
        <w:drawing>
          <wp:inline distT="0" distB="0" distL="0" distR="0" wp14:anchorId="6296613A" wp14:editId="3E1CCC68">
            <wp:extent cx="5731510" cy="2046203"/>
            <wp:effectExtent l="0" t="0" r="0" b="0"/>
            <wp:docPr id="20" name="Picture 20" descr="Figure 2.2 shows the daily hub offers and bid in within certain price bands in Sydney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761365" w:rsidP="00EC2CB1">
      <w:r w:rsidRPr="00761365">
        <w:rPr>
          <w:noProof/>
          <w:lang w:eastAsia="en-AU"/>
        </w:rPr>
        <w:drawing>
          <wp:inline distT="0" distB="0" distL="0" distR="0" wp14:anchorId="54F7767E" wp14:editId="34899F9C">
            <wp:extent cx="5731510" cy="2555336"/>
            <wp:effectExtent l="0" t="0" r="2540" b="0"/>
            <wp:docPr id="27" name="Picture 27" descr="Figure 2.3 shows the daily scheduled and allocated quantities sorted by facility for Sydney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8"/>
      </w:r>
    </w:p>
    <w:p w:rsidR="00EC2CB1" w:rsidRDefault="00761365" w:rsidP="00EC2CB1">
      <w:r w:rsidRPr="00761365">
        <w:rPr>
          <w:noProof/>
          <w:lang w:eastAsia="en-AU"/>
        </w:rPr>
        <w:drawing>
          <wp:inline distT="0" distB="0" distL="0" distR="0" wp14:anchorId="0C6251DC" wp14:editId="32EB0C09">
            <wp:extent cx="5731510" cy="2175613"/>
            <wp:effectExtent l="0" t="0" r="2540" b="0"/>
            <wp:docPr id="35" name="Picture 35" descr="Figure 2.4 shows the daily MOS allocations sorted by facility for each facility in Sydney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761365" w:rsidRPr="00405CDE" w:rsidTr="00A226E9">
        <w:trPr>
          <w:trHeight w:val="389"/>
        </w:trPr>
        <w:tc>
          <w:tcPr>
            <w:tcW w:w="1152" w:type="pct"/>
            <w:tcBorders>
              <w:top w:val="nil"/>
              <w:bottom w:val="nil"/>
            </w:tcBorders>
            <w:vAlign w:val="center"/>
          </w:tcPr>
          <w:p w:rsidR="00761365" w:rsidRDefault="00761365">
            <w:pPr>
              <w:rPr>
                <w:rFonts w:cs="Arial"/>
                <w:sz w:val="20"/>
                <w:szCs w:val="20"/>
              </w:rPr>
            </w:pPr>
            <w:r>
              <w:rPr>
                <w:rFonts w:cs="Arial"/>
                <w:sz w:val="20"/>
                <w:szCs w:val="20"/>
              </w:rPr>
              <w:t>Ex ante price ($/GJ)</w:t>
            </w:r>
          </w:p>
        </w:tc>
        <w:tc>
          <w:tcPr>
            <w:tcW w:w="589" w:type="pct"/>
            <w:tcBorders>
              <w:top w:val="nil"/>
              <w:bottom w:val="nil"/>
            </w:tcBorders>
            <w:vAlign w:val="center"/>
          </w:tcPr>
          <w:p w:rsidR="00761365" w:rsidRDefault="00761365">
            <w:pPr>
              <w:jc w:val="center"/>
              <w:rPr>
                <w:rFonts w:cs="Arial"/>
                <w:sz w:val="20"/>
                <w:szCs w:val="20"/>
              </w:rPr>
            </w:pPr>
            <w:r>
              <w:rPr>
                <w:rFonts w:cs="Arial"/>
                <w:sz w:val="20"/>
                <w:szCs w:val="20"/>
              </w:rPr>
              <w:t>8.80</w:t>
            </w:r>
          </w:p>
        </w:tc>
        <w:tc>
          <w:tcPr>
            <w:tcW w:w="516" w:type="pct"/>
            <w:tcBorders>
              <w:top w:val="nil"/>
              <w:bottom w:val="nil"/>
            </w:tcBorders>
            <w:vAlign w:val="center"/>
          </w:tcPr>
          <w:p w:rsidR="00761365" w:rsidRDefault="00761365">
            <w:pPr>
              <w:jc w:val="center"/>
              <w:rPr>
                <w:rFonts w:cs="Arial"/>
                <w:sz w:val="20"/>
                <w:szCs w:val="20"/>
              </w:rPr>
            </w:pPr>
            <w:r>
              <w:rPr>
                <w:rFonts w:cs="Arial"/>
                <w:sz w:val="20"/>
                <w:szCs w:val="20"/>
              </w:rPr>
              <w:t>9.07</w:t>
            </w:r>
          </w:p>
        </w:tc>
        <w:tc>
          <w:tcPr>
            <w:tcW w:w="598" w:type="pct"/>
            <w:tcBorders>
              <w:top w:val="nil"/>
              <w:bottom w:val="nil"/>
            </w:tcBorders>
            <w:vAlign w:val="center"/>
          </w:tcPr>
          <w:p w:rsidR="00761365" w:rsidRDefault="00761365">
            <w:pPr>
              <w:jc w:val="center"/>
              <w:rPr>
                <w:rFonts w:cs="Arial"/>
                <w:sz w:val="20"/>
                <w:szCs w:val="20"/>
              </w:rPr>
            </w:pPr>
            <w:r>
              <w:rPr>
                <w:rFonts w:cs="Arial"/>
                <w:sz w:val="20"/>
                <w:szCs w:val="20"/>
              </w:rPr>
              <w:t>9.28</w:t>
            </w:r>
          </w:p>
        </w:tc>
        <w:tc>
          <w:tcPr>
            <w:tcW w:w="525" w:type="pct"/>
            <w:tcBorders>
              <w:top w:val="nil"/>
              <w:bottom w:val="nil"/>
            </w:tcBorders>
            <w:vAlign w:val="center"/>
          </w:tcPr>
          <w:p w:rsidR="00761365" w:rsidRDefault="00761365">
            <w:pPr>
              <w:jc w:val="center"/>
              <w:rPr>
                <w:rFonts w:cs="Arial"/>
                <w:sz w:val="20"/>
                <w:szCs w:val="20"/>
              </w:rPr>
            </w:pPr>
            <w:r>
              <w:rPr>
                <w:rFonts w:cs="Arial"/>
                <w:sz w:val="20"/>
                <w:szCs w:val="20"/>
              </w:rPr>
              <w:t>9.28</w:t>
            </w:r>
          </w:p>
        </w:tc>
        <w:tc>
          <w:tcPr>
            <w:tcW w:w="518" w:type="pct"/>
            <w:tcBorders>
              <w:top w:val="nil"/>
              <w:bottom w:val="nil"/>
            </w:tcBorders>
            <w:vAlign w:val="center"/>
          </w:tcPr>
          <w:p w:rsidR="00761365" w:rsidRDefault="00761365">
            <w:pPr>
              <w:jc w:val="center"/>
              <w:rPr>
                <w:rFonts w:cs="Arial"/>
                <w:sz w:val="20"/>
                <w:szCs w:val="20"/>
              </w:rPr>
            </w:pPr>
            <w:r>
              <w:rPr>
                <w:rFonts w:cs="Arial"/>
                <w:sz w:val="20"/>
                <w:szCs w:val="20"/>
              </w:rPr>
              <w:t>9.16</w:t>
            </w:r>
          </w:p>
        </w:tc>
        <w:tc>
          <w:tcPr>
            <w:tcW w:w="515" w:type="pct"/>
            <w:tcBorders>
              <w:top w:val="nil"/>
              <w:bottom w:val="nil"/>
            </w:tcBorders>
            <w:vAlign w:val="center"/>
          </w:tcPr>
          <w:p w:rsidR="00761365" w:rsidRDefault="00761365">
            <w:pPr>
              <w:jc w:val="center"/>
              <w:rPr>
                <w:rFonts w:cs="Arial"/>
                <w:sz w:val="20"/>
                <w:szCs w:val="20"/>
              </w:rPr>
            </w:pPr>
            <w:r>
              <w:rPr>
                <w:rFonts w:cs="Arial"/>
                <w:sz w:val="20"/>
                <w:szCs w:val="20"/>
              </w:rPr>
              <w:t>9.33</w:t>
            </w:r>
          </w:p>
        </w:tc>
        <w:tc>
          <w:tcPr>
            <w:tcW w:w="587" w:type="pct"/>
            <w:tcBorders>
              <w:top w:val="nil"/>
              <w:bottom w:val="nil"/>
            </w:tcBorders>
            <w:vAlign w:val="center"/>
          </w:tcPr>
          <w:p w:rsidR="00761365" w:rsidRDefault="00761365">
            <w:pPr>
              <w:jc w:val="center"/>
              <w:rPr>
                <w:rFonts w:cs="Arial"/>
                <w:sz w:val="20"/>
                <w:szCs w:val="20"/>
              </w:rPr>
            </w:pPr>
            <w:r>
              <w:rPr>
                <w:rFonts w:cs="Arial"/>
                <w:sz w:val="20"/>
                <w:szCs w:val="20"/>
              </w:rPr>
              <w:t>9.04</w:t>
            </w:r>
          </w:p>
        </w:tc>
      </w:tr>
      <w:tr w:rsidR="00761365"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761365" w:rsidRDefault="00761365">
            <w:pPr>
              <w:rPr>
                <w:rFonts w:cs="Arial"/>
                <w:szCs w:val="20"/>
              </w:rPr>
            </w:pPr>
            <w:r>
              <w:rPr>
                <w:rFonts w:cs="Arial"/>
                <w:szCs w:val="20"/>
              </w:rPr>
              <w:t>Ex ante quantity (TJ)</w:t>
            </w:r>
          </w:p>
        </w:tc>
        <w:tc>
          <w:tcPr>
            <w:tcW w:w="589" w:type="pct"/>
            <w:tcBorders>
              <w:top w:val="nil"/>
              <w:bottom w:val="nil"/>
            </w:tcBorders>
            <w:vAlign w:val="center"/>
          </w:tcPr>
          <w:p w:rsidR="00761365" w:rsidRDefault="00761365">
            <w:pPr>
              <w:jc w:val="center"/>
              <w:rPr>
                <w:rFonts w:cs="Arial"/>
                <w:szCs w:val="20"/>
              </w:rPr>
            </w:pPr>
            <w:r>
              <w:rPr>
                <w:rFonts w:cs="Arial"/>
                <w:szCs w:val="20"/>
              </w:rPr>
              <w:t>64</w:t>
            </w:r>
          </w:p>
        </w:tc>
        <w:tc>
          <w:tcPr>
            <w:tcW w:w="516" w:type="pct"/>
            <w:tcBorders>
              <w:top w:val="nil"/>
              <w:bottom w:val="nil"/>
            </w:tcBorders>
            <w:vAlign w:val="center"/>
          </w:tcPr>
          <w:p w:rsidR="00761365" w:rsidRDefault="00761365">
            <w:pPr>
              <w:jc w:val="center"/>
              <w:rPr>
                <w:rFonts w:cs="Arial"/>
                <w:szCs w:val="20"/>
              </w:rPr>
            </w:pPr>
            <w:r>
              <w:rPr>
                <w:rFonts w:cs="Arial"/>
                <w:szCs w:val="20"/>
              </w:rPr>
              <w:t>78</w:t>
            </w:r>
          </w:p>
        </w:tc>
        <w:tc>
          <w:tcPr>
            <w:tcW w:w="598" w:type="pct"/>
            <w:tcBorders>
              <w:top w:val="nil"/>
              <w:bottom w:val="nil"/>
            </w:tcBorders>
            <w:vAlign w:val="center"/>
          </w:tcPr>
          <w:p w:rsidR="00761365" w:rsidRDefault="00761365">
            <w:pPr>
              <w:jc w:val="center"/>
              <w:rPr>
                <w:rFonts w:cs="Arial"/>
                <w:szCs w:val="20"/>
              </w:rPr>
            </w:pPr>
            <w:r>
              <w:rPr>
                <w:rFonts w:cs="Arial"/>
                <w:szCs w:val="20"/>
              </w:rPr>
              <w:t>85</w:t>
            </w:r>
          </w:p>
        </w:tc>
        <w:tc>
          <w:tcPr>
            <w:tcW w:w="525" w:type="pct"/>
            <w:tcBorders>
              <w:top w:val="nil"/>
              <w:bottom w:val="nil"/>
            </w:tcBorders>
            <w:vAlign w:val="center"/>
          </w:tcPr>
          <w:p w:rsidR="00761365" w:rsidRDefault="00761365">
            <w:pPr>
              <w:jc w:val="center"/>
              <w:rPr>
                <w:rFonts w:cs="Arial"/>
                <w:szCs w:val="20"/>
              </w:rPr>
            </w:pPr>
            <w:r>
              <w:rPr>
                <w:rFonts w:cs="Arial"/>
                <w:szCs w:val="20"/>
              </w:rPr>
              <w:t>89</w:t>
            </w:r>
          </w:p>
        </w:tc>
        <w:tc>
          <w:tcPr>
            <w:tcW w:w="518" w:type="pct"/>
            <w:tcBorders>
              <w:top w:val="nil"/>
              <w:bottom w:val="nil"/>
            </w:tcBorders>
            <w:vAlign w:val="center"/>
          </w:tcPr>
          <w:p w:rsidR="00761365" w:rsidRDefault="00761365">
            <w:pPr>
              <w:jc w:val="center"/>
              <w:rPr>
                <w:rFonts w:cs="Arial"/>
                <w:szCs w:val="20"/>
              </w:rPr>
            </w:pPr>
            <w:r>
              <w:rPr>
                <w:rFonts w:cs="Arial"/>
                <w:szCs w:val="20"/>
              </w:rPr>
              <w:t>91</w:t>
            </w:r>
          </w:p>
        </w:tc>
        <w:tc>
          <w:tcPr>
            <w:tcW w:w="515" w:type="pct"/>
            <w:tcBorders>
              <w:top w:val="nil"/>
              <w:bottom w:val="nil"/>
            </w:tcBorders>
            <w:vAlign w:val="center"/>
          </w:tcPr>
          <w:p w:rsidR="00761365" w:rsidRDefault="00761365">
            <w:pPr>
              <w:jc w:val="center"/>
              <w:rPr>
                <w:rFonts w:cs="Arial"/>
                <w:szCs w:val="20"/>
              </w:rPr>
            </w:pPr>
            <w:r>
              <w:rPr>
                <w:rFonts w:cs="Arial"/>
                <w:szCs w:val="20"/>
              </w:rPr>
              <w:t>88</w:t>
            </w:r>
          </w:p>
        </w:tc>
        <w:tc>
          <w:tcPr>
            <w:tcW w:w="587" w:type="pct"/>
            <w:tcBorders>
              <w:top w:val="nil"/>
              <w:bottom w:val="nil"/>
            </w:tcBorders>
            <w:vAlign w:val="center"/>
          </w:tcPr>
          <w:p w:rsidR="00761365" w:rsidRDefault="00761365">
            <w:pPr>
              <w:jc w:val="center"/>
              <w:rPr>
                <w:rFonts w:cs="Arial"/>
                <w:szCs w:val="20"/>
              </w:rPr>
            </w:pPr>
            <w:r>
              <w:rPr>
                <w:rFonts w:cs="Arial"/>
                <w:szCs w:val="20"/>
              </w:rPr>
              <w:t>77</w:t>
            </w:r>
          </w:p>
        </w:tc>
      </w:tr>
      <w:tr w:rsidR="00761365" w:rsidRPr="00405CDE" w:rsidTr="00A226E9">
        <w:trPr>
          <w:trHeight w:val="87"/>
        </w:trPr>
        <w:tc>
          <w:tcPr>
            <w:tcW w:w="1152" w:type="pct"/>
            <w:tcBorders>
              <w:top w:val="nil"/>
              <w:bottom w:val="nil"/>
            </w:tcBorders>
            <w:vAlign w:val="center"/>
          </w:tcPr>
          <w:p w:rsidR="00761365" w:rsidRDefault="00761365">
            <w:pPr>
              <w:rPr>
                <w:rFonts w:cs="Arial"/>
                <w:sz w:val="20"/>
                <w:szCs w:val="20"/>
              </w:rPr>
            </w:pPr>
            <w:r>
              <w:rPr>
                <w:rFonts w:cs="Arial"/>
                <w:sz w:val="20"/>
                <w:szCs w:val="20"/>
              </w:rPr>
              <w:t>Ex post price ($/GJ)</w:t>
            </w:r>
          </w:p>
        </w:tc>
        <w:tc>
          <w:tcPr>
            <w:tcW w:w="589" w:type="pct"/>
            <w:tcBorders>
              <w:top w:val="nil"/>
              <w:bottom w:val="nil"/>
            </w:tcBorders>
            <w:vAlign w:val="center"/>
          </w:tcPr>
          <w:p w:rsidR="00761365" w:rsidRDefault="00761365">
            <w:pPr>
              <w:jc w:val="center"/>
              <w:rPr>
                <w:rFonts w:cs="Arial"/>
                <w:sz w:val="20"/>
                <w:szCs w:val="20"/>
              </w:rPr>
            </w:pPr>
            <w:r>
              <w:rPr>
                <w:rFonts w:cs="Arial"/>
                <w:sz w:val="20"/>
                <w:szCs w:val="20"/>
              </w:rPr>
              <w:t>8.80</w:t>
            </w:r>
          </w:p>
        </w:tc>
        <w:tc>
          <w:tcPr>
            <w:tcW w:w="516" w:type="pct"/>
            <w:tcBorders>
              <w:top w:val="nil"/>
              <w:bottom w:val="nil"/>
            </w:tcBorders>
            <w:vAlign w:val="center"/>
          </w:tcPr>
          <w:p w:rsidR="00761365" w:rsidRDefault="00761365">
            <w:pPr>
              <w:jc w:val="center"/>
              <w:rPr>
                <w:rFonts w:cs="Arial"/>
                <w:sz w:val="20"/>
                <w:szCs w:val="20"/>
              </w:rPr>
            </w:pPr>
            <w:r>
              <w:rPr>
                <w:rFonts w:cs="Arial"/>
                <w:sz w:val="20"/>
                <w:szCs w:val="20"/>
              </w:rPr>
              <w:t>9.76</w:t>
            </w:r>
          </w:p>
        </w:tc>
        <w:tc>
          <w:tcPr>
            <w:tcW w:w="598" w:type="pct"/>
            <w:tcBorders>
              <w:top w:val="nil"/>
              <w:bottom w:val="nil"/>
            </w:tcBorders>
            <w:vAlign w:val="center"/>
          </w:tcPr>
          <w:p w:rsidR="00761365" w:rsidRDefault="00761365">
            <w:pPr>
              <w:jc w:val="center"/>
              <w:rPr>
                <w:rFonts w:cs="Arial"/>
                <w:sz w:val="20"/>
                <w:szCs w:val="20"/>
              </w:rPr>
            </w:pPr>
            <w:r>
              <w:rPr>
                <w:rFonts w:cs="Arial"/>
                <w:sz w:val="20"/>
                <w:szCs w:val="20"/>
              </w:rPr>
              <w:t>9.28</w:t>
            </w:r>
          </w:p>
        </w:tc>
        <w:tc>
          <w:tcPr>
            <w:tcW w:w="525" w:type="pct"/>
            <w:tcBorders>
              <w:top w:val="nil"/>
              <w:bottom w:val="nil"/>
            </w:tcBorders>
            <w:vAlign w:val="center"/>
          </w:tcPr>
          <w:p w:rsidR="00761365" w:rsidRDefault="00761365">
            <w:pPr>
              <w:jc w:val="center"/>
              <w:rPr>
                <w:rFonts w:cs="Arial"/>
                <w:sz w:val="20"/>
                <w:szCs w:val="20"/>
              </w:rPr>
            </w:pPr>
            <w:r>
              <w:rPr>
                <w:rFonts w:cs="Arial"/>
                <w:sz w:val="20"/>
                <w:szCs w:val="20"/>
              </w:rPr>
              <w:t>9.32</w:t>
            </w:r>
          </w:p>
        </w:tc>
        <w:tc>
          <w:tcPr>
            <w:tcW w:w="518" w:type="pct"/>
            <w:tcBorders>
              <w:top w:val="nil"/>
              <w:bottom w:val="nil"/>
            </w:tcBorders>
            <w:vAlign w:val="center"/>
          </w:tcPr>
          <w:p w:rsidR="00761365" w:rsidRDefault="00761365">
            <w:pPr>
              <w:jc w:val="center"/>
              <w:rPr>
                <w:rFonts w:cs="Arial"/>
                <w:sz w:val="20"/>
                <w:szCs w:val="20"/>
              </w:rPr>
            </w:pPr>
            <w:r>
              <w:rPr>
                <w:rFonts w:cs="Arial"/>
                <w:sz w:val="20"/>
                <w:szCs w:val="20"/>
              </w:rPr>
              <w:t>8.99</w:t>
            </w:r>
          </w:p>
        </w:tc>
        <w:tc>
          <w:tcPr>
            <w:tcW w:w="515" w:type="pct"/>
            <w:tcBorders>
              <w:top w:val="nil"/>
              <w:bottom w:val="nil"/>
            </w:tcBorders>
            <w:vAlign w:val="center"/>
          </w:tcPr>
          <w:p w:rsidR="00761365" w:rsidRDefault="00761365">
            <w:pPr>
              <w:jc w:val="center"/>
              <w:rPr>
                <w:rFonts w:cs="Arial"/>
                <w:sz w:val="20"/>
                <w:szCs w:val="20"/>
              </w:rPr>
            </w:pPr>
            <w:r>
              <w:rPr>
                <w:rFonts w:cs="Arial"/>
                <w:sz w:val="20"/>
                <w:szCs w:val="20"/>
              </w:rPr>
              <w:t>8.99</w:t>
            </w:r>
          </w:p>
        </w:tc>
        <w:tc>
          <w:tcPr>
            <w:tcW w:w="587" w:type="pct"/>
            <w:tcBorders>
              <w:top w:val="nil"/>
              <w:bottom w:val="nil"/>
            </w:tcBorders>
            <w:vAlign w:val="center"/>
          </w:tcPr>
          <w:p w:rsidR="00761365" w:rsidRDefault="00761365">
            <w:pPr>
              <w:jc w:val="center"/>
              <w:rPr>
                <w:rFonts w:cs="Arial"/>
                <w:sz w:val="20"/>
                <w:szCs w:val="20"/>
              </w:rPr>
            </w:pPr>
            <w:r>
              <w:rPr>
                <w:rFonts w:cs="Arial"/>
                <w:sz w:val="20"/>
                <w:szCs w:val="20"/>
              </w:rPr>
              <w:t>9.04</w:t>
            </w:r>
          </w:p>
        </w:tc>
      </w:tr>
      <w:tr w:rsidR="00761365"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761365" w:rsidRDefault="00761365">
            <w:pPr>
              <w:rPr>
                <w:rFonts w:cs="Arial"/>
                <w:szCs w:val="20"/>
              </w:rPr>
            </w:pPr>
            <w:r>
              <w:rPr>
                <w:rFonts w:cs="Arial"/>
                <w:szCs w:val="20"/>
              </w:rPr>
              <w:t>Ex post quantity (TJ)</w:t>
            </w:r>
          </w:p>
        </w:tc>
        <w:tc>
          <w:tcPr>
            <w:tcW w:w="589" w:type="pct"/>
            <w:tcBorders>
              <w:top w:val="nil"/>
              <w:bottom w:val="single" w:sz="4" w:space="0" w:color="auto"/>
            </w:tcBorders>
            <w:vAlign w:val="center"/>
          </w:tcPr>
          <w:p w:rsidR="00761365" w:rsidRDefault="00761365">
            <w:pPr>
              <w:jc w:val="center"/>
              <w:rPr>
                <w:rFonts w:cs="Arial"/>
                <w:szCs w:val="20"/>
              </w:rPr>
            </w:pPr>
            <w:r>
              <w:rPr>
                <w:rFonts w:cs="Arial"/>
                <w:szCs w:val="20"/>
              </w:rPr>
              <w:t>69</w:t>
            </w:r>
          </w:p>
        </w:tc>
        <w:tc>
          <w:tcPr>
            <w:tcW w:w="516" w:type="pct"/>
            <w:tcBorders>
              <w:top w:val="nil"/>
              <w:bottom w:val="single" w:sz="4" w:space="0" w:color="auto"/>
            </w:tcBorders>
            <w:vAlign w:val="center"/>
          </w:tcPr>
          <w:p w:rsidR="00761365" w:rsidRDefault="00761365">
            <w:pPr>
              <w:jc w:val="center"/>
              <w:rPr>
                <w:rFonts w:cs="Arial"/>
                <w:szCs w:val="20"/>
              </w:rPr>
            </w:pPr>
            <w:r>
              <w:rPr>
                <w:rFonts w:cs="Arial"/>
                <w:szCs w:val="20"/>
              </w:rPr>
              <w:t>83</w:t>
            </w:r>
          </w:p>
        </w:tc>
        <w:tc>
          <w:tcPr>
            <w:tcW w:w="598" w:type="pct"/>
            <w:tcBorders>
              <w:top w:val="nil"/>
              <w:bottom w:val="single" w:sz="4" w:space="0" w:color="auto"/>
            </w:tcBorders>
            <w:vAlign w:val="center"/>
          </w:tcPr>
          <w:p w:rsidR="00761365" w:rsidRDefault="00761365">
            <w:pPr>
              <w:jc w:val="center"/>
              <w:rPr>
                <w:rFonts w:cs="Arial"/>
                <w:szCs w:val="20"/>
              </w:rPr>
            </w:pPr>
            <w:r>
              <w:rPr>
                <w:rFonts w:cs="Arial"/>
                <w:szCs w:val="20"/>
              </w:rPr>
              <w:t>85</w:t>
            </w:r>
          </w:p>
        </w:tc>
        <w:tc>
          <w:tcPr>
            <w:tcW w:w="525" w:type="pct"/>
            <w:tcBorders>
              <w:top w:val="nil"/>
              <w:bottom w:val="single" w:sz="4" w:space="0" w:color="auto"/>
            </w:tcBorders>
            <w:vAlign w:val="center"/>
          </w:tcPr>
          <w:p w:rsidR="00761365" w:rsidRDefault="00761365">
            <w:pPr>
              <w:jc w:val="center"/>
              <w:rPr>
                <w:rFonts w:cs="Arial"/>
                <w:szCs w:val="20"/>
              </w:rPr>
            </w:pPr>
            <w:r>
              <w:rPr>
                <w:rFonts w:cs="Arial"/>
                <w:szCs w:val="20"/>
              </w:rPr>
              <w:t>91</w:t>
            </w:r>
          </w:p>
        </w:tc>
        <w:tc>
          <w:tcPr>
            <w:tcW w:w="518" w:type="pct"/>
            <w:tcBorders>
              <w:top w:val="nil"/>
              <w:bottom w:val="single" w:sz="4" w:space="0" w:color="auto"/>
            </w:tcBorders>
            <w:vAlign w:val="center"/>
          </w:tcPr>
          <w:p w:rsidR="00761365" w:rsidRDefault="00761365">
            <w:pPr>
              <w:jc w:val="center"/>
              <w:rPr>
                <w:rFonts w:cs="Arial"/>
                <w:szCs w:val="20"/>
              </w:rPr>
            </w:pPr>
            <w:r>
              <w:rPr>
                <w:rFonts w:cs="Arial"/>
                <w:szCs w:val="20"/>
              </w:rPr>
              <w:t>89</w:t>
            </w:r>
          </w:p>
        </w:tc>
        <w:tc>
          <w:tcPr>
            <w:tcW w:w="515" w:type="pct"/>
            <w:tcBorders>
              <w:top w:val="nil"/>
              <w:bottom w:val="single" w:sz="4" w:space="0" w:color="auto"/>
            </w:tcBorders>
            <w:vAlign w:val="center"/>
          </w:tcPr>
          <w:p w:rsidR="00761365" w:rsidRDefault="00761365">
            <w:pPr>
              <w:jc w:val="center"/>
              <w:rPr>
                <w:rFonts w:cs="Arial"/>
                <w:szCs w:val="20"/>
              </w:rPr>
            </w:pPr>
            <w:r>
              <w:rPr>
                <w:rFonts w:cs="Arial"/>
                <w:szCs w:val="20"/>
              </w:rPr>
              <w:t>83</w:t>
            </w:r>
          </w:p>
        </w:tc>
        <w:tc>
          <w:tcPr>
            <w:tcW w:w="587" w:type="pct"/>
            <w:tcBorders>
              <w:top w:val="nil"/>
              <w:bottom w:val="single" w:sz="4" w:space="0" w:color="auto"/>
            </w:tcBorders>
            <w:vAlign w:val="center"/>
          </w:tcPr>
          <w:p w:rsidR="00761365" w:rsidRDefault="00761365">
            <w:pPr>
              <w:jc w:val="center"/>
              <w:rPr>
                <w:rFonts w:cs="Arial"/>
                <w:szCs w:val="20"/>
              </w:rPr>
            </w:pPr>
            <w:r>
              <w:rPr>
                <w:rFonts w:cs="Arial"/>
                <w:szCs w:val="20"/>
              </w:rPr>
              <w:t>77</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761365" w:rsidP="00EC2CB1">
      <w:r w:rsidRPr="00761365">
        <w:rPr>
          <w:noProof/>
          <w:lang w:eastAsia="en-AU"/>
        </w:rPr>
        <w:drawing>
          <wp:inline distT="0" distB="0" distL="0" distR="0" wp14:anchorId="54196B98" wp14:editId="6E4178B6">
            <wp:extent cx="5731510" cy="1739923"/>
            <wp:effectExtent l="0" t="0" r="2540" b="0"/>
            <wp:docPr id="25" name="Picture 25" descr="Figure 3.2 shows the daily hub offers and bid in within certain price bands in Adelaid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761365" w:rsidP="00EC2CB1">
      <w:r w:rsidRPr="00761365">
        <w:rPr>
          <w:noProof/>
          <w:lang w:eastAsia="en-AU"/>
        </w:rPr>
        <w:drawing>
          <wp:inline distT="0" distB="0" distL="0" distR="0" wp14:anchorId="28707F13" wp14:editId="7EC7D404">
            <wp:extent cx="5731510" cy="1511607"/>
            <wp:effectExtent l="0" t="0" r="2540" b="0"/>
            <wp:docPr id="32" name="Picture 32"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761365" w:rsidP="00A226E9">
      <w:r w:rsidRPr="00761365">
        <w:rPr>
          <w:noProof/>
          <w:lang w:eastAsia="en-AU"/>
        </w:rPr>
        <w:drawing>
          <wp:inline distT="0" distB="0" distL="0" distR="0" wp14:anchorId="42E1DDAD" wp14:editId="6E021408">
            <wp:extent cx="5731510" cy="1802652"/>
            <wp:effectExtent l="0" t="0" r="2540" b="7620"/>
            <wp:docPr id="36" name="Picture 36"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761365" w:rsidRPr="00405CDE" w:rsidTr="00A226E9">
        <w:trPr>
          <w:trHeight w:val="510"/>
        </w:trPr>
        <w:tc>
          <w:tcPr>
            <w:tcW w:w="1152" w:type="pct"/>
            <w:tcBorders>
              <w:top w:val="nil"/>
              <w:bottom w:val="nil"/>
            </w:tcBorders>
            <w:vAlign w:val="center"/>
          </w:tcPr>
          <w:p w:rsidR="00761365" w:rsidRDefault="00761365">
            <w:pPr>
              <w:rPr>
                <w:rFonts w:cs="Arial"/>
                <w:sz w:val="20"/>
                <w:szCs w:val="20"/>
              </w:rPr>
            </w:pPr>
            <w:r>
              <w:rPr>
                <w:rFonts w:cs="Arial"/>
                <w:sz w:val="20"/>
                <w:szCs w:val="20"/>
              </w:rPr>
              <w:t>Ex ante price ($/GJ)</w:t>
            </w:r>
          </w:p>
        </w:tc>
        <w:tc>
          <w:tcPr>
            <w:tcW w:w="589" w:type="pct"/>
            <w:tcBorders>
              <w:top w:val="nil"/>
              <w:bottom w:val="nil"/>
            </w:tcBorders>
            <w:vAlign w:val="center"/>
          </w:tcPr>
          <w:p w:rsidR="00761365" w:rsidRDefault="00761365">
            <w:pPr>
              <w:jc w:val="center"/>
              <w:rPr>
                <w:rFonts w:cs="Arial"/>
                <w:sz w:val="20"/>
                <w:szCs w:val="20"/>
              </w:rPr>
            </w:pPr>
            <w:r>
              <w:rPr>
                <w:rFonts w:cs="Arial"/>
                <w:sz w:val="20"/>
                <w:szCs w:val="20"/>
              </w:rPr>
              <w:t>5.96</w:t>
            </w:r>
          </w:p>
        </w:tc>
        <w:tc>
          <w:tcPr>
            <w:tcW w:w="516" w:type="pct"/>
            <w:tcBorders>
              <w:top w:val="nil"/>
              <w:bottom w:val="nil"/>
            </w:tcBorders>
            <w:vAlign w:val="center"/>
          </w:tcPr>
          <w:p w:rsidR="00761365" w:rsidRDefault="00761365">
            <w:pPr>
              <w:jc w:val="center"/>
              <w:rPr>
                <w:rFonts w:cs="Arial"/>
                <w:sz w:val="20"/>
                <w:szCs w:val="20"/>
              </w:rPr>
            </w:pPr>
            <w:r>
              <w:rPr>
                <w:rFonts w:cs="Arial"/>
                <w:sz w:val="20"/>
                <w:szCs w:val="20"/>
              </w:rPr>
              <w:t>7.30</w:t>
            </w:r>
          </w:p>
        </w:tc>
        <w:tc>
          <w:tcPr>
            <w:tcW w:w="598" w:type="pct"/>
            <w:tcBorders>
              <w:top w:val="nil"/>
              <w:bottom w:val="nil"/>
            </w:tcBorders>
            <w:vAlign w:val="center"/>
          </w:tcPr>
          <w:p w:rsidR="00761365" w:rsidRDefault="00761365">
            <w:pPr>
              <w:jc w:val="center"/>
              <w:rPr>
                <w:rFonts w:cs="Arial"/>
                <w:sz w:val="20"/>
                <w:szCs w:val="20"/>
              </w:rPr>
            </w:pPr>
            <w:r>
              <w:rPr>
                <w:rFonts w:cs="Arial"/>
                <w:sz w:val="20"/>
                <w:szCs w:val="20"/>
              </w:rPr>
              <w:t>7.28</w:t>
            </w:r>
          </w:p>
        </w:tc>
        <w:tc>
          <w:tcPr>
            <w:tcW w:w="525" w:type="pct"/>
            <w:tcBorders>
              <w:top w:val="nil"/>
              <w:bottom w:val="nil"/>
            </w:tcBorders>
            <w:vAlign w:val="center"/>
          </w:tcPr>
          <w:p w:rsidR="00761365" w:rsidRDefault="00761365">
            <w:pPr>
              <w:jc w:val="center"/>
              <w:rPr>
                <w:rFonts w:cs="Arial"/>
                <w:sz w:val="20"/>
                <w:szCs w:val="20"/>
              </w:rPr>
            </w:pPr>
            <w:r>
              <w:rPr>
                <w:rFonts w:cs="Arial"/>
                <w:sz w:val="20"/>
                <w:szCs w:val="20"/>
              </w:rPr>
              <w:t>7.15</w:t>
            </w:r>
          </w:p>
        </w:tc>
        <w:tc>
          <w:tcPr>
            <w:tcW w:w="518" w:type="pct"/>
            <w:tcBorders>
              <w:top w:val="nil"/>
              <w:bottom w:val="nil"/>
            </w:tcBorders>
            <w:vAlign w:val="center"/>
          </w:tcPr>
          <w:p w:rsidR="00761365" w:rsidRDefault="00761365">
            <w:pPr>
              <w:jc w:val="center"/>
              <w:rPr>
                <w:rFonts w:cs="Arial"/>
                <w:sz w:val="20"/>
                <w:szCs w:val="20"/>
              </w:rPr>
            </w:pPr>
            <w:r>
              <w:rPr>
                <w:rFonts w:cs="Arial"/>
                <w:sz w:val="20"/>
                <w:szCs w:val="20"/>
              </w:rPr>
              <w:t>7.69</w:t>
            </w:r>
          </w:p>
        </w:tc>
        <w:tc>
          <w:tcPr>
            <w:tcW w:w="515" w:type="pct"/>
            <w:tcBorders>
              <w:top w:val="nil"/>
              <w:bottom w:val="nil"/>
            </w:tcBorders>
            <w:vAlign w:val="center"/>
          </w:tcPr>
          <w:p w:rsidR="00761365" w:rsidRDefault="00761365">
            <w:pPr>
              <w:jc w:val="center"/>
              <w:rPr>
                <w:rFonts w:cs="Arial"/>
                <w:sz w:val="20"/>
                <w:szCs w:val="20"/>
              </w:rPr>
            </w:pPr>
            <w:r>
              <w:rPr>
                <w:rFonts w:cs="Arial"/>
                <w:sz w:val="20"/>
                <w:szCs w:val="20"/>
              </w:rPr>
              <w:t>7.69</w:t>
            </w:r>
          </w:p>
        </w:tc>
        <w:tc>
          <w:tcPr>
            <w:tcW w:w="587" w:type="pct"/>
            <w:tcBorders>
              <w:top w:val="nil"/>
              <w:bottom w:val="nil"/>
            </w:tcBorders>
            <w:vAlign w:val="center"/>
          </w:tcPr>
          <w:p w:rsidR="00761365" w:rsidRDefault="00761365">
            <w:pPr>
              <w:jc w:val="center"/>
              <w:rPr>
                <w:rFonts w:cs="Arial"/>
                <w:sz w:val="20"/>
                <w:szCs w:val="20"/>
              </w:rPr>
            </w:pPr>
            <w:r>
              <w:rPr>
                <w:rFonts w:cs="Arial"/>
                <w:sz w:val="20"/>
                <w:szCs w:val="20"/>
              </w:rPr>
              <w:t>7.29</w:t>
            </w:r>
          </w:p>
        </w:tc>
      </w:tr>
      <w:tr w:rsidR="00761365"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761365" w:rsidRDefault="00761365">
            <w:pPr>
              <w:rPr>
                <w:rFonts w:cs="Arial"/>
                <w:szCs w:val="20"/>
              </w:rPr>
            </w:pPr>
            <w:r>
              <w:rPr>
                <w:rFonts w:cs="Arial"/>
                <w:szCs w:val="20"/>
              </w:rPr>
              <w:t>Ex ante quantity (TJ)</w:t>
            </w:r>
          </w:p>
        </w:tc>
        <w:tc>
          <w:tcPr>
            <w:tcW w:w="589" w:type="pct"/>
            <w:tcBorders>
              <w:top w:val="nil"/>
              <w:bottom w:val="nil"/>
            </w:tcBorders>
            <w:vAlign w:val="center"/>
          </w:tcPr>
          <w:p w:rsidR="00761365" w:rsidRDefault="00761365">
            <w:pPr>
              <w:jc w:val="center"/>
              <w:rPr>
                <w:rFonts w:cs="Arial"/>
                <w:szCs w:val="20"/>
              </w:rPr>
            </w:pPr>
            <w:r>
              <w:rPr>
                <w:rFonts w:cs="Arial"/>
                <w:szCs w:val="20"/>
              </w:rPr>
              <w:t>72</w:t>
            </w:r>
          </w:p>
        </w:tc>
        <w:tc>
          <w:tcPr>
            <w:tcW w:w="516" w:type="pct"/>
            <w:tcBorders>
              <w:top w:val="nil"/>
              <w:bottom w:val="nil"/>
            </w:tcBorders>
            <w:vAlign w:val="center"/>
          </w:tcPr>
          <w:p w:rsidR="00761365" w:rsidRDefault="00761365">
            <w:pPr>
              <w:jc w:val="center"/>
              <w:rPr>
                <w:rFonts w:cs="Arial"/>
                <w:szCs w:val="20"/>
              </w:rPr>
            </w:pPr>
            <w:r>
              <w:rPr>
                <w:rFonts w:cs="Arial"/>
                <w:szCs w:val="20"/>
              </w:rPr>
              <w:t>89</w:t>
            </w:r>
          </w:p>
        </w:tc>
        <w:tc>
          <w:tcPr>
            <w:tcW w:w="598" w:type="pct"/>
            <w:tcBorders>
              <w:top w:val="nil"/>
              <w:bottom w:val="nil"/>
            </w:tcBorders>
            <w:vAlign w:val="center"/>
          </w:tcPr>
          <w:p w:rsidR="00761365" w:rsidRDefault="00761365">
            <w:pPr>
              <w:jc w:val="center"/>
              <w:rPr>
                <w:rFonts w:cs="Arial"/>
                <w:szCs w:val="20"/>
              </w:rPr>
            </w:pPr>
            <w:r>
              <w:rPr>
                <w:rFonts w:cs="Arial"/>
                <w:szCs w:val="20"/>
              </w:rPr>
              <w:t>100</w:t>
            </w:r>
          </w:p>
        </w:tc>
        <w:tc>
          <w:tcPr>
            <w:tcW w:w="525" w:type="pct"/>
            <w:tcBorders>
              <w:top w:val="nil"/>
              <w:bottom w:val="nil"/>
            </w:tcBorders>
            <w:vAlign w:val="center"/>
          </w:tcPr>
          <w:p w:rsidR="00761365" w:rsidRDefault="00761365">
            <w:pPr>
              <w:jc w:val="center"/>
              <w:rPr>
                <w:rFonts w:cs="Arial"/>
                <w:szCs w:val="20"/>
              </w:rPr>
            </w:pPr>
            <w:r>
              <w:rPr>
                <w:rFonts w:cs="Arial"/>
                <w:szCs w:val="20"/>
              </w:rPr>
              <w:t>97</w:t>
            </w:r>
          </w:p>
        </w:tc>
        <w:tc>
          <w:tcPr>
            <w:tcW w:w="518" w:type="pct"/>
            <w:tcBorders>
              <w:top w:val="nil"/>
              <w:bottom w:val="nil"/>
            </w:tcBorders>
            <w:vAlign w:val="center"/>
          </w:tcPr>
          <w:p w:rsidR="00761365" w:rsidRDefault="00761365">
            <w:pPr>
              <w:jc w:val="center"/>
              <w:rPr>
                <w:rFonts w:cs="Arial"/>
                <w:szCs w:val="20"/>
              </w:rPr>
            </w:pPr>
            <w:r>
              <w:rPr>
                <w:rFonts w:cs="Arial"/>
                <w:szCs w:val="20"/>
              </w:rPr>
              <w:t>95</w:t>
            </w:r>
          </w:p>
        </w:tc>
        <w:tc>
          <w:tcPr>
            <w:tcW w:w="515" w:type="pct"/>
            <w:tcBorders>
              <w:top w:val="nil"/>
              <w:bottom w:val="nil"/>
            </w:tcBorders>
            <w:vAlign w:val="center"/>
          </w:tcPr>
          <w:p w:rsidR="00761365" w:rsidRDefault="00761365">
            <w:pPr>
              <w:jc w:val="center"/>
              <w:rPr>
                <w:rFonts w:cs="Arial"/>
                <w:szCs w:val="20"/>
              </w:rPr>
            </w:pPr>
            <w:r>
              <w:rPr>
                <w:rFonts w:cs="Arial"/>
                <w:szCs w:val="20"/>
              </w:rPr>
              <w:t>89</w:t>
            </w:r>
          </w:p>
        </w:tc>
        <w:tc>
          <w:tcPr>
            <w:tcW w:w="587" w:type="pct"/>
            <w:tcBorders>
              <w:top w:val="nil"/>
              <w:bottom w:val="nil"/>
            </w:tcBorders>
            <w:vAlign w:val="center"/>
          </w:tcPr>
          <w:p w:rsidR="00761365" w:rsidRDefault="00761365">
            <w:pPr>
              <w:jc w:val="center"/>
              <w:rPr>
                <w:rFonts w:cs="Arial"/>
                <w:szCs w:val="20"/>
              </w:rPr>
            </w:pPr>
            <w:r>
              <w:rPr>
                <w:rFonts w:cs="Arial"/>
                <w:szCs w:val="20"/>
              </w:rPr>
              <w:t>78</w:t>
            </w:r>
          </w:p>
        </w:tc>
      </w:tr>
      <w:tr w:rsidR="00761365" w:rsidRPr="00405CDE" w:rsidTr="00A226E9">
        <w:trPr>
          <w:trHeight w:val="510"/>
        </w:trPr>
        <w:tc>
          <w:tcPr>
            <w:tcW w:w="1152" w:type="pct"/>
            <w:tcBorders>
              <w:top w:val="nil"/>
              <w:bottom w:val="nil"/>
            </w:tcBorders>
            <w:vAlign w:val="center"/>
          </w:tcPr>
          <w:p w:rsidR="00761365" w:rsidRDefault="00761365">
            <w:pPr>
              <w:rPr>
                <w:rFonts w:cs="Arial"/>
                <w:sz w:val="20"/>
                <w:szCs w:val="20"/>
              </w:rPr>
            </w:pPr>
            <w:r>
              <w:rPr>
                <w:rFonts w:cs="Arial"/>
                <w:sz w:val="20"/>
                <w:szCs w:val="20"/>
              </w:rPr>
              <w:t>Ex post price ($/GJ)</w:t>
            </w:r>
          </w:p>
        </w:tc>
        <w:tc>
          <w:tcPr>
            <w:tcW w:w="589" w:type="pct"/>
            <w:tcBorders>
              <w:top w:val="nil"/>
              <w:bottom w:val="nil"/>
            </w:tcBorders>
            <w:vAlign w:val="center"/>
          </w:tcPr>
          <w:p w:rsidR="00761365" w:rsidRDefault="00761365">
            <w:pPr>
              <w:jc w:val="center"/>
              <w:rPr>
                <w:rFonts w:cs="Arial"/>
                <w:sz w:val="20"/>
                <w:szCs w:val="20"/>
              </w:rPr>
            </w:pPr>
            <w:r>
              <w:rPr>
                <w:rFonts w:cs="Arial"/>
                <w:sz w:val="20"/>
                <w:szCs w:val="20"/>
              </w:rPr>
              <w:t>6.69</w:t>
            </w:r>
          </w:p>
        </w:tc>
        <w:tc>
          <w:tcPr>
            <w:tcW w:w="516" w:type="pct"/>
            <w:tcBorders>
              <w:top w:val="nil"/>
              <w:bottom w:val="nil"/>
            </w:tcBorders>
            <w:vAlign w:val="center"/>
          </w:tcPr>
          <w:p w:rsidR="00761365" w:rsidRDefault="00761365">
            <w:pPr>
              <w:jc w:val="center"/>
              <w:rPr>
                <w:rFonts w:cs="Arial"/>
                <w:sz w:val="20"/>
                <w:szCs w:val="20"/>
              </w:rPr>
            </w:pPr>
            <w:r>
              <w:rPr>
                <w:rFonts w:cs="Arial"/>
                <w:sz w:val="20"/>
                <w:szCs w:val="20"/>
              </w:rPr>
              <w:t>7.30</w:t>
            </w:r>
          </w:p>
        </w:tc>
        <w:tc>
          <w:tcPr>
            <w:tcW w:w="598" w:type="pct"/>
            <w:tcBorders>
              <w:top w:val="nil"/>
              <w:bottom w:val="nil"/>
            </w:tcBorders>
            <w:vAlign w:val="center"/>
          </w:tcPr>
          <w:p w:rsidR="00761365" w:rsidRDefault="00761365">
            <w:pPr>
              <w:jc w:val="center"/>
              <w:rPr>
                <w:rFonts w:cs="Arial"/>
                <w:sz w:val="20"/>
                <w:szCs w:val="20"/>
              </w:rPr>
            </w:pPr>
            <w:r>
              <w:rPr>
                <w:rFonts w:cs="Arial"/>
                <w:sz w:val="20"/>
                <w:szCs w:val="20"/>
              </w:rPr>
              <w:t>6.85</w:t>
            </w:r>
          </w:p>
        </w:tc>
        <w:tc>
          <w:tcPr>
            <w:tcW w:w="525" w:type="pct"/>
            <w:tcBorders>
              <w:top w:val="nil"/>
              <w:bottom w:val="nil"/>
            </w:tcBorders>
            <w:vAlign w:val="center"/>
          </w:tcPr>
          <w:p w:rsidR="00761365" w:rsidRDefault="00761365">
            <w:pPr>
              <w:jc w:val="center"/>
              <w:rPr>
                <w:rFonts w:cs="Arial"/>
                <w:sz w:val="20"/>
                <w:szCs w:val="20"/>
              </w:rPr>
            </w:pPr>
            <w:r>
              <w:rPr>
                <w:rFonts w:cs="Arial"/>
                <w:sz w:val="20"/>
                <w:szCs w:val="20"/>
              </w:rPr>
              <w:t>7.45</w:t>
            </w:r>
          </w:p>
        </w:tc>
        <w:tc>
          <w:tcPr>
            <w:tcW w:w="518" w:type="pct"/>
            <w:tcBorders>
              <w:top w:val="nil"/>
              <w:bottom w:val="nil"/>
            </w:tcBorders>
            <w:vAlign w:val="center"/>
          </w:tcPr>
          <w:p w:rsidR="00761365" w:rsidRDefault="00761365">
            <w:pPr>
              <w:jc w:val="center"/>
              <w:rPr>
                <w:rFonts w:cs="Arial"/>
                <w:sz w:val="20"/>
                <w:szCs w:val="20"/>
              </w:rPr>
            </w:pPr>
            <w:r>
              <w:rPr>
                <w:rFonts w:cs="Arial"/>
                <w:sz w:val="20"/>
                <w:szCs w:val="20"/>
              </w:rPr>
              <w:t>7.74</w:t>
            </w:r>
          </w:p>
        </w:tc>
        <w:tc>
          <w:tcPr>
            <w:tcW w:w="515" w:type="pct"/>
            <w:tcBorders>
              <w:top w:val="nil"/>
              <w:bottom w:val="nil"/>
            </w:tcBorders>
            <w:vAlign w:val="center"/>
          </w:tcPr>
          <w:p w:rsidR="00761365" w:rsidRDefault="00761365">
            <w:pPr>
              <w:jc w:val="center"/>
              <w:rPr>
                <w:rFonts w:cs="Arial"/>
                <w:sz w:val="20"/>
                <w:szCs w:val="20"/>
              </w:rPr>
            </w:pPr>
            <w:r>
              <w:rPr>
                <w:rFonts w:cs="Arial"/>
                <w:sz w:val="20"/>
                <w:szCs w:val="20"/>
              </w:rPr>
              <w:t>8.76</w:t>
            </w:r>
          </w:p>
        </w:tc>
        <w:tc>
          <w:tcPr>
            <w:tcW w:w="587" w:type="pct"/>
            <w:tcBorders>
              <w:top w:val="nil"/>
              <w:bottom w:val="nil"/>
            </w:tcBorders>
            <w:vAlign w:val="center"/>
          </w:tcPr>
          <w:p w:rsidR="00761365" w:rsidRDefault="00761365">
            <w:pPr>
              <w:jc w:val="center"/>
              <w:rPr>
                <w:rFonts w:cs="Arial"/>
                <w:sz w:val="20"/>
                <w:szCs w:val="20"/>
              </w:rPr>
            </w:pPr>
            <w:r>
              <w:rPr>
                <w:rFonts w:cs="Arial"/>
                <w:sz w:val="20"/>
                <w:szCs w:val="20"/>
              </w:rPr>
              <w:t>7.29</w:t>
            </w:r>
          </w:p>
        </w:tc>
      </w:tr>
      <w:tr w:rsidR="00761365"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761365" w:rsidRDefault="00761365">
            <w:pPr>
              <w:rPr>
                <w:rFonts w:cs="Arial"/>
                <w:szCs w:val="20"/>
              </w:rPr>
            </w:pPr>
            <w:r>
              <w:rPr>
                <w:rFonts w:cs="Arial"/>
                <w:szCs w:val="20"/>
              </w:rPr>
              <w:t>Ex post quantity (TJ)</w:t>
            </w:r>
          </w:p>
        </w:tc>
        <w:tc>
          <w:tcPr>
            <w:tcW w:w="589" w:type="pct"/>
            <w:tcBorders>
              <w:top w:val="nil"/>
              <w:bottom w:val="single" w:sz="4" w:space="0" w:color="auto"/>
            </w:tcBorders>
            <w:vAlign w:val="center"/>
          </w:tcPr>
          <w:p w:rsidR="00761365" w:rsidRDefault="00761365">
            <w:pPr>
              <w:jc w:val="center"/>
              <w:rPr>
                <w:rFonts w:cs="Arial"/>
                <w:szCs w:val="20"/>
              </w:rPr>
            </w:pPr>
            <w:r>
              <w:rPr>
                <w:rFonts w:cs="Arial"/>
                <w:szCs w:val="20"/>
              </w:rPr>
              <w:t>76</w:t>
            </w:r>
          </w:p>
        </w:tc>
        <w:tc>
          <w:tcPr>
            <w:tcW w:w="516" w:type="pct"/>
            <w:tcBorders>
              <w:top w:val="nil"/>
              <w:bottom w:val="single" w:sz="4" w:space="0" w:color="auto"/>
            </w:tcBorders>
            <w:vAlign w:val="center"/>
          </w:tcPr>
          <w:p w:rsidR="00761365" w:rsidRDefault="00761365">
            <w:pPr>
              <w:jc w:val="center"/>
              <w:rPr>
                <w:rFonts w:cs="Arial"/>
                <w:szCs w:val="20"/>
              </w:rPr>
            </w:pPr>
            <w:r>
              <w:rPr>
                <w:rFonts w:cs="Arial"/>
                <w:szCs w:val="20"/>
              </w:rPr>
              <w:t>92</w:t>
            </w:r>
          </w:p>
        </w:tc>
        <w:tc>
          <w:tcPr>
            <w:tcW w:w="598" w:type="pct"/>
            <w:tcBorders>
              <w:top w:val="nil"/>
              <w:bottom w:val="single" w:sz="4" w:space="0" w:color="auto"/>
            </w:tcBorders>
            <w:vAlign w:val="center"/>
          </w:tcPr>
          <w:p w:rsidR="00761365" w:rsidRDefault="00761365">
            <w:pPr>
              <w:jc w:val="center"/>
              <w:rPr>
                <w:rFonts w:cs="Arial"/>
                <w:szCs w:val="20"/>
              </w:rPr>
            </w:pPr>
            <w:r>
              <w:rPr>
                <w:rFonts w:cs="Arial"/>
                <w:szCs w:val="20"/>
              </w:rPr>
              <w:t>94</w:t>
            </w:r>
          </w:p>
        </w:tc>
        <w:tc>
          <w:tcPr>
            <w:tcW w:w="525" w:type="pct"/>
            <w:tcBorders>
              <w:top w:val="nil"/>
              <w:bottom w:val="single" w:sz="4" w:space="0" w:color="auto"/>
            </w:tcBorders>
            <w:vAlign w:val="center"/>
          </w:tcPr>
          <w:p w:rsidR="00761365" w:rsidRDefault="00761365">
            <w:pPr>
              <w:jc w:val="center"/>
              <w:rPr>
                <w:rFonts w:cs="Arial"/>
                <w:szCs w:val="20"/>
              </w:rPr>
            </w:pPr>
            <w:r>
              <w:rPr>
                <w:rFonts w:cs="Arial"/>
                <w:szCs w:val="20"/>
              </w:rPr>
              <w:t>99</w:t>
            </w:r>
          </w:p>
        </w:tc>
        <w:tc>
          <w:tcPr>
            <w:tcW w:w="518" w:type="pct"/>
            <w:tcBorders>
              <w:top w:val="nil"/>
              <w:bottom w:val="single" w:sz="4" w:space="0" w:color="auto"/>
            </w:tcBorders>
            <w:vAlign w:val="center"/>
          </w:tcPr>
          <w:p w:rsidR="00761365" w:rsidRDefault="00761365">
            <w:pPr>
              <w:jc w:val="center"/>
              <w:rPr>
                <w:rFonts w:cs="Arial"/>
                <w:szCs w:val="20"/>
              </w:rPr>
            </w:pPr>
            <w:r>
              <w:rPr>
                <w:rFonts w:cs="Arial"/>
                <w:szCs w:val="20"/>
              </w:rPr>
              <w:t>97</w:t>
            </w:r>
          </w:p>
        </w:tc>
        <w:tc>
          <w:tcPr>
            <w:tcW w:w="515" w:type="pct"/>
            <w:tcBorders>
              <w:top w:val="nil"/>
              <w:bottom w:val="single" w:sz="4" w:space="0" w:color="auto"/>
            </w:tcBorders>
            <w:vAlign w:val="center"/>
          </w:tcPr>
          <w:p w:rsidR="00761365" w:rsidRDefault="00761365">
            <w:pPr>
              <w:jc w:val="center"/>
              <w:rPr>
                <w:rFonts w:cs="Arial"/>
                <w:szCs w:val="20"/>
              </w:rPr>
            </w:pPr>
            <w:r>
              <w:rPr>
                <w:rFonts w:cs="Arial"/>
                <w:szCs w:val="20"/>
              </w:rPr>
              <w:t>91</w:t>
            </w:r>
          </w:p>
        </w:tc>
        <w:tc>
          <w:tcPr>
            <w:tcW w:w="587" w:type="pct"/>
            <w:tcBorders>
              <w:top w:val="nil"/>
              <w:bottom w:val="single" w:sz="4" w:space="0" w:color="auto"/>
            </w:tcBorders>
            <w:vAlign w:val="center"/>
          </w:tcPr>
          <w:p w:rsidR="00761365" w:rsidRDefault="00761365">
            <w:pPr>
              <w:jc w:val="center"/>
              <w:rPr>
                <w:rFonts w:cs="Arial"/>
                <w:szCs w:val="20"/>
              </w:rPr>
            </w:pPr>
            <w:r>
              <w:rPr>
                <w:rFonts w:cs="Arial"/>
                <w:szCs w:val="20"/>
              </w:rPr>
              <w:t>78</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761365" w:rsidP="00EC2CB1">
      <w:r w:rsidRPr="00761365">
        <w:rPr>
          <w:noProof/>
          <w:lang w:eastAsia="en-AU"/>
        </w:rPr>
        <w:drawing>
          <wp:inline distT="0" distB="0" distL="0" distR="0" wp14:anchorId="745223CA" wp14:editId="0E33F518">
            <wp:extent cx="5731510" cy="1725905"/>
            <wp:effectExtent l="0" t="0" r="2540" b="0"/>
            <wp:docPr id="26" name="Picture 26" descr="Figure 4.2 shows the daily hub offers and bid in within certain price bands in Brisban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524419" w:rsidP="00EC2CB1">
      <w:r w:rsidRPr="00524419">
        <w:rPr>
          <w:noProof/>
          <w:lang w:eastAsia="en-AU"/>
        </w:rPr>
        <w:drawing>
          <wp:inline distT="0" distB="0" distL="0" distR="0" wp14:anchorId="2698D9D6" wp14:editId="50E9BFFB">
            <wp:extent cx="5731510" cy="1475290"/>
            <wp:effectExtent l="0" t="0" r="2540" b="0"/>
            <wp:docPr id="3" name="Picture 3" descr="Figure 4.3 shows the daily scheduled and allocated quantities sorted by facility for Brisban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290"/>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761365" w:rsidP="00A226E9">
      <w:r w:rsidRPr="00761365">
        <w:rPr>
          <w:noProof/>
          <w:lang w:eastAsia="en-AU"/>
        </w:rPr>
        <w:drawing>
          <wp:inline distT="0" distB="0" distL="0" distR="0" wp14:anchorId="62CAE277" wp14:editId="1C5EE94B">
            <wp:extent cx="5731510" cy="1883137"/>
            <wp:effectExtent l="0" t="0" r="2540" b="3175"/>
            <wp:docPr id="37" name="Picture 37"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0"/>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1"/>
      </w:r>
    </w:p>
    <w:p w:rsidR="00665C0C" w:rsidRDefault="00761365" w:rsidP="00596DE3">
      <w:pPr>
        <w:spacing w:line="240" w:lineRule="auto"/>
      </w:pPr>
      <w:r w:rsidRPr="00761365">
        <w:rPr>
          <w:noProof/>
          <w:lang w:eastAsia="en-AU"/>
        </w:rPr>
        <w:drawing>
          <wp:inline distT="0" distB="0" distL="0" distR="0" wp14:anchorId="6DB7DFC2" wp14:editId="420FFDC7">
            <wp:extent cx="5731510" cy="6276637"/>
            <wp:effectExtent l="0" t="0" r="2540" b="0"/>
            <wp:docPr id="38" name="Picture 38"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276637"/>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 xml:space="preserve">The gas supply hub was established at Wallumbilla in March 2014 to facilitate the voluntary trading of gas between participants, with products listed for sale and purchase at delivery points on three major connecting pipelines at. </w:t>
      </w:r>
      <w:r w:rsidRPr="00552F68">
        <w:t xml:space="preserve">There are separate products for each </w:t>
      </w:r>
      <w:r>
        <w:t>trading location</w:t>
      </w:r>
      <w:r w:rsidRPr="00552F68">
        <w:t xml:space="preserve"> and delivery period (daily, day-ahead, balance-of-day, weekly and monthly products).</w:t>
      </w:r>
      <w:r>
        <w:rPr>
          <w:rStyle w:val="FootnoteReference"/>
        </w:rPr>
        <w:footnoteReference w:id="12"/>
      </w:r>
      <w:r w:rsidRPr="00552F68">
        <w:rPr>
          <w:color w:val="FF0000"/>
        </w:rPr>
        <w:t xml:space="preserve"> </w:t>
      </w:r>
    </w:p>
    <w:p w:rsidR="00596DE3" w:rsidRDefault="00596DE3" w:rsidP="00596DE3">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the 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r w:rsidR="00760B4D">
        <w:t>From March 2017, Wallumbilla transitioned into an optional hub services model, replacing the three trading locations (QGP, SWQP and RB</w:t>
      </w:r>
      <w:r w:rsidR="00B050A6">
        <w:t>P</w:t>
      </w:r>
      <w:r w:rsidR="00760B4D">
        <w:t xml:space="preserve">) with a single product at Wallumbilla </w:t>
      </w:r>
      <w:r w:rsidR="00760B4D">
        <w:rPr>
          <w:b/>
        </w:rPr>
        <w:t>(WAL)</w:t>
      </w:r>
      <w:r w:rsidR="00760B4D">
        <w:t xml:space="preserve"> and an in-pipe RBP trading location at South East Queensland </w:t>
      </w:r>
      <w:r w:rsidR="00760B4D">
        <w:rPr>
          <w:b/>
        </w:rPr>
        <w:t>(SEQ)</w:t>
      </w:r>
      <w:r w:rsidR="00760B4D">
        <w:t>.</w:t>
      </w:r>
    </w:p>
    <w:p w:rsidR="001E06ED" w:rsidRPr="003B2C23" w:rsidRDefault="001E06ED" w:rsidP="00551D6B">
      <w:pPr>
        <w:jc w:val="both"/>
      </w:pPr>
      <w:r w:rsidRPr="003B2C23">
        <w:t xml:space="preserve">This week there were 21 trades for 203 TJ of gas at a volume weighted price of </w:t>
      </w:r>
      <w:r w:rsidR="0081310A" w:rsidRPr="003B2C23">
        <w:t>$7.60</w:t>
      </w:r>
      <w:r w:rsidRPr="003B2C23">
        <w:t>/GJ. These consisted of 10 trades at WAL (160</w:t>
      </w:r>
      <w:r w:rsidR="00524419">
        <w:t> </w:t>
      </w:r>
      <w:r w:rsidRPr="003B2C23">
        <w:t>TJ at $7.75/GJ) and 11 trades at SEQ (43</w:t>
      </w:r>
      <w:r w:rsidR="00524419">
        <w:t> </w:t>
      </w:r>
      <w:r w:rsidRPr="003B2C23">
        <w:t xml:space="preserve">TJ at $7.07/GJ). </w:t>
      </w:r>
      <w:r w:rsidR="0081310A" w:rsidRPr="003B2C23">
        <w:t>Most gas was traded off-market, with 177</w:t>
      </w:r>
      <w:r w:rsidR="00524419">
        <w:t> TJ traded at $7.66/GJ (140 TJ of these trades occurred at WAL on 30 May).</w:t>
      </w:r>
      <w:r w:rsidR="0081310A" w:rsidRPr="003B2C23">
        <w:t xml:space="preserve"> </w:t>
      </w:r>
    </w:p>
    <w:p w:rsidR="000C1A94" w:rsidRPr="00E06937" w:rsidRDefault="00596DE3" w:rsidP="00551D6B">
      <w:pPr>
        <w:jc w:val="both"/>
      </w:pPr>
      <w:r w:rsidRPr="00552F68">
        <w:t>Figure 6.1 shows the quantity of gas traded by product type for each trading day on pipeline trading locations in the Wallumbilla and Moomba Gas Supply Hubs.</w:t>
      </w:r>
      <w:r>
        <w:rPr>
          <w:rStyle w:val="FootnoteReference"/>
        </w:rPr>
        <w:footnoteReference w:id="13"/>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761365" w:rsidP="00E16EDC">
      <w:r w:rsidRPr="00761365">
        <w:rPr>
          <w:noProof/>
          <w:lang w:eastAsia="en-AU"/>
        </w:rPr>
        <w:drawing>
          <wp:inline distT="0" distB="0" distL="0" distR="0" wp14:anchorId="27D38570" wp14:editId="78B2E776">
            <wp:extent cx="5731510" cy="3126794"/>
            <wp:effectExtent l="0" t="0" r="2540" b="0"/>
            <wp:docPr id="39" name="Picture 39" descr="Figure 6.1 shows the daily quantity of gas traded during the week at each trading location. In the Moomba hub, trading locations include registered facilities at MSP and MAP. Trades at the Wallumbilla trading location (WAL*) include netted and non-netted t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761365">
        <w:t>June 2017</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419" w:rsidRDefault="00524419" w:rsidP="004B4412">
      <w:pPr>
        <w:spacing w:before="0"/>
      </w:pPr>
      <w:r>
        <w:separator/>
      </w:r>
    </w:p>
  </w:endnote>
  <w:endnote w:type="continuationSeparator" w:id="0">
    <w:p w:rsidR="00524419" w:rsidRDefault="00524419"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419" w:rsidRPr="00A91A9E" w:rsidRDefault="00524419"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524419" w:rsidRDefault="00524419"/>
  <w:p w:rsidR="00524419" w:rsidRDefault="0052441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419" w:rsidRPr="00A94D89" w:rsidRDefault="00524419"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533170">
      <w:rPr>
        <w:rFonts w:cs="Arial"/>
        <w:i/>
        <w:noProof/>
      </w:rPr>
      <w:t>2</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419" w:rsidRPr="00A94D89" w:rsidRDefault="00524419"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533170">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F448CF">
      <w:rPr>
        <w:rFonts w:cs="Arial"/>
        <w:i/>
        <w:szCs w:val="18"/>
      </w:rPr>
      <w:t>D17/77379</w:t>
    </w:r>
  </w:p>
  <w:p w:rsidR="00524419" w:rsidRDefault="005244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419" w:rsidRDefault="00524419" w:rsidP="004B4412">
      <w:pPr>
        <w:spacing w:before="0"/>
      </w:pPr>
      <w:r>
        <w:separator/>
      </w:r>
    </w:p>
  </w:footnote>
  <w:footnote w:type="continuationSeparator" w:id="0">
    <w:p w:rsidR="00524419" w:rsidRDefault="00524419" w:rsidP="004B4412">
      <w:pPr>
        <w:spacing w:before="0"/>
      </w:pPr>
      <w:r>
        <w:continuationSeparator/>
      </w:r>
    </w:p>
  </w:footnote>
  <w:footnote w:id="1">
    <w:p w:rsidR="00524419" w:rsidRPr="000835F4" w:rsidRDefault="00524419"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t>
      </w:r>
      <w:r w:rsidRPr="00EC137F">
        <w:rPr>
          <w:szCs w:val="16"/>
        </w:rPr>
        <w:t xml:space="preserve">The weighted average daily imbalance price applies for Victoria. </w:t>
      </w:r>
    </w:p>
  </w:footnote>
  <w:footnote w:id="2">
    <w:p w:rsidR="00524419" w:rsidRPr="000835F4" w:rsidRDefault="00524419" w:rsidP="00674600">
      <w:pPr>
        <w:pStyle w:val="FootnoteText"/>
        <w:spacing w:before="0"/>
        <w:ind w:left="709" w:hanging="709"/>
        <w:jc w:val="both"/>
        <w:rPr>
          <w:szCs w:val="16"/>
        </w:rPr>
      </w:pPr>
      <w:r w:rsidRPr="00EC137F">
        <w:rPr>
          <w:rStyle w:val="FootnoteReference"/>
        </w:rPr>
        <w:footnoteRef/>
      </w:r>
      <w:r w:rsidRPr="00EC137F">
        <w:t xml:space="preserve"> </w:t>
      </w:r>
      <w:r w:rsidRPr="00EC137F">
        <w:tab/>
      </w:r>
      <w:r w:rsidRPr="00EC137F">
        <w:rPr>
          <w:szCs w:val="16"/>
        </w:rPr>
        <w:t>The prices shown for the GSH in Moomba</w:t>
      </w:r>
      <w:r>
        <w:rPr>
          <w:szCs w:val="16"/>
        </w:rPr>
        <w:t>, South East Queensland and Wallumbilla</w:t>
      </w:r>
      <w:r w:rsidRPr="00EC137F">
        <w:rPr>
          <w:szCs w:val="16"/>
        </w:rPr>
        <w:t xml:space="preserve"> are volume weighted average </w:t>
      </w:r>
      <w:r>
        <w:rPr>
          <w:szCs w:val="16"/>
        </w:rPr>
        <w:t xml:space="preserve">(VWA) </w:t>
      </w:r>
      <w:r w:rsidRPr="00EC137F">
        <w:rPr>
          <w:szCs w:val="16"/>
        </w:rPr>
        <w:t>prices for all products traded across the period. The total quantity contributing to the weighted price is displayed for these GSH.</w:t>
      </w:r>
      <w:r>
        <w:rPr>
          <w:szCs w:val="16"/>
        </w:rPr>
        <w:t xml:space="preserve"> Reported values for Moomba are the aggregate of trades on the Moomba to Adelaide Pipeline (MAP) and the Moomba to Sydney Pipeline (MSP). Historic trades for RBP and SWQP are grouped under WAL, (including in-pipe trades on the RBP).</w:t>
      </w:r>
    </w:p>
  </w:footnote>
  <w:footnote w:id="3">
    <w:p w:rsidR="00524419" w:rsidRPr="00EC2CB1" w:rsidRDefault="00524419"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4">
    <w:p w:rsidR="00524419" w:rsidRPr="00EC2CB1" w:rsidRDefault="00524419"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5">
    <w:p w:rsidR="00524419" w:rsidRPr="00EC2CB1" w:rsidRDefault="00524419"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6">
    <w:p w:rsidR="00524419" w:rsidRPr="00551D6B" w:rsidRDefault="00524419"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7">
    <w:p w:rsidR="00524419" w:rsidRPr="00551D6B" w:rsidRDefault="00524419"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8">
    <w:p w:rsidR="00524419" w:rsidRPr="00552F68" w:rsidRDefault="00524419"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9">
    <w:p w:rsidR="00524419" w:rsidRPr="0087350F" w:rsidRDefault="00524419"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interconnect’);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524419" w:rsidRPr="0087350F" w:rsidRDefault="00524419" w:rsidP="00596DE3">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524419" w:rsidRPr="0087350F" w:rsidRDefault="00524419" w:rsidP="00596DE3">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0">
    <w:p w:rsidR="00524419" w:rsidRPr="0087350F" w:rsidRDefault="00524419"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1">
    <w:p w:rsidR="00524419" w:rsidRDefault="00524419" w:rsidP="00596DE3">
      <w:pPr>
        <w:pStyle w:val="FootnoteText"/>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1" w:history="1">
        <w:r w:rsidRPr="00A952AA">
          <w:rPr>
            <w:rStyle w:val="Hyperlink"/>
            <w:sz w:val="16"/>
          </w:rPr>
          <w:t>user guide</w:t>
        </w:r>
      </w:hyperlink>
      <w:r>
        <w:t>.</w:t>
      </w:r>
    </w:p>
  </w:footnote>
  <w:footnote w:id="12">
    <w:p w:rsidR="00524419" w:rsidRDefault="00524419"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2" w:history="1">
        <w:r w:rsidRPr="00A952AA">
          <w:rPr>
            <w:rStyle w:val="Hyperlink"/>
            <w:sz w:val="16"/>
          </w:rPr>
          <w:t>user guide</w:t>
        </w:r>
      </w:hyperlink>
      <w:r>
        <w:t>.</w:t>
      </w:r>
    </w:p>
  </w:footnote>
  <w:footnote w:id="13">
    <w:p w:rsidR="00524419" w:rsidRDefault="00524419"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included with other Wallumbilla trades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8620\D17 77379  20170528 - 20170603 gas weekly report.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0139"/>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5F7"/>
    <w:rsid w:val="00041A89"/>
    <w:rsid w:val="000422AB"/>
    <w:rsid w:val="00043385"/>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4A64"/>
    <w:rsid w:val="000758D3"/>
    <w:rsid w:val="000766E2"/>
    <w:rsid w:val="00077616"/>
    <w:rsid w:val="00077819"/>
    <w:rsid w:val="000835F4"/>
    <w:rsid w:val="00085663"/>
    <w:rsid w:val="00085EBF"/>
    <w:rsid w:val="00086CF3"/>
    <w:rsid w:val="00087C4A"/>
    <w:rsid w:val="00087CDC"/>
    <w:rsid w:val="00091FB4"/>
    <w:rsid w:val="00095566"/>
    <w:rsid w:val="0009584C"/>
    <w:rsid w:val="000961FA"/>
    <w:rsid w:val="0009653D"/>
    <w:rsid w:val="000A1757"/>
    <w:rsid w:val="000A241B"/>
    <w:rsid w:val="000A29ED"/>
    <w:rsid w:val="000A4529"/>
    <w:rsid w:val="000A62B4"/>
    <w:rsid w:val="000A62D6"/>
    <w:rsid w:val="000A6F14"/>
    <w:rsid w:val="000B0311"/>
    <w:rsid w:val="000B364C"/>
    <w:rsid w:val="000B3C8A"/>
    <w:rsid w:val="000C0472"/>
    <w:rsid w:val="000C1A94"/>
    <w:rsid w:val="000C52E2"/>
    <w:rsid w:val="000D122C"/>
    <w:rsid w:val="000D355E"/>
    <w:rsid w:val="000D3C77"/>
    <w:rsid w:val="000D4350"/>
    <w:rsid w:val="000D5ADE"/>
    <w:rsid w:val="000D68C5"/>
    <w:rsid w:val="000E1819"/>
    <w:rsid w:val="000E1A1B"/>
    <w:rsid w:val="000E2946"/>
    <w:rsid w:val="000E4F81"/>
    <w:rsid w:val="000E515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AE0"/>
    <w:rsid w:val="00115532"/>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37F74"/>
    <w:rsid w:val="00140762"/>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46A6"/>
    <w:rsid w:val="00186831"/>
    <w:rsid w:val="00186F77"/>
    <w:rsid w:val="001901A4"/>
    <w:rsid w:val="00190F24"/>
    <w:rsid w:val="00191C6F"/>
    <w:rsid w:val="00192441"/>
    <w:rsid w:val="001926A4"/>
    <w:rsid w:val="00192BA2"/>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1422"/>
    <w:rsid w:val="001D3A5B"/>
    <w:rsid w:val="001D5BEB"/>
    <w:rsid w:val="001D60FF"/>
    <w:rsid w:val="001D7698"/>
    <w:rsid w:val="001D7FB7"/>
    <w:rsid w:val="001E01B4"/>
    <w:rsid w:val="001E06ED"/>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433"/>
    <w:rsid w:val="001F7575"/>
    <w:rsid w:val="00201136"/>
    <w:rsid w:val="0020132A"/>
    <w:rsid w:val="00201C06"/>
    <w:rsid w:val="002028FE"/>
    <w:rsid w:val="00203300"/>
    <w:rsid w:val="0020376D"/>
    <w:rsid w:val="0020489F"/>
    <w:rsid w:val="002050F5"/>
    <w:rsid w:val="002062A9"/>
    <w:rsid w:val="002065C6"/>
    <w:rsid w:val="002072A2"/>
    <w:rsid w:val="00207D5B"/>
    <w:rsid w:val="0021027A"/>
    <w:rsid w:val="0021147E"/>
    <w:rsid w:val="00212D2F"/>
    <w:rsid w:val="00212E9E"/>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54037"/>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0CAF"/>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5E33"/>
    <w:rsid w:val="002E6254"/>
    <w:rsid w:val="002E64AB"/>
    <w:rsid w:val="002E6AEA"/>
    <w:rsid w:val="002F02A4"/>
    <w:rsid w:val="002F22FD"/>
    <w:rsid w:val="002F2481"/>
    <w:rsid w:val="002F3D02"/>
    <w:rsid w:val="002F4F34"/>
    <w:rsid w:val="002F7986"/>
    <w:rsid w:val="00300C0B"/>
    <w:rsid w:val="00302D83"/>
    <w:rsid w:val="00303DCF"/>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3C"/>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66910"/>
    <w:rsid w:val="003715C8"/>
    <w:rsid w:val="00371F3A"/>
    <w:rsid w:val="003749F7"/>
    <w:rsid w:val="0037565A"/>
    <w:rsid w:val="00375E24"/>
    <w:rsid w:val="00376373"/>
    <w:rsid w:val="00383216"/>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2C23"/>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5F8E"/>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5EF8"/>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419"/>
    <w:rsid w:val="00524513"/>
    <w:rsid w:val="00527551"/>
    <w:rsid w:val="005279B6"/>
    <w:rsid w:val="00530128"/>
    <w:rsid w:val="00530657"/>
    <w:rsid w:val="005323B2"/>
    <w:rsid w:val="00532467"/>
    <w:rsid w:val="00533170"/>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305"/>
    <w:rsid w:val="00585D42"/>
    <w:rsid w:val="00587CFB"/>
    <w:rsid w:val="0059539A"/>
    <w:rsid w:val="00595613"/>
    <w:rsid w:val="00595ED0"/>
    <w:rsid w:val="00596275"/>
    <w:rsid w:val="00596DE3"/>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13E"/>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4600"/>
    <w:rsid w:val="00675E21"/>
    <w:rsid w:val="00676679"/>
    <w:rsid w:val="00677233"/>
    <w:rsid w:val="006777D7"/>
    <w:rsid w:val="00682C3F"/>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24AE"/>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3977"/>
    <w:rsid w:val="00746063"/>
    <w:rsid w:val="00746E01"/>
    <w:rsid w:val="00747D2F"/>
    <w:rsid w:val="00751821"/>
    <w:rsid w:val="007532DD"/>
    <w:rsid w:val="00753ADA"/>
    <w:rsid w:val="00760B4D"/>
    <w:rsid w:val="00760FD8"/>
    <w:rsid w:val="00761365"/>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0CA0"/>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10A"/>
    <w:rsid w:val="0081351D"/>
    <w:rsid w:val="00813CE4"/>
    <w:rsid w:val="0081592A"/>
    <w:rsid w:val="00817724"/>
    <w:rsid w:val="008238B2"/>
    <w:rsid w:val="008245E2"/>
    <w:rsid w:val="008257CA"/>
    <w:rsid w:val="008301E7"/>
    <w:rsid w:val="00831483"/>
    <w:rsid w:val="008344B4"/>
    <w:rsid w:val="008344F6"/>
    <w:rsid w:val="0083510F"/>
    <w:rsid w:val="008366CD"/>
    <w:rsid w:val="00836890"/>
    <w:rsid w:val="00840C6C"/>
    <w:rsid w:val="00840FCC"/>
    <w:rsid w:val="008416E2"/>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50F"/>
    <w:rsid w:val="00873B1F"/>
    <w:rsid w:val="0087479D"/>
    <w:rsid w:val="008837AC"/>
    <w:rsid w:val="00884D30"/>
    <w:rsid w:val="0088604D"/>
    <w:rsid w:val="00886662"/>
    <w:rsid w:val="00886BAB"/>
    <w:rsid w:val="00886CEC"/>
    <w:rsid w:val="00886FA8"/>
    <w:rsid w:val="00887EBF"/>
    <w:rsid w:val="00887FB8"/>
    <w:rsid w:val="008909FD"/>
    <w:rsid w:val="008934F4"/>
    <w:rsid w:val="00895878"/>
    <w:rsid w:val="00896C79"/>
    <w:rsid w:val="008A147B"/>
    <w:rsid w:val="008A157D"/>
    <w:rsid w:val="008A4DB6"/>
    <w:rsid w:val="008A587D"/>
    <w:rsid w:val="008A59AB"/>
    <w:rsid w:val="008A6198"/>
    <w:rsid w:val="008A7580"/>
    <w:rsid w:val="008A7E37"/>
    <w:rsid w:val="008A7EC2"/>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D7D94"/>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09F4"/>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04FF"/>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1BB"/>
    <w:rsid w:val="00A06AD1"/>
    <w:rsid w:val="00A06E0E"/>
    <w:rsid w:val="00A1210E"/>
    <w:rsid w:val="00A159BF"/>
    <w:rsid w:val="00A15E40"/>
    <w:rsid w:val="00A16975"/>
    <w:rsid w:val="00A16DAF"/>
    <w:rsid w:val="00A16F26"/>
    <w:rsid w:val="00A20C0E"/>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2667"/>
    <w:rsid w:val="00A75AAA"/>
    <w:rsid w:val="00A81710"/>
    <w:rsid w:val="00A81EF8"/>
    <w:rsid w:val="00A8219E"/>
    <w:rsid w:val="00A84149"/>
    <w:rsid w:val="00A84E2D"/>
    <w:rsid w:val="00A84F46"/>
    <w:rsid w:val="00A871F4"/>
    <w:rsid w:val="00A87F90"/>
    <w:rsid w:val="00A912B1"/>
    <w:rsid w:val="00A914D6"/>
    <w:rsid w:val="00A91A4B"/>
    <w:rsid w:val="00A923DD"/>
    <w:rsid w:val="00A9455D"/>
    <w:rsid w:val="00A94D89"/>
    <w:rsid w:val="00A956AD"/>
    <w:rsid w:val="00A96CE0"/>
    <w:rsid w:val="00A971A0"/>
    <w:rsid w:val="00AA0CEB"/>
    <w:rsid w:val="00AA12D3"/>
    <w:rsid w:val="00AA18DE"/>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164D"/>
    <w:rsid w:val="00AF3A41"/>
    <w:rsid w:val="00AF46F3"/>
    <w:rsid w:val="00AF66A7"/>
    <w:rsid w:val="00AF7058"/>
    <w:rsid w:val="00AF7C0E"/>
    <w:rsid w:val="00B01BD3"/>
    <w:rsid w:val="00B02ED5"/>
    <w:rsid w:val="00B03817"/>
    <w:rsid w:val="00B050A6"/>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587"/>
    <w:rsid w:val="00B56CF6"/>
    <w:rsid w:val="00B56E03"/>
    <w:rsid w:val="00B6278D"/>
    <w:rsid w:val="00B62BB5"/>
    <w:rsid w:val="00B63E2C"/>
    <w:rsid w:val="00B64331"/>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2DFD"/>
    <w:rsid w:val="00BC4CD2"/>
    <w:rsid w:val="00BC614B"/>
    <w:rsid w:val="00BC6231"/>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0DD6"/>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370D1"/>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2233"/>
    <w:rsid w:val="00C532EF"/>
    <w:rsid w:val="00C538A9"/>
    <w:rsid w:val="00C53B5A"/>
    <w:rsid w:val="00C54C29"/>
    <w:rsid w:val="00C54CF3"/>
    <w:rsid w:val="00C54F5A"/>
    <w:rsid w:val="00C55452"/>
    <w:rsid w:val="00C56506"/>
    <w:rsid w:val="00C565C5"/>
    <w:rsid w:val="00C5766F"/>
    <w:rsid w:val="00C601EF"/>
    <w:rsid w:val="00C60452"/>
    <w:rsid w:val="00C6191E"/>
    <w:rsid w:val="00C62797"/>
    <w:rsid w:val="00C6290C"/>
    <w:rsid w:val="00C63A42"/>
    <w:rsid w:val="00C65B88"/>
    <w:rsid w:val="00C672E0"/>
    <w:rsid w:val="00C70205"/>
    <w:rsid w:val="00C72730"/>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1D62"/>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17ECA"/>
    <w:rsid w:val="00D22BD4"/>
    <w:rsid w:val="00D22E23"/>
    <w:rsid w:val="00D2306D"/>
    <w:rsid w:val="00D250AC"/>
    <w:rsid w:val="00D270E1"/>
    <w:rsid w:val="00D323D0"/>
    <w:rsid w:val="00D32684"/>
    <w:rsid w:val="00D32767"/>
    <w:rsid w:val="00D33489"/>
    <w:rsid w:val="00D352AB"/>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F71"/>
    <w:rsid w:val="00D71771"/>
    <w:rsid w:val="00D71E8E"/>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2B5F"/>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45D"/>
    <w:rsid w:val="00DC7981"/>
    <w:rsid w:val="00DC7B5A"/>
    <w:rsid w:val="00DD15C2"/>
    <w:rsid w:val="00DD27EA"/>
    <w:rsid w:val="00DD33DE"/>
    <w:rsid w:val="00DD5D65"/>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DF7CED"/>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3530"/>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280"/>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A6F25"/>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48CF"/>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4B3"/>
    <w:rsid w:val="00F72F41"/>
    <w:rsid w:val="00F74CBC"/>
    <w:rsid w:val="00F75A26"/>
    <w:rsid w:val="00F766B3"/>
    <w:rsid w:val="00F77D49"/>
    <w:rsid w:val="00F8021A"/>
    <w:rsid w:val="00F805F3"/>
    <w:rsid w:val="00F81F20"/>
    <w:rsid w:val="00F83FAD"/>
    <w:rsid w:val="00F87EBA"/>
    <w:rsid w:val="00F90A80"/>
    <w:rsid w:val="00F91BC0"/>
    <w:rsid w:val="00F93027"/>
    <w:rsid w:val="00F93937"/>
    <w:rsid w:val="00F946BA"/>
    <w:rsid w:val="00F94788"/>
    <w:rsid w:val="00F952A0"/>
    <w:rsid w:val="00F965FC"/>
    <w:rsid w:val="00F978C8"/>
    <w:rsid w:val="00FA25D4"/>
    <w:rsid w:val="00FA3830"/>
    <w:rsid w:val="00FA3C7F"/>
    <w:rsid w:val="00FA5B9C"/>
    <w:rsid w:val="00FA7736"/>
    <w:rsid w:val="00FA7920"/>
    <w:rsid w:val="00FB153F"/>
    <w:rsid w:val="00FB265D"/>
    <w:rsid w:val="00FB2690"/>
    <w:rsid w:val="00FB2DE8"/>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Ind w:w="0" w:type="dxa"/>
      <w:tblBorders>
        <w:top w:val="single" w:sz="8" w:space="0" w:color="51626F" w:themeColor="accent1"/>
        <w:bottom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Ind w:w="0" w:type="dxa"/>
      <w:tblBorders>
        <w:top w:val="single" w:sz="8" w:space="0" w:color="0098C3" w:themeColor="accent3"/>
        <w:bottom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Ind w:w="0" w:type="dxa"/>
      <w:tblBorders>
        <w:top w:val="single" w:sz="8" w:space="0" w:color="B71202" w:themeColor="accent5"/>
        <w:bottom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Ind w:w="0" w:type="dxa"/>
      <w:tblBorders>
        <w:top w:val="single" w:sz="8" w:space="0" w:color="A0CFEB" w:themeColor="accent4"/>
        <w:bottom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Ind w:w="0" w:type="dxa"/>
      <w:tblBorders>
        <w:top w:val="single" w:sz="8" w:space="0" w:color="DC5034" w:themeColor="accent6"/>
        <w:bottom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Ind w:w="0" w:type="dxa"/>
      <w:tblBorders>
        <w:top w:val="single" w:sz="4" w:space="0" w:color="D5D6D2" w:themeColor="background2"/>
        <w:bottom w:val="single" w:sz="4" w:space="0" w:color="D5D6D2" w:themeColor="background2"/>
        <w:insideH w:val="single" w:sz="4" w:space="0" w:color="D5D6D2"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D5D6D2"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Ind w:w="0" w:type="dxa"/>
      <w:tblCellMar>
        <w:top w:w="0" w:type="dxa"/>
        <w:left w:w="108" w:type="dxa"/>
        <w:bottom w:w="0" w:type="dxa"/>
        <w:right w:w="108" w:type="dxa"/>
      </w:tblCellMa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Ind w:w="0" w:type="dxa"/>
      <w:tblBorders>
        <w:top w:val="single" w:sz="8" w:space="0" w:color="51626F" w:themeColor="accent1"/>
        <w:bottom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Ind w:w="0" w:type="dxa"/>
      <w:tblBorders>
        <w:top w:val="single" w:sz="8" w:space="0" w:color="0098C3" w:themeColor="accent3"/>
        <w:bottom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Ind w:w="0" w:type="dxa"/>
      <w:tblBorders>
        <w:top w:val="single" w:sz="8" w:space="0" w:color="B71202" w:themeColor="accent5"/>
        <w:bottom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Ind w:w="0" w:type="dxa"/>
      <w:tblBorders>
        <w:top w:val="single" w:sz="8" w:space="0" w:color="A0CFEB" w:themeColor="accent4"/>
        <w:bottom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Ind w:w="0" w:type="dxa"/>
      <w:tblBorders>
        <w:top w:val="single" w:sz="8" w:space="0" w:color="DC5034" w:themeColor="accent6"/>
        <w:bottom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Ind w:w="0" w:type="dxa"/>
      <w:tblBorders>
        <w:top w:val="single" w:sz="4" w:space="0" w:color="D5D6D2" w:themeColor="background2"/>
        <w:bottom w:val="single" w:sz="4" w:space="0" w:color="D5D6D2" w:themeColor="background2"/>
        <w:insideH w:val="single" w:sz="4" w:space="0" w:color="D5D6D2"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D5D6D2"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Ind w:w="0" w:type="dxa"/>
      <w:tblCellMar>
        <w:top w:w="0" w:type="dxa"/>
        <w:left w:w="108" w:type="dxa"/>
        <w:bottom w:w="0" w:type="dxa"/>
        <w:right w:w="108" w:type="dxa"/>
      </w:tblCellMa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system/files/User%20guide%20to%20the%20AER%20gas%20weekly%20report%20-%20November%202016.pdf" TargetMode="External"/><Relationship Id="rId1" Type="http://schemas.openxmlformats.org/officeDocument/2006/relationships/hyperlink" Target="https://www.aer.gov.au/system/files/User%20guide%20to%20the%20AER%20gas%20weekly%20report%20-%20November%202016.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B934D4-1D66-4117-805C-10ED59263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6B91783.dotm</Template>
  <TotalTime>0</TotalTime>
  <Pages>12</Pages>
  <Words>1898</Words>
  <Characters>10820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2017-06-14T02:27:00Z</dcterms:created>
  <dcterms:modified xsi:type="dcterms:W3CDTF">2017-06-14T02:27:00Z</dcterms:modified>
</cp:coreProperties>
</file>