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7545B25D" wp14:editId="0DD898DE">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2757FF" w:rsidP="00286866">
      <w:pPr>
        <w:pStyle w:val="Heading2"/>
        <w:rPr>
          <w:i/>
        </w:rPr>
      </w:pPr>
      <w:r>
        <w:rPr>
          <w:sz w:val="36"/>
          <w:szCs w:val="36"/>
        </w:rPr>
        <w:t xml:space="preserve">30 July – </w:t>
      </w:r>
      <w:bookmarkStart w:id="6" w:name="_GoBack"/>
      <w:bookmarkEnd w:id="6"/>
      <w:r w:rsidR="00FE7757" w:rsidRPr="00FE7757">
        <w:rPr>
          <w:sz w:val="36"/>
          <w:szCs w:val="36"/>
        </w:rPr>
        <w:t>5 August</w:t>
      </w:r>
      <w:r w:rsidR="00286866" w:rsidRPr="00FE7757">
        <w:rPr>
          <w:sz w:val="36"/>
          <w:szCs w:val="36"/>
        </w:rPr>
        <w:t xml:space="preserve"> </w:t>
      </w:r>
      <w:r w:rsidR="00FE7757" w:rsidRPr="00FE7757">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D95A84" w:rsidRPr="00A31B22" w:rsidRDefault="00D95A84" w:rsidP="00F26128">
      <w:pPr>
        <w:jc w:val="both"/>
      </w:pPr>
      <w:r w:rsidRPr="00A31B22">
        <w:t>AEMO declared a threat to system security for the Victorian gas market</w:t>
      </w:r>
      <w:r w:rsidR="002C4B0A" w:rsidRPr="00A31B22">
        <w:t xml:space="preserve"> on the 2</w:t>
      </w:r>
      <w:r w:rsidR="002C4B0A" w:rsidRPr="00A31B22">
        <w:rPr>
          <w:vertAlign w:val="superscript"/>
        </w:rPr>
        <w:t>nd</w:t>
      </w:r>
      <w:r w:rsidR="002C4B0A" w:rsidRPr="00A31B22">
        <w:t xml:space="preserve"> highest day of demand ever for the Victorian gas market</w:t>
      </w:r>
      <w:r w:rsidRPr="00A31B22">
        <w:t>.</w:t>
      </w:r>
      <w:r w:rsidR="002C4B0A" w:rsidRPr="00A31B22">
        <w:t xml:space="preserve"> LNG from Dandenong was brought on to assist to manage</w:t>
      </w:r>
      <w:r w:rsidR="006D6146" w:rsidRPr="00A31B22">
        <w:t xml:space="preserve"> high residential demand and high demand from gas-powered electricity generators (refer to detailed market analysis).</w:t>
      </w:r>
      <w:r w:rsidRPr="00A31B22">
        <w:t xml:space="preserve">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1B0EB3">
        <w:fldChar w:fldCharType="begin"/>
      </w:r>
      <w:r w:rsidR="001B0EB3">
        <w:instrText xml:space="preserve"> SEQ Figure \* ARABIC </w:instrText>
      </w:r>
      <w:r w:rsidR="001B0EB3">
        <w:fldChar w:fldCharType="separate"/>
      </w:r>
      <w:r w:rsidR="001521CB">
        <w:rPr>
          <w:noProof/>
        </w:rPr>
        <w:t>1</w:t>
      </w:r>
      <w:r w:rsidR="001B0EB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FE7757">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FE7757">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FE7757" w:rsidRPr="006A7228" w:rsidTr="00FE7757">
        <w:trPr>
          <w:trHeight w:val="510"/>
        </w:trPr>
        <w:tc>
          <w:tcPr>
            <w:tcW w:w="1060" w:type="pct"/>
            <w:tcBorders>
              <w:top w:val="nil"/>
              <w:bottom w:val="nil"/>
            </w:tcBorders>
            <w:vAlign w:val="center"/>
          </w:tcPr>
          <w:p w:rsidR="00FE7757" w:rsidRDefault="00FE7757">
            <w:pPr>
              <w:rPr>
                <w:rFonts w:cs="Arial"/>
                <w:sz w:val="16"/>
                <w:szCs w:val="16"/>
              </w:rPr>
            </w:pPr>
            <w:r>
              <w:rPr>
                <w:rFonts w:cs="Arial"/>
                <w:sz w:val="16"/>
                <w:szCs w:val="16"/>
              </w:rPr>
              <w:t>30 Jul - 05 Aug 2017</w:t>
            </w:r>
          </w:p>
        </w:tc>
        <w:tc>
          <w:tcPr>
            <w:tcW w:w="556" w:type="pct"/>
            <w:tcBorders>
              <w:top w:val="nil"/>
              <w:bottom w:val="nil"/>
            </w:tcBorders>
            <w:vAlign w:val="center"/>
          </w:tcPr>
          <w:p w:rsidR="00FE7757" w:rsidRDefault="00FE7757">
            <w:pPr>
              <w:jc w:val="center"/>
              <w:rPr>
                <w:rFonts w:cs="Arial"/>
                <w:sz w:val="20"/>
                <w:szCs w:val="20"/>
              </w:rPr>
            </w:pPr>
            <w:r>
              <w:rPr>
                <w:rFonts w:cs="Arial"/>
                <w:sz w:val="20"/>
                <w:szCs w:val="20"/>
              </w:rPr>
              <w:t>8.62</w:t>
            </w:r>
          </w:p>
        </w:tc>
        <w:tc>
          <w:tcPr>
            <w:tcW w:w="468" w:type="pct"/>
            <w:tcBorders>
              <w:top w:val="nil"/>
              <w:bottom w:val="nil"/>
            </w:tcBorders>
            <w:vAlign w:val="center"/>
          </w:tcPr>
          <w:p w:rsidR="00FE7757" w:rsidRDefault="00FE7757">
            <w:pPr>
              <w:jc w:val="center"/>
              <w:rPr>
                <w:rFonts w:cs="Arial"/>
                <w:sz w:val="20"/>
                <w:szCs w:val="20"/>
              </w:rPr>
            </w:pPr>
            <w:r>
              <w:rPr>
                <w:rFonts w:cs="Arial"/>
                <w:sz w:val="20"/>
                <w:szCs w:val="20"/>
              </w:rPr>
              <w:t>980</w:t>
            </w:r>
          </w:p>
        </w:tc>
        <w:tc>
          <w:tcPr>
            <w:tcW w:w="476" w:type="pct"/>
            <w:tcBorders>
              <w:top w:val="nil"/>
              <w:bottom w:val="nil"/>
            </w:tcBorders>
            <w:vAlign w:val="center"/>
          </w:tcPr>
          <w:p w:rsidR="00FE7757" w:rsidRDefault="00FE7757">
            <w:pPr>
              <w:jc w:val="center"/>
              <w:rPr>
                <w:rFonts w:cs="Arial"/>
                <w:sz w:val="20"/>
                <w:szCs w:val="20"/>
              </w:rPr>
            </w:pPr>
            <w:r>
              <w:rPr>
                <w:rFonts w:cs="Arial"/>
                <w:sz w:val="20"/>
                <w:szCs w:val="20"/>
              </w:rPr>
              <w:t>9.57</w:t>
            </w:r>
          </w:p>
        </w:tc>
        <w:tc>
          <w:tcPr>
            <w:tcW w:w="469" w:type="pct"/>
            <w:tcBorders>
              <w:top w:val="nil"/>
              <w:bottom w:val="nil"/>
            </w:tcBorders>
            <w:vAlign w:val="center"/>
          </w:tcPr>
          <w:p w:rsidR="00FE7757" w:rsidRDefault="00FE7757">
            <w:pPr>
              <w:jc w:val="center"/>
              <w:rPr>
                <w:rFonts w:cs="Arial"/>
                <w:sz w:val="20"/>
                <w:szCs w:val="20"/>
              </w:rPr>
            </w:pPr>
            <w:r>
              <w:rPr>
                <w:rFonts w:cs="Arial"/>
                <w:sz w:val="20"/>
                <w:szCs w:val="20"/>
              </w:rPr>
              <w:t>286</w:t>
            </w:r>
          </w:p>
        </w:tc>
        <w:tc>
          <w:tcPr>
            <w:tcW w:w="500" w:type="pct"/>
            <w:tcBorders>
              <w:top w:val="nil"/>
              <w:bottom w:val="nil"/>
            </w:tcBorders>
            <w:vAlign w:val="center"/>
          </w:tcPr>
          <w:p w:rsidR="00FE7757" w:rsidRDefault="00FE7757">
            <w:pPr>
              <w:jc w:val="center"/>
              <w:rPr>
                <w:rFonts w:cs="Arial"/>
                <w:sz w:val="20"/>
                <w:szCs w:val="20"/>
              </w:rPr>
            </w:pPr>
            <w:r>
              <w:rPr>
                <w:rFonts w:cs="Arial"/>
                <w:sz w:val="20"/>
                <w:szCs w:val="20"/>
              </w:rPr>
              <w:t>8.82</w:t>
            </w:r>
          </w:p>
        </w:tc>
        <w:tc>
          <w:tcPr>
            <w:tcW w:w="468" w:type="pct"/>
            <w:tcBorders>
              <w:top w:val="nil"/>
              <w:bottom w:val="nil"/>
            </w:tcBorders>
            <w:vAlign w:val="center"/>
          </w:tcPr>
          <w:p w:rsidR="00FE7757" w:rsidRDefault="00FE7757">
            <w:pPr>
              <w:jc w:val="center"/>
              <w:rPr>
                <w:rFonts w:cs="Arial"/>
                <w:sz w:val="20"/>
                <w:szCs w:val="20"/>
              </w:rPr>
            </w:pPr>
            <w:r>
              <w:rPr>
                <w:rFonts w:cs="Arial"/>
                <w:sz w:val="20"/>
                <w:szCs w:val="20"/>
              </w:rPr>
              <w:t>87</w:t>
            </w:r>
          </w:p>
        </w:tc>
        <w:tc>
          <w:tcPr>
            <w:tcW w:w="466" w:type="pct"/>
            <w:tcBorders>
              <w:top w:val="nil"/>
              <w:bottom w:val="nil"/>
            </w:tcBorders>
            <w:vAlign w:val="center"/>
          </w:tcPr>
          <w:p w:rsidR="00FE7757" w:rsidRDefault="00FE7757">
            <w:pPr>
              <w:jc w:val="center"/>
              <w:rPr>
                <w:rFonts w:cs="Arial"/>
                <w:sz w:val="20"/>
                <w:szCs w:val="20"/>
              </w:rPr>
            </w:pPr>
            <w:r>
              <w:rPr>
                <w:rFonts w:cs="Arial"/>
                <w:sz w:val="20"/>
                <w:szCs w:val="20"/>
              </w:rPr>
              <w:t>7.09</w:t>
            </w:r>
          </w:p>
        </w:tc>
        <w:tc>
          <w:tcPr>
            <w:tcW w:w="538" w:type="pct"/>
            <w:tcBorders>
              <w:top w:val="nil"/>
              <w:bottom w:val="nil"/>
            </w:tcBorders>
            <w:vAlign w:val="center"/>
          </w:tcPr>
          <w:p w:rsidR="00FE7757" w:rsidRDefault="00FE7757">
            <w:pPr>
              <w:jc w:val="center"/>
              <w:rPr>
                <w:rFonts w:cs="Arial"/>
                <w:sz w:val="20"/>
                <w:szCs w:val="20"/>
              </w:rPr>
            </w:pPr>
            <w:r>
              <w:rPr>
                <w:rFonts w:cs="Arial"/>
                <w:sz w:val="20"/>
                <w:szCs w:val="20"/>
              </w:rPr>
              <w:t>87</w:t>
            </w:r>
          </w:p>
        </w:tc>
      </w:tr>
      <w:tr w:rsidR="00FE7757" w:rsidRPr="006A7228" w:rsidTr="00FE775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FE7757" w:rsidRDefault="00FE7757">
            <w:pPr>
              <w:rPr>
                <w:rFonts w:cs="Arial"/>
                <w:sz w:val="16"/>
                <w:szCs w:val="16"/>
              </w:rPr>
            </w:pPr>
            <w:r>
              <w:rPr>
                <w:rFonts w:cs="Arial"/>
                <w:sz w:val="16"/>
                <w:szCs w:val="16"/>
              </w:rPr>
              <w:t>% change from previous week</w:t>
            </w:r>
          </w:p>
        </w:tc>
        <w:tc>
          <w:tcPr>
            <w:tcW w:w="556" w:type="pct"/>
            <w:tcBorders>
              <w:top w:val="nil"/>
              <w:bottom w:val="nil"/>
            </w:tcBorders>
            <w:vAlign w:val="center"/>
          </w:tcPr>
          <w:p w:rsidR="00FE7757" w:rsidRDefault="00FE7757">
            <w:pPr>
              <w:jc w:val="center"/>
              <w:rPr>
                <w:rFonts w:cs="Arial"/>
                <w:szCs w:val="20"/>
              </w:rPr>
            </w:pPr>
            <w:r>
              <w:rPr>
                <w:rFonts w:cs="Arial"/>
                <w:szCs w:val="20"/>
              </w:rPr>
              <w:t>-2</w:t>
            </w:r>
          </w:p>
        </w:tc>
        <w:tc>
          <w:tcPr>
            <w:tcW w:w="468" w:type="pct"/>
            <w:tcBorders>
              <w:top w:val="nil"/>
              <w:bottom w:val="nil"/>
            </w:tcBorders>
            <w:vAlign w:val="center"/>
          </w:tcPr>
          <w:p w:rsidR="00FE7757" w:rsidRDefault="00FE7757">
            <w:pPr>
              <w:jc w:val="center"/>
              <w:rPr>
                <w:rFonts w:cs="Arial"/>
                <w:szCs w:val="20"/>
              </w:rPr>
            </w:pPr>
            <w:r>
              <w:rPr>
                <w:rFonts w:cs="Arial"/>
                <w:szCs w:val="20"/>
              </w:rPr>
              <w:t>9</w:t>
            </w:r>
          </w:p>
        </w:tc>
        <w:tc>
          <w:tcPr>
            <w:tcW w:w="476" w:type="pct"/>
            <w:tcBorders>
              <w:top w:val="nil"/>
              <w:bottom w:val="nil"/>
            </w:tcBorders>
            <w:vAlign w:val="center"/>
          </w:tcPr>
          <w:p w:rsidR="00FE7757" w:rsidRDefault="00FE7757">
            <w:pPr>
              <w:jc w:val="center"/>
              <w:rPr>
                <w:rFonts w:cs="Arial"/>
                <w:szCs w:val="20"/>
              </w:rPr>
            </w:pPr>
            <w:r>
              <w:rPr>
                <w:rFonts w:cs="Arial"/>
                <w:szCs w:val="20"/>
              </w:rPr>
              <w:t>-2</w:t>
            </w:r>
          </w:p>
        </w:tc>
        <w:tc>
          <w:tcPr>
            <w:tcW w:w="469" w:type="pct"/>
            <w:tcBorders>
              <w:top w:val="nil"/>
              <w:bottom w:val="nil"/>
            </w:tcBorders>
            <w:vAlign w:val="center"/>
          </w:tcPr>
          <w:p w:rsidR="00FE7757" w:rsidRDefault="00FE7757">
            <w:pPr>
              <w:jc w:val="center"/>
              <w:rPr>
                <w:rFonts w:cs="Arial"/>
                <w:szCs w:val="20"/>
              </w:rPr>
            </w:pPr>
            <w:r>
              <w:rPr>
                <w:rFonts w:cs="Arial"/>
                <w:szCs w:val="20"/>
              </w:rPr>
              <w:t>1</w:t>
            </w:r>
          </w:p>
        </w:tc>
        <w:tc>
          <w:tcPr>
            <w:tcW w:w="500" w:type="pct"/>
            <w:tcBorders>
              <w:top w:val="nil"/>
              <w:bottom w:val="nil"/>
            </w:tcBorders>
            <w:vAlign w:val="center"/>
          </w:tcPr>
          <w:p w:rsidR="00FE7757" w:rsidRDefault="00FE7757">
            <w:pPr>
              <w:jc w:val="center"/>
              <w:rPr>
                <w:rFonts w:cs="Arial"/>
                <w:szCs w:val="20"/>
              </w:rPr>
            </w:pPr>
            <w:r>
              <w:rPr>
                <w:rFonts w:cs="Arial"/>
                <w:szCs w:val="20"/>
              </w:rPr>
              <w:t>4</w:t>
            </w:r>
          </w:p>
        </w:tc>
        <w:tc>
          <w:tcPr>
            <w:tcW w:w="468" w:type="pct"/>
            <w:tcBorders>
              <w:top w:val="nil"/>
              <w:bottom w:val="nil"/>
            </w:tcBorders>
            <w:vAlign w:val="center"/>
          </w:tcPr>
          <w:p w:rsidR="00FE7757" w:rsidRDefault="00FE7757">
            <w:pPr>
              <w:jc w:val="center"/>
              <w:rPr>
                <w:rFonts w:cs="Arial"/>
                <w:szCs w:val="20"/>
              </w:rPr>
            </w:pPr>
            <w:r>
              <w:rPr>
                <w:rFonts w:cs="Arial"/>
                <w:szCs w:val="20"/>
              </w:rPr>
              <w:t>12</w:t>
            </w:r>
          </w:p>
        </w:tc>
        <w:tc>
          <w:tcPr>
            <w:tcW w:w="466" w:type="pct"/>
            <w:tcBorders>
              <w:top w:val="nil"/>
              <w:bottom w:val="nil"/>
            </w:tcBorders>
            <w:vAlign w:val="center"/>
          </w:tcPr>
          <w:p w:rsidR="00FE7757" w:rsidRDefault="00FE7757">
            <w:pPr>
              <w:jc w:val="center"/>
              <w:rPr>
                <w:rFonts w:cs="Arial"/>
                <w:szCs w:val="20"/>
              </w:rPr>
            </w:pPr>
            <w:r>
              <w:rPr>
                <w:rFonts w:cs="Arial"/>
                <w:szCs w:val="20"/>
              </w:rPr>
              <w:t>0</w:t>
            </w:r>
          </w:p>
        </w:tc>
        <w:tc>
          <w:tcPr>
            <w:tcW w:w="538" w:type="pct"/>
            <w:tcBorders>
              <w:top w:val="nil"/>
              <w:bottom w:val="nil"/>
            </w:tcBorders>
            <w:vAlign w:val="center"/>
          </w:tcPr>
          <w:p w:rsidR="00FE7757" w:rsidRDefault="00FE7757">
            <w:pPr>
              <w:jc w:val="center"/>
              <w:rPr>
                <w:rFonts w:cs="Arial"/>
                <w:szCs w:val="20"/>
              </w:rPr>
            </w:pPr>
            <w:r>
              <w:rPr>
                <w:rFonts w:cs="Arial"/>
                <w:szCs w:val="20"/>
              </w:rPr>
              <w:t>-3</w:t>
            </w:r>
          </w:p>
        </w:tc>
      </w:tr>
      <w:tr w:rsidR="00FE7757" w:rsidRPr="006A7228" w:rsidTr="00FE7757">
        <w:trPr>
          <w:trHeight w:val="510"/>
        </w:trPr>
        <w:tc>
          <w:tcPr>
            <w:tcW w:w="1060" w:type="pct"/>
            <w:tcBorders>
              <w:top w:val="nil"/>
              <w:bottom w:val="nil"/>
            </w:tcBorders>
            <w:vAlign w:val="center"/>
          </w:tcPr>
          <w:p w:rsidR="00FE7757" w:rsidRDefault="00FE7757">
            <w:pPr>
              <w:rPr>
                <w:rFonts w:cs="Arial"/>
                <w:sz w:val="16"/>
                <w:szCs w:val="16"/>
              </w:rPr>
            </w:pPr>
            <w:r>
              <w:rPr>
                <w:rFonts w:cs="Arial"/>
                <w:sz w:val="16"/>
                <w:szCs w:val="16"/>
              </w:rPr>
              <w:t>17-18 financial YTD</w:t>
            </w:r>
          </w:p>
        </w:tc>
        <w:tc>
          <w:tcPr>
            <w:tcW w:w="556" w:type="pct"/>
            <w:tcBorders>
              <w:top w:val="nil"/>
              <w:bottom w:val="nil"/>
            </w:tcBorders>
            <w:vAlign w:val="center"/>
          </w:tcPr>
          <w:p w:rsidR="00FE7757" w:rsidRDefault="00FE7757">
            <w:pPr>
              <w:jc w:val="center"/>
              <w:rPr>
                <w:rFonts w:cs="Arial"/>
                <w:sz w:val="20"/>
                <w:szCs w:val="20"/>
              </w:rPr>
            </w:pPr>
            <w:r>
              <w:rPr>
                <w:rFonts w:cs="Arial"/>
                <w:sz w:val="20"/>
                <w:szCs w:val="20"/>
              </w:rPr>
              <w:t>9.04</w:t>
            </w:r>
          </w:p>
        </w:tc>
        <w:tc>
          <w:tcPr>
            <w:tcW w:w="468" w:type="pct"/>
            <w:tcBorders>
              <w:top w:val="nil"/>
              <w:bottom w:val="nil"/>
            </w:tcBorders>
            <w:vAlign w:val="center"/>
          </w:tcPr>
          <w:p w:rsidR="00FE7757" w:rsidRDefault="00FE7757">
            <w:pPr>
              <w:jc w:val="center"/>
              <w:rPr>
                <w:rFonts w:cs="Arial"/>
                <w:sz w:val="20"/>
                <w:szCs w:val="20"/>
              </w:rPr>
            </w:pPr>
            <w:r>
              <w:rPr>
                <w:rFonts w:cs="Arial"/>
                <w:sz w:val="20"/>
                <w:szCs w:val="20"/>
              </w:rPr>
              <w:t>995</w:t>
            </w:r>
          </w:p>
        </w:tc>
        <w:tc>
          <w:tcPr>
            <w:tcW w:w="476" w:type="pct"/>
            <w:tcBorders>
              <w:top w:val="nil"/>
              <w:bottom w:val="nil"/>
            </w:tcBorders>
            <w:vAlign w:val="center"/>
          </w:tcPr>
          <w:p w:rsidR="00FE7757" w:rsidRDefault="00FE7757">
            <w:pPr>
              <w:jc w:val="center"/>
              <w:rPr>
                <w:rFonts w:cs="Arial"/>
                <w:sz w:val="20"/>
                <w:szCs w:val="20"/>
              </w:rPr>
            </w:pPr>
            <w:r>
              <w:rPr>
                <w:rFonts w:cs="Arial"/>
                <w:sz w:val="20"/>
                <w:szCs w:val="20"/>
              </w:rPr>
              <w:t>9.78</w:t>
            </w:r>
          </w:p>
        </w:tc>
        <w:tc>
          <w:tcPr>
            <w:tcW w:w="469" w:type="pct"/>
            <w:tcBorders>
              <w:top w:val="nil"/>
              <w:bottom w:val="nil"/>
            </w:tcBorders>
            <w:vAlign w:val="center"/>
          </w:tcPr>
          <w:p w:rsidR="00FE7757" w:rsidRDefault="00FE7757">
            <w:pPr>
              <w:jc w:val="center"/>
              <w:rPr>
                <w:rFonts w:cs="Arial"/>
                <w:sz w:val="20"/>
                <w:szCs w:val="20"/>
              </w:rPr>
            </w:pPr>
            <w:r>
              <w:rPr>
                <w:rFonts w:cs="Arial"/>
                <w:sz w:val="20"/>
                <w:szCs w:val="20"/>
              </w:rPr>
              <w:t>294</w:t>
            </w:r>
          </w:p>
        </w:tc>
        <w:tc>
          <w:tcPr>
            <w:tcW w:w="500" w:type="pct"/>
            <w:tcBorders>
              <w:top w:val="nil"/>
              <w:bottom w:val="nil"/>
            </w:tcBorders>
            <w:vAlign w:val="center"/>
          </w:tcPr>
          <w:p w:rsidR="00FE7757" w:rsidRDefault="00FE7757">
            <w:pPr>
              <w:jc w:val="center"/>
              <w:rPr>
                <w:rFonts w:cs="Arial"/>
                <w:sz w:val="20"/>
                <w:szCs w:val="20"/>
              </w:rPr>
            </w:pPr>
            <w:r>
              <w:rPr>
                <w:rFonts w:cs="Arial"/>
                <w:sz w:val="20"/>
                <w:szCs w:val="20"/>
              </w:rPr>
              <w:t>8.93</w:t>
            </w:r>
          </w:p>
        </w:tc>
        <w:tc>
          <w:tcPr>
            <w:tcW w:w="468" w:type="pct"/>
            <w:tcBorders>
              <w:top w:val="nil"/>
              <w:bottom w:val="nil"/>
            </w:tcBorders>
            <w:vAlign w:val="center"/>
          </w:tcPr>
          <w:p w:rsidR="00FE7757" w:rsidRDefault="00FE7757">
            <w:pPr>
              <w:jc w:val="center"/>
              <w:rPr>
                <w:rFonts w:cs="Arial"/>
                <w:sz w:val="20"/>
                <w:szCs w:val="20"/>
              </w:rPr>
            </w:pPr>
            <w:r>
              <w:rPr>
                <w:rFonts w:cs="Arial"/>
                <w:sz w:val="20"/>
                <w:szCs w:val="20"/>
              </w:rPr>
              <w:t>84</w:t>
            </w:r>
          </w:p>
        </w:tc>
        <w:tc>
          <w:tcPr>
            <w:tcW w:w="466" w:type="pct"/>
            <w:tcBorders>
              <w:top w:val="nil"/>
              <w:bottom w:val="nil"/>
            </w:tcBorders>
            <w:vAlign w:val="center"/>
          </w:tcPr>
          <w:p w:rsidR="00FE7757" w:rsidRDefault="00FE7757">
            <w:pPr>
              <w:jc w:val="center"/>
              <w:rPr>
                <w:rFonts w:cs="Arial"/>
                <w:sz w:val="20"/>
                <w:szCs w:val="20"/>
              </w:rPr>
            </w:pPr>
            <w:r>
              <w:rPr>
                <w:rFonts w:cs="Arial"/>
                <w:sz w:val="20"/>
                <w:szCs w:val="20"/>
              </w:rPr>
              <w:t>6.86</w:t>
            </w:r>
          </w:p>
        </w:tc>
        <w:tc>
          <w:tcPr>
            <w:tcW w:w="538" w:type="pct"/>
            <w:tcBorders>
              <w:top w:val="nil"/>
              <w:bottom w:val="nil"/>
            </w:tcBorders>
            <w:vAlign w:val="center"/>
          </w:tcPr>
          <w:p w:rsidR="00FE7757" w:rsidRDefault="00FE7757">
            <w:pPr>
              <w:jc w:val="center"/>
              <w:rPr>
                <w:rFonts w:cs="Arial"/>
                <w:sz w:val="20"/>
                <w:szCs w:val="20"/>
              </w:rPr>
            </w:pPr>
            <w:r>
              <w:rPr>
                <w:rFonts w:cs="Arial"/>
                <w:sz w:val="20"/>
                <w:szCs w:val="20"/>
              </w:rPr>
              <w:t>88</w:t>
            </w:r>
          </w:p>
        </w:tc>
      </w:tr>
      <w:tr w:rsidR="00FE7757" w:rsidRPr="006A7228" w:rsidTr="00FE7757">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FE7757" w:rsidRDefault="00FE7757">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FE7757" w:rsidRDefault="00FE7757">
            <w:pPr>
              <w:jc w:val="center"/>
              <w:rPr>
                <w:rFonts w:cs="Arial"/>
                <w:szCs w:val="20"/>
              </w:rPr>
            </w:pPr>
            <w:r>
              <w:rPr>
                <w:rFonts w:cs="Arial"/>
                <w:szCs w:val="20"/>
              </w:rPr>
              <w:t>-26</w:t>
            </w:r>
          </w:p>
        </w:tc>
        <w:tc>
          <w:tcPr>
            <w:tcW w:w="468" w:type="pct"/>
            <w:tcBorders>
              <w:top w:val="nil"/>
              <w:bottom w:val="single" w:sz="4" w:space="0" w:color="auto"/>
            </w:tcBorders>
            <w:vAlign w:val="center"/>
          </w:tcPr>
          <w:p w:rsidR="00FE7757" w:rsidRDefault="00FE7757">
            <w:pPr>
              <w:jc w:val="center"/>
              <w:rPr>
                <w:rFonts w:cs="Arial"/>
                <w:szCs w:val="20"/>
              </w:rPr>
            </w:pPr>
            <w:r>
              <w:rPr>
                <w:rFonts w:cs="Arial"/>
                <w:szCs w:val="20"/>
              </w:rPr>
              <w:t>9</w:t>
            </w:r>
          </w:p>
        </w:tc>
        <w:tc>
          <w:tcPr>
            <w:tcW w:w="476" w:type="pct"/>
            <w:tcBorders>
              <w:top w:val="nil"/>
              <w:bottom w:val="single" w:sz="4" w:space="0" w:color="auto"/>
            </w:tcBorders>
            <w:vAlign w:val="center"/>
          </w:tcPr>
          <w:p w:rsidR="00FE7757" w:rsidRDefault="00FE7757">
            <w:pPr>
              <w:jc w:val="center"/>
              <w:rPr>
                <w:rFonts w:cs="Arial"/>
                <w:szCs w:val="20"/>
              </w:rPr>
            </w:pPr>
            <w:r>
              <w:rPr>
                <w:rFonts w:cs="Arial"/>
                <w:szCs w:val="20"/>
              </w:rPr>
              <w:t>-2</w:t>
            </w:r>
          </w:p>
        </w:tc>
        <w:tc>
          <w:tcPr>
            <w:tcW w:w="469" w:type="pct"/>
            <w:tcBorders>
              <w:top w:val="nil"/>
              <w:bottom w:val="single" w:sz="4" w:space="0" w:color="auto"/>
            </w:tcBorders>
            <w:vAlign w:val="center"/>
          </w:tcPr>
          <w:p w:rsidR="00FE7757" w:rsidRDefault="00FE7757">
            <w:pPr>
              <w:jc w:val="center"/>
              <w:rPr>
                <w:rFonts w:cs="Arial"/>
                <w:szCs w:val="20"/>
              </w:rPr>
            </w:pPr>
            <w:r>
              <w:rPr>
                <w:rFonts w:cs="Arial"/>
                <w:szCs w:val="20"/>
              </w:rPr>
              <w:t>0</w:t>
            </w:r>
          </w:p>
        </w:tc>
        <w:tc>
          <w:tcPr>
            <w:tcW w:w="500" w:type="pct"/>
            <w:tcBorders>
              <w:top w:val="nil"/>
              <w:bottom w:val="single" w:sz="4" w:space="0" w:color="auto"/>
            </w:tcBorders>
            <w:vAlign w:val="center"/>
          </w:tcPr>
          <w:p w:rsidR="00FE7757" w:rsidRDefault="00FE7757">
            <w:pPr>
              <w:jc w:val="center"/>
              <w:rPr>
                <w:rFonts w:cs="Arial"/>
                <w:szCs w:val="20"/>
              </w:rPr>
            </w:pPr>
            <w:r>
              <w:rPr>
                <w:rFonts w:cs="Arial"/>
                <w:szCs w:val="20"/>
              </w:rPr>
              <w:t>-36</w:t>
            </w:r>
          </w:p>
        </w:tc>
        <w:tc>
          <w:tcPr>
            <w:tcW w:w="468" w:type="pct"/>
            <w:tcBorders>
              <w:top w:val="nil"/>
              <w:bottom w:val="single" w:sz="4" w:space="0" w:color="auto"/>
            </w:tcBorders>
            <w:vAlign w:val="center"/>
          </w:tcPr>
          <w:p w:rsidR="00FE7757" w:rsidRDefault="00FE7757">
            <w:pPr>
              <w:jc w:val="center"/>
              <w:rPr>
                <w:rFonts w:cs="Arial"/>
                <w:szCs w:val="20"/>
              </w:rPr>
            </w:pPr>
            <w:r>
              <w:rPr>
                <w:rFonts w:cs="Arial"/>
                <w:szCs w:val="20"/>
              </w:rPr>
              <w:t>-6</w:t>
            </w:r>
          </w:p>
        </w:tc>
        <w:tc>
          <w:tcPr>
            <w:tcW w:w="466" w:type="pct"/>
            <w:tcBorders>
              <w:top w:val="nil"/>
              <w:bottom w:val="single" w:sz="4" w:space="0" w:color="auto"/>
            </w:tcBorders>
            <w:vAlign w:val="center"/>
          </w:tcPr>
          <w:p w:rsidR="00FE7757" w:rsidRDefault="00FE7757">
            <w:pPr>
              <w:jc w:val="center"/>
              <w:rPr>
                <w:rFonts w:cs="Arial"/>
                <w:szCs w:val="20"/>
              </w:rPr>
            </w:pPr>
            <w:r>
              <w:rPr>
                <w:rFonts w:cs="Arial"/>
                <w:szCs w:val="20"/>
              </w:rPr>
              <w:t>-30</w:t>
            </w:r>
          </w:p>
        </w:tc>
        <w:tc>
          <w:tcPr>
            <w:tcW w:w="538" w:type="pct"/>
            <w:tcBorders>
              <w:top w:val="nil"/>
              <w:bottom w:val="single" w:sz="4" w:space="0" w:color="auto"/>
            </w:tcBorders>
            <w:vAlign w:val="center"/>
          </w:tcPr>
          <w:p w:rsidR="00FE7757" w:rsidRDefault="00FE7757">
            <w:pPr>
              <w:jc w:val="center"/>
              <w:rPr>
                <w:rFonts w:cs="Arial"/>
                <w:szCs w:val="20"/>
              </w:rPr>
            </w:pPr>
            <w:r>
              <w:rPr>
                <w:rFonts w:cs="Arial"/>
                <w:szCs w:val="20"/>
              </w:rPr>
              <w:t>-8</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lastRenderedPageBreak/>
        <w:t xml:space="preserve">Figure </w:t>
      </w:r>
      <w:r w:rsidR="001B0EB3">
        <w:fldChar w:fldCharType="begin"/>
      </w:r>
      <w:r w:rsidR="001B0EB3">
        <w:instrText xml:space="preserve"> SEQ Figure \* ARABIC </w:instrText>
      </w:r>
      <w:r w:rsidR="001B0EB3">
        <w:fldChar w:fldCharType="separate"/>
      </w:r>
      <w:r>
        <w:rPr>
          <w:noProof/>
        </w:rPr>
        <w:t>2</w:t>
      </w:r>
      <w:r w:rsidR="001B0EB3">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D95A84">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D95A84">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D95A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D95A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D95A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D95A84">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D95A84">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D95A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D95A8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D95A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D95A8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D95A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D95A84">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FE7757" w:rsidRPr="006A7228" w:rsidTr="00D95A84">
        <w:trPr>
          <w:trHeight w:val="510"/>
        </w:trPr>
        <w:tc>
          <w:tcPr>
            <w:tcW w:w="1023" w:type="pct"/>
            <w:tcBorders>
              <w:top w:val="nil"/>
              <w:bottom w:val="nil"/>
            </w:tcBorders>
            <w:vAlign w:val="center"/>
          </w:tcPr>
          <w:p w:rsidR="00FE7757" w:rsidRDefault="00FE7757">
            <w:pPr>
              <w:rPr>
                <w:rFonts w:cs="Arial"/>
                <w:sz w:val="16"/>
                <w:szCs w:val="16"/>
              </w:rPr>
            </w:pPr>
            <w:r>
              <w:rPr>
                <w:rFonts w:cs="Arial"/>
                <w:sz w:val="16"/>
                <w:szCs w:val="16"/>
              </w:rPr>
              <w:t>30 Jul - 05 Aug 2017</w:t>
            </w:r>
          </w:p>
        </w:tc>
        <w:tc>
          <w:tcPr>
            <w:tcW w:w="723"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35"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69" w:type="pct"/>
            <w:tcBorders>
              <w:top w:val="nil"/>
              <w:bottom w:val="nil"/>
            </w:tcBorders>
            <w:vAlign w:val="center"/>
          </w:tcPr>
          <w:p w:rsidR="00FE7757" w:rsidRDefault="00FE7757">
            <w:pPr>
              <w:jc w:val="center"/>
              <w:rPr>
                <w:rFonts w:cs="Arial"/>
                <w:sz w:val="20"/>
                <w:szCs w:val="20"/>
              </w:rPr>
            </w:pPr>
            <w:r>
              <w:rPr>
                <w:rFonts w:cs="Arial"/>
                <w:sz w:val="20"/>
                <w:szCs w:val="20"/>
              </w:rPr>
              <w:t>7.32</w:t>
            </w:r>
          </w:p>
        </w:tc>
        <w:tc>
          <w:tcPr>
            <w:tcW w:w="678" w:type="pct"/>
            <w:tcBorders>
              <w:top w:val="nil"/>
              <w:bottom w:val="nil"/>
            </w:tcBorders>
            <w:vAlign w:val="center"/>
          </w:tcPr>
          <w:p w:rsidR="00FE7757" w:rsidRDefault="00FE7757">
            <w:pPr>
              <w:jc w:val="center"/>
              <w:rPr>
                <w:rFonts w:cs="Arial"/>
                <w:sz w:val="20"/>
                <w:szCs w:val="20"/>
              </w:rPr>
            </w:pPr>
            <w:r>
              <w:rPr>
                <w:rFonts w:cs="Arial"/>
                <w:sz w:val="20"/>
                <w:szCs w:val="20"/>
              </w:rPr>
              <w:t>137</w:t>
            </w:r>
          </w:p>
        </w:tc>
        <w:tc>
          <w:tcPr>
            <w:tcW w:w="625" w:type="pct"/>
            <w:tcBorders>
              <w:top w:val="nil"/>
              <w:bottom w:val="nil"/>
            </w:tcBorders>
            <w:vAlign w:val="center"/>
          </w:tcPr>
          <w:p w:rsidR="00FE7757" w:rsidRDefault="00FE7757">
            <w:pPr>
              <w:jc w:val="center"/>
              <w:rPr>
                <w:rFonts w:cs="Arial"/>
                <w:sz w:val="20"/>
                <w:szCs w:val="20"/>
              </w:rPr>
            </w:pPr>
            <w:r>
              <w:rPr>
                <w:rFonts w:cs="Arial"/>
                <w:sz w:val="20"/>
                <w:szCs w:val="20"/>
              </w:rPr>
              <w:t>7.23</w:t>
            </w:r>
          </w:p>
        </w:tc>
        <w:tc>
          <w:tcPr>
            <w:tcW w:w="647" w:type="pct"/>
            <w:tcBorders>
              <w:top w:val="nil"/>
              <w:bottom w:val="nil"/>
            </w:tcBorders>
            <w:vAlign w:val="center"/>
          </w:tcPr>
          <w:p w:rsidR="00FE7757" w:rsidRDefault="00FE7757">
            <w:pPr>
              <w:jc w:val="center"/>
              <w:rPr>
                <w:rFonts w:cs="Arial"/>
                <w:sz w:val="20"/>
                <w:szCs w:val="20"/>
              </w:rPr>
            </w:pPr>
            <w:r>
              <w:rPr>
                <w:rFonts w:cs="Arial"/>
                <w:sz w:val="20"/>
                <w:szCs w:val="20"/>
              </w:rPr>
              <w:t>59</w:t>
            </w:r>
          </w:p>
        </w:tc>
      </w:tr>
      <w:tr w:rsidR="00FE7757" w:rsidRPr="006A7228" w:rsidTr="00D95A8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FE7757" w:rsidRDefault="00FE7757">
            <w:pPr>
              <w:rPr>
                <w:rFonts w:cs="Arial"/>
                <w:sz w:val="16"/>
                <w:szCs w:val="16"/>
              </w:rPr>
            </w:pPr>
            <w:r>
              <w:rPr>
                <w:rFonts w:cs="Arial"/>
                <w:sz w:val="16"/>
                <w:szCs w:val="16"/>
              </w:rPr>
              <w:t>% change from previous week</w:t>
            </w:r>
          </w:p>
        </w:tc>
        <w:tc>
          <w:tcPr>
            <w:tcW w:w="723" w:type="pct"/>
            <w:tcBorders>
              <w:top w:val="nil"/>
              <w:bottom w:val="nil"/>
            </w:tcBorders>
            <w:vAlign w:val="center"/>
          </w:tcPr>
          <w:p w:rsidR="00FE7757" w:rsidRDefault="00FE7757">
            <w:pPr>
              <w:jc w:val="center"/>
              <w:rPr>
                <w:rFonts w:cs="Arial"/>
                <w:szCs w:val="20"/>
              </w:rPr>
            </w:pPr>
            <w:r>
              <w:rPr>
                <w:rFonts w:cs="Arial"/>
                <w:szCs w:val="20"/>
              </w:rPr>
              <w:t>-</w:t>
            </w:r>
          </w:p>
        </w:tc>
        <w:tc>
          <w:tcPr>
            <w:tcW w:w="635" w:type="pct"/>
            <w:tcBorders>
              <w:top w:val="nil"/>
              <w:bottom w:val="nil"/>
            </w:tcBorders>
            <w:vAlign w:val="center"/>
          </w:tcPr>
          <w:p w:rsidR="00FE7757" w:rsidRDefault="00FE7757">
            <w:pPr>
              <w:jc w:val="center"/>
              <w:rPr>
                <w:rFonts w:cs="Arial"/>
                <w:szCs w:val="20"/>
              </w:rPr>
            </w:pPr>
            <w:r>
              <w:rPr>
                <w:rFonts w:cs="Arial"/>
                <w:szCs w:val="20"/>
              </w:rPr>
              <w:t>-</w:t>
            </w:r>
          </w:p>
        </w:tc>
        <w:tc>
          <w:tcPr>
            <w:tcW w:w="669" w:type="pct"/>
            <w:tcBorders>
              <w:top w:val="nil"/>
              <w:bottom w:val="nil"/>
            </w:tcBorders>
            <w:vAlign w:val="center"/>
          </w:tcPr>
          <w:p w:rsidR="00FE7757" w:rsidRDefault="00FE7757">
            <w:pPr>
              <w:jc w:val="center"/>
              <w:rPr>
                <w:rFonts w:cs="Arial"/>
                <w:szCs w:val="20"/>
              </w:rPr>
            </w:pPr>
            <w:r>
              <w:rPr>
                <w:rFonts w:cs="Arial"/>
                <w:szCs w:val="20"/>
              </w:rPr>
              <w:t>2</w:t>
            </w:r>
          </w:p>
        </w:tc>
        <w:tc>
          <w:tcPr>
            <w:tcW w:w="678" w:type="pct"/>
            <w:tcBorders>
              <w:top w:val="nil"/>
              <w:bottom w:val="nil"/>
            </w:tcBorders>
            <w:vAlign w:val="center"/>
          </w:tcPr>
          <w:p w:rsidR="00FE7757" w:rsidRDefault="00FE7757">
            <w:pPr>
              <w:jc w:val="center"/>
              <w:rPr>
                <w:rFonts w:cs="Arial"/>
                <w:szCs w:val="20"/>
              </w:rPr>
            </w:pPr>
            <w:r>
              <w:rPr>
                <w:rFonts w:cs="Arial"/>
                <w:szCs w:val="20"/>
              </w:rPr>
              <w:t>17</w:t>
            </w:r>
          </w:p>
        </w:tc>
        <w:tc>
          <w:tcPr>
            <w:tcW w:w="625" w:type="pct"/>
            <w:tcBorders>
              <w:top w:val="nil"/>
              <w:bottom w:val="nil"/>
            </w:tcBorders>
            <w:vAlign w:val="center"/>
          </w:tcPr>
          <w:p w:rsidR="00FE7757" w:rsidRDefault="00FE7757">
            <w:pPr>
              <w:jc w:val="center"/>
              <w:rPr>
                <w:rFonts w:cs="Arial"/>
                <w:szCs w:val="20"/>
              </w:rPr>
            </w:pPr>
            <w:r>
              <w:rPr>
                <w:rFonts w:cs="Arial"/>
                <w:szCs w:val="20"/>
              </w:rPr>
              <w:t>-7</w:t>
            </w:r>
          </w:p>
        </w:tc>
        <w:tc>
          <w:tcPr>
            <w:tcW w:w="647" w:type="pct"/>
            <w:tcBorders>
              <w:top w:val="nil"/>
              <w:bottom w:val="nil"/>
            </w:tcBorders>
            <w:vAlign w:val="center"/>
          </w:tcPr>
          <w:p w:rsidR="00FE7757" w:rsidRDefault="00FE7757">
            <w:pPr>
              <w:jc w:val="center"/>
              <w:rPr>
                <w:rFonts w:cs="Arial"/>
                <w:szCs w:val="20"/>
              </w:rPr>
            </w:pPr>
            <w:r>
              <w:rPr>
                <w:rFonts w:cs="Arial"/>
                <w:szCs w:val="20"/>
              </w:rPr>
              <w:t>16</w:t>
            </w:r>
          </w:p>
        </w:tc>
      </w:tr>
      <w:tr w:rsidR="00FE7757" w:rsidRPr="006A7228" w:rsidTr="00D95A84">
        <w:trPr>
          <w:trHeight w:val="510"/>
        </w:trPr>
        <w:tc>
          <w:tcPr>
            <w:tcW w:w="1023" w:type="pct"/>
            <w:tcBorders>
              <w:top w:val="nil"/>
              <w:bottom w:val="nil"/>
            </w:tcBorders>
            <w:vAlign w:val="center"/>
          </w:tcPr>
          <w:p w:rsidR="00FE7757" w:rsidRDefault="00FE7757">
            <w:pPr>
              <w:rPr>
                <w:rFonts w:cs="Arial"/>
                <w:sz w:val="16"/>
                <w:szCs w:val="16"/>
              </w:rPr>
            </w:pPr>
            <w:r>
              <w:rPr>
                <w:rFonts w:cs="Arial"/>
                <w:sz w:val="16"/>
                <w:szCs w:val="16"/>
              </w:rPr>
              <w:t>17-18 financial YTD</w:t>
            </w:r>
          </w:p>
        </w:tc>
        <w:tc>
          <w:tcPr>
            <w:tcW w:w="723"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35"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69" w:type="pct"/>
            <w:tcBorders>
              <w:top w:val="nil"/>
              <w:bottom w:val="nil"/>
            </w:tcBorders>
            <w:vAlign w:val="center"/>
          </w:tcPr>
          <w:p w:rsidR="00FE7757" w:rsidRDefault="00FE7757">
            <w:pPr>
              <w:jc w:val="center"/>
              <w:rPr>
                <w:rFonts w:cs="Arial"/>
                <w:sz w:val="20"/>
                <w:szCs w:val="20"/>
              </w:rPr>
            </w:pPr>
            <w:r>
              <w:rPr>
                <w:rFonts w:cs="Arial"/>
                <w:sz w:val="20"/>
                <w:szCs w:val="20"/>
              </w:rPr>
              <w:t>7.00</w:t>
            </w:r>
          </w:p>
        </w:tc>
        <w:tc>
          <w:tcPr>
            <w:tcW w:w="678" w:type="pct"/>
            <w:tcBorders>
              <w:top w:val="nil"/>
              <w:bottom w:val="nil"/>
            </w:tcBorders>
            <w:vAlign w:val="center"/>
          </w:tcPr>
          <w:p w:rsidR="00FE7757" w:rsidRDefault="00FE7757">
            <w:pPr>
              <w:jc w:val="center"/>
              <w:rPr>
                <w:rFonts w:cs="Arial"/>
                <w:sz w:val="20"/>
                <w:szCs w:val="20"/>
              </w:rPr>
            </w:pPr>
            <w:r>
              <w:rPr>
                <w:rFonts w:cs="Arial"/>
                <w:sz w:val="20"/>
                <w:szCs w:val="20"/>
              </w:rPr>
              <w:t>775</w:t>
            </w:r>
          </w:p>
        </w:tc>
        <w:tc>
          <w:tcPr>
            <w:tcW w:w="625" w:type="pct"/>
            <w:tcBorders>
              <w:top w:val="nil"/>
              <w:bottom w:val="nil"/>
            </w:tcBorders>
            <w:vAlign w:val="center"/>
          </w:tcPr>
          <w:p w:rsidR="00FE7757" w:rsidRDefault="00FE7757">
            <w:pPr>
              <w:jc w:val="center"/>
              <w:rPr>
                <w:rFonts w:cs="Arial"/>
                <w:sz w:val="20"/>
                <w:szCs w:val="20"/>
              </w:rPr>
            </w:pPr>
            <w:r>
              <w:rPr>
                <w:rFonts w:cs="Arial"/>
                <w:sz w:val="20"/>
                <w:szCs w:val="20"/>
              </w:rPr>
              <w:t>7.69</w:t>
            </w:r>
          </w:p>
        </w:tc>
        <w:tc>
          <w:tcPr>
            <w:tcW w:w="647" w:type="pct"/>
            <w:tcBorders>
              <w:top w:val="nil"/>
              <w:bottom w:val="nil"/>
            </w:tcBorders>
            <w:vAlign w:val="center"/>
          </w:tcPr>
          <w:p w:rsidR="00FE7757" w:rsidRDefault="00FE7757">
            <w:pPr>
              <w:jc w:val="center"/>
              <w:rPr>
                <w:rFonts w:cs="Arial"/>
                <w:sz w:val="20"/>
                <w:szCs w:val="20"/>
              </w:rPr>
            </w:pPr>
            <w:r>
              <w:rPr>
                <w:rFonts w:cs="Arial"/>
                <w:sz w:val="20"/>
                <w:szCs w:val="20"/>
              </w:rPr>
              <w:t>622</w:t>
            </w:r>
          </w:p>
        </w:tc>
      </w:tr>
      <w:tr w:rsidR="00FE7757" w:rsidRPr="006A7228" w:rsidTr="00D95A8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FE7757" w:rsidRDefault="00FE7757">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FE7757" w:rsidRDefault="00FE7757">
            <w:pPr>
              <w:jc w:val="center"/>
              <w:rPr>
                <w:rFonts w:cs="Arial"/>
                <w:szCs w:val="20"/>
              </w:rPr>
            </w:pPr>
            <w:r>
              <w:rPr>
                <w:rFonts w:cs="Arial"/>
                <w:szCs w:val="20"/>
              </w:rPr>
              <w:t>-</w:t>
            </w:r>
          </w:p>
        </w:tc>
        <w:tc>
          <w:tcPr>
            <w:tcW w:w="635" w:type="pct"/>
            <w:tcBorders>
              <w:top w:val="nil"/>
              <w:bottom w:val="single" w:sz="4" w:space="0" w:color="auto"/>
            </w:tcBorders>
            <w:vAlign w:val="center"/>
          </w:tcPr>
          <w:p w:rsidR="00FE7757" w:rsidRDefault="00FE7757">
            <w:pPr>
              <w:jc w:val="center"/>
              <w:rPr>
                <w:rFonts w:cs="Arial"/>
                <w:szCs w:val="20"/>
              </w:rPr>
            </w:pPr>
            <w:r>
              <w:rPr>
                <w:rFonts w:cs="Arial"/>
                <w:szCs w:val="20"/>
              </w:rPr>
              <w:t>-</w:t>
            </w:r>
          </w:p>
        </w:tc>
        <w:tc>
          <w:tcPr>
            <w:tcW w:w="669" w:type="pct"/>
            <w:tcBorders>
              <w:top w:val="nil"/>
              <w:bottom w:val="single" w:sz="4" w:space="0" w:color="auto"/>
            </w:tcBorders>
            <w:vAlign w:val="center"/>
          </w:tcPr>
          <w:p w:rsidR="00FE7757" w:rsidRDefault="00FE7757">
            <w:pPr>
              <w:jc w:val="center"/>
              <w:rPr>
                <w:rFonts w:cs="Arial"/>
                <w:szCs w:val="20"/>
              </w:rPr>
            </w:pPr>
            <w:r>
              <w:rPr>
                <w:rFonts w:cs="Arial"/>
                <w:szCs w:val="20"/>
              </w:rPr>
              <w:t>-</w:t>
            </w:r>
          </w:p>
        </w:tc>
        <w:tc>
          <w:tcPr>
            <w:tcW w:w="678" w:type="pct"/>
            <w:tcBorders>
              <w:top w:val="nil"/>
              <w:bottom w:val="single" w:sz="4" w:space="0" w:color="auto"/>
            </w:tcBorders>
            <w:vAlign w:val="center"/>
          </w:tcPr>
          <w:p w:rsidR="00FE7757" w:rsidRDefault="00FE7757">
            <w:pPr>
              <w:jc w:val="center"/>
              <w:rPr>
                <w:rFonts w:cs="Arial"/>
                <w:szCs w:val="20"/>
              </w:rPr>
            </w:pPr>
            <w:r>
              <w:rPr>
                <w:rFonts w:cs="Arial"/>
                <w:szCs w:val="20"/>
              </w:rPr>
              <w:t>-</w:t>
            </w:r>
          </w:p>
        </w:tc>
        <w:tc>
          <w:tcPr>
            <w:tcW w:w="625" w:type="pct"/>
            <w:tcBorders>
              <w:top w:val="nil"/>
              <w:bottom w:val="single" w:sz="4" w:space="0" w:color="auto"/>
            </w:tcBorders>
            <w:vAlign w:val="center"/>
          </w:tcPr>
          <w:p w:rsidR="00FE7757" w:rsidRDefault="00FE7757">
            <w:pPr>
              <w:jc w:val="center"/>
              <w:rPr>
                <w:rFonts w:cs="Arial"/>
                <w:szCs w:val="20"/>
              </w:rPr>
            </w:pPr>
            <w:r>
              <w:rPr>
                <w:rFonts w:cs="Arial"/>
                <w:szCs w:val="20"/>
              </w:rPr>
              <w:t>-15</w:t>
            </w:r>
          </w:p>
        </w:tc>
        <w:tc>
          <w:tcPr>
            <w:tcW w:w="647" w:type="pct"/>
            <w:tcBorders>
              <w:top w:val="nil"/>
              <w:bottom w:val="single" w:sz="4" w:space="0" w:color="auto"/>
            </w:tcBorders>
            <w:vAlign w:val="center"/>
          </w:tcPr>
          <w:p w:rsidR="00FE7757" w:rsidRDefault="00FE7757">
            <w:pPr>
              <w:jc w:val="center"/>
              <w:rPr>
                <w:rFonts w:cs="Arial"/>
                <w:szCs w:val="20"/>
              </w:rPr>
            </w:pPr>
            <w:r>
              <w:rPr>
                <w:rFonts w:cs="Arial"/>
                <w:szCs w:val="20"/>
              </w:rPr>
              <w:t>-79</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1B0EB3">
        <w:fldChar w:fldCharType="begin"/>
      </w:r>
      <w:r w:rsidR="001B0EB3">
        <w:instrText xml:space="preserve"> SEQ Figure \* ARABIC </w:instrText>
      </w:r>
      <w:r w:rsidR="001B0EB3">
        <w:fldChar w:fldCharType="separate"/>
      </w:r>
      <w:r w:rsidR="00674600">
        <w:rPr>
          <w:noProof/>
        </w:rPr>
        <w:t>3</w:t>
      </w:r>
      <w:r w:rsidR="001B0EB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FE7757" w:rsidP="001521CB">
      <w:r w:rsidRPr="00FE7757">
        <w:rPr>
          <w:noProof/>
          <w:lang w:eastAsia="en-AU"/>
        </w:rPr>
        <w:drawing>
          <wp:inline distT="0" distB="0" distL="0" distR="0" wp14:anchorId="496D3286" wp14:editId="7D380928">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1B0EB3">
        <w:fldChar w:fldCharType="begin"/>
      </w:r>
      <w:r w:rsidR="001B0EB3">
        <w:instrText xml:space="preserve"> SEQ Figure \* ARABIC </w:instrText>
      </w:r>
      <w:r w:rsidR="001B0EB3">
        <w:fldChar w:fldCharType="separate"/>
      </w:r>
      <w:r w:rsidR="00674600">
        <w:rPr>
          <w:noProof/>
        </w:rPr>
        <w:t>4</w:t>
      </w:r>
      <w:r w:rsidR="001B0EB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FE7757" w:rsidRPr="00405CDE" w:rsidTr="00534DD9">
        <w:trPr>
          <w:trHeight w:val="510"/>
        </w:trPr>
        <w:tc>
          <w:tcPr>
            <w:tcW w:w="1585" w:type="pct"/>
            <w:tcBorders>
              <w:top w:val="nil"/>
              <w:bottom w:val="nil"/>
            </w:tcBorders>
            <w:vAlign w:val="center"/>
          </w:tcPr>
          <w:p w:rsidR="00FE7757" w:rsidRDefault="00FE7757">
            <w:pPr>
              <w:rPr>
                <w:rFonts w:cs="Arial"/>
                <w:sz w:val="16"/>
                <w:szCs w:val="16"/>
              </w:rPr>
            </w:pPr>
            <w:r>
              <w:rPr>
                <w:rFonts w:cs="Arial"/>
                <w:sz w:val="16"/>
                <w:szCs w:val="16"/>
              </w:rPr>
              <w:t>30 Jul - 05 Aug 2017</w:t>
            </w:r>
          </w:p>
        </w:tc>
        <w:tc>
          <w:tcPr>
            <w:tcW w:w="993" w:type="pct"/>
            <w:tcBorders>
              <w:top w:val="nil"/>
              <w:bottom w:val="nil"/>
            </w:tcBorders>
            <w:vAlign w:val="center"/>
          </w:tcPr>
          <w:p w:rsidR="00FE7757" w:rsidRDefault="00FE7757">
            <w:pPr>
              <w:jc w:val="center"/>
              <w:rPr>
                <w:rFonts w:cs="Arial"/>
                <w:sz w:val="20"/>
                <w:szCs w:val="20"/>
              </w:rPr>
            </w:pPr>
            <w:r>
              <w:rPr>
                <w:rFonts w:cs="Arial"/>
                <w:sz w:val="20"/>
                <w:szCs w:val="20"/>
              </w:rPr>
              <w:t>1.54</w:t>
            </w:r>
          </w:p>
        </w:tc>
        <w:tc>
          <w:tcPr>
            <w:tcW w:w="758" w:type="pct"/>
            <w:tcBorders>
              <w:top w:val="nil"/>
              <w:bottom w:val="nil"/>
            </w:tcBorders>
            <w:vAlign w:val="center"/>
          </w:tcPr>
          <w:p w:rsidR="00FE7757" w:rsidRDefault="00FE7757">
            <w:pPr>
              <w:jc w:val="center"/>
              <w:rPr>
                <w:rFonts w:cs="Arial"/>
                <w:sz w:val="20"/>
                <w:szCs w:val="20"/>
              </w:rPr>
            </w:pPr>
            <w:r>
              <w:rPr>
                <w:rFonts w:cs="Arial"/>
                <w:sz w:val="20"/>
                <w:szCs w:val="20"/>
              </w:rPr>
              <w:t>65.01</w:t>
            </w:r>
          </w:p>
        </w:tc>
        <w:tc>
          <w:tcPr>
            <w:tcW w:w="831" w:type="pct"/>
            <w:tcBorders>
              <w:top w:val="nil"/>
              <w:bottom w:val="nil"/>
            </w:tcBorders>
            <w:vAlign w:val="center"/>
          </w:tcPr>
          <w:p w:rsidR="00FE7757" w:rsidRDefault="00FE7757">
            <w:pPr>
              <w:jc w:val="center"/>
              <w:rPr>
                <w:rFonts w:cs="Arial"/>
                <w:sz w:val="20"/>
                <w:szCs w:val="20"/>
              </w:rPr>
            </w:pPr>
            <w:r>
              <w:rPr>
                <w:rFonts w:cs="Arial"/>
                <w:sz w:val="20"/>
                <w:szCs w:val="20"/>
              </w:rPr>
              <w:t>11.56</w:t>
            </w:r>
          </w:p>
        </w:tc>
        <w:tc>
          <w:tcPr>
            <w:tcW w:w="833" w:type="pct"/>
            <w:tcBorders>
              <w:top w:val="nil"/>
              <w:bottom w:val="nil"/>
            </w:tcBorders>
            <w:vAlign w:val="center"/>
          </w:tcPr>
          <w:p w:rsidR="00FE7757" w:rsidRDefault="00FE7757">
            <w:pPr>
              <w:jc w:val="center"/>
              <w:rPr>
                <w:rFonts w:cs="Arial"/>
                <w:sz w:val="20"/>
                <w:szCs w:val="20"/>
              </w:rPr>
            </w:pPr>
            <w:r>
              <w:rPr>
                <w:rFonts w:cs="Arial"/>
                <w:sz w:val="20"/>
                <w:szCs w:val="20"/>
              </w:rPr>
              <w:t>1.07</w:t>
            </w:r>
          </w:p>
        </w:tc>
      </w:tr>
      <w:tr w:rsidR="00FE775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FE7757" w:rsidRDefault="00FE7757">
            <w:pPr>
              <w:rPr>
                <w:rFonts w:cs="Arial"/>
                <w:sz w:val="16"/>
                <w:szCs w:val="16"/>
              </w:rPr>
            </w:pPr>
            <w:r>
              <w:rPr>
                <w:rFonts w:cs="Arial"/>
                <w:sz w:val="16"/>
                <w:szCs w:val="16"/>
              </w:rPr>
              <w:t>% change from previous week</w:t>
            </w:r>
          </w:p>
        </w:tc>
        <w:tc>
          <w:tcPr>
            <w:tcW w:w="993" w:type="pct"/>
            <w:tcBorders>
              <w:top w:val="nil"/>
              <w:bottom w:val="nil"/>
            </w:tcBorders>
            <w:vAlign w:val="center"/>
          </w:tcPr>
          <w:p w:rsidR="00FE7757" w:rsidRPr="00C84A09" w:rsidRDefault="00C84A09">
            <w:pPr>
              <w:jc w:val="center"/>
              <w:rPr>
                <w:rFonts w:cs="Arial"/>
                <w:szCs w:val="20"/>
              </w:rPr>
            </w:pPr>
            <w:r>
              <w:rPr>
                <w:rFonts w:cs="Arial"/>
                <w:szCs w:val="20"/>
              </w:rPr>
              <w:t>-</w:t>
            </w:r>
          </w:p>
        </w:tc>
        <w:tc>
          <w:tcPr>
            <w:tcW w:w="758" w:type="pct"/>
            <w:tcBorders>
              <w:top w:val="nil"/>
              <w:bottom w:val="nil"/>
            </w:tcBorders>
            <w:vAlign w:val="center"/>
          </w:tcPr>
          <w:p w:rsidR="00FE7757" w:rsidRDefault="00FE7757">
            <w:pPr>
              <w:jc w:val="center"/>
              <w:rPr>
                <w:rFonts w:cs="Arial"/>
                <w:szCs w:val="20"/>
              </w:rPr>
            </w:pPr>
            <w:r>
              <w:rPr>
                <w:rFonts w:cs="Arial"/>
                <w:szCs w:val="20"/>
              </w:rPr>
              <w:t>23</w:t>
            </w:r>
          </w:p>
        </w:tc>
        <w:tc>
          <w:tcPr>
            <w:tcW w:w="831" w:type="pct"/>
            <w:tcBorders>
              <w:top w:val="nil"/>
              <w:bottom w:val="nil"/>
            </w:tcBorders>
            <w:vAlign w:val="center"/>
          </w:tcPr>
          <w:p w:rsidR="00FE7757" w:rsidRDefault="00FE7757">
            <w:pPr>
              <w:jc w:val="center"/>
              <w:rPr>
                <w:rFonts w:cs="Arial"/>
                <w:szCs w:val="20"/>
              </w:rPr>
            </w:pPr>
            <w:r>
              <w:rPr>
                <w:rFonts w:cs="Arial"/>
                <w:szCs w:val="20"/>
              </w:rPr>
              <w:t>-7</w:t>
            </w:r>
          </w:p>
        </w:tc>
        <w:tc>
          <w:tcPr>
            <w:tcW w:w="833" w:type="pct"/>
            <w:tcBorders>
              <w:top w:val="nil"/>
              <w:bottom w:val="nil"/>
            </w:tcBorders>
            <w:vAlign w:val="center"/>
          </w:tcPr>
          <w:p w:rsidR="00FE7757" w:rsidRDefault="00FE7757">
            <w:pPr>
              <w:jc w:val="center"/>
              <w:rPr>
                <w:rFonts w:cs="Arial"/>
                <w:szCs w:val="20"/>
              </w:rPr>
            </w:pPr>
            <w:r>
              <w:rPr>
                <w:rFonts w:cs="Arial"/>
                <w:szCs w:val="20"/>
              </w:rPr>
              <w:t>-33</w:t>
            </w:r>
          </w:p>
        </w:tc>
      </w:tr>
      <w:tr w:rsidR="00FE7757" w:rsidRPr="00405CDE" w:rsidTr="00534DD9">
        <w:trPr>
          <w:trHeight w:val="510"/>
        </w:trPr>
        <w:tc>
          <w:tcPr>
            <w:tcW w:w="1585" w:type="pct"/>
            <w:tcBorders>
              <w:top w:val="nil"/>
              <w:bottom w:val="nil"/>
            </w:tcBorders>
            <w:vAlign w:val="center"/>
          </w:tcPr>
          <w:p w:rsidR="00FE7757" w:rsidRDefault="00FE7757">
            <w:pPr>
              <w:rPr>
                <w:rFonts w:cs="Arial"/>
                <w:sz w:val="16"/>
                <w:szCs w:val="16"/>
              </w:rPr>
            </w:pPr>
            <w:r>
              <w:rPr>
                <w:rFonts w:cs="Arial"/>
                <w:sz w:val="16"/>
                <w:szCs w:val="16"/>
              </w:rPr>
              <w:t>17-18 financial YTD</w:t>
            </w:r>
          </w:p>
        </w:tc>
        <w:tc>
          <w:tcPr>
            <w:tcW w:w="993" w:type="pct"/>
            <w:tcBorders>
              <w:top w:val="nil"/>
              <w:bottom w:val="nil"/>
            </w:tcBorders>
            <w:vAlign w:val="center"/>
          </w:tcPr>
          <w:p w:rsidR="00FE7757" w:rsidRDefault="00FE7757">
            <w:pPr>
              <w:jc w:val="center"/>
              <w:rPr>
                <w:rFonts w:cs="Arial"/>
                <w:sz w:val="20"/>
                <w:szCs w:val="20"/>
              </w:rPr>
            </w:pPr>
            <w:r>
              <w:rPr>
                <w:rFonts w:cs="Arial"/>
                <w:sz w:val="20"/>
                <w:szCs w:val="20"/>
              </w:rPr>
              <w:t> </w:t>
            </w:r>
          </w:p>
        </w:tc>
        <w:tc>
          <w:tcPr>
            <w:tcW w:w="758" w:type="pct"/>
            <w:tcBorders>
              <w:top w:val="nil"/>
              <w:bottom w:val="nil"/>
            </w:tcBorders>
            <w:vAlign w:val="center"/>
          </w:tcPr>
          <w:p w:rsidR="00FE7757" w:rsidRDefault="00FE7757">
            <w:pPr>
              <w:jc w:val="center"/>
              <w:rPr>
                <w:rFonts w:cs="Arial"/>
                <w:sz w:val="20"/>
                <w:szCs w:val="20"/>
              </w:rPr>
            </w:pPr>
            <w:r>
              <w:rPr>
                <w:rFonts w:cs="Arial"/>
                <w:sz w:val="20"/>
                <w:szCs w:val="20"/>
              </w:rPr>
              <w:t>66.48</w:t>
            </w:r>
          </w:p>
        </w:tc>
        <w:tc>
          <w:tcPr>
            <w:tcW w:w="831" w:type="pct"/>
            <w:tcBorders>
              <w:top w:val="nil"/>
              <w:bottom w:val="nil"/>
            </w:tcBorders>
            <w:vAlign w:val="center"/>
          </w:tcPr>
          <w:p w:rsidR="00FE7757" w:rsidRDefault="00FE7757">
            <w:pPr>
              <w:jc w:val="center"/>
              <w:rPr>
                <w:rFonts w:cs="Arial"/>
                <w:sz w:val="20"/>
                <w:szCs w:val="20"/>
              </w:rPr>
            </w:pPr>
            <w:r>
              <w:rPr>
                <w:rFonts w:cs="Arial"/>
                <w:sz w:val="20"/>
                <w:szCs w:val="20"/>
              </w:rPr>
              <w:t>8.54</w:t>
            </w:r>
          </w:p>
        </w:tc>
        <w:tc>
          <w:tcPr>
            <w:tcW w:w="833" w:type="pct"/>
            <w:tcBorders>
              <w:top w:val="nil"/>
              <w:bottom w:val="nil"/>
            </w:tcBorders>
            <w:vAlign w:val="center"/>
          </w:tcPr>
          <w:p w:rsidR="00FE7757" w:rsidRDefault="00FE7757">
            <w:pPr>
              <w:jc w:val="center"/>
              <w:rPr>
                <w:rFonts w:cs="Arial"/>
                <w:sz w:val="20"/>
                <w:szCs w:val="20"/>
              </w:rPr>
            </w:pPr>
            <w:r>
              <w:rPr>
                <w:rFonts w:cs="Arial"/>
                <w:sz w:val="20"/>
                <w:szCs w:val="20"/>
              </w:rPr>
              <w:t>1.78</w:t>
            </w:r>
          </w:p>
        </w:tc>
      </w:tr>
      <w:tr w:rsidR="00FE775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FE7757" w:rsidRDefault="00FE7757">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FE7757" w:rsidRDefault="00FE7757">
            <w:pPr>
              <w:jc w:val="center"/>
              <w:rPr>
                <w:rFonts w:cs="Arial"/>
                <w:szCs w:val="20"/>
              </w:rPr>
            </w:pPr>
            <w:r>
              <w:rPr>
                <w:rFonts w:cs="Arial"/>
                <w:szCs w:val="20"/>
              </w:rPr>
              <w:t> </w:t>
            </w:r>
          </w:p>
        </w:tc>
        <w:tc>
          <w:tcPr>
            <w:tcW w:w="758" w:type="pct"/>
            <w:tcBorders>
              <w:top w:val="nil"/>
              <w:bottom w:val="single" w:sz="4" w:space="0" w:color="auto"/>
            </w:tcBorders>
            <w:vAlign w:val="center"/>
          </w:tcPr>
          <w:p w:rsidR="00FE7757" w:rsidRDefault="00FE7757">
            <w:pPr>
              <w:jc w:val="center"/>
              <w:rPr>
                <w:rFonts w:cs="Arial"/>
                <w:szCs w:val="20"/>
              </w:rPr>
            </w:pPr>
            <w:r>
              <w:rPr>
                <w:rFonts w:cs="Arial"/>
                <w:szCs w:val="20"/>
              </w:rPr>
              <w:t>-18</w:t>
            </w:r>
          </w:p>
        </w:tc>
        <w:tc>
          <w:tcPr>
            <w:tcW w:w="831" w:type="pct"/>
            <w:tcBorders>
              <w:top w:val="nil"/>
              <w:bottom w:val="single" w:sz="4" w:space="0" w:color="auto"/>
            </w:tcBorders>
            <w:vAlign w:val="center"/>
          </w:tcPr>
          <w:p w:rsidR="00FE7757" w:rsidRDefault="00FE7757">
            <w:pPr>
              <w:jc w:val="center"/>
              <w:rPr>
                <w:rFonts w:cs="Arial"/>
                <w:szCs w:val="20"/>
              </w:rPr>
            </w:pPr>
            <w:r>
              <w:rPr>
                <w:rFonts w:cs="Arial"/>
                <w:szCs w:val="20"/>
              </w:rPr>
              <w:t>-40</w:t>
            </w:r>
          </w:p>
        </w:tc>
        <w:tc>
          <w:tcPr>
            <w:tcW w:w="833" w:type="pct"/>
            <w:tcBorders>
              <w:top w:val="nil"/>
              <w:bottom w:val="single" w:sz="4" w:space="0" w:color="auto"/>
            </w:tcBorders>
            <w:vAlign w:val="center"/>
          </w:tcPr>
          <w:p w:rsidR="00FE7757" w:rsidRDefault="00FE7757">
            <w:pPr>
              <w:jc w:val="center"/>
              <w:rPr>
                <w:rFonts w:cs="Arial"/>
                <w:szCs w:val="20"/>
              </w:rPr>
            </w:pPr>
            <w:r>
              <w:rPr>
                <w:rFonts w:cs="Arial"/>
                <w:szCs w:val="20"/>
              </w:rPr>
              <w:t>59</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lastRenderedPageBreak/>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1B0EB3">
        <w:fldChar w:fldCharType="begin"/>
      </w:r>
      <w:r w:rsidR="001B0EB3">
        <w:instrText xml:space="preserve"> SEQ Figure \* ARABIC </w:instrText>
      </w:r>
      <w:r w:rsidR="001B0EB3">
        <w:fldChar w:fldCharType="separate"/>
      </w:r>
      <w:r w:rsidR="00C370D1">
        <w:rPr>
          <w:noProof/>
        </w:rPr>
        <w:t>5</w:t>
      </w:r>
      <w:r w:rsidR="001B0EB3">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D95A84">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D95A84">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D95A84">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D95A84">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D95A84">
            <w:pPr>
              <w:pStyle w:val="TableHeading"/>
              <w:jc w:val="center"/>
              <w:rPr>
                <w:rFonts w:cs="Arial"/>
                <w:sz w:val="20"/>
                <w:szCs w:val="20"/>
              </w:rPr>
            </w:pPr>
          </w:p>
        </w:tc>
        <w:tc>
          <w:tcPr>
            <w:tcW w:w="700" w:type="pct"/>
            <w:tcBorders>
              <w:bottom w:val="nil"/>
            </w:tcBorders>
            <w:vAlign w:val="center"/>
            <w:hideMark/>
          </w:tcPr>
          <w:p w:rsidR="008D7D94" w:rsidRPr="00587CFB" w:rsidRDefault="008D7D94" w:rsidP="00D95A84">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D95A84">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D95A84">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D95A84">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D95A84">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D95A84">
            <w:pPr>
              <w:jc w:val="center"/>
              <w:rPr>
                <w:rFonts w:cs="Arial"/>
                <w:bCs/>
                <w:color w:val="FFFFFF"/>
                <w:sz w:val="14"/>
                <w:szCs w:val="20"/>
                <w:highlight w:val="cyan"/>
              </w:rPr>
            </w:pPr>
            <w:r>
              <w:rPr>
                <w:rFonts w:cs="Arial"/>
                <w:bCs/>
                <w:color w:val="FFFFFF"/>
                <w:sz w:val="14"/>
                <w:szCs w:val="20"/>
              </w:rPr>
              <w:t>Quantity</w:t>
            </w:r>
          </w:p>
        </w:tc>
      </w:tr>
      <w:tr w:rsidR="00FE7757" w:rsidRPr="006A7228" w:rsidTr="00EA6F25">
        <w:trPr>
          <w:trHeight w:val="510"/>
        </w:trPr>
        <w:tc>
          <w:tcPr>
            <w:tcW w:w="915" w:type="pct"/>
            <w:tcBorders>
              <w:top w:val="nil"/>
              <w:bottom w:val="nil"/>
            </w:tcBorders>
            <w:vAlign w:val="center"/>
          </w:tcPr>
          <w:p w:rsidR="00FE7757" w:rsidRDefault="00FE7757">
            <w:pPr>
              <w:rPr>
                <w:rFonts w:cs="Arial"/>
                <w:b/>
                <w:bCs/>
                <w:sz w:val="20"/>
                <w:szCs w:val="20"/>
              </w:rPr>
            </w:pPr>
            <w:r>
              <w:rPr>
                <w:rFonts w:cs="Arial"/>
                <w:b/>
                <w:bCs/>
                <w:sz w:val="20"/>
                <w:szCs w:val="20"/>
              </w:rPr>
              <w:t>Balance of day</w:t>
            </w:r>
          </w:p>
        </w:tc>
        <w:tc>
          <w:tcPr>
            <w:tcW w:w="700"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41"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727" w:type="pct"/>
            <w:tcBorders>
              <w:top w:val="nil"/>
              <w:bottom w:val="nil"/>
            </w:tcBorders>
            <w:vAlign w:val="center"/>
          </w:tcPr>
          <w:p w:rsidR="00FE7757" w:rsidRDefault="00FE7757">
            <w:pPr>
              <w:jc w:val="center"/>
              <w:rPr>
                <w:rFonts w:cs="Arial"/>
                <w:sz w:val="20"/>
                <w:szCs w:val="20"/>
              </w:rPr>
            </w:pPr>
            <w:r>
              <w:rPr>
                <w:rFonts w:cs="Arial"/>
                <w:sz w:val="20"/>
                <w:szCs w:val="20"/>
              </w:rPr>
              <w:t>7.28</w:t>
            </w:r>
          </w:p>
        </w:tc>
        <w:tc>
          <w:tcPr>
            <w:tcW w:w="699" w:type="pct"/>
            <w:tcBorders>
              <w:top w:val="nil"/>
              <w:bottom w:val="nil"/>
            </w:tcBorders>
            <w:vAlign w:val="center"/>
          </w:tcPr>
          <w:p w:rsidR="00FE7757" w:rsidRDefault="00FE7757">
            <w:pPr>
              <w:jc w:val="center"/>
              <w:rPr>
                <w:rFonts w:cs="Arial"/>
                <w:sz w:val="20"/>
                <w:szCs w:val="20"/>
              </w:rPr>
            </w:pPr>
            <w:r>
              <w:rPr>
                <w:rFonts w:cs="Arial"/>
                <w:sz w:val="20"/>
                <w:szCs w:val="20"/>
              </w:rPr>
              <w:t>43.0</w:t>
            </w:r>
          </w:p>
        </w:tc>
        <w:tc>
          <w:tcPr>
            <w:tcW w:w="622" w:type="pct"/>
            <w:tcBorders>
              <w:top w:val="nil"/>
              <w:bottom w:val="nil"/>
            </w:tcBorders>
            <w:vAlign w:val="center"/>
          </w:tcPr>
          <w:p w:rsidR="00FE7757" w:rsidRDefault="00FE7757">
            <w:pPr>
              <w:jc w:val="center"/>
              <w:rPr>
                <w:rFonts w:cs="Arial"/>
                <w:sz w:val="20"/>
                <w:szCs w:val="20"/>
              </w:rPr>
            </w:pPr>
            <w:r>
              <w:rPr>
                <w:rFonts w:cs="Arial"/>
                <w:sz w:val="20"/>
                <w:szCs w:val="20"/>
              </w:rPr>
              <w:t>7.70</w:t>
            </w:r>
          </w:p>
        </w:tc>
        <w:tc>
          <w:tcPr>
            <w:tcW w:w="696" w:type="pct"/>
            <w:tcBorders>
              <w:top w:val="nil"/>
              <w:bottom w:val="nil"/>
            </w:tcBorders>
            <w:vAlign w:val="center"/>
          </w:tcPr>
          <w:p w:rsidR="00FE7757" w:rsidRDefault="00FE7757">
            <w:pPr>
              <w:jc w:val="center"/>
              <w:rPr>
                <w:rFonts w:cs="Arial"/>
                <w:sz w:val="20"/>
                <w:szCs w:val="20"/>
              </w:rPr>
            </w:pPr>
            <w:r>
              <w:rPr>
                <w:rFonts w:cs="Arial"/>
                <w:sz w:val="20"/>
                <w:szCs w:val="20"/>
              </w:rPr>
              <w:t>10.0</w:t>
            </w:r>
          </w:p>
        </w:tc>
      </w:tr>
      <w:tr w:rsidR="00FE775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FE7757" w:rsidRDefault="00FE7757">
            <w:pPr>
              <w:rPr>
                <w:rFonts w:cs="Arial"/>
                <w:b/>
                <w:bCs/>
                <w:szCs w:val="20"/>
              </w:rPr>
            </w:pPr>
            <w:r>
              <w:rPr>
                <w:rFonts w:cs="Arial"/>
                <w:b/>
                <w:bCs/>
                <w:szCs w:val="20"/>
              </w:rPr>
              <w:t>Daily</w:t>
            </w:r>
          </w:p>
        </w:tc>
        <w:tc>
          <w:tcPr>
            <w:tcW w:w="700" w:type="pct"/>
            <w:tcBorders>
              <w:top w:val="nil"/>
              <w:bottom w:val="nil"/>
            </w:tcBorders>
            <w:vAlign w:val="center"/>
          </w:tcPr>
          <w:p w:rsidR="00FE7757" w:rsidRDefault="00FE7757">
            <w:pPr>
              <w:jc w:val="center"/>
              <w:rPr>
                <w:rFonts w:cs="Arial"/>
                <w:szCs w:val="20"/>
              </w:rPr>
            </w:pPr>
            <w:r>
              <w:rPr>
                <w:rFonts w:cs="Arial"/>
                <w:szCs w:val="20"/>
              </w:rPr>
              <w:t>-</w:t>
            </w:r>
          </w:p>
        </w:tc>
        <w:tc>
          <w:tcPr>
            <w:tcW w:w="641" w:type="pct"/>
            <w:tcBorders>
              <w:top w:val="nil"/>
              <w:bottom w:val="nil"/>
            </w:tcBorders>
            <w:vAlign w:val="center"/>
          </w:tcPr>
          <w:p w:rsidR="00FE7757" w:rsidRDefault="00FE7757">
            <w:pPr>
              <w:jc w:val="center"/>
              <w:rPr>
                <w:rFonts w:cs="Arial"/>
                <w:szCs w:val="20"/>
              </w:rPr>
            </w:pPr>
            <w:r>
              <w:rPr>
                <w:rFonts w:cs="Arial"/>
                <w:szCs w:val="20"/>
              </w:rPr>
              <w:t>-</w:t>
            </w:r>
          </w:p>
        </w:tc>
        <w:tc>
          <w:tcPr>
            <w:tcW w:w="727" w:type="pct"/>
            <w:tcBorders>
              <w:top w:val="nil"/>
              <w:bottom w:val="nil"/>
            </w:tcBorders>
            <w:vAlign w:val="center"/>
          </w:tcPr>
          <w:p w:rsidR="00FE7757" w:rsidRDefault="00FE7757">
            <w:pPr>
              <w:jc w:val="center"/>
              <w:rPr>
                <w:rFonts w:cs="Arial"/>
                <w:szCs w:val="20"/>
              </w:rPr>
            </w:pPr>
            <w:r>
              <w:rPr>
                <w:rFonts w:cs="Arial"/>
                <w:szCs w:val="20"/>
              </w:rPr>
              <w:t>7.37</w:t>
            </w:r>
          </w:p>
        </w:tc>
        <w:tc>
          <w:tcPr>
            <w:tcW w:w="699" w:type="pct"/>
            <w:tcBorders>
              <w:top w:val="nil"/>
              <w:bottom w:val="nil"/>
            </w:tcBorders>
            <w:vAlign w:val="center"/>
          </w:tcPr>
          <w:p w:rsidR="00FE7757" w:rsidRDefault="00FE7757">
            <w:pPr>
              <w:jc w:val="center"/>
              <w:rPr>
                <w:rFonts w:cs="Arial"/>
                <w:szCs w:val="20"/>
              </w:rPr>
            </w:pPr>
            <w:r>
              <w:rPr>
                <w:rFonts w:cs="Arial"/>
                <w:szCs w:val="20"/>
              </w:rPr>
              <w:t>62.0</w:t>
            </w:r>
          </w:p>
        </w:tc>
        <w:tc>
          <w:tcPr>
            <w:tcW w:w="622" w:type="pct"/>
            <w:tcBorders>
              <w:top w:val="nil"/>
              <w:bottom w:val="nil"/>
            </w:tcBorders>
            <w:vAlign w:val="center"/>
          </w:tcPr>
          <w:p w:rsidR="00FE7757" w:rsidRDefault="00FE7757">
            <w:pPr>
              <w:jc w:val="center"/>
              <w:rPr>
                <w:rFonts w:cs="Arial"/>
                <w:szCs w:val="20"/>
              </w:rPr>
            </w:pPr>
            <w:r>
              <w:rPr>
                <w:rFonts w:cs="Arial"/>
                <w:szCs w:val="20"/>
              </w:rPr>
              <w:t>7.84</w:t>
            </w:r>
          </w:p>
        </w:tc>
        <w:tc>
          <w:tcPr>
            <w:tcW w:w="696" w:type="pct"/>
            <w:tcBorders>
              <w:top w:val="nil"/>
              <w:bottom w:val="nil"/>
            </w:tcBorders>
            <w:vAlign w:val="center"/>
          </w:tcPr>
          <w:p w:rsidR="00FE7757" w:rsidRDefault="00FE7757">
            <w:pPr>
              <w:jc w:val="center"/>
              <w:rPr>
                <w:rFonts w:cs="Arial"/>
                <w:szCs w:val="20"/>
              </w:rPr>
            </w:pPr>
            <w:r>
              <w:rPr>
                <w:rFonts w:cs="Arial"/>
                <w:szCs w:val="20"/>
              </w:rPr>
              <w:t>10.0</w:t>
            </w:r>
          </w:p>
        </w:tc>
      </w:tr>
      <w:tr w:rsidR="00FE7757" w:rsidRPr="006A7228" w:rsidTr="00EA6F25">
        <w:trPr>
          <w:trHeight w:val="510"/>
        </w:trPr>
        <w:tc>
          <w:tcPr>
            <w:tcW w:w="915" w:type="pct"/>
            <w:tcBorders>
              <w:top w:val="nil"/>
              <w:bottom w:val="nil"/>
            </w:tcBorders>
            <w:vAlign w:val="center"/>
          </w:tcPr>
          <w:p w:rsidR="00FE7757" w:rsidRDefault="00FE7757">
            <w:pPr>
              <w:rPr>
                <w:rFonts w:cs="Arial"/>
                <w:b/>
                <w:bCs/>
                <w:sz w:val="20"/>
                <w:szCs w:val="20"/>
              </w:rPr>
            </w:pPr>
            <w:r>
              <w:rPr>
                <w:rFonts w:cs="Arial"/>
                <w:b/>
                <w:bCs/>
                <w:sz w:val="20"/>
                <w:szCs w:val="20"/>
              </w:rPr>
              <w:t>Day ahead</w:t>
            </w:r>
          </w:p>
        </w:tc>
        <w:tc>
          <w:tcPr>
            <w:tcW w:w="700"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41"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727" w:type="pct"/>
            <w:tcBorders>
              <w:top w:val="nil"/>
              <w:bottom w:val="nil"/>
            </w:tcBorders>
            <w:vAlign w:val="center"/>
          </w:tcPr>
          <w:p w:rsidR="00FE7757" w:rsidRDefault="00FE7757">
            <w:pPr>
              <w:jc w:val="center"/>
              <w:rPr>
                <w:rFonts w:cs="Arial"/>
                <w:sz w:val="20"/>
                <w:szCs w:val="20"/>
              </w:rPr>
            </w:pPr>
            <w:r>
              <w:rPr>
                <w:rFonts w:cs="Arial"/>
                <w:sz w:val="20"/>
                <w:szCs w:val="20"/>
              </w:rPr>
              <w:t>7.37</w:t>
            </w:r>
          </w:p>
        </w:tc>
        <w:tc>
          <w:tcPr>
            <w:tcW w:w="699" w:type="pct"/>
            <w:tcBorders>
              <w:top w:val="nil"/>
              <w:bottom w:val="nil"/>
            </w:tcBorders>
            <w:vAlign w:val="center"/>
          </w:tcPr>
          <w:p w:rsidR="00FE7757" w:rsidRDefault="00FE7757">
            <w:pPr>
              <w:jc w:val="center"/>
              <w:rPr>
                <w:rFonts w:cs="Arial"/>
                <w:sz w:val="20"/>
                <w:szCs w:val="20"/>
              </w:rPr>
            </w:pPr>
            <w:r>
              <w:rPr>
                <w:rFonts w:cs="Arial"/>
                <w:sz w:val="20"/>
                <w:szCs w:val="20"/>
              </w:rPr>
              <w:t>18.0</w:t>
            </w:r>
          </w:p>
        </w:tc>
        <w:tc>
          <w:tcPr>
            <w:tcW w:w="622" w:type="pct"/>
            <w:tcBorders>
              <w:top w:val="nil"/>
              <w:bottom w:val="nil"/>
            </w:tcBorders>
            <w:vAlign w:val="center"/>
          </w:tcPr>
          <w:p w:rsidR="00FE7757" w:rsidRDefault="00FE7757">
            <w:pPr>
              <w:jc w:val="center"/>
              <w:rPr>
                <w:rFonts w:cs="Arial"/>
                <w:sz w:val="20"/>
                <w:szCs w:val="20"/>
              </w:rPr>
            </w:pPr>
            <w:r>
              <w:rPr>
                <w:rFonts w:cs="Arial"/>
                <w:sz w:val="20"/>
                <w:szCs w:val="20"/>
              </w:rPr>
              <w:t>6.55</w:t>
            </w:r>
          </w:p>
        </w:tc>
        <w:tc>
          <w:tcPr>
            <w:tcW w:w="696" w:type="pct"/>
            <w:tcBorders>
              <w:top w:val="nil"/>
              <w:bottom w:val="nil"/>
            </w:tcBorders>
            <w:vAlign w:val="center"/>
          </w:tcPr>
          <w:p w:rsidR="00FE7757" w:rsidRDefault="00FE7757">
            <w:pPr>
              <w:jc w:val="center"/>
              <w:rPr>
                <w:rFonts w:cs="Arial"/>
                <w:sz w:val="20"/>
                <w:szCs w:val="20"/>
              </w:rPr>
            </w:pPr>
            <w:r>
              <w:rPr>
                <w:rFonts w:cs="Arial"/>
                <w:sz w:val="20"/>
                <w:szCs w:val="20"/>
              </w:rPr>
              <w:t>25.0</w:t>
            </w:r>
          </w:p>
        </w:tc>
      </w:tr>
      <w:tr w:rsidR="00FE775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FE7757" w:rsidRDefault="00FE7757">
            <w:pPr>
              <w:rPr>
                <w:rFonts w:cs="Arial"/>
                <w:b/>
                <w:bCs/>
                <w:szCs w:val="20"/>
              </w:rPr>
            </w:pPr>
            <w:r>
              <w:rPr>
                <w:rFonts w:cs="Arial"/>
                <w:b/>
                <w:bCs/>
                <w:szCs w:val="20"/>
              </w:rPr>
              <w:t>Weekly</w:t>
            </w:r>
          </w:p>
        </w:tc>
        <w:tc>
          <w:tcPr>
            <w:tcW w:w="700" w:type="pct"/>
            <w:tcBorders>
              <w:top w:val="nil"/>
              <w:bottom w:val="nil"/>
            </w:tcBorders>
            <w:vAlign w:val="center"/>
          </w:tcPr>
          <w:p w:rsidR="00FE7757" w:rsidRDefault="00FE7757">
            <w:pPr>
              <w:jc w:val="center"/>
              <w:rPr>
                <w:rFonts w:cs="Arial"/>
                <w:szCs w:val="20"/>
              </w:rPr>
            </w:pPr>
            <w:r>
              <w:rPr>
                <w:rFonts w:cs="Arial"/>
                <w:szCs w:val="20"/>
              </w:rPr>
              <w:t>-</w:t>
            </w:r>
          </w:p>
        </w:tc>
        <w:tc>
          <w:tcPr>
            <w:tcW w:w="641" w:type="pct"/>
            <w:tcBorders>
              <w:top w:val="nil"/>
              <w:bottom w:val="nil"/>
            </w:tcBorders>
            <w:vAlign w:val="center"/>
          </w:tcPr>
          <w:p w:rsidR="00FE7757" w:rsidRDefault="00FE7757">
            <w:pPr>
              <w:jc w:val="center"/>
              <w:rPr>
                <w:rFonts w:cs="Arial"/>
                <w:szCs w:val="20"/>
              </w:rPr>
            </w:pPr>
            <w:r>
              <w:rPr>
                <w:rFonts w:cs="Arial"/>
                <w:szCs w:val="20"/>
              </w:rPr>
              <w:t>-</w:t>
            </w:r>
          </w:p>
        </w:tc>
        <w:tc>
          <w:tcPr>
            <w:tcW w:w="727" w:type="pct"/>
            <w:tcBorders>
              <w:top w:val="nil"/>
              <w:bottom w:val="nil"/>
            </w:tcBorders>
            <w:vAlign w:val="center"/>
          </w:tcPr>
          <w:p w:rsidR="00FE7757" w:rsidRDefault="00FE7757">
            <w:pPr>
              <w:jc w:val="center"/>
              <w:rPr>
                <w:rFonts w:cs="Arial"/>
                <w:szCs w:val="20"/>
              </w:rPr>
            </w:pPr>
            <w:r>
              <w:rPr>
                <w:rFonts w:cs="Arial"/>
                <w:szCs w:val="20"/>
              </w:rPr>
              <w:t>7.12</w:t>
            </w:r>
          </w:p>
        </w:tc>
        <w:tc>
          <w:tcPr>
            <w:tcW w:w="699" w:type="pct"/>
            <w:tcBorders>
              <w:top w:val="nil"/>
              <w:bottom w:val="nil"/>
            </w:tcBorders>
            <w:vAlign w:val="center"/>
          </w:tcPr>
          <w:p w:rsidR="00FE7757" w:rsidRDefault="00FE7757">
            <w:pPr>
              <w:jc w:val="center"/>
              <w:rPr>
                <w:rFonts w:cs="Arial"/>
                <w:szCs w:val="20"/>
              </w:rPr>
            </w:pPr>
            <w:r>
              <w:rPr>
                <w:rFonts w:cs="Arial"/>
                <w:szCs w:val="20"/>
              </w:rPr>
              <w:t>14.0</w:t>
            </w:r>
          </w:p>
        </w:tc>
        <w:tc>
          <w:tcPr>
            <w:tcW w:w="622" w:type="pct"/>
            <w:tcBorders>
              <w:top w:val="nil"/>
              <w:bottom w:val="nil"/>
            </w:tcBorders>
            <w:vAlign w:val="center"/>
          </w:tcPr>
          <w:p w:rsidR="00FE7757" w:rsidRDefault="00FE7757">
            <w:pPr>
              <w:jc w:val="center"/>
              <w:rPr>
                <w:rFonts w:cs="Arial"/>
                <w:szCs w:val="20"/>
              </w:rPr>
            </w:pPr>
            <w:r>
              <w:rPr>
                <w:rFonts w:cs="Arial"/>
                <w:szCs w:val="20"/>
              </w:rPr>
              <w:t>7.67</w:t>
            </w:r>
          </w:p>
        </w:tc>
        <w:tc>
          <w:tcPr>
            <w:tcW w:w="696" w:type="pct"/>
            <w:tcBorders>
              <w:top w:val="nil"/>
              <w:bottom w:val="nil"/>
            </w:tcBorders>
            <w:vAlign w:val="center"/>
          </w:tcPr>
          <w:p w:rsidR="00FE7757" w:rsidRDefault="00FE7757">
            <w:pPr>
              <w:jc w:val="center"/>
              <w:rPr>
                <w:rFonts w:cs="Arial"/>
                <w:szCs w:val="20"/>
              </w:rPr>
            </w:pPr>
            <w:r>
              <w:rPr>
                <w:rFonts w:cs="Arial"/>
                <w:szCs w:val="20"/>
              </w:rPr>
              <w:t>14.0</w:t>
            </w:r>
          </w:p>
        </w:tc>
      </w:tr>
      <w:tr w:rsidR="00FE7757" w:rsidRPr="006A7228" w:rsidTr="00EA6F25">
        <w:trPr>
          <w:trHeight w:val="510"/>
        </w:trPr>
        <w:tc>
          <w:tcPr>
            <w:tcW w:w="915" w:type="pct"/>
            <w:tcBorders>
              <w:top w:val="nil"/>
              <w:bottom w:val="nil"/>
            </w:tcBorders>
            <w:vAlign w:val="center"/>
          </w:tcPr>
          <w:p w:rsidR="00FE7757" w:rsidRDefault="00FE7757">
            <w:pPr>
              <w:rPr>
                <w:rFonts w:cs="Arial"/>
                <w:b/>
                <w:bCs/>
                <w:sz w:val="20"/>
                <w:szCs w:val="20"/>
              </w:rPr>
            </w:pPr>
            <w:r>
              <w:rPr>
                <w:rFonts w:cs="Arial"/>
                <w:b/>
                <w:bCs/>
                <w:sz w:val="20"/>
                <w:szCs w:val="20"/>
              </w:rPr>
              <w:t>Monthly</w:t>
            </w:r>
          </w:p>
        </w:tc>
        <w:tc>
          <w:tcPr>
            <w:tcW w:w="700"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41"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727"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99"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22" w:type="pct"/>
            <w:tcBorders>
              <w:top w:val="nil"/>
              <w:bottom w:val="nil"/>
            </w:tcBorders>
            <w:vAlign w:val="center"/>
          </w:tcPr>
          <w:p w:rsidR="00FE7757" w:rsidRDefault="00FE7757">
            <w:pPr>
              <w:jc w:val="center"/>
              <w:rPr>
                <w:rFonts w:cs="Arial"/>
                <w:sz w:val="20"/>
                <w:szCs w:val="20"/>
              </w:rPr>
            </w:pPr>
            <w:r>
              <w:rPr>
                <w:rFonts w:cs="Arial"/>
                <w:sz w:val="20"/>
                <w:szCs w:val="20"/>
              </w:rPr>
              <w:t>-</w:t>
            </w:r>
          </w:p>
        </w:tc>
        <w:tc>
          <w:tcPr>
            <w:tcW w:w="696" w:type="pct"/>
            <w:tcBorders>
              <w:top w:val="nil"/>
              <w:bottom w:val="nil"/>
            </w:tcBorders>
            <w:vAlign w:val="center"/>
          </w:tcPr>
          <w:p w:rsidR="00FE7757" w:rsidRDefault="00FE7757">
            <w:pPr>
              <w:jc w:val="center"/>
              <w:rPr>
                <w:rFonts w:cs="Arial"/>
                <w:sz w:val="20"/>
                <w:szCs w:val="20"/>
              </w:rPr>
            </w:pPr>
            <w:r>
              <w:rPr>
                <w:rFonts w:cs="Arial"/>
                <w:sz w:val="20"/>
                <w:szCs w:val="20"/>
              </w:rPr>
              <w:t>-</w:t>
            </w:r>
          </w:p>
        </w:tc>
      </w:tr>
      <w:tr w:rsidR="00FE775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FE7757" w:rsidRDefault="00FE7757">
            <w:pPr>
              <w:rPr>
                <w:rFonts w:cs="Arial"/>
                <w:b/>
                <w:bCs/>
                <w:szCs w:val="20"/>
              </w:rPr>
            </w:pPr>
            <w:r>
              <w:rPr>
                <w:rFonts w:cs="Arial"/>
                <w:b/>
                <w:bCs/>
                <w:szCs w:val="20"/>
              </w:rPr>
              <w:t>Total</w:t>
            </w:r>
          </w:p>
        </w:tc>
        <w:tc>
          <w:tcPr>
            <w:tcW w:w="700" w:type="pct"/>
            <w:tcBorders>
              <w:top w:val="nil"/>
              <w:bottom w:val="single" w:sz="4" w:space="0" w:color="auto"/>
            </w:tcBorders>
            <w:vAlign w:val="center"/>
          </w:tcPr>
          <w:p w:rsidR="00FE7757" w:rsidRDefault="00FE7757">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FE7757" w:rsidRDefault="00FE7757">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FE7757" w:rsidRDefault="00FE7757">
            <w:pPr>
              <w:jc w:val="center"/>
              <w:rPr>
                <w:rFonts w:cs="Arial"/>
                <w:b/>
                <w:bCs/>
                <w:szCs w:val="20"/>
              </w:rPr>
            </w:pPr>
            <w:r>
              <w:rPr>
                <w:rFonts w:cs="Arial"/>
                <w:b/>
                <w:bCs/>
                <w:szCs w:val="20"/>
              </w:rPr>
              <w:t>7.32</w:t>
            </w:r>
          </w:p>
        </w:tc>
        <w:tc>
          <w:tcPr>
            <w:tcW w:w="699" w:type="pct"/>
            <w:tcBorders>
              <w:top w:val="nil"/>
              <w:bottom w:val="single" w:sz="4" w:space="0" w:color="auto"/>
            </w:tcBorders>
            <w:vAlign w:val="center"/>
          </w:tcPr>
          <w:p w:rsidR="00FE7757" w:rsidRDefault="00FE7757">
            <w:pPr>
              <w:jc w:val="center"/>
              <w:rPr>
                <w:rFonts w:cs="Arial"/>
                <w:b/>
                <w:bCs/>
                <w:szCs w:val="20"/>
              </w:rPr>
            </w:pPr>
            <w:r>
              <w:rPr>
                <w:rFonts w:cs="Arial"/>
                <w:b/>
                <w:bCs/>
                <w:szCs w:val="20"/>
              </w:rPr>
              <w:t>137.0</w:t>
            </w:r>
          </w:p>
        </w:tc>
        <w:tc>
          <w:tcPr>
            <w:tcW w:w="622" w:type="pct"/>
            <w:tcBorders>
              <w:top w:val="nil"/>
              <w:bottom w:val="single" w:sz="4" w:space="0" w:color="auto"/>
            </w:tcBorders>
            <w:vAlign w:val="center"/>
          </w:tcPr>
          <w:p w:rsidR="00FE7757" w:rsidRDefault="00FE7757">
            <w:pPr>
              <w:jc w:val="center"/>
              <w:rPr>
                <w:rFonts w:cs="Arial"/>
                <w:b/>
                <w:bCs/>
                <w:szCs w:val="20"/>
              </w:rPr>
            </w:pPr>
            <w:r>
              <w:rPr>
                <w:rFonts w:cs="Arial"/>
                <w:b/>
                <w:bCs/>
                <w:szCs w:val="20"/>
              </w:rPr>
              <w:t>7.23</w:t>
            </w:r>
          </w:p>
        </w:tc>
        <w:tc>
          <w:tcPr>
            <w:tcW w:w="696" w:type="pct"/>
            <w:tcBorders>
              <w:top w:val="nil"/>
              <w:bottom w:val="single" w:sz="4" w:space="0" w:color="auto"/>
            </w:tcBorders>
            <w:vAlign w:val="center"/>
          </w:tcPr>
          <w:p w:rsidR="00FE7757" w:rsidRDefault="00FE7757">
            <w:pPr>
              <w:jc w:val="center"/>
              <w:rPr>
                <w:rFonts w:cs="Arial"/>
                <w:b/>
                <w:bCs/>
                <w:szCs w:val="20"/>
              </w:rPr>
            </w:pPr>
            <w:r>
              <w:rPr>
                <w:rFonts w:cs="Arial"/>
                <w:b/>
                <w:bCs/>
                <w:szCs w:val="20"/>
              </w:rPr>
              <w:t>59.0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Pr="006735B3" w:rsidRDefault="00C370D1" w:rsidP="00357E56">
      <w:pPr>
        <w:keepNext/>
        <w:jc w:val="both"/>
      </w:pPr>
      <w:r w:rsidRPr="006735B3">
        <w:t>Figure 6</w:t>
      </w:r>
      <w:r w:rsidR="001934E9" w:rsidRPr="006735B3">
        <w:t xml:space="preserve"> shows Bulletin Board pipeline flows for the three LNG export pipeline facilities and the production output at related production facilities in the Roma region.</w:t>
      </w:r>
      <w:r w:rsidR="005E1285" w:rsidRPr="006735B3">
        <w:t xml:space="preserve"> Planned maintenance outage windows for 2017 have been overlayed on the chart for each of the three export pipelines.</w:t>
      </w:r>
      <w:r w:rsidR="005E1285" w:rsidRPr="006735B3">
        <w:rPr>
          <w:rStyle w:val="FootnoteReference"/>
        </w:rPr>
        <w:t xml:space="preserve"> </w:t>
      </w:r>
      <w:r w:rsidR="005E1285" w:rsidRPr="006735B3">
        <w:rPr>
          <w:rStyle w:val="FootnoteReference"/>
        </w:rPr>
        <w:footnoteReference w:id="3"/>
      </w:r>
    </w:p>
    <w:p w:rsidR="001934E9" w:rsidRDefault="001934E9" w:rsidP="001934E9">
      <w:pPr>
        <w:pStyle w:val="Caption"/>
        <w:rPr>
          <w:color w:val="2272A3"/>
          <w:szCs w:val="24"/>
        </w:rPr>
      </w:pPr>
      <w:r w:rsidRPr="001521CB">
        <w:t xml:space="preserve">Figure </w:t>
      </w:r>
      <w:r w:rsidR="001B0EB3">
        <w:fldChar w:fldCharType="begin"/>
      </w:r>
      <w:r w:rsidR="001B0EB3">
        <w:instrText xml:space="preserve"> SEQ Figure \* ARABIC </w:instrText>
      </w:r>
      <w:r w:rsidR="001B0EB3">
        <w:fldChar w:fldCharType="separate"/>
      </w:r>
      <w:r w:rsidR="00C370D1">
        <w:rPr>
          <w:noProof/>
        </w:rPr>
        <w:t>6</w:t>
      </w:r>
      <w:r w:rsidR="001B0EB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5E1285" w:rsidP="00E33530">
      <w:pPr>
        <w:keepNext/>
      </w:pPr>
      <w:r w:rsidRPr="005E1285">
        <w:rPr>
          <w:noProof/>
          <w:lang w:eastAsia="en-AU"/>
        </w:rPr>
        <w:drawing>
          <wp:inline distT="0" distB="0" distL="0" distR="0" wp14:anchorId="69C4327F" wp14:editId="26D232CA">
            <wp:extent cx="5731510" cy="3655549"/>
            <wp:effectExtent l="0" t="0" r="2540" b="2540"/>
            <wp:docPr id="6" name="Picture 6"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55549"/>
                    </a:xfrm>
                    <a:prstGeom prst="rect">
                      <a:avLst/>
                    </a:prstGeom>
                    <a:noFill/>
                    <a:ln>
                      <a:noFill/>
                    </a:ln>
                  </pic:spPr>
                </pic:pic>
              </a:graphicData>
            </a:graphic>
          </wp:inline>
        </w:drawing>
      </w:r>
    </w:p>
    <w:p w:rsidR="009C4C5E"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5E1285" w:rsidRPr="00AB478D" w:rsidRDefault="005E1285" w:rsidP="009C4C5E">
      <w:pPr>
        <w:jc w:val="both"/>
        <w:rPr>
          <w:sz w:val="16"/>
          <w:szCs w:val="16"/>
        </w:rPr>
      </w:pPr>
    </w:p>
    <w:p w:rsidR="00F71840" w:rsidRPr="006D6146" w:rsidRDefault="001521CB" w:rsidP="006D6146">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F71840" w:rsidRPr="00A31B22" w:rsidRDefault="00F71840" w:rsidP="00F71840">
      <w:pPr>
        <w:jc w:val="both"/>
        <w:rPr>
          <w:b/>
          <w:i/>
        </w:rPr>
      </w:pPr>
      <w:r w:rsidRPr="00A31B22">
        <w:rPr>
          <w:b/>
          <w:i/>
        </w:rPr>
        <w:t>Victoria</w:t>
      </w:r>
    </w:p>
    <w:p w:rsidR="00562B46" w:rsidRPr="00A31B22" w:rsidRDefault="006D6146" w:rsidP="00702B1F">
      <w:pPr>
        <w:jc w:val="both"/>
      </w:pPr>
      <w:r w:rsidRPr="00A31B22">
        <w:t>A threat to system security was issued for Victoria on Thursday 3</w:t>
      </w:r>
      <w:r w:rsidR="00A31B22" w:rsidRPr="00A31B22">
        <w:t> </w:t>
      </w:r>
      <w:r w:rsidRPr="00A31B22">
        <w:t>August. This was associated with an alignment of factors, including high residential and gas-powered generation demand, an unplanned maintenance outage at the Dandenong LNG storage facility</w:t>
      </w:r>
      <w:r w:rsidR="00562B46" w:rsidRPr="00A31B22">
        <w:t xml:space="preserve"> and very cold temperatures in Victoria</w:t>
      </w:r>
      <w:r w:rsidR="00F3423B" w:rsidRPr="00A31B22">
        <w:t>.</w:t>
      </w:r>
      <w:r w:rsidR="00562B46" w:rsidRPr="00A31B22">
        <w:rPr>
          <w:rStyle w:val="FootnoteReference"/>
        </w:rPr>
        <w:footnoteReference w:id="4"/>
      </w:r>
      <w:r w:rsidR="00562B46" w:rsidRPr="00A31B22">
        <w:t xml:space="preserve"> </w:t>
      </w:r>
      <w:r w:rsidR="00702B1F" w:rsidRPr="00A31B22">
        <w:t>AEMO raised amber flags</w:t>
      </w:r>
      <w:r w:rsidR="00562B46" w:rsidRPr="00A31B22">
        <w:t xml:space="preserve"> on </w:t>
      </w:r>
      <w:r w:rsidR="00702B1F" w:rsidRPr="00A31B22">
        <w:t>three Bulletin Board pipelines (t</w:t>
      </w:r>
      <w:r w:rsidR="00562B46" w:rsidRPr="00A31B22">
        <w:t>he South West Pipeline, Longford to Melbourne Pipeline and NSW-Vic interconnect</w:t>
      </w:r>
      <w:r w:rsidR="00702B1F" w:rsidRPr="00A31B22">
        <w:t>)</w:t>
      </w:r>
      <w:r w:rsidR="00A31B22">
        <w:t xml:space="preserve"> representing a system-wide threat</w:t>
      </w:r>
      <w:r w:rsidR="00562B46" w:rsidRPr="00A31B22">
        <w:t>.</w:t>
      </w:r>
      <w:r w:rsidR="00A31B22">
        <w:rPr>
          <w:rStyle w:val="FootnoteReference"/>
        </w:rPr>
        <w:footnoteReference w:id="5"/>
      </w:r>
    </w:p>
    <w:p w:rsidR="006D6146" w:rsidRPr="00A31B22" w:rsidRDefault="000F7B4D" w:rsidP="00F71840">
      <w:pPr>
        <w:jc w:val="both"/>
      </w:pPr>
      <w:r w:rsidRPr="00A31B22">
        <w:t xml:space="preserve">Dandenong LNG’s unplanned maintenance period commenced </w:t>
      </w:r>
      <w:r w:rsidR="003313A7">
        <w:t>from</w:t>
      </w:r>
      <w:r w:rsidR="003313A7" w:rsidRPr="00A31B22">
        <w:t xml:space="preserve"> </w:t>
      </w:r>
      <w:r w:rsidR="00F3423B" w:rsidRPr="00A31B22">
        <w:t>1</w:t>
      </w:r>
      <w:r w:rsidR="00A31B22" w:rsidRPr="00A31B22">
        <w:t> </w:t>
      </w:r>
      <w:r w:rsidRPr="00A31B22">
        <w:t xml:space="preserve">August and was </w:t>
      </w:r>
      <w:r w:rsidR="003313A7">
        <w:t>expected</w:t>
      </w:r>
      <w:r w:rsidR="003313A7" w:rsidRPr="00A31B22">
        <w:t xml:space="preserve"> </w:t>
      </w:r>
      <w:r w:rsidRPr="00A31B22">
        <w:t xml:space="preserve">to last one week. </w:t>
      </w:r>
      <w:r w:rsidR="00E233DD" w:rsidRPr="00A31B22">
        <w:t>In response to the threat to system security</w:t>
      </w:r>
      <w:r w:rsidR="002848D3" w:rsidRPr="00A31B22">
        <w:t xml:space="preserve"> on </w:t>
      </w:r>
      <w:r w:rsidR="00F3423B" w:rsidRPr="00A31B22">
        <w:t>3</w:t>
      </w:r>
      <w:r w:rsidR="00A31B22" w:rsidRPr="00A31B22">
        <w:t> </w:t>
      </w:r>
      <w:r w:rsidR="002848D3" w:rsidRPr="00A31B22">
        <w:t>August</w:t>
      </w:r>
      <w:r w:rsidR="00E233DD" w:rsidRPr="00A31B22">
        <w:t xml:space="preserve">, </w:t>
      </w:r>
      <w:r w:rsidRPr="00A31B22">
        <w:t xml:space="preserve">AEMO overrode </w:t>
      </w:r>
      <w:r w:rsidR="002848D3" w:rsidRPr="00A31B22">
        <w:t xml:space="preserve">constraints applied to Dandenong LNG </w:t>
      </w:r>
      <w:r w:rsidRPr="00A31B22">
        <w:t>and scheduled additional gas from the facility into Melbourne.</w:t>
      </w:r>
      <w:r w:rsidR="00B40AD5" w:rsidRPr="00A31B22">
        <w:t xml:space="preserve"> </w:t>
      </w:r>
      <w:r w:rsidR="00405BF5" w:rsidRPr="00A31B22">
        <w:t>This is commensurate with the facility’s</w:t>
      </w:r>
      <w:r w:rsidR="00B40AD5" w:rsidRPr="00A31B22">
        <w:t xml:space="preserve"> </w:t>
      </w:r>
      <w:r w:rsidR="00405BF5" w:rsidRPr="00A31B22">
        <w:t>primary role as emergency back-up, injecting into Victoria’s Declared Transmission System (DTS) during potential supply shortfalls.</w:t>
      </w:r>
    </w:p>
    <w:p w:rsidR="00405BF5" w:rsidRPr="00943B62" w:rsidRDefault="00405BF5" w:rsidP="00F71840">
      <w:pPr>
        <w:jc w:val="both"/>
      </w:pPr>
      <w:r w:rsidRPr="003313A7">
        <w:t xml:space="preserve">Demand on the day, included </w:t>
      </w:r>
      <w:r w:rsidR="00F3423B" w:rsidRPr="003313A7">
        <w:t>263 </w:t>
      </w:r>
      <w:r w:rsidRPr="003313A7">
        <w:t>TJ</w:t>
      </w:r>
      <w:r w:rsidR="003313A7">
        <w:rPr>
          <w:rStyle w:val="FootnoteReference"/>
        </w:rPr>
        <w:footnoteReference w:id="6"/>
      </w:r>
      <w:r w:rsidRPr="003313A7">
        <w:t xml:space="preserve"> for Victorian gas powered generation (GPG). </w:t>
      </w:r>
      <w:r w:rsidRPr="00943B62">
        <w:t>This was the second highest day of GPG demand</w:t>
      </w:r>
      <w:r w:rsidR="00943B62">
        <w:t xml:space="preserve"> in the </w:t>
      </w:r>
      <w:r w:rsidR="00D4239C">
        <w:t>region</w:t>
      </w:r>
      <w:r w:rsidR="00D4239C" w:rsidRPr="00943B62">
        <w:t xml:space="preserve"> </w:t>
      </w:r>
      <w:r w:rsidRPr="00943B62">
        <w:t>for the 2017 winter.</w:t>
      </w:r>
    </w:p>
    <w:p w:rsidR="006D6146" w:rsidRPr="00372F12" w:rsidRDefault="004F054F" w:rsidP="00F71840">
      <w:pPr>
        <w:jc w:val="both"/>
      </w:pPr>
      <w:r w:rsidRPr="00B2245E">
        <w:t>Actual demand</w:t>
      </w:r>
      <w:r w:rsidRPr="00B2245E">
        <w:rPr>
          <w:rStyle w:val="FootnoteReference"/>
        </w:rPr>
        <w:footnoteReference w:id="7"/>
      </w:r>
      <w:r w:rsidR="00316D3B" w:rsidRPr="00B2245E">
        <w:t xml:space="preserve"> was the highest since August 2008</w:t>
      </w:r>
      <w:r w:rsidRPr="00B2245E">
        <w:t xml:space="preserve">. </w:t>
      </w:r>
      <w:r w:rsidR="00B40AD5" w:rsidRPr="00B2245E">
        <w:t>Given</w:t>
      </w:r>
      <w:r w:rsidR="00F40DCA" w:rsidRPr="00B2245E">
        <w:t xml:space="preserve"> the high demand</w:t>
      </w:r>
      <w:r w:rsidR="006713ED" w:rsidRPr="00B2245E">
        <w:t xml:space="preserve"> forecast</w:t>
      </w:r>
      <w:r w:rsidR="00F40DCA" w:rsidRPr="00B2245E">
        <w:t xml:space="preserve"> for the day, prices were</w:t>
      </w:r>
      <w:r w:rsidR="006713ED" w:rsidRPr="00B2245E">
        <w:t xml:space="preserve"> </w:t>
      </w:r>
      <w:r w:rsidR="00F90420" w:rsidRPr="00B2245E">
        <w:t>already moderately</w:t>
      </w:r>
      <w:r w:rsidR="006713ED" w:rsidRPr="00B2245E">
        <w:t xml:space="preserve"> </w:t>
      </w:r>
      <w:r w:rsidR="00A8389C" w:rsidRPr="00B2245E">
        <w:t>high ($11/GJ) for the 6</w:t>
      </w:r>
      <w:r w:rsidR="00B2245E" w:rsidRPr="00B2245E">
        <w:t> </w:t>
      </w:r>
      <w:r w:rsidR="00A8389C" w:rsidRPr="00B2245E">
        <w:t>am</w:t>
      </w:r>
      <w:r w:rsidR="00F40DCA" w:rsidRPr="00B2245E">
        <w:t xml:space="preserve"> scheduling period</w:t>
      </w:r>
      <w:r w:rsidR="00D12619" w:rsidRPr="00B2245E">
        <w:t>. They did not get much higher, increasing</w:t>
      </w:r>
      <w:r w:rsidR="00F40DCA" w:rsidRPr="00B2245E">
        <w:t xml:space="preserve"> to a maximum of $13.86/GJ</w:t>
      </w:r>
      <w:r w:rsidR="00A8389C" w:rsidRPr="00B2245E">
        <w:t xml:space="preserve"> for the 2</w:t>
      </w:r>
      <w:r w:rsidR="00B2245E" w:rsidRPr="00B2245E">
        <w:t> </w:t>
      </w:r>
      <w:r w:rsidR="00A8389C" w:rsidRPr="00B2245E">
        <w:t>pm</w:t>
      </w:r>
      <w:r w:rsidR="00D12619" w:rsidRPr="00B2245E">
        <w:t xml:space="preserve"> scheduling period</w:t>
      </w:r>
      <w:r w:rsidR="00D12619" w:rsidRPr="00372F12">
        <w:t xml:space="preserve">. </w:t>
      </w:r>
      <w:r w:rsidR="00372F12">
        <w:t>Gas reserved for system security at Dandenong was scheduled for injection across the 6 pm scheduling period</w:t>
      </w:r>
      <w:r w:rsidR="00D12619" w:rsidRPr="00372F12">
        <w:t>.</w:t>
      </w:r>
      <w:r w:rsidR="00372F12">
        <w:rPr>
          <w:rStyle w:val="FootnoteReference"/>
        </w:rPr>
        <w:footnoteReference w:id="8"/>
      </w:r>
    </w:p>
    <w:p w:rsidR="00F71840" w:rsidRPr="00B2245E" w:rsidRDefault="00F71840" w:rsidP="00F71840">
      <w:pPr>
        <w:jc w:val="both"/>
        <w:rPr>
          <w:b/>
          <w:i/>
        </w:rPr>
      </w:pPr>
      <w:r w:rsidRPr="00B2245E">
        <w:rPr>
          <w:b/>
          <w:i/>
        </w:rPr>
        <w:t>Sydney</w:t>
      </w:r>
    </w:p>
    <w:p w:rsidR="00F71840" w:rsidRPr="00372F12" w:rsidRDefault="00F71840" w:rsidP="00F71840">
      <w:pPr>
        <w:jc w:val="both"/>
      </w:pPr>
      <w:r w:rsidRPr="00372F12">
        <w:t>Sydney MOS service payments averaged approximately $65,000 per day for the week.  This continued the recent high daily average trend across May ($6</w:t>
      </w:r>
      <w:r w:rsidR="00372F12" w:rsidRPr="00372F12">
        <w:t>5</w:t>
      </w:r>
      <w:r w:rsidRPr="00372F12">
        <w:t>,000), Jun</w:t>
      </w:r>
      <w:r w:rsidR="00FE114E" w:rsidRPr="00372F12">
        <w:t>e ($</w:t>
      </w:r>
      <w:r w:rsidR="00372F12" w:rsidRPr="00372F12">
        <w:t>57,</w:t>
      </w:r>
      <w:r w:rsidR="00FE114E" w:rsidRPr="00372F12">
        <w:t>000) and July ($67,000).</w:t>
      </w:r>
      <w:r w:rsidRPr="00372F12">
        <w:t xml:space="preserve"> Two daily MOS service p</w:t>
      </w:r>
      <w:r w:rsidR="00372F12">
        <w:t>ayments were in excess $100,000</w:t>
      </w:r>
      <w:r w:rsidRPr="00372F12">
        <w:t xml:space="preserve"> on 31</w:t>
      </w:r>
      <w:r w:rsidR="00372F12">
        <w:t> </w:t>
      </w:r>
      <w:r w:rsidRPr="00372F12">
        <w:t>July ($120,000) and 3</w:t>
      </w:r>
      <w:r w:rsidR="00372F12">
        <w:t> </w:t>
      </w:r>
      <w:r w:rsidRPr="00372F12">
        <w:t>August ($104,000).</w:t>
      </w:r>
    </w:p>
    <w:p w:rsidR="00F71840" w:rsidRPr="00B2245E" w:rsidRDefault="00737843" w:rsidP="00F71840">
      <w:pPr>
        <w:jc w:val="both"/>
        <w:rPr>
          <w:b/>
          <w:i/>
        </w:rPr>
      </w:pPr>
      <w:r w:rsidRPr="00B2245E">
        <w:rPr>
          <w:b/>
          <w:i/>
        </w:rPr>
        <w:t>Queensland LNG</w:t>
      </w:r>
    </w:p>
    <w:p w:rsidR="001521CB" w:rsidRPr="00B2245E" w:rsidRDefault="00D04C31" w:rsidP="00475F8E">
      <w:pPr>
        <w:jc w:val="both"/>
      </w:pPr>
      <w:r w:rsidRPr="00B2245E">
        <w:t xml:space="preserve">Figure 6 shows the total export pipeline flows towards Curtis Island for the three LNG projects, overlayed with planned maintenance outage periods. During a recent outage window for QCLNG’s export pipeline, an unplanned outage </w:t>
      </w:r>
      <w:r w:rsidR="0004138C" w:rsidRPr="00B2245E">
        <w:t>from</w:t>
      </w:r>
      <w:r w:rsidRPr="00B2245E">
        <w:t xml:space="preserve"> 3 August re</w:t>
      </w:r>
      <w:r w:rsidR="00EA5D5C" w:rsidRPr="00B2245E">
        <w:t>sulted in a significant decrease in</w:t>
      </w:r>
      <w:r w:rsidRPr="00B2245E">
        <w:t xml:space="preserve"> flow</w:t>
      </w:r>
      <w:r w:rsidR="00EA5D5C" w:rsidRPr="00B2245E">
        <w:t>s</w:t>
      </w:r>
      <w:r w:rsidRPr="00B2245E">
        <w:t xml:space="preserve"> on the Wallumbilla to Gladstone Pipeline. There was also lower output at each of the production facilities operated by QGC. </w:t>
      </w:r>
    </w:p>
    <w:p w:rsidR="001521CB" w:rsidRPr="00B2245E" w:rsidRDefault="00D04C31" w:rsidP="00B2245E">
      <w:r w:rsidRPr="00B2245E">
        <w:t>Since the outage, total production has remained around 3500 TJ</w:t>
      </w:r>
      <w:r w:rsidR="0004138C" w:rsidRPr="00B2245E">
        <w:t>.</w:t>
      </w:r>
      <w:r w:rsidR="0004138C" w:rsidRPr="00B2245E">
        <w:rPr>
          <w:rStyle w:val="FootnoteReference"/>
        </w:rPr>
        <w:footnoteReference w:id="9"/>
      </w:r>
      <w:r w:rsidR="001521CB">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68F34480" wp14:editId="5797C986">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10"/>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11"/>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2"/>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FE7757" w:rsidP="003171C6">
      <w:r w:rsidRPr="00FE7757">
        <w:rPr>
          <w:noProof/>
          <w:lang w:eastAsia="en-AU"/>
        </w:rPr>
        <w:drawing>
          <wp:inline distT="0" distB="0" distL="0" distR="0" wp14:anchorId="751B1083" wp14:editId="2A5574F1">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FE7757" w:rsidP="003171C6">
      <w:r w:rsidRPr="00FE7757">
        <w:rPr>
          <w:noProof/>
          <w:lang w:eastAsia="en-AU"/>
        </w:rPr>
        <w:drawing>
          <wp:inline distT="0" distB="0" distL="0" distR="0" wp14:anchorId="2B740510" wp14:editId="1CF3038B">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FE7757" w:rsidP="003171C6">
      <w:r w:rsidRPr="00FE7757">
        <w:rPr>
          <w:noProof/>
          <w:lang w:eastAsia="en-AU"/>
        </w:rPr>
        <w:drawing>
          <wp:inline distT="0" distB="0" distL="0" distR="0" wp14:anchorId="31DB9EF9" wp14:editId="516E8821">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FE7757" w:rsidP="003171C6">
      <w:r w:rsidRPr="00FE7757">
        <w:rPr>
          <w:noProof/>
          <w:lang w:eastAsia="en-AU"/>
        </w:rPr>
        <w:drawing>
          <wp:inline distT="0" distB="0" distL="0" distR="0" wp14:anchorId="18693361" wp14:editId="16E4DE77">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D4239C" w:rsidP="003171C6">
      <w:r w:rsidRPr="00D4239C">
        <w:rPr>
          <w:noProof/>
          <w:lang w:eastAsia="en-AU"/>
        </w:rPr>
        <w:drawing>
          <wp:inline distT="0" distB="0" distL="0" distR="0" wp14:anchorId="34739273" wp14:editId="50C60697">
            <wp:extent cx="5731510" cy="2142314"/>
            <wp:effectExtent l="0" t="0" r="2540" b="0"/>
            <wp:docPr id="7" name="Picture 7" descr="Figure 1.5 shows the metered injections sorted by facility for each 4 hour interval in Victoria this week. For a more detailed description of this figure, please refer to the user guide." title="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314"/>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3"/>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4"/>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FE7757" w:rsidRPr="00405CDE" w:rsidTr="00A226E9">
        <w:trPr>
          <w:trHeight w:val="510"/>
        </w:trPr>
        <w:tc>
          <w:tcPr>
            <w:tcW w:w="1211" w:type="pct"/>
            <w:tcBorders>
              <w:top w:val="nil"/>
              <w:bottom w:val="nil"/>
            </w:tcBorders>
            <w:vAlign w:val="center"/>
          </w:tcPr>
          <w:p w:rsidR="00FE7757" w:rsidRDefault="00FE7757">
            <w:pPr>
              <w:rPr>
                <w:rFonts w:cs="Arial"/>
                <w:sz w:val="20"/>
                <w:szCs w:val="20"/>
              </w:rPr>
            </w:pPr>
            <w:r>
              <w:rPr>
                <w:rFonts w:cs="Arial"/>
                <w:sz w:val="20"/>
                <w:szCs w:val="20"/>
              </w:rPr>
              <w:t>Ex ante price ($/GJ)</w:t>
            </w:r>
          </w:p>
        </w:tc>
        <w:tc>
          <w:tcPr>
            <w:tcW w:w="580" w:type="pct"/>
            <w:tcBorders>
              <w:top w:val="nil"/>
              <w:bottom w:val="nil"/>
            </w:tcBorders>
            <w:vAlign w:val="center"/>
          </w:tcPr>
          <w:p w:rsidR="00FE7757" w:rsidRDefault="00FE7757">
            <w:pPr>
              <w:jc w:val="center"/>
              <w:rPr>
                <w:rFonts w:cs="Arial"/>
                <w:sz w:val="20"/>
                <w:szCs w:val="20"/>
              </w:rPr>
            </w:pPr>
            <w:r>
              <w:rPr>
                <w:rFonts w:cs="Arial"/>
                <w:sz w:val="20"/>
                <w:szCs w:val="20"/>
              </w:rPr>
              <w:t>8.55</w:t>
            </w:r>
          </w:p>
        </w:tc>
        <w:tc>
          <w:tcPr>
            <w:tcW w:w="508" w:type="pct"/>
            <w:tcBorders>
              <w:top w:val="nil"/>
              <w:bottom w:val="nil"/>
            </w:tcBorders>
            <w:vAlign w:val="center"/>
          </w:tcPr>
          <w:p w:rsidR="00FE7757" w:rsidRDefault="00FE7757">
            <w:pPr>
              <w:jc w:val="center"/>
              <w:rPr>
                <w:rFonts w:cs="Arial"/>
                <w:sz w:val="20"/>
                <w:szCs w:val="20"/>
              </w:rPr>
            </w:pPr>
            <w:r>
              <w:rPr>
                <w:rFonts w:cs="Arial"/>
                <w:sz w:val="20"/>
                <w:szCs w:val="20"/>
              </w:rPr>
              <w:t>9.28</w:t>
            </w:r>
          </w:p>
        </w:tc>
        <w:tc>
          <w:tcPr>
            <w:tcW w:w="589" w:type="pct"/>
            <w:tcBorders>
              <w:top w:val="nil"/>
              <w:bottom w:val="nil"/>
            </w:tcBorders>
            <w:vAlign w:val="center"/>
          </w:tcPr>
          <w:p w:rsidR="00FE7757" w:rsidRDefault="00FE7757">
            <w:pPr>
              <w:jc w:val="center"/>
              <w:rPr>
                <w:rFonts w:cs="Arial"/>
                <w:sz w:val="20"/>
                <w:szCs w:val="20"/>
              </w:rPr>
            </w:pPr>
            <w:r>
              <w:rPr>
                <w:rFonts w:cs="Arial"/>
                <w:sz w:val="20"/>
                <w:szCs w:val="20"/>
              </w:rPr>
              <w:t>9.35</w:t>
            </w:r>
          </w:p>
        </w:tc>
        <w:tc>
          <w:tcPr>
            <w:tcW w:w="517" w:type="pct"/>
            <w:tcBorders>
              <w:top w:val="nil"/>
              <w:bottom w:val="nil"/>
            </w:tcBorders>
            <w:vAlign w:val="center"/>
          </w:tcPr>
          <w:p w:rsidR="00FE7757" w:rsidRDefault="00FE7757">
            <w:pPr>
              <w:jc w:val="center"/>
              <w:rPr>
                <w:rFonts w:cs="Arial"/>
                <w:sz w:val="20"/>
                <w:szCs w:val="20"/>
              </w:rPr>
            </w:pPr>
            <w:r>
              <w:rPr>
                <w:rFonts w:cs="Arial"/>
                <w:sz w:val="20"/>
                <w:szCs w:val="20"/>
              </w:rPr>
              <w:t>9.94</w:t>
            </w:r>
          </w:p>
        </w:tc>
        <w:tc>
          <w:tcPr>
            <w:tcW w:w="510" w:type="pct"/>
            <w:tcBorders>
              <w:top w:val="nil"/>
              <w:bottom w:val="nil"/>
            </w:tcBorders>
            <w:vAlign w:val="center"/>
          </w:tcPr>
          <w:p w:rsidR="00FE7757" w:rsidRDefault="00FE7757">
            <w:pPr>
              <w:jc w:val="center"/>
              <w:rPr>
                <w:rFonts w:cs="Arial"/>
                <w:sz w:val="20"/>
                <w:szCs w:val="20"/>
              </w:rPr>
            </w:pPr>
            <w:r>
              <w:rPr>
                <w:rFonts w:cs="Arial"/>
                <w:sz w:val="20"/>
                <w:szCs w:val="20"/>
              </w:rPr>
              <w:t>10.09</w:t>
            </w:r>
          </w:p>
        </w:tc>
        <w:tc>
          <w:tcPr>
            <w:tcW w:w="507" w:type="pct"/>
            <w:tcBorders>
              <w:top w:val="nil"/>
              <w:bottom w:val="nil"/>
            </w:tcBorders>
            <w:vAlign w:val="center"/>
          </w:tcPr>
          <w:p w:rsidR="00FE7757" w:rsidRDefault="00FE7757">
            <w:pPr>
              <w:jc w:val="center"/>
              <w:rPr>
                <w:rFonts w:cs="Arial"/>
                <w:sz w:val="20"/>
                <w:szCs w:val="20"/>
              </w:rPr>
            </w:pPr>
            <w:r>
              <w:rPr>
                <w:rFonts w:cs="Arial"/>
                <w:sz w:val="20"/>
                <w:szCs w:val="20"/>
              </w:rPr>
              <w:t>10.60</w:t>
            </w:r>
          </w:p>
        </w:tc>
        <w:tc>
          <w:tcPr>
            <w:tcW w:w="578" w:type="pct"/>
            <w:tcBorders>
              <w:top w:val="nil"/>
              <w:bottom w:val="nil"/>
            </w:tcBorders>
            <w:vAlign w:val="center"/>
          </w:tcPr>
          <w:p w:rsidR="00FE7757" w:rsidRDefault="00FE7757">
            <w:pPr>
              <w:jc w:val="center"/>
              <w:rPr>
                <w:rFonts w:cs="Arial"/>
                <w:sz w:val="20"/>
                <w:szCs w:val="20"/>
              </w:rPr>
            </w:pPr>
            <w:r>
              <w:rPr>
                <w:rFonts w:cs="Arial"/>
                <w:sz w:val="20"/>
                <w:szCs w:val="20"/>
              </w:rPr>
              <w:t>9.20</w:t>
            </w:r>
          </w:p>
        </w:tc>
      </w:tr>
      <w:tr w:rsidR="00FE775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FE7757" w:rsidRDefault="00FE7757">
            <w:pPr>
              <w:rPr>
                <w:rFonts w:cs="Arial"/>
                <w:szCs w:val="20"/>
              </w:rPr>
            </w:pPr>
            <w:r>
              <w:rPr>
                <w:rFonts w:cs="Arial"/>
                <w:szCs w:val="20"/>
              </w:rPr>
              <w:t>Ex ante quantity (TJ)</w:t>
            </w:r>
          </w:p>
        </w:tc>
        <w:tc>
          <w:tcPr>
            <w:tcW w:w="580" w:type="pct"/>
            <w:tcBorders>
              <w:top w:val="nil"/>
              <w:bottom w:val="nil"/>
            </w:tcBorders>
            <w:vAlign w:val="center"/>
          </w:tcPr>
          <w:p w:rsidR="00FE7757" w:rsidRDefault="00FE7757">
            <w:pPr>
              <w:jc w:val="center"/>
              <w:rPr>
                <w:rFonts w:cs="Arial"/>
                <w:szCs w:val="20"/>
              </w:rPr>
            </w:pPr>
            <w:r>
              <w:rPr>
                <w:rFonts w:cs="Arial"/>
                <w:szCs w:val="20"/>
              </w:rPr>
              <w:t>226</w:t>
            </w:r>
          </w:p>
        </w:tc>
        <w:tc>
          <w:tcPr>
            <w:tcW w:w="508" w:type="pct"/>
            <w:tcBorders>
              <w:top w:val="nil"/>
              <w:bottom w:val="nil"/>
            </w:tcBorders>
            <w:vAlign w:val="center"/>
          </w:tcPr>
          <w:p w:rsidR="00FE7757" w:rsidRDefault="00FE7757">
            <w:pPr>
              <w:jc w:val="center"/>
              <w:rPr>
                <w:rFonts w:cs="Arial"/>
                <w:szCs w:val="20"/>
              </w:rPr>
            </w:pPr>
            <w:r>
              <w:rPr>
                <w:rFonts w:cs="Arial"/>
                <w:szCs w:val="20"/>
              </w:rPr>
              <w:t>285</w:t>
            </w:r>
          </w:p>
        </w:tc>
        <w:tc>
          <w:tcPr>
            <w:tcW w:w="589" w:type="pct"/>
            <w:tcBorders>
              <w:top w:val="nil"/>
              <w:bottom w:val="nil"/>
            </w:tcBorders>
            <w:vAlign w:val="center"/>
          </w:tcPr>
          <w:p w:rsidR="00FE7757" w:rsidRDefault="00FE7757">
            <w:pPr>
              <w:jc w:val="center"/>
              <w:rPr>
                <w:rFonts w:cs="Arial"/>
                <w:szCs w:val="20"/>
              </w:rPr>
            </w:pPr>
            <w:r>
              <w:rPr>
                <w:rFonts w:cs="Arial"/>
                <w:szCs w:val="20"/>
              </w:rPr>
              <w:t>301</w:t>
            </w:r>
          </w:p>
        </w:tc>
        <w:tc>
          <w:tcPr>
            <w:tcW w:w="517" w:type="pct"/>
            <w:tcBorders>
              <w:top w:val="nil"/>
              <w:bottom w:val="nil"/>
            </w:tcBorders>
            <w:vAlign w:val="center"/>
          </w:tcPr>
          <w:p w:rsidR="00FE7757" w:rsidRDefault="00FE7757">
            <w:pPr>
              <w:jc w:val="center"/>
              <w:rPr>
                <w:rFonts w:cs="Arial"/>
                <w:szCs w:val="20"/>
              </w:rPr>
            </w:pPr>
            <w:r>
              <w:rPr>
                <w:rFonts w:cs="Arial"/>
                <w:szCs w:val="20"/>
              </w:rPr>
              <w:t>310</w:t>
            </w:r>
          </w:p>
        </w:tc>
        <w:tc>
          <w:tcPr>
            <w:tcW w:w="510" w:type="pct"/>
            <w:tcBorders>
              <w:top w:val="nil"/>
              <w:bottom w:val="nil"/>
            </w:tcBorders>
            <w:vAlign w:val="center"/>
          </w:tcPr>
          <w:p w:rsidR="00FE7757" w:rsidRDefault="00FE7757">
            <w:pPr>
              <w:jc w:val="center"/>
              <w:rPr>
                <w:rFonts w:cs="Arial"/>
                <w:szCs w:val="20"/>
              </w:rPr>
            </w:pPr>
            <w:r>
              <w:rPr>
                <w:rFonts w:cs="Arial"/>
                <w:szCs w:val="20"/>
              </w:rPr>
              <w:t>307</w:t>
            </w:r>
          </w:p>
        </w:tc>
        <w:tc>
          <w:tcPr>
            <w:tcW w:w="507" w:type="pct"/>
            <w:tcBorders>
              <w:top w:val="nil"/>
              <w:bottom w:val="nil"/>
            </w:tcBorders>
            <w:vAlign w:val="center"/>
          </w:tcPr>
          <w:p w:rsidR="00FE7757" w:rsidRDefault="00FE7757">
            <w:pPr>
              <w:jc w:val="center"/>
              <w:rPr>
                <w:rFonts w:cs="Arial"/>
                <w:szCs w:val="20"/>
              </w:rPr>
            </w:pPr>
            <w:r>
              <w:rPr>
                <w:rFonts w:cs="Arial"/>
                <w:szCs w:val="20"/>
              </w:rPr>
              <w:t>297</w:t>
            </w:r>
          </w:p>
        </w:tc>
        <w:tc>
          <w:tcPr>
            <w:tcW w:w="578" w:type="pct"/>
            <w:tcBorders>
              <w:top w:val="nil"/>
              <w:bottom w:val="nil"/>
            </w:tcBorders>
            <w:vAlign w:val="center"/>
          </w:tcPr>
          <w:p w:rsidR="00FE7757" w:rsidRDefault="00FE7757">
            <w:pPr>
              <w:jc w:val="center"/>
              <w:rPr>
                <w:rFonts w:cs="Arial"/>
                <w:szCs w:val="20"/>
              </w:rPr>
            </w:pPr>
            <w:r>
              <w:rPr>
                <w:rFonts w:cs="Arial"/>
                <w:szCs w:val="20"/>
              </w:rPr>
              <w:t>277</w:t>
            </w:r>
          </w:p>
        </w:tc>
      </w:tr>
      <w:tr w:rsidR="00FE7757" w:rsidRPr="00405CDE" w:rsidTr="00A226E9">
        <w:trPr>
          <w:trHeight w:val="510"/>
        </w:trPr>
        <w:tc>
          <w:tcPr>
            <w:tcW w:w="1211" w:type="pct"/>
            <w:tcBorders>
              <w:top w:val="nil"/>
              <w:bottom w:val="nil"/>
            </w:tcBorders>
            <w:vAlign w:val="center"/>
          </w:tcPr>
          <w:p w:rsidR="00FE7757" w:rsidRDefault="00FE7757">
            <w:pPr>
              <w:rPr>
                <w:rFonts w:cs="Arial"/>
                <w:sz w:val="20"/>
                <w:szCs w:val="20"/>
              </w:rPr>
            </w:pPr>
            <w:r>
              <w:rPr>
                <w:rFonts w:cs="Arial"/>
                <w:sz w:val="20"/>
                <w:szCs w:val="20"/>
              </w:rPr>
              <w:t>Ex post price ($/GJ)</w:t>
            </w:r>
          </w:p>
        </w:tc>
        <w:tc>
          <w:tcPr>
            <w:tcW w:w="580" w:type="pct"/>
            <w:tcBorders>
              <w:top w:val="nil"/>
              <w:bottom w:val="nil"/>
            </w:tcBorders>
            <w:vAlign w:val="center"/>
          </w:tcPr>
          <w:p w:rsidR="00FE7757" w:rsidRDefault="00FE7757">
            <w:pPr>
              <w:jc w:val="center"/>
              <w:rPr>
                <w:rFonts w:cs="Arial"/>
                <w:sz w:val="20"/>
                <w:szCs w:val="20"/>
              </w:rPr>
            </w:pPr>
            <w:r>
              <w:rPr>
                <w:rFonts w:cs="Arial"/>
                <w:sz w:val="20"/>
                <w:szCs w:val="20"/>
              </w:rPr>
              <w:t>8.00</w:t>
            </w:r>
          </w:p>
        </w:tc>
        <w:tc>
          <w:tcPr>
            <w:tcW w:w="508" w:type="pct"/>
            <w:tcBorders>
              <w:top w:val="nil"/>
              <w:bottom w:val="nil"/>
            </w:tcBorders>
            <w:vAlign w:val="center"/>
          </w:tcPr>
          <w:p w:rsidR="00FE7757" w:rsidRDefault="00FE7757">
            <w:pPr>
              <w:jc w:val="center"/>
              <w:rPr>
                <w:rFonts w:cs="Arial"/>
                <w:sz w:val="20"/>
                <w:szCs w:val="20"/>
              </w:rPr>
            </w:pPr>
            <w:r>
              <w:rPr>
                <w:rFonts w:cs="Arial"/>
                <w:sz w:val="20"/>
                <w:szCs w:val="20"/>
              </w:rPr>
              <w:t>8.75</w:t>
            </w:r>
          </w:p>
        </w:tc>
        <w:tc>
          <w:tcPr>
            <w:tcW w:w="589" w:type="pct"/>
            <w:tcBorders>
              <w:top w:val="nil"/>
              <w:bottom w:val="nil"/>
            </w:tcBorders>
            <w:vAlign w:val="center"/>
          </w:tcPr>
          <w:p w:rsidR="00FE7757" w:rsidRDefault="00FE7757">
            <w:pPr>
              <w:jc w:val="center"/>
              <w:rPr>
                <w:rFonts w:cs="Arial"/>
                <w:sz w:val="20"/>
                <w:szCs w:val="20"/>
              </w:rPr>
            </w:pPr>
            <w:r>
              <w:rPr>
                <w:rFonts w:cs="Arial"/>
                <w:sz w:val="20"/>
                <w:szCs w:val="20"/>
              </w:rPr>
              <w:t>9.99</w:t>
            </w:r>
          </w:p>
        </w:tc>
        <w:tc>
          <w:tcPr>
            <w:tcW w:w="517" w:type="pct"/>
            <w:tcBorders>
              <w:top w:val="nil"/>
              <w:bottom w:val="nil"/>
            </w:tcBorders>
            <w:vAlign w:val="center"/>
          </w:tcPr>
          <w:p w:rsidR="00FE7757" w:rsidRDefault="00FE7757">
            <w:pPr>
              <w:jc w:val="center"/>
              <w:rPr>
                <w:rFonts w:cs="Arial"/>
                <w:sz w:val="20"/>
                <w:szCs w:val="20"/>
              </w:rPr>
            </w:pPr>
            <w:r>
              <w:rPr>
                <w:rFonts w:cs="Arial"/>
                <w:sz w:val="20"/>
                <w:szCs w:val="20"/>
              </w:rPr>
              <w:t>9.94</w:t>
            </w:r>
          </w:p>
        </w:tc>
        <w:tc>
          <w:tcPr>
            <w:tcW w:w="510" w:type="pct"/>
            <w:tcBorders>
              <w:top w:val="nil"/>
              <w:bottom w:val="nil"/>
            </w:tcBorders>
            <w:vAlign w:val="center"/>
          </w:tcPr>
          <w:p w:rsidR="00FE7757" w:rsidRDefault="00FE7757">
            <w:pPr>
              <w:jc w:val="center"/>
              <w:rPr>
                <w:rFonts w:cs="Arial"/>
                <w:sz w:val="20"/>
                <w:szCs w:val="20"/>
              </w:rPr>
            </w:pPr>
            <w:r>
              <w:rPr>
                <w:rFonts w:cs="Arial"/>
                <w:sz w:val="20"/>
                <w:szCs w:val="20"/>
              </w:rPr>
              <w:t>9.28</w:t>
            </w:r>
          </w:p>
        </w:tc>
        <w:tc>
          <w:tcPr>
            <w:tcW w:w="507" w:type="pct"/>
            <w:tcBorders>
              <w:top w:val="nil"/>
              <w:bottom w:val="nil"/>
            </w:tcBorders>
            <w:vAlign w:val="center"/>
          </w:tcPr>
          <w:p w:rsidR="00FE7757" w:rsidRDefault="00FE7757">
            <w:pPr>
              <w:jc w:val="center"/>
              <w:rPr>
                <w:rFonts w:cs="Arial"/>
                <w:sz w:val="20"/>
                <w:szCs w:val="20"/>
              </w:rPr>
            </w:pPr>
            <w:r>
              <w:rPr>
                <w:rFonts w:cs="Arial"/>
                <w:sz w:val="20"/>
                <w:szCs w:val="20"/>
              </w:rPr>
              <w:t>10.59</w:t>
            </w:r>
          </w:p>
        </w:tc>
        <w:tc>
          <w:tcPr>
            <w:tcW w:w="578" w:type="pct"/>
            <w:tcBorders>
              <w:top w:val="nil"/>
              <w:bottom w:val="nil"/>
            </w:tcBorders>
            <w:vAlign w:val="center"/>
          </w:tcPr>
          <w:p w:rsidR="00FE7757" w:rsidRDefault="00FE7757">
            <w:pPr>
              <w:jc w:val="center"/>
              <w:rPr>
                <w:rFonts w:cs="Arial"/>
                <w:sz w:val="20"/>
                <w:szCs w:val="20"/>
              </w:rPr>
            </w:pPr>
            <w:r>
              <w:rPr>
                <w:rFonts w:cs="Arial"/>
                <w:sz w:val="20"/>
                <w:szCs w:val="20"/>
              </w:rPr>
              <w:t>8.98</w:t>
            </w:r>
          </w:p>
        </w:tc>
      </w:tr>
      <w:tr w:rsidR="00FE775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FE7757" w:rsidRDefault="00FE7757">
            <w:pPr>
              <w:rPr>
                <w:rFonts w:cs="Arial"/>
                <w:szCs w:val="20"/>
              </w:rPr>
            </w:pPr>
            <w:r>
              <w:rPr>
                <w:rFonts w:cs="Arial"/>
                <w:szCs w:val="20"/>
              </w:rPr>
              <w:t>Ex post quantity (TJ)</w:t>
            </w:r>
          </w:p>
        </w:tc>
        <w:tc>
          <w:tcPr>
            <w:tcW w:w="580" w:type="pct"/>
            <w:tcBorders>
              <w:top w:val="nil"/>
              <w:bottom w:val="single" w:sz="4" w:space="0" w:color="auto"/>
            </w:tcBorders>
            <w:vAlign w:val="center"/>
          </w:tcPr>
          <w:p w:rsidR="00FE7757" w:rsidRDefault="00FE7757">
            <w:pPr>
              <w:jc w:val="center"/>
              <w:rPr>
                <w:rFonts w:cs="Arial"/>
                <w:szCs w:val="20"/>
              </w:rPr>
            </w:pPr>
            <w:r>
              <w:rPr>
                <w:rFonts w:cs="Arial"/>
                <w:szCs w:val="20"/>
              </w:rPr>
              <w:t>223</w:t>
            </w:r>
          </w:p>
        </w:tc>
        <w:tc>
          <w:tcPr>
            <w:tcW w:w="508" w:type="pct"/>
            <w:tcBorders>
              <w:top w:val="nil"/>
              <w:bottom w:val="single" w:sz="4" w:space="0" w:color="auto"/>
            </w:tcBorders>
            <w:vAlign w:val="center"/>
          </w:tcPr>
          <w:p w:rsidR="00FE7757" w:rsidRDefault="00FE7757">
            <w:pPr>
              <w:jc w:val="center"/>
              <w:rPr>
                <w:rFonts w:cs="Arial"/>
                <w:szCs w:val="20"/>
              </w:rPr>
            </w:pPr>
            <w:r>
              <w:rPr>
                <w:rFonts w:cs="Arial"/>
                <w:szCs w:val="20"/>
              </w:rPr>
              <w:t>271</w:t>
            </w:r>
          </w:p>
        </w:tc>
        <w:tc>
          <w:tcPr>
            <w:tcW w:w="589" w:type="pct"/>
            <w:tcBorders>
              <w:top w:val="nil"/>
              <w:bottom w:val="single" w:sz="4" w:space="0" w:color="auto"/>
            </w:tcBorders>
            <w:vAlign w:val="center"/>
          </w:tcPr>
          <w:p w:rsidR="00FE7757" w:rsidRDefault="00FE7757">
            <w:pPr>
              <w:jc w:val="center"/>
              <w:rPr>
                <w:rFonts w:cs="Arial"/>
                <w:szCs w:val="20"/>
              </w:rPr>
            </w:pPr>
            <w:r>
              <w:rPr>
                <w:rFonts w:cs="Arial"/>
                <w:szCs w:val="20"/>
              </w:rPr>
              <w:t>306</w:t>
            </w:r>
          </w:p>
        </w:tc>
        <w:tc>
          <w:tcPr>
            <w:tcW w:w="517" w:type="pct"/>
            <w:tcBorders>
              <w:top w:val="nil"/>
              <w:bottom w:val="single" w:sz="4" w:space="0" w:color="auto"/>
            </w:tcBorders>
            <w:vAlign w:val="center"/>
          </w:tcPr>
          <w:p w:rsidR="00FE7757" w:rsidRDefault="00FE7757">
            <w:pPr>
              <w:jc w:val="center"/>
              <w:rPr>
                <w:rFonts w:cs="Arial"/>
                <w:szCs w:val="20"/>
              </w:rPr>
            </w:pPr>
            <w:r>
              <w:rPr>
                <w:rFonts w:cs="Arial"/>
                <w:szCs w:val="20"/>
              </w:rPr>
              <w:t>309</w:t>
            </w:r>
          </w:p>
        </w:tc>
        <w:tc>
          <w:tcPr>
            <w:tcW w:w="510" w:type="pct"/>
            <w:tcBorders>
              <w:top w:val="nil"/>
              <w:bottom w:val="single" w:sz="4" w:space="0" w:color="auto"/>
            </w:tcBorders>
            <w:vAlign w:val="center"/>
          </w:tcPr>
          <w:p w:rsidR="00FE7757" w:rsidRDefault="00FE7757">
            <w:pPr>
              <w:jc w:val="center"/>
              <w:rPr>
                <w:rFonts w:cs="Arial"/>
                <w:szCs w:val="20"/>
              </w:rPr>
            </w:pPr>
            <w:r>
              <w:rPr>
                <w:rFonts w:cs="Arial"/>
                <w:szCs w:val="20"/>
              </w:rPr>
              <w:t>284</w:t>
            </w:r>
          </w:p>
        </w:tc>
        <w:tc>
          <w:tcPr>
            <w:tcW w:w="507" w:type="pct"/>
            <w:tcBorders>
              <w:top w:val="nil"/>
              <w:bottom w:val="single" w:sz="4" w:space="0" w:color="auto"/>
            </w:tcBorders>
            <w:vAlign w:val="center"/>
          </w:tcPr>
          <w:p w:rsidR="00FE7757" w:rsidRDefault="00FE7757">
            <w:pPr>
              <w:jc w:val="center"/>
              <w:rPr>
                <w:rFonts w:cs="Arial"/>
                <w:szCs w:val="20"/>
              </w:rPr>
            </w:pPr>
            <w:r>
              <w:rPr>
                <w:rFonts w:cs="Arial"/>
                <w:szCs w:val="20"/>
              </w:rPr>
              <w:t>295</w:t>
            </w:r>
          </w:p>
        </w:tc>
        <w:tc>
          <w:tcPr>
            <w:tcW w:w="578" w:type="pct"/>
            <w:tcBorders>
              <w:top w:val="nil"/>
              <w:bottom w:val="single" w:sz="4" w:space="0" w:color="auto"/>
            </w:tcBorders>
            <w:vAlign w:val="center"/>
          </w:tcPr>
          <w:p w:rsidR="00FE7757" w:rsidRDefault="00FE7757">
            <w:pPr>
              <w:jc w:val="center"/>
              <w:rPr>
                <w:rFonts w:cs="Arial"/>
                <w:szCs w:val="20"/>
              </w:rPr>
            </w:pPr>
            <w:r>
              <w:rPr>
                <w:rFonts w:cs="Arial"/>
                <w:szCs w:val="20"/>
              </w:rPr>
              <w:t>272</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FE7757" w:rsidP="00EC2CB1">
      <w:r w:rsidRPr="00FE7757">
        <w:rPr>
          <w:noProof/>
          <w:lang w:eastAsia="en-AU"/>
        </w:rPr>
        <w:drawing>
          <wp:inline distT="0" distB="0" distL="0" distR="0" wp14:anchorId="7ECCDE8F" wp14:editId="14830ED6">
            <wp:extent cx="5731510" cy="2046203"/>
            <wp:effectExtent l="0" t="0" r="0" b="0"/>
            <wp:docPr id="20" name="Picture 20" descr="Figure 2.2 shows the daily hub offers and bid in within certain price bands in Sydney this week. The line indicates the scheduled quantity for each day. For a more detailed description of this figure, please refer to the user guide." title="Sydney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FE7757" w:rsidP="00EC2CB1">
      <w:r w:rsidRPr="00FE7757">
        <w:rPr>
          <w:noProof/>
          <w:lang w:eastAsia="en-AU"/>
        </w:rPr>
        <w:drawing>
          <wp:inline distT="0" distB="0" distL="0" distR="0" wp14:anchorId="02DCD707" wp14:editId="6D31CC41">
            <wp:extent cx="5731510" cy="2555336"/>
            <wp:effectExtent l="0" t="0" r="2540" b="0"/>
            <wp:docPr id="25" name="Picture 25"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5"/>
      </w:r>
    </w:p>
    <w:p w:rsidR="00EC2CB1" w:rsidRDefault="00FE7757" w:rsidP="00EC2CB1">
      <w:r w:rsidRPr="00FE7757">
        <w:rPr>
          <w:noProof/>
          <w:lang w:eastAsia="en-AU"/>
        </w:rPr>
        <w:drawing>
          <wp:inline distT="0" distB="0" distL="0" distR="0" wp14:anchorId="2A75D9F8" wp14:editId="0637CF59">
            <wp:extent cx="5731510" cy="2175613"/>
            <wp:effectExtent l="0" t="0" r="2540" b="0"/>
            <wp:docPr id="26" name="Picture 26"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01E1D" w:rsidRPr="00405CDE" w:rsidTr="00A226E9">
        <w:trPr>
          <w:trHeight w:val="389"/>
        </w:trPr>
        <w:tc>
          <w:tcPr>
            <w:tcW w:w="1152" w:type="pct"/>
            <w:tcBorders>
              <w:top w:val="nil"/>
              <w:bottom w:val="nil"/>
            </w:tcBorders>
            <w:vAlign w:val="center"/>
          </w:tcPr>
          <w:p w:rsidR="00A01E1D" w:rsidRDefault="00A01E1D">
            <w:pPr>
              <w:rPr>
                <w:rFonts w:cs="Arial"/>
                <w:sz w:val="20"/>
                <w:szCs w:val="20"/>
              </w:rPr>
            </w:pPr>
            <w:r>
              <w:rPr>
                <w:rFonts w:cs="Arial"/>
                <w:sz w:val="20"/>
                <w:szCs w:val="20"/>
              </w:rPr>
              <w:t>Ex ante price ($/GJ)</w:t>
            </w:r>
          </w:p>
        </w:tc>
        <w:tc>
          <w:tcPr>
            <w:tcW w:w="589" w:type="pct"/>
            <w:tcBorders>
              <w:top w:val="nil"/>
              <w:bottom w:val="nil"/>
            </w:tcBorders>
            <w:vAlign w:val="center"/>
          </w:tcPr>
          <w:p w:rsidR="00A01E1D" w:rsidRDefault="00A01E1D">
            <w:pPr>
              <w:jc w:val="center"/>
              <w:rPr>
                <w:rFonts w:cs="Arial"/>
                <w:sz w:val="20"/>
                <w:szCs w:val="20"/>
              </w:rPr>
            </w:pPr>
            <w:r>
              <w:rPr>
                <w:rFonts w:cs="Arial"/>
                <w:sz w:val="20"/>
                <w:szCs w:val="20"/>
              </w:rPr>
              <w:t>7.97</w:t>
            </w:r>
          </w:p>
        </w:tc>
        <w:tc>
          <w:tcPr>
            <w:tcW w:w="516" w:type="pct"/>
            <w:tcBorders>
              <w:top w:val="nil"/>
              <w:bottom w:val="nil"/>
            </w:tcBorders>
            <w:vAlign w:val="center"/>
          </w:tcPr>
          <w:p w:rsidR="00A01E1D" w:rsidRDefault="00A01E1D">
            <w:pPr>
              <w:jc w:val="center"/>
              <w:rPr>
                <w:rFonts w:cs="Arial"/>
                <w:sz w:val="20"/>
                <w:szCs w:val="20"/>
              </w:rPr>
            </w:pPr>
            <w:r>
              <w:rPr>
                <w:rFonts w:cs="Arial"/>
                <w:sz w:val="20"/>
                <w:szCs w:val="20"/>
              </w:rPr>
              <w:t>8.89</w:t>
            </w:r>
          </w:p>
        </w:tc>
        <w:tc>
          <w:tcPr>
            <w:tcW w:w="598" w:type="pct"/>
            <w:tcBorders>
              <w:top w:val="nil"/>
              <w:bottom w:val="nil"/>
            </w:tcBorders>
            <w:vAlign w:val="center"/>
          </w:tcPr>
          <w:p w:rsidR="00A01E1D" w:rsidRDefault="00A01E1D">
            <w:pPr>
              <w:jc w:val="center"/>
              <w:rPr>
                <w:rFonts w:cs="Arial"/>
                <w:sz w:val="20"/>
                <w:szCs w:val="20"/>
              </w:rPr>
            </w:pPr>
            <w:r>
              <w:rPr>
                <w:rFonts w:cs="Arial"/>
                <w:sz w:val="20"/>
                <w:szCs w:val="20"/>
              </w:rPr>
              <w:t>8.15</w:t>
            </w:r>
          </w:p>
        </w:tc>
        <w:tc>
          <w:tcPr>
            <w:tcW w:w="525" w:type="pct"/>
            <w:tcBorders>
              <w:top w:val="nil"/>
              <w:bottom w:val="nil"/>
            </w:tcBorders>
            <w:vAlign w:val="center"/>
          </w:tcPr>
          <w:p w:rsidR="00A01E1D" w:rsidRDefault="00A01E1D">
            <w:pPr>
              <w:jc w:val="center"/>
              <w:rPr>
                <w:rFonts w:cs="Arial"/>
                <w:sz w:val="20"/>
                <w:szCs w:val="20"/>
              </w:rPr>
            </w:pPr>
            <w:r>
              <w:rPr>
                <w:rFonts w:cs="Arial"/>
                <w:sz w:val="20"/>
                <w:szCs w:val="20"/>
              </w:rPr>
              <w:t>9.17</w:t>
            </w:r>
          </w:p>
        </w:tc>
        <w:tc>
          <w:tcPr>
            <w:tcW w:w="518" w:type="pct"/>
            <w:tcBorders>
              <w:top w:val="nil"/>
              <w:bottom w:val="nil"/>
            </w:tcBorders>
            <w:vAlign w:val="center"/>
          </w:tcPr>
          <w:p w:rsidR="00A01E1D" w:rsidRDefault="00A01E1D">
            <w:pPr>
              <w:jc w:val="center"/>
              <w:rPr>
                <w:rFonts w:cs="Arial"/>
                <w:sz w:val="20"/>
                <w:szCs w:val="20"/>
              </w:rPr>
            </w:pPr>
            <w:r>
              <w:rPr>
                <w:rFonts w:cs="Arial"/>
                <w:sz w:val="20"/>
                <w:szCs w:val="20"/>
              </w:rPr>
              <w:t>9.21</w:t>
            </w:r>
          </w:p>
        </w:tc>
        <w:tc>
          <w:tcPr>
            <w:tcW w:w="515" w:type="pct"/>
            <w:tcBorders>
              <w:top w:val="nil"/>
              <w:bottom w:val="nil"/>
            </w:tcBorders>
            <w:vAlign w:val="center"/>
          </w:tcPr>
          <w:p w:rsidR="00A01E1D" w:rsidRDefault="00A01E1D">
            <w:pPr>
              <w:jc w:val="center"/>
              <w:rPr>
                <w:rFonts w:cs="Arial"/>
                <w:sz w:val="20"/>
                <w:szCs w:val="20"/>
              </w:rPr>
            </w:pPr>
            <w:r>
              <w:rPr>
                <w:rFonts w:cs="Arial"/>
                <w:sz w:val="20"/>
                <w:szCs w:val="20"/>
              </w:rPr>
              <w:t>9.23</w:t>
            </w:r>
          </w:p>
        </w:tc>
        <w:tc>
          <w:tcPr>
            <w:tcW w:w="587" w:type="pct"/>
            <w:tcBorders>
              <w:top w:val="nil"/>
              <w:bottom w:val="nil"/>
            </w:tcBorders>
            <w:vAlign w:val="center"/>
          </w:tcPr>
          <w:p w:rsidR="00A01E1D" w:rsidRDefault="00A01E1D">
            <w:pPr>
              <w:jc w:val="center"/>
              <w:rPr>
                <w:rFonts w:cs="Arial"/>
                <w:sz w:val="20"/>
                <w:szCs w:val="20"/>
              </w:rPr>
            </w:pPr>
            <w:r>
              <w:rPr>
                <w:rFonts w:cs="Arial"/>
                <w:sz w:val="20"/>
                <w:szCs w:val="20"/>
              </w:rPr>
              <w:t>9.13</w:t>
            </w:r>
          </w:p>
        </w:tc>
      </w:tr>
      <w:tr w:rsidR="00A01E1D"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A01E1D" w:rsidRDefault="00A01E1D">
            <w:pPr>
              <w:rPr>
                <w:rFonts w:cs="Arial"/>
                <w:szCs w:val="20"/>
              </w:rPr>
            </w:pPr>
            <w:r>
              <w:rPr>
                <w:rFonts w:cs="Arial"/>
                <w:szCs w:val="20"/>
              </w:rPr>
              <w:t>Ex ante quantity (TJ)</w:t>
            </w:r>
          </w:p>
        </w:tc>
        <w:tc>
          <w:tcPr>
            <w:tcW w:w="589" w:type="pct"/>
            <w:tcBorders>
              <w:top w:val="nil"/>
              <w:bottom w:val="nil"/>
            </w:tcBorders>
            <w:vAlign w:val="center"/>
          </w:tcPr>
          <w:p w:rsidR="00A01E1D" w:rsidRDefault="00A01E1D">
            <w:pPr>
              <w:jc w:val="center"/>
              <w:rPr>
                <w:rFonts w:cs="Arial"/>
                <w:szCs w:val="20"/>
              </w:rPr>
            </w:pPr>
            <w:r>
              <w:rPr>
                <w:rFonts w:cs="Arial"/>
                <w:szCs w:val="20"/>
              </w:rPr>
              <w:t>73</w:t>
            </w:r>
          </w:p>
        </w:tc>
        <w:tc>
          <w:tcPr>
            <w:tcW w:w="516" w:type="pct"/>
            <w:tcBorders>
              <w:top w:val="nil"/>
              <w:bottom w:val="nil"/>
            </w:tcBorders>
            <w:vAlign w:val="center"/>
          </w:tcPr>
          <w:p w:rsidR="00A01E1D" w:rsidRDefault="00A01E1D">
            <w:pPr>
              <w:jc w:val="center"/>
              <w:rPr>
                <w:rFonts w:cs="Arial"/>
                <w:szCs w:val="20"/>
              </w:rPr>
            </w:pPr>
            <w:r>
              <w:rPr>
                <w:rFonts w:cs="Arial"/>
                <w:szCs w:val="20"/>
              </w:rPr>
              <w:t>88</w:t>
            </w:r>
          </w:p>
        </w:tc>
        <w:tc>
          <w:tcPr>
            <w:tcW w:w="598" w:type="pct"/>
            <w:tcBorders>
              <w:top w:val="nil"/>
              <w:bottom w:val="nil"/>
            </w:tcBorders>
            <w:vAlign w:val="center"/>
          </w:tcPr>
          <w:p w:rsidR="00A01E1D" w:rsidRDefault="00A01E1D">
            <w:pPr>
              <w:jc w:val="center"/>
              <w:rPr>
                <w:rFonts w:cs="Arial"/>
                <w:szCs w:val="20"/>
              </w:rPr>
            </w:pPr>
            <w:r>
              <w:rPr>
                <w:rFonts w:cs="Arial"/>
                <w:szCs w:val="20"/>
              </w:rPr>
              <w:t>89</w:t>
            </w:r>
          </w:p>
        </w:tc>
        <w:tc>
          <w:tcPr>
            <w:tcW w:w="525" w:type="pct"/>
            <w:tcBorders>
              <w:top w:val="nil"/>
              <w:bottom w:val="nil"/>
            </w:tcBorders>
            <w:vAlign w:val="center"/>
          </w:tcPr>
          <w:p w:rsidR="00A01E1D" w:rsidRDefault="00A01E1D">
            <w:pPr>
              <w:jc w:val="center"/>
              <w:rPr>
                <w:rFonts w:cs="Arial"/>
                <w:szCs w:val="20"/>
              </w:rPr>
            </w:pPr>
            <w:r>
              <w:rPr>
                <w:rFonts w:cs="Arial"/>
                <w:szCs w:val="20"/>
              </w:rPr>
              <w:t>93</w:t>
            </w:r>
          </w:p>
        </w:tc>
        <w:tc>
          <w:tcPr>
            <w:tcW w:w="518" w:type="pct"/>
            <w:tcBorders>
              <w:top w:val="nil"/>
              <w:bottom w:val="nil"/>
            </w:tcBorders>
            <w:vAlign w:val="center"/>
          </w:tcPr>
          <w:p w:rsidR="00A01E1D" w:rsidRDefault="00A01E1D">
            <w:pPr>
              <w:jc w:val="center"/>
              <w:rPr>
                <w:rFonts w:cs="Arial"/>
                <w:szCs w:val="20"/>
              </w:rPr>
            </w:pPr>
            <w:r>
              <w:rPr>
                <w:rFonts w:cs="Arial"/>
                <w:szCs w:val="20"/>
              </w:rPr>
              <w:t>93</w:t>
            </w:r>
          </w:p>
        </w:tc>
        <w:tc>
          <w:tcPr>
            <w:tcW w:w="515" w:type="pct"/>
            <w:tcBorders>
              <w:top w:val="nil"/>
              <w:bottom w:val="nil"/>
            </w:tcBorders>
            <w:vAlign w:val="center"/>
          </w:tcPr>
          <w:p w:rsidR="00A01E1D" w:rsidRDefault="00A01E1D">
            <w:pPr>
              <w:jc w:val="center"/>
              <w:rPr>
                <w:rFonts w:cs="Arial"/>
                <w:szCs w:val="20"/>
              </w:rPr>
            </w:pPr>
            <w:r>
              <w:rPr>
                <w:rFonts w:cs="Arial"/>
                <w:szCs w:val="20"/>
              </w:rPr>
              <w:t>91</w:t>
            </w:r>
          </w:p>
        </w:tc>
        <w:tc>
          <w:tcPr>
            <w:tcW w:w="587" w:type="pct"/>
            <w:tcBorders>
              <w:top w:val="nil"/>
              <w:bottom w:val="nil"/>
            </w:tcBorders>
            <w:vAlign w:val="center"/>
          </w:tcPr>
          <w:p w:rsidR="00A01E1D" w:rsidRDefault="00A01E1D">
            <w:pPr>
              <w:jc w:val="center"/>
              <w:rPr>
                <w:rFonts w:cs="Arial"/>
                <w:szCs w:val="20"/>
              </w:rPr>
            </w:pPr>
            <w:r>
              <w:rPr>
                <w:rFonts w:cs="Arial"/>
                <w:szCs w:val="20"/>
              </w:rPr>
              <w:t>81</w:t>
            </w:r>
          </w:p>
        </w:tc>
      </w:tr>
      <w:tr w:rsidR="00A01E1D" w:rsidRPr="00405CDE" w:rsidTr="00A226E9">
        <w:trPr>
          <w:trHeight w:val="87"/>
        </w:trPr>
        <w:tc>
          <w:tcPr>
            <w:tcW w:w="1152" w:type="pct"/>
            <w:tcBorders>
              <w:top w:val="nil"/>
              <w:bottom w:val="nil"/>
            </w:tcBorders>
            <w:vAlign w:val="center"/>
          </w:tcPr>
          <w:p w:rsidR="00A01E1D" w:rsidRDefault="00A01E1D">
            <w:pPr>
              <w:rPr>
                <w:rFonts w:cs="Arial"/>
                <w:sz w:val="20"/>
                <w:szCs w:val="20"/>
              </w:rPr>
            </w:pPr>
            <w:r>
              <w:rPr>
                <w:rFonts w:cs="Arial"/>
                <w:sz w:val="20"/>
                <w:szCs w:val="20"/>
              </w:rPr>
              <w:t>Ex post price ($/GJ)</w:t>
            </w:r>
          </w:p>
        </w:tc>
        <w:tc>
          <w:tcPr>
            <w:tcW w:w="589" w:type="pct"/>
            <w:tcBorders>
              <w:top w:val="nil"/>
              <w:bottom w:val="nil"/>
            </w:tcBorders>
            <w:vAlign w:val="center"/>
          </w:tcPr>
          <w:p w:rsidR="00A01E1D" w:rsidRDefault="00A01E1D">
            <w:pPr>
              <w:jc w:val="center"/>
              <w:rPr>
                <w:rFonts w:cs="Arial"/>
                <w:sz w:val="20"/>
                <w:szCs w:val="20"/>
              </w:rPr>
            </w:pPr>
            <w:r>
              <w:rPr>
                <w:rFonts w:cs="Arial"/>
                <w:sz w:val="20"/>
                <w:szCs w:val="20"/>
              </w:rPr>
              <w:t>7.42</w:t>
            </w:r>
          </w:p>
        </w:tc>
        <w:tc>
          <w:tcPr>
            <w:tcW w:w="516" w:type="pct"/>
            <w:tcBorders>
              <w:top w:val="nil"/>
              <w:bottom w:val="nil"/>
            </w:tcBorders>
            <w:vAlign w:val="center"/>
          </w:tcPr>
          <w:p w:rsidR="00A01E1D" w:rsidRDefault="00A01E1D">
            <w:pPr>
              <w:jc w:val="center"/>
              <w:rPr>
                <w:rFonts w:cs="Arial"/>
                <w:sz w:val="20"/>
                <w:szCs w:val="20"/>
              </w:rPr>
            </w:pPr>
            <w:r>
              <w:rPr>
                <w:rFonts w:cs="Arial"/>
                <w:sz w:val="20"/>
                <w:szCs w:val="20"/>
              </w:rPr>
              <w:t>8.89</w:t>
            </w:r>
          </w:p>
        </w:tc>
        <w:tc>
          <w:tcPr>
            <w:tcW w:w="598" w:type="pct"/>
            <w:tcBorders>
              <w:top w:val="nil"/>
              <w:bottom w:val="nil"/>
            </w:tcBorders>
            <w:vAlign w:val="center"/>
          </w:tcPr>
          <w:p w:rsidR="00A01E1D" w:rsidRDefault="00A01E1D">
            <w:pPr>
              <w:jc w:val="center"/>
              <w:rPr>
                <w:rFonts w:cs="Arial"/>
                <w:sz w:val="20"/>
                <w:szCs w:val="20"/>
              </w:rPr>
            </w:pPr>
            <w:r>
              <w:rPr>
                <w:rFonts w:cs="Arial"/>
                <w:sz w:val="20"/>
                <w:szCs w:val="20"/>
              </w:rPr>
              <w:t>8.33</w:t>
            </w:r>
          </w:p>
        </w:tc>
        <w:tc>
          <w:tcPr>
            <w:tcW w:w="525" w:type="pct"/>
            <w:tcBorders>
              <w:top w:val="nil"/>
              <w:bottom w:val="nil"/>
            </w:tcBorders>
            <w:vAlign w:val="center"/>
          </w:tcPr>
          <w:p w:rsidR="00A01E1D" w:rsidRDefault="00A01E1D">
            <w:pPr>
              <w:jc w:val="center"/>
              <w:rPr>
                <w:rFonts w:cs="Arial"/>
                <w:sz w:val="20"/>
                <w:szCs w:val="20"/>
              </w:rPr>
            </w:pPr>
            <w:r>
              <w:rPr>
                <w:rFonts w:cs="Arial"/>
                <w:sz w:val="20"/>
                <w:szCs w:val="20"/>
              </w:rPr>
              <w:t>9.19</w:t>
            </w:r>
          </w:p>
        </w:tc>
        <w:tc>
          <w:tcPr>
            <w:tcW w:w="518" w:type="pct"/>
            <w:tcBorders>
              <w:top w:val="nil"/>
              <w:bottom w:val="nil"/>
            </w:tcBorders>
            <w:vAlign w:val="center"/>
          </w:tcPr>
          <w:p w:rsidR="00A01E1D" w:rsidRDefault="00A01E1D">
            <w:pPr>
              <w:jc w:val="center"/>
              <w:rPr>
                <w:rFonts w:cs="Arial"/>
                <w:sz w:val="20"/>
                <w:szCs w:val="20"/>
              </w:rPr>
            </w:pPr>
            <w:r>
              <w:rPr>
                <w:rFonts w:cs="Arial"/>
                <w:sz w:val="20"/>
                <w:szCs w:val="20"/>
              </w:rPr>
              <w:t>9.21</w:t>
            </w:r>
          </w:p>
        </w:tc>
        <w:tc>
          <w:tcPr>
            <w:tcW w:w="515" w:type="pct"/>
            <w:tcBorders>
              <w:top w:val="nil"/>
              <w:bottom w:val="nil"/>
            </w:tcBorders>
            <w:vAlign w:val="center"/>
          </w:tcPr>
          <w:p w:rsidR="00A01E1D" w:rsidRDefault="00A01E1D">
            <w:pPr>
              <w:jc w:val="center"/>
              <w:rPr>
                <w:rFonts w:cs="Arial"/>
                <w:sz w:val="20"/>
                <w:szCs w:val="20"/>
              </w:rPr>
            </w:pPr>
            <w:r>
              <w:rPr>
                <w:rFonts w:cs="Arial"/>
                <w:sz w:val="20"/>
                <w:szCs w:val="20"/>
              </w:rPr>
              <w:t>9.99</w:t>
            </w:r>
          </w:p>
        </w:tc>
        <w:tc>
          <w:tcPr>
            <w:tcW w:w="587" w:type="pct"/>
            <w:tcBorders>
              <w:top w:val="nil"/>
              <w:bottom w:val="nil"/>
            </w:tcBorders>
            <w:vAlign w:val="center"/>
          </w:tcPr>
          <w:p w:rsidR="00A01E1D" w:rsidRDefault="00A01E1D">
            <w:pPr>
              <w:jc w:val="center"/>
              <w:rPr>
                <w:rFonts w:cs="Arial"/>
                <w:sz w:val="20"/>
                <w:szCs w:val="20"/>
              </w:rPr>
            </w:pPr>
            <w:r>
              <w:rPr>
                <w:rFonts w:cs="Arial"/>
                <w:sz w:val="20"/>
                <w:szCs w:val="20"/>
              </w:rPr>
              <w:t>9.63</w:t>
            </w:r>
          </w:p>
        </w:tc>
      </w:tr>
      <w:tr w:rsidR="00A01E1D"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A01E1D" w:rsidRDefault="00A01E1D">
            <w:pPr>
              <w:rPr>
                <w:rFonts w:cs="Arial"/>
                <w:szCs w:val="20"/>
              </w:rPr>
            </w:pPr>
            <w:r>
              <w:rPr>
                <w:rFonts w:cs="Arial"/>
                <w:szCs w:val="20"/>
              </w:rPr>
              <w:t>Ex post quantity (TJ)</w:t>
            </w:r>
          </w:p>
        </w:tc>
        <w:tc>
          <w:tcPr>
            <w:tcW w:w="589" w:type="pct"/>
            <w:tcBorders>
              <w:top w:val="nil"/>
              <w:bottom w:val="single" w:sz="4" w:space="0" w:color="auto"/>
            </w:tcBorders>
            <w:vAlign w:val="center"/>
          </w:tcPr>
          <w:p w:rsidR="00A01E1D" w:rsidRDefault="00A01E1D">
            <w:pPr>
              <w:jc w:val="center"/>
              <w:rPr>
                <w:rFonts w:cs="Arial"/>
                <w:szCs w:val="20"/>
              </w:rPr>
            </w:pPr>
            <w:r>
              <w:rPr>
                <w:rFonts w:cs="Arial"/>
                <w:szCs w:val="20"/>
              </w:rPr>
              <w:t>71</w:t>
            </w:r>
          </w:p>
        </w:tc>
        <w:tc>
          <w:tcPr>
            <w:tcW w:w="516" w:type="pct"/>
            <w:tcBorders>
              <w:top w:val="nil"/>
              <w:bottom w:val="single" w:sz="4" w:space="0" w:color="auto"/>
            </w:tcBorders>
            <w:vAlign w:val="center"/>
          </w:tcPr>
          <w:p w:rsidR="00A01E1D" w:rsidRDefault="00A01E1D">
            <w:pPr>
              <w:jc w:val="center"/>
              <w:rPr>
                <w:rFonts w:cs="Arial"/>
                <w:szCs w:val="20"/>
              </w:rPr>
            </w:pPr>
            <w:r>
              <w:rPr>
                <w:rFonts w:cs="Arial"/>
                <w:szCs w:val="20"/>
              </w:rPr>
              <w:t>88</w:t>
            </w:r>
          </w:p>
        </w:tc>
        <w:tc>
          <w:tcPr>
            <w:tcW w:w="598" w:type="pct"/>
            <w:tcBorders>
              <w:top w:val="nil"/>
              <w:bottom w:val="single" w:sz="4" w:space="0" w:color="auto"/>
            </w:tcBorders>
            <w:vAlign w:val="center"/>
          </w:tcPr>
          <w:p w:rsidR="00A01E1D" w:rsidRDefault="00A01E1D">
            <w:pPr>
              <w:jc w:val="center"/>
              <w:rPr>
                <w:rFonts w:cs="Arial"/>
                <w:szCs w:val="20"/>
              </w:rPr>
            </w:pPr>
            <w:r>
              <w:rPr>
                <w:rFonts w:cs="Arial"/>
                <w:szCs w:val="20"/>
              </w:rPr>
              <w:t>90</w:t>
            </w:r>
          </w:p>
        </w:tc>
        <w:tc>
          <w:tcPr>
            <w:tcW w:w="525" w:type="pct"/>
            <w:tcBorders>
              <w:top w:val="nil"/>
              <w:bottom w:val="single" w:sz="4" w:space="0" w:color="auto"/>
            </w:tcBorders>
            <w:vAlign w:val="center"/>
          </w:tcPr>
          <w:p w:rsidR="00A01E1D" w:rsidRDefault="00A01E1D">
            <w:pPr>
              <w:jc w:val="center"/>
              <w:rPr>
                <w:rFonts w:cs="Arial"/>
                <w:szCs w:val="20"/>
              </w:rPr>
            </w:pPr>
            <w:r>
              <w:rPr>
                <w:rFonts w:cs="Arial"/>
                <w:szCs w:val="20"/>
              </w:rPr>
              <w:t>95</w:t>
            </w:r>
          </w:p>
        </w:tc>
        <w:tc>
          <w:tcPr>
            <w:tcW w:w="518" w:type="pct"/>
            <w:tcBorders>
              <w:top w:val="nil"/>
              <w:bottom w:val="single" w:sz="4" w:space="0" w:color="auto"/>
            </w:tcBorders>
            <w:vAlign w:val="center"/>
          </w:tcPr>
          <w:p w:rsidR="00A01E1D" w:rsidRDefault="00A01E1D">
            <w:pPr>
              <w:jc w:val="center"/>
              <w:rPr>
                <w:rFonts w:cs="Arial"/>
                <w:szCs w:val="20"/>
              </w:rPr>
            </w:pPr>
            <w:r>
              <w:rPr>
                <w:rFonts w:cs="Arial"/>
                <w:szCs w:val="20"/>
              </w:rPr>
              <w:t>93</w:t>
            </w:r>
          </w:p>
        </w:tc>
        <w:tc>
          <w:tcPr>
            <w:tcW w:w="515" w:type="pct"/>
            <w:tcBorders>
              <w:top w:val="nil"/>
              <w:bottom w:val="single" w:sz="4" w:space="0" w:color="auto"/>
            </w:tcBorders>
            <w:vAlign w:val="center"/>
          </w:tcPr>
          <w:p w:rsidR="00A01E1D" w:rsidRDefault="00A01E1D">
            <w:pPr>
              <w:jc w:val="center"/>
              <w:rPr>
                <w:rFonts w:cs="Arial"/>
                <w:szCs w:val="20"/>
              </w:rPr>
            </w:pPr>
            <w:r>
              <w:rPr>
                <w:rFonts w:cs="Arial"/>
                <w:szCs w:val="20"/>
              </w:rPr>
              <w:t>100</w:t>
            </w:r>
          </w:p>
        </w:tc>
        <w:tc>
          <w:tcPr>
            <w:tcW w:w="587" w:type="pct"/>
            <w:tcBorders>
              <w:top w:val="nil"/>
              <w:bottom w:val="single" w:sz="4" w:space="0" w:color="auto"/>
            </w:tcBorders>
            <w:vAlign w:val="center"/>
          </w:tcPr>
          <w:p w:rsidR="00A01E1D" w:rsidRDefault="00A01E1D">
            <w:pPr>
              <w:jc w:val="center"/>
              <w:rPr>
                <w:rFonts w:cs="Arial"/>
                <w:szCs w:val="20"/>
              </w:rPr>
            </w:pPr>
            <w:r>
              <w:rPr>
                <w:rFonts w:cs="Arial"/>
                <w:szCs w:val="20"/>
              </w:rPr>
              <w:t>84</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A01E1D" w:rsidP="00EC2CB1">
      <w:r w:rsidRPr="00A01E1D">
        <w:rPr>
          <w:noProof/>
          <w:lang w:eastAsia="en-AU"/>
        </w:rPr>
        <w:drawing>
          <wp:inline distT="0" distB="0" distL="0" distR="0" wp14:anchorId="261A2B0D" wp14:editId="54F26185">
            <wp:extent cx="5731510" cy="1739923"/>
            <wp:effectExtent l="0" t="0" r="2540" b="0"/>
            <wp:docPr id="32" name="Picture 32" descr="Figure 3.2 shows the daily hub offers and bid in within certain price bands in Adelaide this week. The line indicates the scheduled quantity for each day. For a more detailed description of this figure, please refer to the user guide." title="Adeliad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A01E1D" w:rsidP="00EC2CB1">
      <w:r w:rsidRPr="00A01E1D">
        <w:rPr>
          <w:noProof/>
          <w:lang w:eastAsia="en-AU"/>
        </w:rPr>
        <w:drawing>
          <wp:inline distT="0" distB="0" distL="0" distR="0" wp14:anchorId="71941650" wp14:editId="5928E396">
            <wp:extent cx="5731510" cy="1511607"/>
            <wp:effectExtent l="0" t="0" r="2540" b="0"/>
            <wp:docPr id="34" name="Picture 34"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A01E1D" w:rsidP="00A226E9">
      <w:r w:rsidRPr="00A01E1D">
        <w:rPr>
          <w:noProof/>
          <w:lang w:eastAsia="en-AU"/>
        </w:rPr>
        <w:drawing>
          <wp:inline distT="0" distB="0" distL="0" distR="0" wp14:anchorId="10AFDA52" wp14:editId="455733B0">
            <wp:extent cx="5731510" cy="1802652"/>
            <wp:effectExtent l="0" t="0" r="2540" b="7620"/>
            <wp:docPr id="35" name="Picture 35"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01E1D" w:rsidRPr="00405CDE" w:rsidTr="00A226E9">
        <w:trPr>
          <w:trHeight w:val="510"/>
        </w:trPr>
        <w:tc>
          <w:tcPr>
            <w:tcW w:w="1152" w:type="pct"/>
            <w:tcBorders>
              <w:top w:val="nil"/>
              <w:bottom w:val="nil"/>
            </w:tcBorders>
            <w:vAlign w:val="center"/>
          </w:tcPr>
          <w:p w:rsidR="00A01E1D" w:rsidRDefault="00A01E1D">
            <w:pPr>
              <w:rPr>
                <w:rFonts w:cs="Arial"/>
                <w:sz w:val="20"/>
                <w:szCs w:val="20"/>
              </w:rPr>
            </w:pPr>
            <w:r>
              <w:rPr>
                <w:rFonts w:cs="Arial"/>
                <w:sz w:val="20"/>
                <w:szCs w:val="20"/>
              </w:rPr>
              <w:t>Ex ante price ($/GJ)</w:t>
            </w:r>
          </w:p>
        </w:tc>
        <w:tc>
          <w:tcPr>
            <w:tcW w:w="589" w:type="pct"/>
            <w:tcBorders>
              <w:top w:val="nil"/>
              <w:bottom w:val="nil"/>
            </w:tcBorders>
            <w:vAlign w:val="center"/>
          </w:tcPr>
          <w:p w:rsidR="00A01E1D" w:rsidRDefault="00A01E1D">
            <w:pPr>
              <w:jc w:val="center"/>
              <w:rPr>
                <w:rFonts w:cs="Arial"/>
                <w:sz w:val="20"/>
                <w:szCs w:val="20"/>
              </w:rPr>
            </w:pPr>
            <w:r>
              <w:rPr>
                <w:rFonts w:cs="Arial"/>
                <w:sz w:val="20"/>
                <w:szCs w:val="20"/>
              </w:rPr>
              <w:t>7.00</w:t>
            </w:r>
          </w:p>
        </w:tc>
        <w:tc>
          <w:tcPr>
            <w:tcW w:w="516" w:type="pct"/>
            <w:tcBorders>
              <w:top w:val="nil"/>
              <w:bottom w:val="nil"/>
            </w:tcBorders>
            <w:vAlign w:val="center"/>
          </w:tcPr>
          <w:p w:rsidR="00A01E1D" w:rsidRDefault="00A01E1D">
            <w:pPr>
              <w:jc w:val="center"/>
              <w:rPr>
                <w:rFonts w:cs="Arial"/>
                <w:sz w:val="20"/>
                <w:szCs w:val="20"/>
              </w:rPr>
            </w:pPr>
            <w:r>
              <w:rPr>
                <w:rFonts w:cs="Arial"/>
                <w:sz w:val="20"/>
                <w:szCs w:val="20"/>
              </w:rPr>
              <w:t>6.37</w:t>
            </w:r>
          </w:p>
        </w:tc>
        <w:tc>
          <w:tcPr>
            <w:tcW w:w="598" w:type="pct"/>
            <w:tcBorders>
              <w:top w:val="nil"/>
              <w:bottom w:val="nil"/>
            </w:tcBorders>
            <w:vAlign w:val="center"/>
          </w:tcPr>
          <w:p w:rsidR="00A01E1D" w:rsidRDefault="00A01E1D">
            <w:pPr>
              <w:jc w:val="center"/>
              <w:rPr>
                <w:rFonts w:cs="Arial"/>
                <w:sz w:val="20"/>
                <w:szCs w:val="20"/>
              </w:rPr>
            </w:pPr>
            <w:r>
              <w:rPr>
                <w:rFonts w:cs="Arial"/>
                <w:sz w:val="20"/>
                <w:szCs w:val="20"/>
              </w:rPr>
              <w:t>7.19</w:t>
            </w:r>
          </w:p>
        </w:tc>
        <w:tc>
          <w:tcPr>
            <w:tcW w:w="525" w:type="pct"/>
            <w:tcBorders>
              <w:top w:val="nil"/>
              <w:bottom w:val="nil"/>
            </w:tcBorders>
            <w:vAlign w:val="center"/>
          </w:tcPr>
          <w:p w:rsidR="00A01E1D" w:rsidRDefault="00A01E1D">
            <w:pPr>
              <w:jc w:val="center"/>
              <w:rPr>
                <w:rFonts w:cs="Arial"/>
                <w:sz w:val="20"/>
                <w:szCs w:val="20"/>
              </w:rPr>
            </w:pPr>
            <w:r>
              <w:rPr>
                <w:rFonts w:cs="Arial"/>
                <w:sz w:val="20"/>
                <w:szCs w:val="20"/>
              </w:rPr>
              <w:t>7.51</w:t>
            </w:r>
          </w:p>
        </w:tc>
        <w:tc>
          <w:tcPr>
            <w:tcW w:w="518" w:type="pct"/>
            <w:tcBorders>
              <w:top w:val="nil"/>
              <w:bottom w:val="nil"/>
            </w:tcBorders>
            <w:vAlign w:val="center"/>
          </w:tcPr>
          <w:p w:rsidR="00A01E1D" w:rsidRDefault="00A01E1D">
            <w:pPr>
              <w:jc w:val="center"/>
              <w:rPr>
                <w:rFonts w:cs="Arial"/>
                <w:sz w:val="20"/>
                <w:szCs w:val="20"/>
              </w:rPr>
            </w:pPr>
            <w:r>
              <w:rPr>
                <w:rFonts w:cs="Arial"/>
                <w:sz w:val="20"/>
                <w:szCs w:val="20"/>
              </w:rPr>
              <w:t>7.20</w:t>
            </w:r>
          </w:p>
        </w:tc>
        <w:tc>
          <w:tcPr>
            <w:tcW w:w="515" w:type="pct"/>
            <w:tcBorders>
              <w:top w:val="nil"/>
              <w:bottom w:val="nil"/>
            </w:tcBorders>
            <w:vAlign w:val="center"/>
          </w:tcPr>
          <w:p w:rsidR="00A01E1D" w:rsidRDefault="00A01E1D">
            <w:pPr>
              <w:jc w:val="center"/>
              <w:rPr>
                <w:rFonts w:cs="Arial"/>
                <w:sz w:val="20"/>
                <w:szCs w:val="20"/>
              </w:rPr>
            </w:pPr>
            <w:r>
              <w:rPr>
                <w:rFonts w:cs="Arial"/>
                <w:sz w:val="20"/>
                <w:szCs w:val="20"/>
              </w:rPr>
              <w:t>8.00</w:t>
            </w:r>
          </w:p>
        </w:tc>
        <w:tc>
          <w:tcPr>
            <w:tcW w:w="587" w:type="pct"/>
            <w:tcBorders>
              <w:top w:val="nil"/>
              <w:bottom w:val="nil"/>
            </w:tcBorders>
            <w:vAlign w:val="center"/>
          </w:tcPr>
          <w:p w:rsidR="00A01E1D" w:rsidRDefault="00A01E1D">
            <w:pPr>
              <w:jc w:val="center"/>
              <w:rPr>
                <w:rFonts w:cs="Arial"/>
                <w:sz w:val="20"/>
                <w:szCs w:val="20"/>
              </w:rPr>
            </w:pPr>
            <w:r>
              <w:rPr>
                <w:rFonts w:cs="Arial"/>
                <w:sz w:val="20"/>
                <w:szCs w:val="20"/>
              </w:rPr>
              <w:t>6.33</w:t>
            </w:r>
          </w:p>
        </w:tc>
      </w:tr>
      <w:tr w:rsidR="00A01E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A01E1D" w:rsidRDefault="00A01E1D">
            <w:pPr>
              <w:rPr>
                <w:rFonts w:cs="Arial"/>
                <w:szCs w:val="20"/>
              </w:rPr>
            </w:pPr>
            <w:r>
              <w:rPr>
                <w:rFonts w:cs="Arial"/>
                <w:szCs w:val="20"/>
              </w:rPr>
              <w:t>Ex ante quantity (TJ)</w:t>
            </w:r>
          </w:p>
        </w:tc>
        <w:tc>
          <w:tcPr>
            <w:tcW w:w="589" w:type="pct"/>
            <w:tcBorders>
              <w:top w:val="nil"/>
              <w:bottom w:val="nil"/>
            </w:tcBorders>
            <w:vAlign w:val="center"/>
          </w:tcPr>
          <w:p w:rsidR="00A01E1D" w:rsidRDefault="00A01E1D">
            <w:pPr>
              <w:jc w:val="center"/>
              <w:rPr>
                <w:rFonts w:cs="Arial"/>
                <w:szCs w:val="20"/>
              </w:rPr>
            </w:pPr>
            <w:r>
              <w:rPr>
                <w:rFonts w:cs="Arial"/>
                <w:szCs w:val="20"/>
              </w:rPr>
              <w:t>76</w:t>
            </w:r>
          </w:p>
        </w:tc>
        <w:tc>
          <w:tcPr>
            <w:tcW w:w="516" w:type="pct"/>
            <w:tcBorders>
              <w:top w:val="nil"/>
              <w:bottom w:val="nil"/>
            </w:tcBorders>
            <w:vAlign w:val="center"/>
          </w:tcPr>
          <w:p w:rsidR="00A01E1D" w:rsidRDefault="00A01E1D">
            <w:pPr>
              <w:jc w:val="center"/>
              <w:rPr>
                <w:rFonts w:cs="Arial"/>
                <w:szCs w:val="20"/>
              </w:rPr>
            </w:pPr>
            <w:r>
              <w:rPr>
                <w:rFonts w:cs="Arial"/>
                <w:szCs w:val="20"/>
              </w:rPr>
              <w:t>92</w:t>
            </w:r>
          </w:p>
        </w:tc>
        <w:tc>
          <w:tcPr>
            <w:tcW w:w="598" w:type="pct"/>
            <w:tcBorders>
              <w:top w:val="nil"/>
              <w:bottom w:val="nil"/>
            </w:tcBorders>
            <w:vAlign w:val="center"/>
          </w:tcPr>
          <w:p w:rsidR="00A01E1D" w:rsidRDefault="00A01E1D">
            <w:pPr>
              <w:jc w:val="center"/>
              <w:rPr>
                <w:rFonts w:cs="Arial"/>
                <w:szCs w:val="20"/>
              </w:rPr>
            </w:pPr>
            <w:r>
              <w:rPr>
                <w:rFonts w:cs="Arial"/>
                <w:szCs w:val="20"/>
              </w:rPr>
              <w:t>94</w:t>
            </w:r>
          </w:p>
        </w:tc>
        <w:tc>
          <w:tcPr>
            <w:tcW w:w="525" w:type="pct"/>
            <w:tcBorders>
              <w:top w:val="nil"/>
              <w:bottom w:val="nil"/>
            </w:tcBorders>
            <w:vAlign w:val="center"/>
          </w:tcPr>
          <w:p w:rsidR="00A01E1D" w:rsidRDefault="00A01E1D">
            <w:pPr>
              <w:jc w:val="center"/>
              <w:rPr>
                <w:rFonts w:cs="Arial"/>
                <w:szCs w:val="20"/>
              </w:rPr>
            </w:pPr>
            <w:r>
              <w:rPr>
                <w:rFonts w:cs="Arial"/>
                <w:szCs w:val="20"/>
              </w:rPr>
              <w:t>94</w:t>
            </w:r>
          </w:p>
        </w:tc>
        <w:tc>
          <w:tcPr>
            <w:tcW w:w="518" w:type="pct"/>
            <w:tcBorders>
              <w:top w:val="nil"/>
              <w:bottom w:val="nil"/>
            </w:tcBorders>
            <w:vAlign w:val="center"/>
          </w:tcPr>
          <w:p w:rsidR="00A01E1D" w:rsidRDefault="00A01E1D">
            <w:pPr>
              <w:jc w:val="center"/>
              <w:rPr>
                <w:rFonts w:cs="Arial"/>
                <w:szCs w:val="20"/>
              </w:rPr>
            </w:pPr>
            <w:r>
              <w:rPr>
                <w:rFonts w:cs="Arial"/>
                <w:szCs w:val="20"/>
              </w:rPr>
              <w:t>93</w:t>
            </w:r>
          </w:p>
        </w:tc>
        <w:tc>
          <w:tcPr>
            <w:tcW w:w="515" w:type="pct"/>
            <w:tcBorders>
              <w:top w:val="nil"/>
              <w:bottom w:val="nil"/>
            </w:tcBorders>
            <w:vAlign w:val="center"/>
          </w:tcPr>
          <w:p w:rsidR="00A01E1D" w:rsidRDefault="00A01E1D">
            <w:pPr>
              <w:jc w:val="center"/>
              <w:rPr>
                <w:rFonts w:cs="Arial"/>
                <w:szCs w:val="20"/>
              </w:rPr>
            </w:pPr>
            <w:r>
              <w:rPr>
                <w:rFonts w:cs="Arial"/>
                <w:szCs w:val="20"/>
              </w:rPr>
              <w:t>85</w:t>
            </w:r>
          </w:p>
        </w:tc>
        <w:tc>
          <w:tcPr>
            <w:tcW w:w="587" w:type="pct"/>
            <w:tcBorders>
              <w:top w:val="nil"/>
              <w:bottom w:val="nil"/>
            </w:tcBorders>
            <w:vAlign w:val="center"/>
          </w:tcPr>
          <w:p w:rsidR="00A01E1D" w:rsidRDefault="00A01E1D">
            <w:pPr>
              <w:jc w:val="center"/>
              <w:rPr>
                <w:rFonts w:cs="Arial"/>
                <w:szCs w:val="20"/>
              </w:rPr>
            </w:pPr>
            <w:r>
              <w:rPr>
                <w:rFonts w:cs="Arial"/>
                <w:szCs w:val="20"/>
              </w:rPr>
              <w:t>74</w:t>
            </w:r>
          </w:p>
        </w:tc>
      </w:tr>
      <w:tr w:rsidR="00A01E1D" w:rsidRPr="00405CDE" w:rsidTr="00A226E9">
        <w:trPr>
          <w:trHeight w:val="510"/>
        </w:trPr>
        <w:tc>
          <w:tcPr>
            <w:tcW w:w="1152" w:type="pct"/>
            <w:tcBorders>
              <w:top w:val="nil"/>
              <w:bottom w:val="nil"/>
            </w:tcBorders>
            <w:vAlign w:val="center"/>
          </w:tcPr>
          <w:p w:rsidR="00A01E1D" w:rsidRDefault="00A01E1D">
            <w:pPr>
              <w:rPr>
                <w:rFonts w:cs="Arial"/>
                <w:sz w:val="20"/>
                <w:szCs w:val="20"/>
              </w:rPr>
            </w:pPr>
            <w:r>
              <w:rPr>
                <w:rFonts w:cs="Arial"/>
                <w:sz w:val="20"/>
                <w:szCs w:val="20"/>
              </w:rPr>
              <w:t>Ex post price ($/GJ)</w:t>
            </w:r>
          </w:p>
        </w:tc>
        <w:tc>
          <w:tcPr>
            <w:tcW w:w="589" w:type="pct"/>
            <w:tcBorders>
              <w:top w:val="nil"/>
              <w:bottom w:val="nil"/>
            </w:tcBorders>
            <w:vAlign w:val="center"/>
          </w:tcPr>
          <w:p w:rsidR="00A01E1D" w:rsidRDefault="00A01E1D">
            <w:pPr>
              <w:jc w:val="center"/>
              <w:rPr>
                <w:rFonts w:cs="Arial"/>
                <w:sz w:val="20"/>
                <w:szCs w:val="20"/>
              </w:rPr>
            </w:pPr>
            <w:r>
              <w:rPr>
                <w:rFonts w:cs="Arial"/>
                <w:sz w:val="20"/>
                <w:szCs w:val="20"/>
              </w:rPr>
              <w:t>7.16</w:t>
            </w:r>
          </w:p>
        </w:tc>
        <w:tc>
          <w:tcPr>
            <w:tcW w:w="516" w:type="pct"/>
            <w:tcBorders>
              <w:top w:val="nil"/>
              <w:bottom w:val="nil"/>
            </w:tcBorders>
            <w:vAlign w:val="center"/>
          </w:tcPr>
          <w:p w:rsidR="00A01E1D" w:rsidRDefault="00A01E1D">
            <w:pPr>
              <w:jc w:val="center"/>
              <w:rPr>
                <w:rFonts w:cs="Arial"/>
                <w:sz w:val="20"/>
                <w:szCs w:val="20"/>
              </w:rPr>
            </w:pPr>
            <w:r>
              <w:rPr>
                <w:rFonts w:cs="Arial"/>
                <w:sz w:val="20"/>
                <w:szCs w:val="20"/>
              </w:rPr>
              <w:t>6.07</w:t>
            </w:r>
          </w:p>
        </w:tc>
        <w:tc>
          <w:tcPr>
            <w:tcW w:w="598" w:type="pct"/>
            <w:tcBorders>
              <w:top w:val="nil"/>
              <w:bottom w:val="nil"/>
            </w:tcBorders>
            <w:vAlign w:val="center"/>
          </w:tcPr>
          <w:p w:rsidR="00A01E1D" w:rsidRDefault="00A01E1D">
            <w:pPr>
              <w:jc w:val="center"/>
              <w:rPr>
                <w:rFonts w:cs="Arial"/>
                <w:sz w:val="20"/>
                <w:szCs w:val="20"/>
              </w:rPr>
            </w:pPr>
            <w:r>
              <w:rPr>
                <w:rFonts w:cs="Arial"/>
                <w:sz w:val="20"/>
                <w:szCs w:val="20"/>
              </w:rPr>
              <w:t>6.76</w:t>
            </w:r>
          </w:p>
        </w:tc>
        <w:tc>
          <w:tcPr>
            <w:tcW w:w="525" w:type="pct"/>
            <w:tcBorders>
              <w:top w:val="nil"/>
              <w:bottom w:val="nil"/>
            </w:tcBorders>
            <w:vAlign w:val="center"/>
          </w:tcPr>
          <w:p w:rsidR="00A01E1D" w:rsidRDefault="00A01E1D">
            <w:pPr>
              <w:jc w:val="center"/>
              <w:rPr>
                <w:rFonts w:cs="Arial"/>
                <w:sz w:val="20"/>
                <w:szCs w:val="20"/>
              </w:rPr>
            </w:pPr>
            <w:r>
              <w:rPr>
                <w:rFonts w:cs="Arial"/>
                <w:sz w:val="20"/>
                <w:szCs w:val="20"/>
              </w:rPr>
              <w:t>6.98</w:t>
            </w:r>
          </w:p>
        </w:tc>
        <w:tc>
          <w:tcPr>
            <w:tcW w:w="518" w:type="pct"/>
            <w:tcBorders>
              <w:top w:val="nil"/>
              <w:bottom w:val="nil"/>
            </w:tcBorders>
            <w:vAlign w:val="center"/>
          </w:tcPr>
          <w:p w:rsidR="00A01E1D" w:rsidRDefault="00A01E1D">
            <w:pPr>
              <w:jc w:val="center"/>
              <w:rPr>
                <w:rFonts w:cs="Arial"/>
                <w:sz w:val="20"/>
                <w:szCs w:val="20"/>
              </w:rPr>
            </w:pPr>
            <w:r>
              <w:rPr>
                <w:rFonts w:cs="Arial"/>
                <w:sz w:val="20"/>
                <w:szCs w:val="20"/>
              </w:rPr>
              <w:t>7.20</w:t>
            </w:r>
          </w:p>
        </w:tc>
        <w:tc>
          <w:tcPr>
            <w:tcW w:w="515" w:type="pct"/>
            <w:tcBorders>
              <w:top w:val="nil"/>
              <w:bottom w:val="nil"/>
            </w:tcBorders>
            <w:vAlign w:val="center"/>
          </w:tcPr>
          <w:p w:rsidR="00A01E1D" w:rsidRDefault="00A01E1D">
            <w:pPr>
              <w:jc w:val="center"/>
              <w:rPr>
                <w:rFonts w:cs="Arial"/>
                <w:sz w:val="20"/>
                <w:szCs w:val="20"/>
              </w:rPr>
            </w:pPr>
            <w:r>
              <w:rPr>
                <w:rFonts w:cs="Arial"/>
                <w:sz w:val="20"/>
                <w:szCs w:val="20"/>
              </w:rPr>
              <w:t>8.08</w:t>
            </w:r>
          </w:p>
        </w:tc>
        <w:tc>
          <w:tcPr>
            <w:tcW w:w="587" w:type="pct"/>
            <w:tcBorders>
              <w:top w:val="nil"/>
              <w:bottom w:val="nil"/>
            </w:tcBorders>
            <w:vAlign w:val="center"/>
          </w:tcPr>
          <w:p w:rsidR="00A01E1D" w:rsidRDefault="00A01E1D">
            <w:pPr>
              <w:jc w:val="center"/>
              <w:rPr>
                <w:rFonts w:cs="Arial"/>
                <w:sz w:val="20"/>
                <w:szCs w:val="20"/>
              </w:rPr>
            </w:pPr>
            <w:r>
              <w:rPr>
                <w:rFonts w:cs="Arial"/>
                <w:sz w:val="20"/>
                <w:szCs w:val="20"/>
              </w:rPr>
              <w:t>6.56</w:t>
            </w:r>
          </w:p>
        </w:tc>
      </w:tr>
      <w:tr w:rsidR="00A01E1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A01E1D" w:rsidRDefault="00A01E1D">
            <w:pPr>
              <w:rPr>
                <w:rFonts w:cs="Arial"/>
                <w:szCs w:val="20"/>
              </w:rPr>
            </w:pPr>
            <w:r>
              <w:rPr>
                <w:rFonts w:cs="Arial"/>
                <w:szCs w:val="20"/>
              </w:rPr>
              <w:t>Ex post quantity (TJ)</w:t>
            </w:r>
          </w:p>
        </w:tc>
        <w:tc>
          <w:tcPr>
            <w:tcW w:w="589" w:type="pct"/>
            <w:tcBorders>
              <w:top w:val="nil"/>
              <w:bottom w:val="single" w:sz="4" w:space="0" w:color="auto"/>
            </w:tcBorders>
            <w:vAlign w:val="center"/>
          </w:tcPr>
          <w:p w:rsidR="00A01E1D" w:rsidRDefault="00A01E1D">
            <w:pPr>
              <w:jc w:val="center"/>
              <w:rPr>
                <w:rFonts w:cs="Arial"/>
                <w:szCs w:val="20"/>
              </w:rPr>
            </w:pPr>
            <w:r>
              <w:rPr>
                <w:rFonts w:cs="Arial"/>
                <w:szCs w:val="20"/>
              </w:rPr>
              <w:t>76</w:t>
            </w:r>
          </w:p>
        </w:tc>
        <w:tc>
          <w:tcPr>
            <w:tcW w:w="516" w:type="pct"/>
            <w:tcBorders>
              <w:top w:val="nil"/>
              <w:bottom w:val="single" w:sz="4" w:space="0" w:color="auto"/>
            </w:tcBorders>
            <w:vAlign w:val="center"/>
          </w:tcPr>
          <w:p w:rsidR="00A01E1D" w:rsidRDefault="00A01E1D">
            <w:pPr>
              <w:jc w:val="center"/>
              <w:rPr>
                <w:rFonts w:cs="Arial"/>
                <w:szCs w:val="20"/>
              </w:rPr>
            </w:pPr>
            <w:r>
              <w:rPr>
                <w:rFonts w:cs="Arial"/>
                <w:szCs w:val="20"/>
              </w:rPr>
              <w:t>90</w:t>
            </w:r>
          </w:p>
        </w:tc>
        <w:tc>
          <w:tcPr>
            <w:tcW w:w="598" w:type="pct"/>
            <w:tcBorders>
              <w:top w:val="nil"/>
              <w:bottom w:val="single" w:sz="4" w:space="0" w:color="auto"/>
            </w:tcBorders>
            <w:vAlign w:val="center"/>
          </w:tcPr>
          <w:p w:rsidR="00A01E1D" w:rsidRDefault="00A01E1D">
            <w:pPr>
              <w:jc w:val="center"/>
              <w:rPr>
                <w:rFonts w:cs="Arial"/>
                <w:szCs w:val="20"/>
              </w:rPr>
            </w:pPr>
            <w:r>
              <w:rPr>
                <w:rFonts w:cs="Arial"/>
                <w:szCs w:val="20"/>
              </w:rPr>
              <w:t>91</w:t>
            </w:r>
          </w:p>
        </w:tc>
        <w:tc>
          <w:tcPr>
            <w:tcW w:w="525" w:type="pct"/>
            <w:tcBorders>
              <w:top w:val="nil"/>
              <w:bottom w:val="single" w:sz="4" w:space="0" w:color="auto"/>
            </w:tcBorders>
            <w:vAlign w:val="center"/>
          </w:tcPr>
          <w:p w:rsidR="00A01E1D" w:rsidRDefault="00A01E1D">
            <w:pPr>
              <w:jc w:val="center"/>
              <w:rPr>
                <w:rFonts w:cs="Arial"/>
                <w:szCs w:val="20"/>
              </w:rPr>
            </w:pPr>
            <w:r>
              <w:rPr>
                <w:rFonts w:cs="Arial"/>
                <w:szCs w:val="20"/>
              </w:rPr>
              <w:t>91</w:t>
            </w:r>
          </w:p>
        </w:tc>
        <w:tc>
          <w:tcPr>
            <w:tcW w:w="518" w:type="pct"/>
            <w:tcBorders>
              <w:top w:val="nil"/>
              <w:bottom w:val="single" w:sz="4" w:space="0" w:color="auto"/>
            </w:tcBorders>
            <w:vAlign w:val="center"/>
          </w:tcPr>
          <w:p w:rsidR="00A01E1D" w:rsidRDefault="00A01E1D">
            <w:pPr>
              <w:jc w:val="center"/>
              <w:rPr>
                <w:rFonts w:cs="Arial"/>
                <w:szCs w:val="20"/>
              </w:rPr>
            </w:pPr>
            <w:r>
              <w:rPr>
                <w:rFonts w:cs="Arial"/>
                <w:szCs w:val="20"/>
              </w:rPr>
              <w:t>93</w:t>
            </w:r>
          </w:p>
        </w:tc>
        <w:tc>
          <w:tcPr>
            <w:tcW w:w="515" w:type="pct"/>
            <w:tcBorders>
              <w:top w:val="nil"/>
              <w:bottom w:val="single" w:sz="4" w:space="0" w:color="auto"/>
            </w:tcBorders>
            <w:vAlign w:val="center"/>
          </w:tcPr>
          <w:p w:rsidR="00A01E1D" w:rsidRDefault="00A01E1D">
            <w:pPr>
              <w:jc w:val="center"/>
              <w:rPr>
                <w:rFonts w:cs="Arial"/>
                <w:szCs w:val="20"/>
              </w:rPr>
            </w:pPr>
            <w:r>
              <w:rPr>
                <w:rFonts w:cs="Arial"/>
                <w:szCs w:val="20"/>
              </w:rPr>
              <w:t>87</w:t>
            </w:r>
          </w:p>
        </w:tc>
        <w:tc>
          <w:tcPr>
            <w:tcW w:w="587" w:type="pct"/>
            <w:tcBorders>
              <w:top w:val="nil"/>
              <w:bottom w:val="single" w:sz="4" w:space="0" w:color="auto"/>
            </w:tcBorders>
            <w:vAlign w:val="center"/>
          </w:tcPr>
          <w:p w:rsidR="00A01E1D" w:rsidRDefault="00A01E1D">
            <w:pPr>
              <w:jc w:val="center"/>
              <w:rPr>
                <w:rFonts w:cs="Arial"/>
                <w:szCs w:val="20"/>
              </w:rPr>
            </w:pPr>
            <w:r>
              <w:rPr>
                <w:rFonts w:cs="Arial"/>
                <w:szCs w:val="20"/>
              </w:rPr>
              <w:t>79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A01E1D" w:rsidP="00EC2CB1">
      <w:r w:rsidRPr="00A01E1D">
        <w:rPr>
          <w:noProof/>
          <w:lang w:eastAsia="en-AU"/>
        </w:rPr>
        <w:drawing>
          <wp:inline distT="0" distB="0" distL="0" distR="0" wp14:anchorId="3D66ADBF" wp14:editId="272444D1">
            <wp:extent cx="5731510" cy="1725905"/>
            <wp:effectExtent l="0" t="0" r="2540" b="0"/>
            <wp:docPr id="36" name="Picture 36"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A01E1D" w:rsidP="00EC2CB1">
      <w:r w:rsidRPr="00A01E1D">
        <w:rPr>
          <w:noProof/>
          <w:lang w:eastAsia="en-AU"/>
        </w:rPr>
        <w:drawing>
          <wp:inline distT="0" distB="0" distL="0" distR="0" wp14:anchorId="3570C3E4" wp14:editId="4217E3FC">
            <wp:extent cx="5731510" cy="1475616"/>
            <wp:effectExtent l="0" t="0" r="2540" b="0"/>
            <wp:docPr id="37" name="Picture 37"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A01E1D" w:rsidP="00A226E9">
      <w:r w:rsidRPr="00A01E1D">
        <w:rPr>
          <w:noProof/>
          <w:lang w:eastAsia="en-AU"/>
        </w:rPr>
        <w:drawing>
          <wp:inline distT="0" distB="0" distL="0" distR="0" wp14:anchorId="29921271" wp14:editId="63DA2EFF">
            <wp:extent cx="5731510" cy="1883137"/>
            <wp:effectExtent l="0" t="0" r="2540" b="3175"/>
            <wp:docPr id="38" name="Picture 38"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6"/>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7"/>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8"/>
      </w:r>
    </w:p>
    <w:p w:rsidR="00665C0C" w:rsidRDefault="00A01E1D" w:rsidP="00596DE3">
      <w:pPr>
        <w:spacing w:line="240" w:lineRule="auto"/>
      </w:pPr>
      <w:r w:rsidRPr="00A01E1D">
        <w:rPr>
          <w:noProof/>
          <w:lang w:eastAsia="en-AU"/>
        </w:rPr>
        <w:drawing>
          <wp:inline distT="0" distB="0" distL="0" distR="0" wp14:anchorId="4449E472" wp14:editId="61CDD443">
            <wp:extent cx="5731510" cy="6276637"/>
            <wp:effectExtent l="0" t="0" r="2540" b="0"/>
            <wp:docPr id="39" name="Picture 39"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9"/>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3313A7" w:rsidRDefault="00366910" w:rsidP="00551D6B">
      <w:pPr>
        <w:jc w:val="both"/>
      </w:pPr>
      <w:r w:rsidRPr="003313A7">
        <w:t xml:space="preserve">This </w:t>
      </w:r>
      <w:r w:rsidR="00044485" w:rsidRPr="003313A7">
        <w:t>week there were 44 trades for 196</w:t>
      </w:r>
      <w:r w:rsidRPr="003313A7">
        <w:t xml:space="preserve"> TJ of gas </w:t>
      </w:r>
      <w:r w:rsidR="00E866F2" w:rsidRPr="003313A7">
        <w:t>at a volume weighted price of $7.29</w:t>
      </w:r>
      <w:r w:rsidRPr="003313A7">
        <w:t>/GJ. These consisted of</w:t>
      </w:r>
      <w:r w:rsidR="00E866F2" w:rsidRPr="003313A7">
        <w:t xml:space="preserve"> 11</w:t>
      </w:r>
      <w:r w:rsidR="00CD6E09" w:rsidRPr="003313A7">
        <w:t xml:space="preserve"> trades at WAL (59 TJ at $7.23</w:t>
      </w:r>
      <w:r w:rsidRPr="003313A7">
        <w:t>/GJ) and</w:t>
      </w:r>
      <w:r w:rsidR="00E866F2" w:rsidRPr="003313A7">
        <w:t xml:space="preserve"> 33</w:t>
      </w:r>
      <w:r w:rsidR="00CD6E09" w:rsidRPr="003313A7">
        <w:t xml:space="preserve"> trades at SEQ (137 TJ at $7.32</w:t>
      </w:r>
      <w:r w:rsidRPr="003313A7">
        <w:t>/GJ).</w:t>
      </w:r>
      <w:r w:rsidR="00607AE5" w:rsidRPr="003313A7">
        <w:t xml:space="preserve"> Exchange trade quantities increased from the previous week to 146 TJ, while off</w:t>
      </w:r>
      <w:r w:rsidR="00607AE5" w:rsidRPr="003313A7">
        <w:noBreakHyphen/>
        <w:t xml:space="preserve">market trades reduced to 50 TJ. </w:t>
      </w:r>
    </w:p>
    <w:p w:rsidR="00367FB6" w:rsidRDefault="0004138C" w:rsidP="00551D6B">
      <w:pPr>
        <w:jc w:val="both"/>
      </w:pPr>
      <w:r w:rsidRPr="003313A7">
        <w:t xml:space="preserve">There </w:t>
      </w:r>
      <w:r w:rsidRPr="00367FB6">
        <w:t xml:space="preserve">were seven spread product trades this week, matching bids and offers between WAL and SEQ. Weekly product trades on </w:t>
      </w:r>
      <w:r w:rsidR="006735B3" w:rsidRPr="00367FB6">
        <w:t>31 </w:t>
      </w:r>
      <w:r w:rsidRPr="00367FB6">
        <w:t xml:space="preserve">July cleared </w:t>
      </w:r>
      <w:r w:rsidR="006735B3" w:rsidRPr="00367FB6">
        <w:t>1 </w:t>
      </w:r>
      <w:r w:rsidRPr="00367FB6">
        <w:t xml:space="preserve">TJ/day for two trades, while the remaining trades on </w:t>
      </w:r>
      <w:r w:rsidR="006735B3" w:rsidRPr="00367FB6">
        <w:t>1 </w:t>
      </w:r>
      <w:r w:rsidRPr="00367FB6">
        <w:t xml:space="preserve">August were all daily products for </w:t>
      </w:r>
      <w:r w:rsidR="006735B3" w:rsidRPr="00367FB6">
        <w:t>2 </w:t>
      </w:r>
      <w:r w:rsidRPr="00367FB6">
        <w:t xml:space="preserve">TJ of gas. </w:t>
      </w:r>
    </w:p>
    <w:p w:rsidR="000C1A94" w:rsidRPr="00E06937" w:rsidRDefault="00596DE3" w:rsidP="00551D6B">
      <w:pPr>
        <w:jc w:val="both"/>
      </w:pPr>
      <w:r w:rsidRPr="00367FB6">
        <w:t xml:space="preserve">Figure 6.1 shows the quantity of gas traded by product type for each trading day </w:t>
      </w:r>
      <w:r w:rsidRPr="00552F68">
        <w:t>on pipeline trading locations in the Wallumbilla and Moomba Gas Supply Hubs.</w:t>
      </w:r>
      <w:r>
        <w:rPr>
          <w:rStyle w:val="FootnoteReference"/>
        </w:rPr>
        <w:footnoteReference w:id="20"/>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67FB6" w:rsidP="00357E56">
      <w:pPr>
        <w:spacing w:before="0"/>
      </w:pPr>
      <w:r w:rsidRPr="00367FB6">
        <w:rPr>
          <w:noProof/>
          <w:lang w:eastAsia="en-AU"/>
        </w:rPr>
        <w:drawing>
          <wp:inline distT="0" distB="0" distL="0" distR="0" wp14:anchorId="0025B4DA" wp14:editId="4197ADB1">
            <wp:extent cx="5731510" cy="3126209"/>
            <wp:effectExtent l="0" t="0" r="2540" b="0"/>
            <wp:docPr id="5" name="Picture 5"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209"/>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367FB6">
      <w:pPr>
        <w:pStyle w:val="Heading4notnumbered"/>
        <w:spacing w:before="60"/>
      </w:pPr>
      <w:r w:rsidRPr="00D92E07">
        <w:t>Australian Energy Regulator</w:t>
      </w:r>
      <w:r w:rsidR="005B0EF5" w:rsidRPr="00D92E07">
        <w:br/>
      </w:r>
      <w:r w:rsidR="00FE7757" w:rsidRPr="00FE7757">
        <w:t xml:space="preserve">August </w:t>
      </w:r>
      <w:r w:rsidR="00C4712A" w:rsidRPr="00FE7757">
        <w:t>20</w:t>
      </w:r>
      <w:r w:rsidR="00280CAF" w:rsidRPr="00FE7757">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B62" w:rsidRDefault="00943B62" w:rsidP="004B4412">
      <w:pPr>
        <w:spacing w:before="0"/>
      </w:pPr>
      <w:r>
        <w:separator/>
      </w:r>
    </w:p>
  </w:endnote>
  <w:endnote w:type="continuationSeparator" w:id="0">
    <w:p w:rsidR="00943B62" w:rsidRDefault="00943B62"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62" w:rsidRPr="00A91A9E" w:rsidRDefault="00943B62"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943B62" w:rsidRDefault="00943B62"/>
  <w:p w:rsidR="00943B62" w:rsidRDefault="00943B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62" w:rsidRPr="00A94D89" w:rsidRDefault="00943B62"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0EB3">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B62" w:rsidRPr="00A94D89" w:rsidRDefault="00943B62"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B0EB3">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113634</w:t>
    </w:r>
  </w:p>
  <w:p w:rsidR="00943B62" w:rsidRDefault="00943B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B62" w:rsidRDefault="00943B62" w:rsidP="004B4412">
      <w:pPr>
        <w:spacing w:before="0"/>
      </w:pPr>
      <w:r>
        <w:separator/>
      </w:r>
    </w:p>
  </w:footnote>
  <w:footnote w:type="continuationSeparator" w:id="0">
    <w:p w:rsidR="00943B62" w:rsidRDefault="00943B62" w:rsidP="004B4412">
      <w:pPr>
        <w:spacing w:before="0"/>
      </w:pPr>
      <w:r>
        <w:continuationSeparator/>
      </w:r>
    </w:p>
  </w:footnote>
  <w:footnote w:id="1">
    <w:p w:rsidR="00943B62" w:rsidRPr="000835F4" w:rsidRDefault="00943B62" w:rsidP="00316D3B">
      <w:pPr>
        <w:pStyle w:val="FootnoteText"/>
        <w:spacing w:before="0"/>
        <w:ind w:left="284" w:hanging="284"/>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943B62" w:rsidRPr="000835F4" w:rsidRDefault="00943B62" w:rsidP="00316D3B">
      <w:pPr>
        <w:pStyle w:val="FootnoteText"/>
        <w:spacing w:before="0"/>
        <w:ind w:left="284" w:hanging="284"/>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943B62" w:rsidRDefault="00943B62" w:rsidP="005E1285">
      <w:pPr>
        <w:pStyle w:val="FootnoteText"/>
      </w:pPr>
      <w:r>
        <w:rPr>
          <w:rStyle w:val="FootnoteReference"/>
        </w:rPr>
        <w:footnoteRef/>
      </w:r>
      <w:r>
        <w:t xml:space="preserve"> </w:t>
      </w:r>
      <w:r>
        <w:tab/>
      </w:r>
      <w:hyperlink r:id="rId1" w:history="1">
        <w:r>
          <w:rPr>
            <w:rStyle w:val="Hyperlink"/>
            <w:sz w:val="16"/>
          </w:rPr>
          <w:t>Voluntary Information from LNG Producers in Queensland</w:t>
        </w:r>
      </w:hyperlink>
      <w:r>
        <w:t xml:space="preserve"> </w:t>
      </w:r>
    </w:p>
  </w:footnote>
  <w:footnote w:id="4">
    <w:p w:rsidR="00943B62" w:rsidRDefault="00943B62" w:rsidP="00316D3B">
      <w:pPr>
        <w:pStyle w:val="FootnoteText"/>
        <w:ind w:left="284" w:hanging="284"/>
        <w:jc w:val="both"/>
      </w:pPr>
      <w:r>
        <w:rPr>
          <w:rStyle w:val="FootnoteReference"/>
        </w:rPr>
        <w:footnoteRef/>
      </w:r>
      <w:r>
        <w:t xml:space="preserve"> </w:t>
      </w:r>
      <w:r>
        <w:tab/>
        <w:t xml:space="preserve">This was Melbourne’s coldest day for the 2017 calendar year to date, with a daily maximum temperature of just 9 degrees. </w:t>
      </w:r>
    </w:p>
  </w:footnote>
  <w:footnote w:id="5">
    <w:p w:rsidR="00943B62" w:rsidRDefault="00943B62" w:rsidP="00A31B22">
      <w:pPr>
        <w:pStyle w:val="FootnoteText"/>
        <w:ind w:left="284" w:hanging="284"/>
        <w:jc w:val="both"/>
      </w:pPr>
      <w:r>
        <w:rPr>
          <w:rStyle w:val="FootnoteReference"/>
        </w:rPr>
        <w:footnoteRef/>
      </w:r>
      <w:r>
        <w:t xml:space="preserve"> </w:t>
      </w:r>
      <w:r>
        <w:tab/>
        <w:t xml:space="preserve">An Amber flag raise on facilities within the Victorian declared transmission system indicates </w:t>
      </w:r>
      <w:r w:rsidRPr="00A31B22">
        <w:t>LNG is being vaporised at a rate of no more than 100 tonnes/h</w:t>
      </w:r>
      <w:r>
        <w:t>,</w:t>
      </w:r>
      <w:r w:rsidRPr="00A31B22">
        <w:t xml:space="preserve"> or out of merit order gas </w:t>
      </w:r>
      <w:r>
        <w:t>being</w:t>
      </w:r>
      <w:r w:rsidRPr="00A31B22">
        <w:t xml:space="preserve"> scheduled in response to a threat to system security.</w:t>
      </w:r>
      <w:r>
        <w:t xml:space="preserve"> A</w:t>
      </w:r>
      <w:r w:rsidRPr="00372F12">
        <w:t xml:space="preserve">mber flags were raised </w:t>
      </w:r>
      <w:r>
        <w:t xml:space="preserve">on the Bulletin Board </w:t>
      </w:r>
      <w:r w:rsidRPr="00372F12">
        <w:t>during the 2 pm scheduling period and cancelled during the 6 pm scheduling period.</w:t>
      </w:r>
    </w:p>
  </w:footnote>
  <w:footnote w:id="6">
    <w:p w:rsidR="003313A7" w:rsidRDefault="003313A7" w:rsidP="003313A7">
      <w:pPr>
        <w:pStyle w:val="FootnoteText"/>
        <w:ind w:left="284" w:hanging="284"/>
        <w:jc w:val="both"/>
      </w:pPr>
      <w:r>
        <w:rPr>
          <w:rStyle w:val="FootnoteReference"/>
        </w:rPr>
        <w:footnoteRef/>
      </w:r>
      <w:r>
        <w:t xml:space="preserve"> </w:t>
      </w:r>
      <w:r>
        <w:tab/>
        <w:t>GPG demand taking gas from within the Victorian DTS was around 127 TJ, largely supplying Laverton and Newport.</w:t>
      </w:r>
    </w:p>
  </w:footnote>
  <w:footnote w:id="7">
    <w:p w:rsidR="00943B62" w:rsidRDefault="00943B62" w:rsidP="00316D3B">
      <w:pPr>
        <w:pStyle w:val="FootnoteText"/>
        <w:ind w:left="284" w:hanging="284"/>
        <w:jc w:val="both"/>
      </w:pPr>
      <w:r>
        <w:rPr>
          <w:rStyle w:val="FootnoteReference"/>
        </w:rPr>
        <w:footnoteRef/>
      </w:r>
      <w:r>
        <w:t xml:space="preserve"> </w:t>
      </w:r>
      <w:r>
        <w:tab/>
        <w:t>Note that Figure 2.2 is based on forecast participant demand. Actual system demand on the day (including injections for linepack, gas fuelling compressors and unaccounted for gas) reached 1149.7 TJ across the gas day, with total uncontrollable withdrawals reaching their second highest level at 1276.6 TJ (based on settlement account energy data). This was only 5 TJ lower than the highest demand day of 1281.5 TJ which occurred a decade ago on 17 July 2007. Supply from LNG has been added to figure 1.5.</w:t>
      </w:r>
    </w:p>
  </w:footnote>
  <w:footnote w:id="8">
    <w:p w:rsidR="00943B62" w:rsidRDefault="00943B62" w:rsidP="00372F12">
      <w:pPr>
        <w:pStyle w:val="FootnoteText"/>
        <w:ind w:left="284" w:hanging="284"/>
        <w:jc w:val="both"/>
      </w:pPr>
      <w:r>
        <w:rPr>
          <w:rStyle w:val="FootnoteReference"/>
        </w:rPr>
        <w:footnoteRef/>
      </w:r>
      <w:r>
        <w:t xml:space="preserve"> </w:t>
      </w:r>
      <w:r>
        <w:tab/>
        <w:t xml:space="preserve">There were only minimal ancillary payments for the 6 pm schedule, accruing to $10,982. </w:t>
      </w:r>
    </w:p>
  </w:footnote>
  <w:footnote w:id="9">
    <w:p w:rsidR="00943B62" w:rsidRDefault="00943B62" w:rsidP="00316D3B">
      <w:pPr>
        <w:pStyle w:val="FootnoteText"/>
        <w:ind w:left="284" w:hanging="284"/>
        <w:jc w:val="both"/>
      </w:pPr>
      <w:r>
        <w:rPr>
          <w:rStyle w:val="FootnoteReference"/>
        </w:rPr>
        <w:footnoteRef/>
      </w:r>
      <w:r>
        <w:t xml:space="preserve"> </w:t>
      </w:r>
      <w:r>
        <w:tab/>
        <w:t>Record production from the combined output of the Roma</w:t>
      </w:r>
      <w:r w:rsidRPr="0004138C">
        <w:t xml:space="preserve"> </w:t>
      </w:r>
      <w:r>
        <w:t>facilities was 3710 TJ on 4 July 2017.</w:t>
      </w:r>
    </w:p>
  </w:footnote>
  <w:footnote w:id="10">
    <w:p w:rsidR="00943B62" w:rsidRPr="00EC2CB1" w:rsidRDefault="00943B62" w:rsidP="00316D3B">
      <w:pPr>
        <w:pStyle w:val="FootnoteText"/>
        <w:spacing w:before="0"/>
        <w:ind w:left="284" w:hanging="284"/>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11">
    <w:p w:rsidR="00943B62" w:rsidRPr="00EC2CB1" w:rsidRDefault="00943B62" w:rsidP="00316D3B">
      <w:pPr>
        <w:pStyle w:val="FootnoteText"/>
        <w:spacing w:before="0"/>
        <w:ind w:left="284" w:hanging="284"/>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12">
    <w:p w:rsidR="00943B62" w:rsidRPr="00EC2CB1" w:rsidRDefault="00943B62" w:rsidP="00316D3B">
      <w:pPr>
        <w:pStyle w:val="FootnoteText"/>
        <w:spacing w:before="0"/>
        <w:ind w:left="284" w:hanging="284"/>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3">
    <w:p w:rsidR="00943B62" w:rsidRPr="00551D6B" w:rsidRDefault="00943B62" w:rsidP="00316D3B">
      <w:pPr>
        <w:pStyle w:val="FootnoteText"/>
        <w:spacing w:before="0"/>
        <w:ind w:left="284" w:hanging="284"/>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4">
    <w:p w:rsidR="00943B62" w:rsidRPr="00551D6B" w:rsidRDefault="00943B62" w:rsidP="00316D3B">
      <w:pPr>
        <w:pStyle w:val="AERbodytext"/>
        <w:spacing w:before="0" w:line="240" w:lineRule="auto"/>
        <w:ind w:left="284" w:hanging="284"/>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5">
    <w:p w:rsidR="00943B62" w:rsidRPr="00552F68" w:rsidRDefault="00943B62" w:rsidP="00316D3B">
      <w:pPr>
        <w:pStyle w:val="FootnoteText"/>
        <w:ind w:left="284" w:hanging="284"/>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6">
    <w:p w:rsidR="00943B62" w:rsidRPr="0087350F" w:rsidRDefault="00943B62" w:rsidP="00316D3B">
      <w:pPr>
        <w:pStyle w:val="FootnoteText"/>
        <w:spacing w:before="0"/>
        <w:ind w:left="284" w:hanging="284"/>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943B62" w:rsidRPr="0087350F" w:rsidRDefault="00943B62" w:rsidP="00316D3B">
      <w:pPr>
        <w:pStyle w:val="FootnoteText"/>
        <w:spacing w:before="0"/>
        <w:ind w:left="284"/>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943B62" w:rsidRPr="0087350F" w:rsidRDefault="00943B62" w:rsidP="00316D3B">
      <w:pPr>
        <w:pStyle w:val="FootnoteText"/>
        <w:spacing w:before="0"/>
        <w:ind w:left="284"/>
        <w:jc w:val="both"/>
        <w:rPr>
          <w:szCs w:val="16"/>
        </w:rPr>
      </w:pPr>
      <w:r w:rsidRPr="0087350F">
        <w:rPr>
          <w:b/>
          <w:szCs w:val="16"/>
        </w:rPr>
        <w:t>GPG volumes</w:t>
      </w:r>
      <w:r w:rsidRPr="0087350F">
        <w:rPr>
          <w:szCs w:val="16"/>
        </w:rPr>
        <w:t xml:space="preserve"> may include gas usage that does not show up on Bulletin Board pipeline flows.</w:t>
      </w:r>
    </w:p>
  </w:footnote>
  <w:footnote w:id="17">
    <w:p w:rsidR="00943B62" w:rsidRPr="0087350F" w:rsidRDefault="00943B62" w:rsidP="00316D3B">
      <w:pPr>
        <w:pStyle w:val="FootnoteText"/>
        <w:spacing w:before="0"/>
        <w:ind w:left="284" w:hanging="284"/>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8">
    <w:p w:rsidR="00943B62" w:rsidRDefault="00943B62" w:rsidP="00316D3B">
      <w:pPr>
        <w:pStyle w:val="FootnoteText"/>
        <w:ind w:left="284" w:hanging="284"/>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2" w:history="1">
        <w:r w:rsidRPr="00A952AA">
          <w:rPr>
            <w:rStyle w:val="Hyperlink"/>
            <w:sz w:val="16"/>
          </w:rPr>
          <w:t>user guide</w:t>
        </w:r>
      </w:hyperlink>
      <w:r>
        <w:t>.</w:t>
      </w:r>
    </w:p>
  </w:footnote>
  <w:footnote w:id="19">
    <w:p w:rsidR="00943B62" w:rsidRDefault="00943B62" w:rsidP="00316D3B">
      <w:pPr>
        <w:pStyle w:val="FootnoteText"/>
        <w:ind w:left="284" w:hanging="284"/>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3" w:history="1">
        <w:r w:rsidRPr="00A952AA">
          <w:rPr>
            <w:rStyle w:val="Hyperlink"/>
            <w:sz w:val="16"/>
          </w:rPr>
          <w:t>user guide</w:t>
        </w:r>
      </w:hyperlink>
      <w:r>
        <w:t>.</w:t>
      </w:r>
    </w:p>
  </w:footnote>
  <w:footnote w:id="20">
    <w:p w:rsidR="00943B62" w:rsidRDefault="00943B62" w:rsidP="00316D3B">
      <w:pPr>
        <w:pStyle w:val="FootnoteText"/>
        <w:ind w:left="284" w:hanging="284"/>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280\D17 113634  20170730 - 20170805 gas weekly report.DOCX"/>
  </w:docVars>
  <w:rsids>
    <w:rsidRoot w:val="00275002"/>
    <w:rsid w:val="00000817"/>
    <w:rsid w:val="00000BFE"/>
    <w:rsid w:val="00000CC3"/>
    <w:rsid w:val="00001DD0"/>
    <w:rsid w:val="00003169"/>
    <w:rsid w:val="000048AD"/>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38C"/>
    <w:rsid w:val="000415F7"/>
    <w:rsid w:val="00041A89"/>
    <w:rsid w:val="000422AB"/>
    <w:rsid w:val="00043385"/>
    <w:rsid w:val="00043FA7"/>
    <w:rsid w:val="000442BA"/>
    <w:rsid w:val="00044485"/>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0F7B4D"/>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0EB3"/>
    <w:rsid w:val="001B2363"/>
    <w:rsid w:val="001B2B01"/>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7FF"/>
    <w:rsid w:val="00275927"/>
    <w:rsid w:val="002762EA"/>
    <w:rsid w:val="00276A9F"/>
    <w:rsid w:val="00277570"/>
    <w:rsid w:val="00280CAF"/>
    <w:rsid w:val="002817AB"/>
    <w:rsid w:val="002828A0"/>
    <w:rsid w:val="00283BF8"/>
    <w:rsid w:val="0028440E"/>
    <w:rsid w:val="002848D3"/>
    <w:rsid w:val="0028521F"/>
    <w:rsid w:val="00285B8A"/>
    <w:rsid w:val="00286866"/>
    <w:rsid w:val="00286874"/>
    <w:rsid w:val="00286AA8"/>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551"/>
    <w:rsid w:val="002B3B2D"/>
    <w:rsid w:val="002B6FD1"/>
    <w:rsid w:val="002B720D"/>
    <w:rsid w:val="002C2278"/>
    <w:rsid w:val="002C2A63"/>
    <w:rsid w:val="002C341F"/>
    <w:rsid w:val="002C3E5B"/>
    <w:rsid w:val="002C42B0"/>
    <w:rsid w:val="002C4965"/>
    <w:rsid w:val="002C4B0A"/>
    <w:rsid w:val="002C581B"/>
    <w:rsid w:val="002C621D"/>
    <w:rsid w:val="002C6B96"/>
    <w:rsid w:val="002C6DD3"/>
    <w:rsid w:val="002D1734"/>
    <w:rsid w:val="002D37FB"/>
    <w:rsid w:val="002D484E"/>
    <w:rsid w:val="002D4A1F"/>
    <w:rsid w:val="002E1CB9"/>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1288"/>
    <w:rsid w:val="0031318F"/>
    <w:rsid w:val="003152BD"/>
    <w:rsid w:val="003153EB"/>
    <w:rsid w:val="00316D3B"/>
    <w:rsid w:val="003171C6"/>
    <w:rsid w:val="003177A2"/>
    <w:rsid w:val="00317A81"/>
    <w:rsid w:val="003208C0"/>
    <w:rsid w:val="00321853"/>
    <w:rsid w:val="00322300"/>
    <w:rsid w:val="00323CE7"/>
    <w:rsid w:val="003243B4"/>
    <w:rsid w:val="003271B5"/>
    <w:rsid w:val="003274A9"/>
    <w:rsid w:val="0032770E"/>
    <w:rsid w:val="00327AF8"/>
    <w:rsid w:val="00331264"/>
    <w:rsid w:val="003313A7"/>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57E56"/>
    <w:rsid w:val="00361D84"/>
    <w:rsid w:val="00362ABA"/>
    <w:rsid w:val="003642AD"/>
    <w:rsid w:val="00366515"/>
    <w:rsid w:val="00366910"/>
    <w:rsid w:val="00367FB6"/>
    <w:rsid w:val="003715C8"/>
    <w:rsid w:val="00371F3A"/>
    <w:rsid w:val="00371F4F"/>
    <w:rsid w:val="00372F12"/>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5BF5"/>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255A"/>
    <w:rsid w:val="00453327"/>
    <w:rsid w:val="00456C20"/>
    <w:rsid w:val="004578C7"/>
    <w:rsid w:val="0045798E"/>
    <w:rsid w:val="00462CFF"/>
    <w:rsid w:val="00463569"/>
    <w:rsid w:val="00465210"/>
    <w:rsid w:val="00470A59"/>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054F"/>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3739B"/>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B46"/>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D99"/>
    <w:rsid w:val="005A6F22"/>
    <w:rsid w:val="005A731B"/>
    <w:rsid w:val="005B0461"/>
    <w:rsid w:val="005B0EF5"/>
    <w:rsid w:val="005B1402"/>
    <w:rsid w:val="005B1E3C"/>
    <w:rsid w:val="005B62AF"/>
    <w:rsid w:val="005B7F8F"/>
    <w:rsid w:val="005C1926"/>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1285"/>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AE5"/>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3ED"/>
    <w:rsid w:val="0067180B"/>
    <w:rsid w:val="006735B3"/>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146"/>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2B1F"/>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37843"/>
    <w:rsid w:val="00741247"/>
    <w:rsid w:val="00741D03"/>
    <w:rsid w:val="007426D5"/>
    <w:rsid w:val="00743223"/>
    <w:rsid w:val="00743977"/>
    <w:rsid w:val="00746063"/>
    <w:rsid w:val="00746E01"/>
    <w:rsid w:val="00747D2F"/>
    <w:rsid w:val="00751821"/>
    <w:rsid w:val="007532DD"/>
    <w:rsid w:val="00753ADA"/>
    <w:rsid w:val="007545BA"/>
    <w:rsid w:val="007558B1"/>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330B"/>
    <w:rsid w:val="008556A5"/>
    <w:rsid w:val="00856965"/>
    <w:rsid w:val="00857917"/>
    <w:rsid w:val="00861AED"/>
    <w:rsid w:val="00864A9F"/>
    <w:rsid w:val="00865198"/>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3B62"/>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1E1D"/>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1B22"/>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389C"/>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B7F95"/>
    <w:rsid w:val="00AC0FE9"/>
    <w:rsid w:val="00AC1B2C"/>
    <w:rsid w:val="00AC1CF3"/>
    <w:rsid w:val="00AC242C"/>
    <w:rsid w:val="00AC3264"/>
    <w:rsid w:val="00AC48DA"/>
    <w:rsid w:val="00AC4BF5"/>
    <w:rsid w:val="00AC5DC9"/>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A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245E"/>
    <w:rsid w:val="00B23484"/>
    <w:rsid w:val="00B251A4"/>
    <w:rsid w:val="00B25887"/>
    <w:rsid w:val="00B26AAA"/>
    <w:rsid w:val="00B276D9"/>
    <w:rsid w:val="00B302BF"/>
    <w:rsid w:val="00B30D82"/>
    <w:rsid w:val="00B31071"/>
    <w:rsid w:val="00B33C7F"/>
    <w:rsid w:val="00B35810"/>
    <w:rsid w:val="00B35937"/>
    <w:rsid w:val="00B3773B"/>
    <w:rsid w:val="00B40AD5"/>
    <w:rsid w:val="00B4128D"/>
    <w:rsid w:val="00B41686"/>
    <w:rsid w:val="00B44E99"/>
    <w:rsid w:val="00B474EE"/>
    <w:rsid w:val="00B50EEF"/>
    <w:rsid w:val="00B52EC8"/>
    <w:rsid w:val="00B55C24"/>
    <w:rsid w:val="00B56CF6"/>
    <w:rsid w:val="00B56E03"/>
    <w:rsid w:val="00B573FC"/>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7DC"/>
    <w:rsid w:val="00BC4CD2"/>
    <w:rsid w:val="00BC614B"/>
    <w:rsid w:val="00BC6398"/>
    <w:rsid w:val="00BC675F"/>
    <w:rsid w:val="00BD0BD0"/>
    <w:rsid w:val="00BD10B4"/>
    <w:rsid w:val="00BD1AD7"/>
    <w:rsid w:val="00BD1BCA"/>
    <w:rsid w:val="00BD2229"/>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1CEE"/>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4A09"/>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D6E09"/>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4C31"/>
    <w:rsid w:val="00D05840"/>
    <w:rsid w:val="00D07128"/>
    <w:rsid w:val="00D10120"/>
    <w:rsid w:val="00D10E76"/>
    <w:rsid w:val="00D11721"/>
    <w:rsid w:val="00D11CB3"/>
    <w:rsid w:val="00D12619"/>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239C"/>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5A84"/>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3DD"/>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6F2"/>
    <w:rsid w:val="00E86851"/>
    <w:rsid w:val="00E91678"/>
    <w:rsid w:val="00E91BED"/>
    <w:rsid w:val="00E926FC"/>
    <w:rsid w:val="00E95390"/>
    <w:rsid w:val="00E95CA7"/>
    <w:rsid w:val="00E96EFF"/>
    <w:rsid w:val="00EA1DEE"/>
    <w:rsid w:val="00EA3D42"/>
    <w:rsid w:val="00EA4DD9"/>
    <w:rsid w:val="00EA5D5C"/>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ADA"/>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423B"/>
    <w:rsid w:val="00F3590E"/>
    <w:rsid w:val="00F36430"/>
    <w:rsid w:val="00F373A5"/>
    <w:rsid w:val="00F376D3"/>
    <w:rsid w:val="00F40DCA"/>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1840"/>
    <w:rsid w:val="00F724B3"/>
    <w:rsid w:val="00F72F41"/>
    <w:rsid w:val="00F74CBC"/>
    <w:rsid w:val="00F75A26"/>
    <w:rsid w:val="00F766B3"/>
    <w:rsid w:val="00F77D49"/>
    <w:rsid w:val="00F8021A"/>
    <w:rsid w:val="00F805F3"/>
    <w:rsid w:val="00F83FAD"/>
    <w:rsid w:val="00F87EBA"/>
    <w:rsid w:val="00F90420"/>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14E"/>
    <w:rsid w:val="00FE12E5"/>
    <w:rsid w:val="00FE1DE9"/>
    <w:rsid w:val="00FE292D"/>
    <w:rsid w:val="00FE39C2"/>
    <w:rsid w:val="00FE3E67"/>
    <w:rsid w:val="00FE4B6D"/>
    <w:rsid w:val="00FE602C"/>
    <w:rsid w:val="00FE64AE"/>
    <w:rsid w:val="00FE6FD3"/>
    <w:rsid w:val="00FE7757"/>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558512682">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November%202016.pdf" TargetMode="External"/><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www.gasbb.com.au/Reports/Voluntary%20Information%20from%20LNG%20Producers%20in%20Queensland.asp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7E2213-2D27-4973-84E4-E09DDBF3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6E3824CB.dotm</Template>
  <TotalTime>0</TotalTime>
  <Pages>12</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2017-08-18T06:15:00Z</dcterms:created>
  <dcterms:modified xsi:type="dcterms:W3CDTF">2017-08-18T06:16:00Z</dcterms:modified>
</cp:coreProperties>
</file>