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53749949" wp14:editId="3B297A2F">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CC7A48" w:rsidP="00286866">
      <w:pPr>
        <w:pStyle w:val="Heading2"/>
        <w:rPr>
          <w:i/>
        </w:rPr>
      </w:pPr>
      <w:r>
        <w:rPr>
          <w:sz w:val="36"/>
          <w:szCs w:val="36"/>
        </w:rPr>
        <w:t>31 July – 6 August 2016</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6B245C" w:rsidRPr="00241994" w:rsidRDefault="00421DC9" w:rsidP="00F26128">
      <w:pPr>
        <w:jc w:val="both"/>
      </w:pPr>
      <w:r w:rsidRPr="00241994">
        <w:t>Prices remained under $15/GJ in all markets and</w:t>
      </w:r>
      <w:r w:rsidR="000C7B59" w:rsidRPr="00241994">
        <w:t xml:space="preserve">, with the exception of </w:t>
      </w:r>
      <w:proofErr w:type="gramStart"/>
      <w:r w:rsidR="000C7B59" w:rsidRPr="00241994">
        <w:t>Brisbane,</w:t>
      </w:r>
      <w:proofErr w:type="gramEnd"/>
      <w:r w:rsidRPr="00241994">
        <w:t xml:space="preserve"> demand </w:t>
      </w:r>
      <w:r w:rsidR="000C7B59" w:rsidRPr="00241994">
        <w:t xml:space="preserve">was </w:t>
      </w:r>
      <w:r w:rsidRPr="00241994">
        <w:t xml:space="preserve">lower </w:t>
      </w:r>
      <w:r w:rsidR="000C7B59" w:rsidRPr="00241994">
        <w:t xml:space="preserve">than </w:t>
      </w:r>
      <w:r w:rsidRPr="00241994">
        <w:t>the previous week.</w:t>
      </w:r>
      <w:r w:rsidR="0076239D" w:rsidRPr="00241994">
        <w:t xml:space="preserve"> With the </w:t>
      </w:r>
      <w:r w:rsidR="000C7B59" w:rsidRPr="00241994">
        <w:t xml:space="preserve">reduced </w:t>
      </w:r>
      <w:r w:rsidR="0076239D" w:rsidRPr="00241994">
        <w:t xml:space="preserve">winter demand in </w:t>
      </w:r>
      <w:r w:rsidR="00241994">
        <w:t>s</w:t>
      </w:r>
      <w:r w:rsidR="0076239D" w:rsidRPr="00241994">
        <w:t xml:space="preserve">outhern states, gas flow has generally changed </w:t>
      </w:r>
      <w:r w:rsidR="00241994">
        <w:t xml:space="preserve">to flow into Queensland </w:t>
      </w:r>
      <w:r w:rsidR="0076239D" w:rsidRPr="00241994">
        <w:t xml:space="preserve">along </w:t>
      </w:r>
      <w:r w:rsidR="00241994">
        <w:t>the QSN link</w:t>
      </w:r>
      <w:r w:rsidR="0076239D" w:rsidRPr="00241994">
        <w:t>, flowing towards rather than away from Wallumbilla.</w:t>
      </w:r>
      <w:r w:rsidR="0096498C" w:rsidRPr="00241994">
        <w:t xml:space="preserve"> </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r w:rsidR="003106BC" w:rsidRPr="00EC137F">
        <w:t>Price and demand information</w:t>
      </w:r>
      <w:r w:rsidRPr="00EC137F">
        <w:t xml:space="preserve"> </w:t>
      </w:r>
      <w:r w:rsidR="003106BC" w:rsidRPr="00EC137F">
        <w:t>is</w:t>
      </w:r>
      <w:r w:rsidRPr="00EC137F">
        <w:t xml:space="preserve"> also shown for the voluntary Wallumbilla and Moomba Gas Supply Hubs </w:t>
      </w:r>
      <w:r w:rsidR="006621AB" w:rsidRPr="00EC137F">
        <w:rPr>
          <w:b/>
        </w:rPr>
        <w:t>(GSH</w:t>
      </w:r>
      <w:r w:rsidRPr="00EC137F">
        <w:rPr>
          <w:b/>
        </w:rPr>
        <w:t>)</w:t>
      </w:r>
      <w:r w:rsidRPr="00EC137F">
        <w:t>.</w:t>
      </w:r>
    </w:p>
    <w:p w:rsidR="000835F4" w:rsidRDefault="000835F4" w:rsidP="000835F4">
      <w:pPr>
        <w:pStyle w:val="Caption"/>
        <w:rPr>
          <w:color w:val="2272A3"/>
          <w:szCs w:val="24"/>
        </w:rPr>
      </w:pPr>
      <w:r w:rsidRPr="00BE2075">
        <w:t xml:space="preserve">Figure </w:t>
      </w:r>
      <w:r w:rsidR="00EE40B5">
        <w:fldChar w:fldCharType="begin"/>
      </w:r>
      <w:r w:rsidR="00EE40B5">
        <w:instrText xml:space="preserve"> SEQ Figure \* ARABIC </w:instrText>
      </w:r>
      <w:r w:rsidR="00EE40B5">
        <w:fldChar w:fldCharType="separate"/>
      </w:r>
      <w:r w:rsidR="00EE40B5">
        <w:rPr>
          <w:noProof/>
        </w:rPr>
        <w:t>1</w:t>
      </w:r>
      <w:r w:rsidR="00EE40B5">
        <w:rPr>
          <w:noProof/>
        </w:rPr>
        <w:fldChar w:fldCharType="end"/>
      </w:r>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1"/>
      </w:r>
    </w:p>
    <w:tbl>
      <w:tblPr>
        <w:tblStyle w:val="AERTable-Text"/>
        <w:tblW w:w="4991" w:type="pct"/>
        <w:tblLayout w:type="fixed"/>
        <w:tblLook w:val="04A0" w:firstRow="1" w:lastRow="0" w:firstColumn="1" w:lastColumn="0" w:noHBand="0" w:noVBand="1"/>
      </w:tblPr>
      <w:tblGrid>
        <w:gridCol w:w="1382"/>
        <w:gridCol w:w="607"/>
        <w:gridCol w:w="814"/>
        <w:gridCol w:w="607"/>
        <w:gridCol w:w="769"/>
        <w:gridCol w:w="607"/>
        <w:gridCol w:w="572"/>
        <w:gridCol w:w="607"/>
        <w:gridCol w:w="670"/>
        <w:gridCol w:w="609"/>
        <w:gridCol w:w="662"/>
        <w:gridCol w:w="79"/>
        <w:gridCol w:w="480"/>
        <w:gridCol w:w="760"/>
      </w:tblGrid>
      <w:tr w:rsidR="00546B16" w:rsidRPr="002861A9" w:rsidTr="00C5766F">
        <w:trPr>
          <w:cnfStyle w:val="100000000000" w:firstRow="1" w:lastRow="0" w:firstColumn="0" w:lastColumn="0" w:oddVBand="0" w:evenVBand="0" w:oddHBand="0" w:evenHBand="0" w:firstRowFirstColumn="0" w:firstRowLastColumn="0" w:lastRowFirstColumn="0" w:lastRowLastColumn="0"/>
          <w:trHeight w:val="404"/>
          <w:tblHeader/>
        </w:trPr>
        <w:tc>
          <w:tcPr>
            <w:tcW w:w="749" w:type="pct"/>
            <w:tcBorders>
              <w:bottom w:val="nil"/>
            </w:tcBorders>
            <w:vAlign w:val="center"/>
          </w:tcPr>
          <w:p w:rsidR="00546B16" w:rsidRPr="00E16EDC" w:rsidRDefault="00546B16" w:rsidP="00546B16">
            <w:pPr>
              <w:pStyle w:val="TableHeading"/>
              <w:spacing w:before="120" w:after="0" w:line="240" w:lineRule="auto"/>
              <w:jc w:val="center"/>
              <w:rPr>
                <w:rFonts w:cs="Arial"/>
                <w:sz w:val="20"/>
                <w:szCs w:val="20"/>
              </w:rPr>
            </w:pPr>
          </w:p>
        </w:tc>
        <w:tc>
          <w:tcPr>
            <w:tcW w:w="770"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746"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639"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69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c>
          <w:tcPr>
            <w:tcW w:w="732" w:type="pct"/>
            <w:gridSpan w:val="3"/>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Wallumbilla</w:t>
            </w:r>
          </w:p>
        </w:tc>
        <w:tc>
          <w:tcPr>
            <w:tcW w:w="672" w:type="pct"/>
            <w:gridSpan w:val="2"/>
            <w:tcBorders>
              <w:bottom w:val="nil"/>
            </w:tcBorders>
            <w:vAlign w:val="center"/>
          </w:tcPr>
          <w:p w:rsidR="00546B16" w:rsidRPr="00E95390" w:rsidRDefault="00546B16" w:rsidP="00546B16">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Moomba</w:t>
            </w:r>
          </w:p>
        </w:tc>
      </w:tr>
      <w:tr w:rsidR="00534DD9" w:rsidRPr="002861A9" w:rsidTr="00534DD9">
        <w:trPr>
          <w:cnfStyle w:val="100000000000" w:firstRow="1" w:lastRow="0" w:firstColumn="0" w:lastColumn="0" w:oddVBand="0" w:evenVBand="0" w:oddHBand="0" w:evenHBand="0" w:firstRowFirstColumn="0" w:firstRowLastColumn="0" w:lastRowFirstColumn="0" w:lastRowLastColumn="0"/>
          <w:tblHeader/>
        </w:trPr>
        <w:tc>
          <w:tcPr>
            <w:tcW w:w="749" w:type="pct"/>
            <w:tcBorders>
              <w:bottom w:val="nil"/>
            </w:tcBorders>
            <w:vAlign w:val="center"/>
            <w:hideMark/>
          </w:tcPr>
          <w:p w:rsidR="00546B16" w:rsidRPr="00A226E9" w:rsidRDefault="00546B16" w:rsidP="00546B16">
            <w:pPr>
              <w:spacing w:before="0" w:line="240" w:lineRule="auto"/>
              <w:rPr>
                <w:rFonts w:cs="Arial"/>
                <w:sz w:val="20"/>
                <w:szCs w:val="20"/>
                <w:highlight w:val="yellow"/>
              </w:rPr>
            </w:pP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41"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hideMark/>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7"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1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29"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63"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330" w:type="pct"/>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359"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303" w:type="pct"/>
            <w:gridSpan w:val="2"/>
            <w:tcBorders>
              <w:bottom w:val="nil"/>
            </w:tcBorders>
            <w:vAlign w:val="center"/>
          </w:tcPr>
          <w:p w:rsidR="00546B16" w:rsidRPr="00E16EDC" w:rsidRDefault="00546B16" w:rsidP="00534DD9">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12" w:type="pct"/>
            <w:tcBorders>
              <w:bottom w:val="nil"/>
            </w:tcBorders>
            <w:vAlign w:val="center"/>
          </w:tcPr>
          <w:p w:rsidR="00546B16" w:rsidRPr="00E16EDC" w:rsidRDefault="00506624" w:rsidP="00534DD9">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230EDD" w:rsidRPr="006A7228" w:rsidTr="00534DD9">
        <w:trPr>
          <w:trHeight w:val="510"/>
        </w:trPr>
        <w:tc>
          <w:tcPr>
            <w:tcW w:w="749" w:type="pct"/>
            <w:tcBorders>
              <w:top w:val="nil"/>
              <w:bottom w:val="nil"/>
            </w:tcBorders>
            <w:vAlign w:val="center"/>
          </w:tcPr>
          <w:p w:rsidR="00230EDD" w:rsidRDefault="00230EDD">
            <w:pPr>
              <w:rPr>
                <w:rFonts w:cs="Arial"/>
                <w:sz w:val="16"/>
                <w:szCs w:val="16"/>
              </w:rPr>
            </w:pPr>
            <w:r>
              <w:rPr>
                <w:rFonts w:cs="Arial"/>
                <w:sz w:val="16"/>
                <w:szCs w:val="16"/>
              </w:rPr>
              <w:t>31 Jul - 06 Aug 2016</w:t>
            </w:r>
          </w:p>
        </w:tc>
        <w:tc>
          <w:tcPr>
            <w:tcW w:w="329" w:type="pct"/>
            <w:tcBorders>
              <w:top w:val="nil"/>
              <w:bottom w:val="nil"/>
            </w:tcBorders>
            <w:vAlign w:val="center"/>
          </w:tcPr>
          <w:p w:rsidR="00230EDD" w:rsidRDefault="00230EDD" w:rsidP="00230EDD">
            <w:pPr>
              <w:ind w:left="-106" w:right="-70"/>
              <w:jc w:val="center"/>
              <w:rPr>
                <w:rFonts w:cs="Arial"/>
                <w:sz w:val="20"/>
                <w:szCs w:val="20"/>
              </w:rPr>
            </w:pPr>
            <w:r>
              <w:rPr>
                <w:rFonts w:cs="Arial"/>
                <w:sz w:val="20"/>
                <w:szCs w:val="20"/>
              </w:rPr>
              <w:t>9.80</w:t>
            </w:r>
          </w:p>
        </w:tc>
        <w:tc>
          <w:tcPr>
            <w:tcW w:w="441" w:type="pct"/>
            <w:tcBorders>
              <w:top w:val="nil"/>
              <w:bottom w:val="nil"/>
            </w:tcBorders>
            <w:vAlign w:val="center"/>
          </w:tcPr>
          <w:p w:rsidR="00230EDD" w:rsidRDefault="00230EDD" w:rsidP="00230EDD">
            <w:pPr>
              <w:ind w:left="-106" w:right="-70"/>
              <w:jc w:val="center"/>
              <w:rPr>
                <w:rFonts w:cs="Arial"/>
                <w:sz w:val="20"/>
                <w:szCs w:val="20"/>
              </w:rPr>
            </w:pPr>
            <w:r>
              <w:rPr>
                <w:rFonts w:cs="Arial"/>
                <w:sz w:val="20"/>
                <w:szCs w:val="20"/>
              </w:rPr>
              <w:t>903</w:t>
            </w:r>
          </w:p>
        </w:tc>
        <w:tc>
          <w:tcPr>
            <w:tcW w:w="329" w:type="pct"/>
            <w:tcBorders>
              <w:top w:val="nil"/>
              <w:bottom w:val="nil"/>
            </w:tcBorders>
            <w:vAlign w:val="center"/>
          </w:tcPr>
          <w:p w:rsidR="00230EDD" w:rsidRDefault="00230EDD" w:rsidP="00230EDD">
            <w:pPr>
              <w:ind w:left="-106" w:right="-70"/>
              <w:jc w:val="center"/>
              <w:rPr>
                <w:rFonts w:cs="Arial"/>
                <w:sz w:val="20"/>
                <w:szCs w:val="20"/>
              </w:rPr>
            </w:pPr>
            <w:r>
              <w:rPr>
                <w:rFonts w:cs="Arial"/>
                <w:sz w:val="20"/>
                <w:szCs w:val="20"/>
              </w:rPr>
              <w:t>8.40</w:t>
            </w:r>
          </w:p>
        </w:tc>
        <w:tc>
          <w:tcPr>
            <w:tcW w:w="417" w:type="pct"/>
            <w:tcBorders>
              <w:top w:val="nil"/>
              <w:bottom w:val="nil"/>
            </w:tcBorders>
            <w:vAlign w:val="center"/>
          </w:tcPr>
          <w:p w:rsidR="00230EDD" w:rsidRDefault="00230EDD" w:rsidP="00230EDD">
            <w:pPr>
              <w:ind w:left="-106" w:right="-70"/>
              <w:jc w:val="center"/>
              <w:rPr>
                <w:rFonts w:cs="Arial"/>
                <w:sz w:val="20"/>
                <w:szCs w:val="20"/>
              </w:rPr>
            </w:pPr>
            <w:r>
              <w:rPr>
                <w:rFonts w:cs="Arial"/>
                <w:sz w:val="20"/>
                <w:szCs w:val="20"/>
              </w:rPr>
              <w:t>296</w:t>
            </w:r>
          </w:p>
        </w:tc>
        <w:tc>
          <w:tcPr>
            <w:tcW w:w="329" w:type="pct"/>
            <w:tcBorders>
              <w:top w:val="nil"/>
              <w:bottom w:val="nil"/>
            </w:tcBorders>
            <w:vAlign w:val="center"/>
          </w:tcPr>
          <w:p w:rsidR="00230EDD" w:rsidRDefault="00230EDD" w:rsidP="00230EDD">
            <w:pPr>
              <w:ind w:left="-106" w:right="-70"/>
              <w:jc w:val="center"/>
              <w:rPr>
                <w:rFonts w:cs="Arial"/>
                <w:sz w:val="20"/>
                <w:szCs w:val="20"/>
              </w:rPr>
            </w:pPr>
            <w:r>
              <w:rPr>
                <w:rFonts w:cs="Arial"/>
                <w:sz w:val="20"/>
                <w:szCs w:val="20"/>
              </w:rPr>
              <w:t>9.33</w:t>
            </w:r>
          </w:p>
        </w:tc>
        <w:tc>
          <w:tcPr>
            <w:tcW w:w="310" w:type="pct"/>
            <w:tcBorders>
              <w:top w:val="nil"/>
              <w:bottom w:val="nil"/>
            </w:tcBorders>
            <w:vAlign w:val="center"/>
          </w:tcPr>
          <w:p w:rsidR="00230EDD" w:rsidRDefault="00230EDD" w:rsidP="00230EDD">
            <w:pPr>
              <w:ind w:left="-106" w:right="-70"/>
              <w:jc w:val="center"/>
              <w:rPr>
                <w:rFonts w:cs="Arial"/>
                <w:sz w:val="20"/>
                <w:szCs w:val="20"/>
              </w:rPr>
            </w:pPr>
            <w:r>
              <w:rPr>
                <w:rFonts w:cs="Arial"/>
                <w:sz w:val="20"/>
                <w:szCs w:val="20"/>
              </w:rPr>
              <w:t>88</w:t>
            </w:r>
          </w:p>
        </w:tc>
        <w:tc>
          <w:tcPr>
            <w:tcW w:w="329" w:type="pct"/>
            <w:tcBorders>
              <w:top w:val="nil"/>
              <w:bottom w:val="nil"/>
            </w:tcBorders>
            <w:vAlign w:val="center"/>
          </w:tcPr>
          <w:p w:rsidR="00230EDD" w:rsidRDefault="00230EDD" w:rsidP="00230EDD">
            <w:pPr>
              <w:ind w:left="-106" w:right="-70"/>
              <w:jc w:val="center"/>
              <w:rPr>
                <w:rFonts w:cs="Arial"/>
                <w:sz w:val="20"/>
                <w:szCs w:val="20"/>
              </w:rPr>
            </w:pPr>
            <w:r>
              <w:rPr>
                <w:rFonts w:cs="Arial"/>
                <w:sz w:val="20"/>
                <w:szCs w:val="20"/>
              </w:rPr>
              <w:t>6.34</w:t>
            </w:r>
          </w:p>
        </w:tc>
        <w:tc>
          <w:tcPr>
            <w:tcW w:w="363" w:type="pct"/>
            <w:tcBorders>
              <w:top w:val="nil"/>
              <w:bottom w:val="nil"/>
            </w:tcBorders>
            <w:vAlign w:val="center"/>
          </w:tcPr>
          <w:p w:rsidR="00230EDD" w:rsidRDefault="00230EDD" w:rsidP="00230EDD">
            <w:pPr>
              <w:ind w:left="-106" w:right="-70"/>
              <w:jc w:val="center"/>
              <w:rPr>
                <w:rFonts w:cs="Arial"/>
                <w:sz w:val="20"/>
                <w:szCs w:val="20"/>
              </w:rPr>
            </w:pPr>
            <w:r>
              <w:rPr>
                <w:rFonts w:cs="Arial"/>
                <w:sz w:val="20"/>
                <w:szCs w:val="20"/>
              </w:rPr>
              <w:t>97</w:t>
            </w:r>
          </w:p>
        </w:tc>
        <w:tc>
          <w:tcPr>
            <w:tcW w:w="330" w:type="pct"/>
            <w:tcBorders>
              <w:top w:val="nil"/>
              <w:bottom w:val="nil"/>
            </w:tcBorders>
            <w:vAlign w:val="center"/>
          </w:tcPr>
          <w:p w:rsidR="00230EDD" w:rsidRDefault="00230EDD" w:rsidP="00230EDD">
            <w:pPr>
              <w:ind w:left="-106" w:right="-70"/>
              <w:jc w:val="center"/>
              <w:rPr>
                <w:rFonts w:cs="Arial"/>
                <w:sz w:val="20"/>
                <w:szCs w:val="20"/>
              </w:rPr>
            </w:pPr>
            <w:r>
              <w:rPr>
                <w:rFonts w:cs="Arial"/>
                <w:sz w:val="20"/>
                <w:szCs w:val="20"/>
              </w:rPr>
              <w:t>6.21</w:t>
            </w:r>
          </w:p>
        </w:tc>
        <w:tc>
          <w:tcPr>
            <w:tcW w:w="359" w:type="pct"/>
            <w:tcBorders>
              <w:top w:val="nil"/>
              <w:bottom w:val="nil"/>
            </w:tcBorders>
            <w:vAlign w:val="center"/>
          </w:tcPr>
          <w:p w:rsidR="00230EDD" w:rsidRDefault="00230EDD" w:rsidP="00230EDD">
            <w:pPr>
              <w:ind w:left="-106" w:right="-70"/>
              <w:jc w:val="center"/>
              <w:rPr>
                <w:rFonts w:cs="Arial"/>
                <w:sz w:val="20"/>
                <w:szCs w:val="20"/>
              </w:rPr>
            </w:pPr>
            <w:r>
              <w:rPr>
                <w:rFonts w:cs="Arial"/>
                <w:sz w:val="20"/>
                <w:szCs w:val="20"/>
              </w:rPr>
              <w:t>90</w:t>
            </w:r>
          </w:p>
        </w:tc>
        <w:tc>
          <w:tcPr>
            <w:tcW w:w="303" w:type="pct"/>
            <w:gridSpan w:val="2"/>
            <w:tcBorders>
              <w:top w:val="nil"/>
              <w:bottom w:val="nil"/>
            </w:tcBorders>
            <w:vAlign w:val="center"/>
          </w:tcPr>
          <w:p w:rsidR="00230EDD" w:rsidRDefault="00230EDD" w:rsidP="00230EDD">
            <w:pPr>
              <w:ind w:left="-106" w:right="-70"/>
              <w:jc w:val="center"/>
              <w:rPr>
                <w:rFonts w:cs="Arial"/>
                <w:sz w:val="20"/>
                <w:szCs w:val="20"/>
              </w:rPr>
            </w:pPr>
            <w:r>
              <w:rPr>
                <w:rFonts w:cs="Arial"/>
                <w:sz w:val="20"/>
                <w:szCs w:val="20"/>
              </w:rPr>
              <w:t>-</w:t>
            </w:r>
          </w:p>
        </w:tc>
        <w:tc>
          <w:tcPr>
            <w:tcW w:w="412" w:type="pct"/>
            <w:tcBorders>
              <w:top w:val="nil"/>
              <w:bottom w:val="nil"/>
            </w:tcBorders>
            <w:vAlign w:val="center"/>
          </w:tcPr>
          <w:p w:rsidR="00230EDD" w:rsidRDefault="00230EDD" w:rsidP="00230EDD">
            <w:pPr>
              <w:ind w:left="-106" w:right="-70"/>
              <w:jc w:val="center"/>
              <w:rPr>
                <w:rFonts w:cs="Arial"/>
                <w:sz w:val="20"/>
                <w:szCs w:val="20"/>
              </w:rPr>
            </w:pPr>
            <w:r>
              <w:rPr>
                <w:rFonts w:cs="Arial"/>
                <w:sz w:val="20"/>
                <w:szCs w:val="20"/>
              </w:rPr>
              <w:t>-</w:t>
            </w:r>
          </w:p>
        </w:tc>
      </w:tr>
      <w:tr w:rsidR="00230EDD" w:rsidRPr="006A7228" w:rsidTr="00534DD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nil"/>
            </w:tcBorders>
            <w:vAlign w:val="center"/>
          </w:tcPr>
          <w:p w:rsidR="00230EDD" w:rsidRDefault="00230EDD">
            <w:pPr>
              <w:rPr>
                <w:rFonts w:cs="Arial"/>
                <w:sz w:val="16"/>
                <w:szCs w:val="16"/>
              </w:rPr>
            </w:pPr>
            <w:r>
              <w:rPr>
                <w:rFonts w:cs="Arial"/>
                <w:sz w:val="16"/>
                <w:szCs w:val="16"/>
              </w:rPr>
              <w:t>% change from previous week</w:t>
            </w:r>
          </w:p>
        </w:tc>
        <w:tc>
          <w:tcPr>
            <w:tcW w:w="329" w:type="pct"/>
            <w:tcBorders>
              <w:top w:val="nil"/>
              <w:bottom w:val="nil"/>
            </w:tcBorders>
            <w:vAlign w:val="center"/>
          </w:tcPr>
          <w:p w:rsidR="00230EDD" w:rsidRDefault="00230EDD" w:rsidP="00230EDD">
            <w:pPr>
              <w:ind w:left="-106" w:right="-70"/>
              <w:jc w:val="center"/>
              <w:rPr>
                <w:rFonts w:cs="Arial"/>
                <w:szCs w:val="20"/>
              </w:rPr>
            </w:pPr>
            <w:r>
              <w:rPr>
                <w:rFonts w:cs="Arial"/>
                <w:szCs w:val="20"/>
              </w:rPr>
              <w:t>3</w:t>
            </w:r>
          </w:p>
        </w:tc>
        <w:tc>
          <w:tcPr>
            <w:tcW w:w="441" w:type="pct"/>
            <w:tcBorders>
              <w:top w:val="nil"/>
              <w:bottom w:val="nil"/>
            </w:tcBorders>
            <w:vAlign w:val="center"/>
          </w:tcPr>
          <w:p w:rsidR="00230EDD" w:rsidRDefault="00230EDD" w:rsidP="00230EDD">
            <w:pPr>
              <w:ind w:left="-106" w:right="-70"/>
              <w:jc w:val="center"/>
              <w:rPr>
                <w:rFonts w:cs="Arial"/>
                <w:szCs w:val="20"/>
              </w:rPr>
            </w:pPr>
            <w:r>
              <w:rPr>
                <w:rFonts w:cs="Arial"/>
                <w:szCs w:val="20"/>
              </w:rPr>
              <w:t>-6</w:t>
            </w:r>
          </w:p>
        </w:tc>
        <w:tc>
          <w:tcPr>
            <w:tcW w:w="329" w:type="pct"/>
            <w:tcBorders>
              <w:top w:val="nil"/>
              <w:bottom w:val="nil"/>
            </w:tcBorders>
            <w:vAlign w:val="center"/>
          </w:tcPr>
          <w:p w:rsidR="00230EDD" w:rsidRDefault="00230EDD" w:rsidP="00230EDD">
            <w:pPr>
              <w:ind w:left="-106" w:right="-70"/>
              <w:jc w:val="center"/>
              <w:rPr>
                <w:rFonts w:cs="Arial"/>
                <w:szCs w:val="20"/>
              </w:rPr>
            </w:pPr>
            <w:r>
              <w:rPr>
                <w:rFonts w:cs="Arial"/>
                <w:szCs w:val="20"/>
              </w:rPr>
              <w:t>1</w:t>
            </w:r>
          </w:p>
        </w:tc>
        <w:tc>
          <w:tcPr>
            <w:tcW w:w="417" w:type="pct"/>
            <w:tcBorders>
              <w:top w:val="nil"/>
              <w:bottom w:val="nil"/>
            </w:tcBorders>
            <w:vAlign w:val="center"/>
          </w:tcPr>
          <w:p w:rsidR="00230EDD" w:rsidRDefault="00230EDD" w:rsidP="00230EDD">
            <w:pPr>
              <w:ind w:left="-106" w:right="-70"/>
              <w:jc w:val="center"/>
              <w:rPr>
                <w:rFonts w:cs="Arial"/>
                <w:szCs w:val="20"/>
              </w:rPr>
            </w:pPr>
            <w:r>
              <w:rPr>
                <w:rFonts w:cs="Arial"/>
                <w:szCs w:val="20"/>
              </w:rPr>
              <w:t>-2</w:t>
            </w:r>
          </w:p>
        </w:tc>
        <w:tc>
          <w:tcPr>
            <w:tcW w:w="329" w:type="pct"/>
            <w:tcBorders>
              <w:top w:val="nil"/>
              <w:bottom w:val="nil"/>
            </w:tcBorders>
            <w:vAlign w:val="center"/>
          </w:tcPr>
          <w:p w:rsidR="00230EDD" w:rsidRDefault="00230EDD" w:rsidP="00230EDD">
            <w:pPr>
              <w:ind w:left="-106" w:right="-70"/>
              <w:jc w:val="center"/>
              <w:rPr>
                <w:rFonts w:cs="Arial"/>
                <w:szCs w:val="20"/>
              </w:rPr>
            </w:pPr>
            <w:r>
              <w:rPr>
                <w:rFonts w:cs="Arial"/>
                <w:szCs w:val="20"/>
              </w:rPr>
              <w:t>-4</w:t>
            </w:r>
          </w:p>
        </w:tc>
        <w:tc>
          <w:tcPr>
            <w:tcW w:w="310" w:type="pct"/>
            <w:tcBorders>
              <w:top w:val="nil"/>
              <w:bottom w:val="nil"/>
            </w:tcBorders>
            <w:vAlign w:val="center"/>
          </w:tcPr>
          <w:p w:rsidR="00230EDD" w:rsidRDefault="00230EDD" w:rsidP="00230EDD">
            <w:pPr>
              <w:ind w:left="-106" w:right="-70"/>
              <w:jc w:val="center"/>
              <w:rPr>
                <w:rFonts w:cs="Arial"/>
                <w:szCs w:val="20"/>
              </w:rPr>
            </w:pPr>
            <w:r>
              <w:rPr>
                <w:rFonts w:cs="Arial"/>
                <w:szCs w:val="20"/>
              </w:rPr>
              <w:t>2</w:t>
            </w:r>
          </w:p>
        </w:tc>
        <w:tc>
          <w:tcPr>
            <w:tcW w:w="329" w:type="pct"/>
            <w:tcBorders>
              <w:top w:val="nil"/>
              <w:bottom w:val="nil"/>
            </w:tcBorders>
            <w:vAlign w:val="center"/>
          </w:tcPr>
          <w:p w:rsidR="00230EDD" w:rsidRDefault="00230EDD" w:rsidP="00230EDD">
            <w:pPr>
              <w:ind w:left="-106" w:right="-70"/>
              <w:jc w:val="center"/>
              <w:rPr>
                <w:rFonts w:cs="Arial"/>
                <w:szCs w:val="20"/>
              </w:rPr>
            </w:pPr>
            <w:r>
              <w:rPr>
                <w:rFonts w:cs="Arial"/>
                <w:szCs w:val="20"/>
              </w:rPr>
              <w:t>-5</w:t>
            </w:r>
          </w:p>
        </w:tc>
        <w:tc>
          <w:tcPr>
            <w:tcW w:w="363" w:type="pct"/>
            <w:tcBorders>
              <w:top w:val="nil"/>
              <w:bottom w:val="nil"/>
            </w:tcBorders>
            <w:vAlign w:val="center"/>
          </w:tcPr>
          <w:p w:rsidR="00230EDD" w:rsidRDefault="00230EDD" w:rsidP="00230EDD">
            <w:pPr>
              <w:ind w:left="-106" w:right="-70"/>
              <w:jc w:val="center"/>
              <w:rPr>
                <w:rFonts w:cs="Arial"/>
                <w:szCs w:val="20"/>
              </w:rPr>
            </w:pPr>
            <w:r>
              <w:rPr>
                <w:rFonts w:cs="Arial"/>
                <w:szCs w:val="20"/>
              </w:rPr>
              <w:t>1</w:t>
            </w:r>
          </w:p>
        </w:tc>
        <w:tc>
          <w:tcPr>
            <w:tcW w:w="330" w:type="pct"/>
            <w:tcBorders>
              <w:top w:val="nil"/>
              <w:bottom w:val="nil"/>
            </w:tcBorders>
            <w:vAlign w:val="center"/>
          </w:tcPr>
          <w:p w:rsidR="00230EDD" w:rsidRDefault="00230EDD" w:rsidP="00230EDD">
            <w:pPr>
              <w:ind w:left="-106" w:right="-70"/>
              <w:jc w:val="center"/>
              <w:rPr>
                <w:rFonts w:cs="Arial"/>
                <w:szCs w:val="20"/>
              </w:rPr>
            </w:pPr>
            <w:r>
              <w:rPr>
                <w:rFonts w:cs="Arial"/>
                <w:szCs w:val="20"/>
              </w:rPr>
              <w:t>-13</w:t>
            </w:r>
          </w:p>
        </w:tc>
        <w:tc>
          <w:tcPr>
            <w:tcW w:w="359" w:type="pct"/>
            <w:tcBorders>
              <w:top w:val="nil"/>
              <w:bottom w:val="nil"/>
            </w:tcBorders>
            <w:vAlign w:val="center"/>
          </w:tcPr>
          <w:p w:rsidR="00230EDD" w:rsidRDefault="00230EDD" w:rsidP="00230EDD">
            <w:pPr>
              <w:ind w:left="-106" w:right="-70"/>
              <w:jc w:val="center"/>
              <w:rPr>
                <w:rFonts w:cs="Arial"/>
                <w:szCs w:val="20"/>
              </w:rPr>
            </w:pPr>
            <w:r>
              <w:rPr>
                <w:rFonts w:cs="Arial"/>
                <w:szCs w:val="20"/>
              </w:rPr>
              <w:t>-49</w:t>
            </w:r>
          </w:p>
        </w:tc>
        <w:tc>
          <w:tcPr>
            <w:tcW w:w="303" w:type="pct"/>
            <w:gridSpan w:val="2"/>
            <w:tcBorders>
              <w:top w:val="nil"/>
              <w:bottom w:val="nil"/>
            </w:tcBorders>
            <w:vAlign w:val="center"/>
          </w:tcPr>
          <w:p w:rsidR="00230EDD" w:rsidRDefault="00230EDD" w:rsidP="00230EDD">
            <w:pPr>
              <w:ind w:left="-106" w:right="-70"/>
              <w:jc w:val="center"/>
              <w:rPr>
                <w:rFonts w:cs="Arial"/>
                <w:szCs w:val="20"/>
              </w:rPr>
            </w:pPr>
            <w:r>
              <w:rPr>
                <w:rFonts w:cs="Arial"/>
                <w:szCs w:val="20"/>
              </w:rPr>
              <w:t>-</w:t>
            </w:r>
          </w:p>
        </w:tc>
        <w:tc>
          <w:tcPr>
            <w:tcW w:w="412" w:type="pct"/>
            <w:tcBorders>
              <w:top w:val="nil"/>
              <w:bottom w:val="nil"/>
            </w:tcBorders>
            <w:vAlign w:val="center"/>
          </w:tcPr>
          <w:p w:rsidR="00230EDD" w:rsidRDefault="00230EDD" w:rsidP="00230EDD">
            <w:pPr>
              <w:ind w:left="-106" w:right="-70"/>
              <w:jc w:val="center"/>
              <w:rPr>
                <w:rFonts w:cs="Arial"/>
                <w:szCs w:val="20"/>
              </w:rPr>
            </w:pPr>
            <w:r>
              <w:rPr>
                <w:rFonts w:cs="Arial"/>
                <w:szCs w:val="20"/>
              </w:rPr>
              <w:t>-</w:t>
            </w:r>
          </w:p>
        </w:tc>
      </w:tr>
      <w:tr w:rsidR="00230EDD" w:rsidRPr="006A7228" w:rsidTr="00534DD9">
        <w:trPr>
          <w:trHeight w:val="510"/>
        </w:trPr>
        <w:tc>
          <w:tcPr>
            <w:tcW w:w="749" w:type="pct"/>
            <w:tcBorders>
              <w:top w:val="nil"/>
              <w:bottom w:val="nil"/>
            </w:tcBorders>
            <w:vAlign w:val="center"/>
          </w:tcPr>
          <w:p w:rsidR="00230EDD" w:rsidRDefault="00230EDD">
            <w:pPr>
              <w:rPr>
                <w:rFonts w:cs="Arial"/>
                <w:sz w:val="16"/>
                <w:szCs w:val="16"/>
              </w:rPr>
            </w:pPr>
            <w:r>
              <w:rPr>
                <w:rFonts w:cs="Arial"/>
                <w:sz w:val="16"/>
                <w:szCs w:val="16"/>
              </w:rPr>
              <w:t>16-17 financial YTD</w:t>
            </w:r>
          </w:p>
        </w:tc>
        <w:tc>
          <w:tcPr>
            <w:tcW w:w="329" w:type="pct"/>
            <w:tcBorders>
              <w:top w:val="nil"/>
              <w:bottom w:val="nil"/>
            </w:tcBorders>
            <w:vAlign w:val="center"/>
          </w:tcPr>
          <w:p w:rsidR="00230EDD" w:rsidRDefault="00230EDD" w:rsidP="00230EDD">
            <w:pPr>
              <w:ind w:left="-106" w:right="-70"/>
              <w:jc w:val="center"/>
              <w:rPr>
                <w:rFonts w:cs="Arial"/>
                <w:sz w:val="20"/>
                <w:szCs w:val="20"/>
              </w:rPr>
            </w:pPr>
            <w:r>
              <w:rPr>
                <w:rFonts w:cs="Arial"/>
                <w:sz w:val="20"/>
                <w:szCs w:val="20"/>
              </w:rPr>
              <w:t>12.07</w:t>
            </w:r>
          </w:p>
        </w:tc>
        <w:tc>
          <w:tcPr>
            <w:tcW w:w="441" w:type="pct"/>
            <w:tcBorders>
              <w:top w:val="nil"/>
              <w:bottom w:val="nil"/>
            </w:tcBorders>
            <w:vAlign w:val="center"/>
          </w:tcPr>
          <w:p w:rsidR="00230EDD" w:rsidRDefault="00230EDD" w:rsidP="00230EDD">
            <w:pPr>
              <w:ind w:left="-106" w:right="-70"/>
              <w:jc w:val="center"/>
              <w:rPr>
                <w:rFonts w:cs="Arial"/>
                <w:sz w:val="20"/>
                <w:szCs w:val="20"/>
              </w:rPr>
            </w:pPr>
            <w:r>
              <w:rPr>
                <w:rFonts w:cs="Arial"/>
                <w:sz w:val="20"/>
                <w:szCs w:val="20"/>
              </w:rPr>
              <w:t>914</w:t>
            </w:r>
          </w:p>
        </w:tc>
        <w:tc>
          <w:tcPr>
            <w:tcW w:w="329" w:type="pct"/>
            <w:tcBorders>
              <w:top w:val="nil"/>
              <w:bottom w:val="nil"/>
            </w:tcBorders>
            <w:vAlign w:val="center"/>
          </w:tcPr>
          <w:p w:rsidR="00230EDD" w:rsidRDefault="00230EDD" w:rsidP="00230EDD">
            <w:pPr>
              <w:ind w:left="-106" w:right="-70"/>
              <w:jc w:val="center"/>
              <w:rPr>
                <w:rFonts w:cs="Arial"/>
                <w:sz w:val="20"/>
                <w:szCs w:val="20"/>
              </w:rPr>
            </w:pPr>
            <w:r>
              <w:rPr>
                <w:rFonts w:cs="Arial"/>
                <w:sz w:val="20"/>
                <w:szCs w:val="20"/>
              </w:rPr>
              <w:t>9.93</w:t>
            </w:r>
          </w:p>
        </w:tc>
        <w:tc>
          <w:tcPr>
            <w:tcW w:w="417" w:type="pct"/>
            <w:tcBorders>
              <w:top w:val="nil"/>
              <w:bottom w:val="nil"/>
            </w:tcBorders>
            <w:vAlign w:val="center"/>
          </w:tcPr>
          <w:p w:rsidR="00230EDD" w:rsidRDefault="00230EDD" w:rsidP="00230EDD">
            <w:pPr>
              <w:ind w:left="-106" w:right="-70"/>
              <w:jc w:val="center"/>
              <w:rPr>
                <w:rFonts w:cs="Arial"/>
                <w:sz w:val="20"/>
                <w:szCs w:val="20"/>
              </w:rPr>
            </w:pPr>
            <w:r>
              <w:rPr>
                <w:rFonts w:cs="Arial"/>
                <w:sz w:val="20"/>
                <w:szCs w:val="20"/>
              </w:rPr>
              <w:t>294</w:t>
            </w:r>
          </w:p>
        </w:tc>
        <w:tc>
          <w:tcPr>
            <w:tcW w:w="329" w:type="pct"/>
            <w:tcBorders>
              <w:top w:val="nil"/>
              <w:bottom w:val="nil"/>
            </w:tcBorders>
            <w:vAlign w:val="center"/>
          </w:tcPr>
          <w:p w:rsidR="00230EDD" w:rsidRDefault="00230EDD" w:rsidP="00230EDD">
            <w:pPr>
              <w:ind w:left="-106" w:right="-70"/>
              <w:jc w:val="center"/>
              <w:rPr>
                <w:rFonts w:cs="Arial"/>
                <w:sz w:val="20"/>
                <w:szCs w:val="20"/>
              </w:rPr>
            </w:pPr>
            <w:r>
              <w:rPr>
                <w:rFonts w:cs="Arial"/>
                <w:sz w:val="20"/>
                <w:szCs w:val="20"/>
              </w:rPr>
              <w:t>13.89</w:t>
            </w:r>
          </w:p>
        </w:tc>
        <w:tc>
          <w:tcPr>
            <w:tcW w:w="310" w:type="pct"/>
            <w:tcBorders>
              <w:top w:val="nil"/>
              <w:bottom w:val="nil"/>
            </w:tcBorders>
            <w:vAlign w:val="center"/>
          </w:tcPr>
          <w:p w:rsidR="00230EDD" w:rsidRDefault="00230EDD" w:rsidP="00230EDD">
            <w:pPr>
              <w:ind w:left="-106" w:right="-70"/>
              <w:jc w:val="center"/>
              <w:rPr>
                <w:rFonts w:cs="Arial"/>
                <w:sz w:val="20"/>
                <w:szCs w:val="20"/>
              </w:rPr>
            </w:pPr>
            <w:r>
              <w:rPr>
                <w:rFonts w:cs="Arial"/>
                <w:sz w:val="20"/>
                <w:szCs w:val="20"/>
              </w:rPr>
              <w:t>89</w:t>
            </w:r>
          </w:p>
        </w:tc>
        <w:tc>
          <w:tcPr>
            <w:tcW w:w="329" w:type="pct"/>
            <w:tcBorders>
              <w:top w:val="nil"/>
              <w:bottom w:val="nil"/>
            </w:tcBorders>
            <w:vAlign w:val="center"/>
          </w:tcPr>
          <w:p w:rsidR="00230EDD" w:rsidRDefault="00230EDD" w:rsidP="00230EDD">
            <w:pPr>
              <w:ind w:left="-106" w:right="-70"/>
              <w:jc w:val="center"/>
              <w:rPr>
                <w:rFonts w:cs="Arial"/>
                <w:sz w:val="20"/>
                <w:szCs w:val="20"/>
              </w:rPr>
            </w:pPr>
            <w:r>
              <w:rPr>
                <w:rFonts w:cs="Arial"/>
                <w:sz w:val="20"/>
                <w:szCs w:val="20"/>
              </w:rPr>
              <w:t>9.68</w:t>
            </w:r>
          </w:p>
        </w:tc>
        <w:tc>
          <w:tcPr>
            <w:tcW w:w="363" w:type="pct"/>
            <w:tcBorders>
              <w:top w:val="nil"/>
              <w:bottom w:val="nil"/>
            </w:tcBorders>
            <w:vAlign w:val="center"/>
          </w:tcPr>
          <w:p w:rsidR="00230EDD" w:rsidRDefault="00230EDD" w:rsidP="00230EDD">
            <w:pPr>
              <w:ind w:left="-106" w:right="-70"/>
              <w:jc w:val="center"/>
              <w:rPr>
                <w:rFonts w:cs="Arial"/>
                <w:sz w:val="20"/>
                <w:szCs w:val="20"/>
              </w:rPr>
            </w:pPr>
            <w:r>
              <w:rPr>
                <w:rFonts w:cs="Arial"/>
                <w:sz w:val="20"/>
                <w:szCs w:val="20"/>
              </w:rPr>
              <w:t>96</w:t>
            </w:r>
          </w:p>
        </w:tc>
        <w:tc>
          <w:tcPr>
            <w:tcW w:w="330" w:type="pct"/>
            <w:tcBorders>
              <w:top w:val="nil"/>
              <w:bottom w:val="nil"/>
            </w:tcBorders>
            <w:vAlign w:val="center"/>
          </w:tcPr>
          <w:p w:rsidR="00230EDD" w:rsidRDefault="00230EDD" w:rsidP="00230EDD">
            <w:pPr>
              <w:ind w:left="-106" w:right="-70"/>
              <w:jc w:val="center"/>
              <w:rPr>
                <w:rFonts w:cs="Arial"/>
                <w:sz w:val="20"/>
                <w:szCs w:val="20"/>
              </w:rPr>
            </w:pPr>
            <w:r>
              <w:rPr>
                <w:rFonts w:cs="Arial"/>
                <w:sz w:val="20"/>
                <w:szCs w:val="20"/>
              </w:rPr>
              <w:t>9.01</w:t>
            </w:r>
          </w:p>
        </w:tc>
        <w:tc>
          <w:tcPr>
            <w:tcW w:w="359" w:type="pct"/>
            <w:tcBorders>
              <w:top w:val="nil"/>
              <w:bottom w:val="nil"/>
            </w:tcBorders>
            <w:vAlign w:val="center"/>
          </w:tcPr>
          <w:p w:rsidR="00230EDD" w:rsidRDefault="00230EDD" w:rsidP="00230EDD">
            <w:pPr>
              <w:ind w:left="-106" w:right="-70"/>
              <w:jc w:val="center"/>
              <w:rPr>
                <w:rFonts w:cs="Arial"/>
                <w:sz w:val="20"/>
                <w:szCs w:val="20"/>
              </w:rPr>
            </w:pPr>
            <w:r>
              <w:rPr>
                <w:rFonts w:cs="Arial"/>
                <w:sz w:val="20"/>
                <w:szCs w:val="20"/>
              </w:rPr>
              <w:t>2982</w:t>
            </w:r>
          </w:p>
        </w:tc>
        <w:tc>
          <w:tcPr>
            <w:tcW w:w="303" w:type="pct"/>
            <w:gridSpan w:val="2"/>
            <w:tcBorders>
              <w:top w:val="nil"/>
              <w:bottom w:val="nil"/>
            </w:tcBorders>
            <w:vAlign w:val="center"/>
          </w:tcPr>
          <w:p w:rsidR="00230EDD" w:rsidRDefault="00230EDD" w:rsidP="00230EDD">
            <w:pPr>
              <w:ind w:left="-106" w:right="-70"/>
              <w:jc w:val="center"/>
              <w:rPr>
                <w:rFonts w:cs="Arial"/>
                <w:sz w:val="20"/>
                <w:szCs w:val="20"/>
              </w:rPr>
            </w:pPr>
            <w:r>
              <w:rPr>
                <w:rFonts w:cs="Arial"/>
                <w:sz w:val="20"/>
                <w:szCs w:val="20"/>
              </w:rPr>
              <w:t>-</w:t>
            </w:r>
          </w:p>
        </w:tc>
        <w:tc>
          <w:tcPr>
            <w:tcW w:w="412" w:type="pct"/>
            <w:tcBorders>
              <w:top w:val="nil"/>
              <w:bottom w:val="nil"/>
            </w:tcBorders>
            <w:vAlign w:val="center"/>
          </w:tcPr>
          <w:p w:rsidR="00230EDD" w:rsidRDefault="00230EDD" w:rsidP="00230EDD">
            <w:pPr>
              <w:ind w:left="-106" w:right="-70"/>
              <w:jc w:val="center"/>
              <w:rPr>
                <w:rFonts w:cs="Arial"/>
                <w:sz w:val="20"/>
                <w:szCs w:val="20"/>
              </w:rPr>
            </w:pPr>
            <w:r>
              <w:rPr>
                <w:rFonts w:cs="Arial"/>
                <w:sz w:val="20"/>
                <w:szCs w:val="20"/>
              </w:rPr>
              <w:t>-</w:t>
            </w:r>
          </w:p>
        </w:tc>
      </w:tr>
      <w:tr w:rsidR="00230EDD" w:rsidRPr="006A7228" w:rsidTr="00534DD9">
        <w:trPr>
          <w:cnfStyle w:val="000000010000" w:firstRow="0" w:lastRow="0" w:firstColumn="0" w:lastColumn="0" w:oddVBand="0" w:evenVBand="0" w:oddHBand="0" w:evenHBand="1" w:firstRowFirstColumn="0" w:firstRowLastColumn="0" w:lastRowFirstColumn="0" w:lastRowLastColumn="0"/>
          <w:trHeight w:val="510"/>
        </w:trPr>
        <w:tc>
          <w:tcPr>
            <w:tcW w:w="749" w:type="pct"/>
            <w:tcBorders>
              <w:top w:val="nil"/>
              <w:bottom w:val="single" w:sz="4" w:space="0" w:color="auto"/>
            </w:tcBorders>
            <w:vAlign w:val="center"/>
          </w:tcPr>
          <w:p w:rsidR="00230EDD" w:rsidRDefault="00230EDD">
            <w:pPr>
              <w:rPr>
                <w:rFonts w:cs="Arial"/>
                <w:sz w:val="16"/>
                <w:szCs w:val="16"/>
              </w:rPr>
            </w:pPr>
            <w:r>
              <w:rPr>
                <w:rFonts w:cs="Arial"/>
                <w:sz w:val="16"/>
                <w:szCs w:val="16"/>
              </w:rPr>
              <w:t>% change from previous financial YTD</w:t>
            </w:r>
          </w:p>
        </w:tc>
        <w:tc>
          <w:tcPr>
            <w:tcW w:w="329" w:type="pct"/>
            <w:tcBorders>
              <w:top w:val="nil"/>
              <w:bottom w:val="single" w:sz="4" w:space="0" w:color="auto"/>
            </w:tcBorders>
            <w:vAlign w:val="center"/>
          </w:tcPr>
          <w:p w:rsidR="00230EDD" w:rsidRDefault="00230EDD" w:rsidP="00230EDD">
            <w:pPr>
              <w:ind w:left="-106" w:right="-70"/>
              <w:jc w:val="center"/>
              <w:rPr>
                <w:rFonts w:cs="Arial"/>
                <w:szCs w:val="20"/>
              </w:rPr>
            </w:pPr>
            <w:r>
              <w:rPr>
                <w:rFonts w:cs="Arial"/>
                <w:szCs w:val="20"/>
              </w:rPr>
              <w:t>136</w:t>
            </w:r>
          </w:p>
        </w:tc>
        <w:tc>
          <w:tcPr>
            <w:tcW w:w="441" w:type="pct"/>
            <w:tcBorders>
              <w:top w:val="nil"/>
              <w:bottom w:val="single" w:sz="4" w:space="0" w:color="auto"/>
            </w:tcBorders>
            <w:vAlign w:val="center"/>
          </w:tcPr>
          <w:p w:rsidR="00230EDD" w:rsidRDefault="00230EDD" w:rsidP="00230EDD">
            <w:pPr>
              <w:ind w:left="-106" w:right="-70"/>
              <w:jc w:val="center"/>
              <w:rPr>
                <w:rFonts w:cs="Arial"/>
                <w:szCs w:val="20"/>
              </w:rPr>
            </w:pPr>
            <w:r>
              <w:rPr>
                <w:rFonts w:cs="Arial"/>
                <w:szCs w:val="20"/>
              </w:rPr>
              <w:t>-11</w:t>
            </w:r>
          </w:p>
        </w:tc>
        <w:tc>
          <w:tcPr>
            <w:tcW w:w="329" w:type="pct"/>
            <w:tcBorders>
              <w:top w:val="nil"/>
              <w:bottom w:val="single" w:sz="4" w:space="0" w:color="auto"/>
            </w:tcBorders>
            <w:vAlign w:val="center"/>
          </w:tcPr>
          <w:p w:rsidR="00230EDD" w:rsidRDefault="00230EDD" w:rsidP="00230EDD">
            <w:pPr>
              <w:ind w:left="-106" w:right="-70"/>
              <w:jc w:val="center"/>
              <w:rPr>
                <w:rFonts w:cs="Arial"/>
                <w:szCs w:val="20"/>
              </w:rPr>
            </w:pPr>
            <w:r>
              <w:rPr>
                <w:rFonts w:cs="Arial"/>
                <w:szCs w:val="20"/>
              </w:rPr>
              <w:t>82</w:t>
            </w:r>
          </w:p>
        </w:tc>
        <w:tc>
          <w:tcPr>
            <w:tcW w:w="417" w:type="pct"/>
            <w:tcBorders>
              <w:top w:val="nil"/>
              <w:bottom w:val="single" w:sz="4" w:space="0" w:color="auto"/>
            </w:tcBorders>
            <w:vAlign w:val="center"/>
          </w:tcPr>
          <w:p w:rsidR="00230EDD" w:rsidRDefault="00230EDD" w:rsidP="00230EDD">
            <w:pPr>
              <w:ind w:left="-106" w:right="-70"/>
              <w:jc w:val="center"/>
              <w:rPr>
                <w:rFonts w:cs="Arial"/>
                <w:szCs w:val="20"/>
              </w:rPr>
            </w:pPr>
            <w:r>
              <w:rPr>
                <w:rFonts w:cs="Arial"/>
                <w:szCs w:val="20"/>
              </w:rPr>
              <w:t>0</w:t>
            </w:r>
          </w:p>
        </w:tc>
        <w:tc>
          <w:tcPr>
            <w:tcW w:w="329" w:type="pct"/>
            <w:tcBorders>
              <w:top w:val="nil"/>
              <w:bottom w:val="single" w:sz="4" w:space="0" w:color="auto"/>
            </w:tcBorders>
            <w:vAlign w:val="center"/>
          </w:tcPr>
          <w:p w:rsidR="00230EDD" w:rsidRDefault="00230EDD" w:rsidP="00230EDD">
            <w:pPr>
              <w:ind w:left="-106" w:right="-70"/>
              <w:jc w:val="center"/>
              <w:rPr>
                <w:rFonts w:cs="Arial"/>
                <w:szCs w:val="20"/>
              </w:rPr>
            </w:pPr>
            <w:r>
              <w:rPr>
                <w:rFonts w:cs="Arial"/>
                <w:szCs w:val="20"/>
              </w:rPr>
              <w:t>124</w:t>
            </w:r>
          </w:p>
        </w:tc>
        <w:tc>
          <w:tcPr>
            <w:tcW w:w="310" w:type="pct"/>
            <w:tcBorders>
              <w:top w:val="nil"/>
              <w:bottom w:val="single" w:sz="4" w:space="0" w:color="auto"/>
            </w:tcBorders>
            <w:vAlign w:val="center"/>
          </w:tcPr>
          <w:p w:rsidR="00230EDD" w:rsidRDefault="00230EDD" w:rsidP="00230EDD">
            <w:pPr>
              <w:ind w:left="-106" w:right="-70"/>
              <w:jc w:val="center"/>
              <w:rPr>
                <w:rFonts w:cs="Arial"/>
                <w:szCs w:val="20"/>
              </w:rPr>
            </w:pPr>
            <w:r>
              <w:rPr>
                <w:rFonts w:cs="Arial"/>
                <w:szCs w:val="20"/>
              </w:rPr>
              <w:t>-3</w:t>
            </w:r>
          </w:p>
        </w:tc>
        <w:tc>
          <w:tcPr>
            <w:tcW w:w="329" w:type="pct"/>
            <w:tcBorders>
              <w:top w:val="nil"/>
              <w:bottom w:val="single" w:sz="4" w:space="0" w:color="auto"/>
            </w:tcBorders>
            <w:vAlign w:val="center"/>
          </w:tcPr>
          <w:p w:rsidR="00230EDD" w:rsidRDefault="00230EDD" w:rsidP="00230EDD">
            <w:pPr>
              <w:ind w:left="-106" w:right="-70"/>
              <w:jc w:val="center"/>
              <w:rPr>
                <w:rFonts w:cs="Arial"/>
                <w:szCs w:val="20"/>
              </w:rPr>
            </w:pPr>
            <w:r>
              <w:rPr>
                <w:rFonts w:cs="Arial"/>
                <w:szCs w:val="20"/>
              </w:rPr>
              <w:t>93</w:t>
            </w:r>
          </w:p>
        </w:tc>
        <w:tc>
          <w:tcPr>
            <w:tcW w:w="363" w:type="pct"/>
            <w:tcBorders>
              <w:top w:val="nil"/>
              <w:bottom w:val="single" w:sz="4" w:space="0" w:color="auto"/>
            </w:tcBorders>
            <w:vAlign w:val="center"/>
          </w:tcPr>
          <w:p w:rsidR="00230EDD" w:rsidRDefault="00230EDD" w:rsidP="00230EDD">
            <w:pPr>
              <w:ind w:left="-106" w:right="-70"/>
              <w:jc w:val="center"/>
              <w:rPr>
                <w:rFonts w:cs="Arial"/>
                <w:szCs w:val="20"/>
              </w:rPr>
            </w:pPr>
            <w:r>
              <w:rPr>
                <w:rFonts w:cs="Arial"/>
                <w:szCs w:val="20"/>
              </w:rPr>
              <w:t>-2</w:t>
            </w:r>
          </w:p>
        </w:tc>
        <w:tc>
          <w:tcPr>
            <w:tcW w:w="330" w:type="pct"/>
            <w:tcBorders>
              <w:top w:val="nil"/>
              <w:bottom w:val="single" w:sz="4" w:space="0" w:color="auto"/>
            </w:tcBorders>
            <w:vAlign w:val="center"/>
          </w:tcPr>
          <w:p w:rsidR="00230EDD" w:rsidRDefault="00230EDD" w:rsidP="00230EDD">
            <w:pPr>
              <w:ind w:left="-106" w:right="-70"/>
              <w:jc w:val="center"/>
              <w:rPr>
                <w:rFonts w:cs="Arial"/>
                <w:szCs w:val="20"/>
              </w:rPr>
            </w:pPr>
            <w:r>
              <w:rPr>
                <w:rFonts w:cs="Arial"/>
                <w:szCs w:val="20"/>
              </w:rPr>
              <w:t>99</w:t>
            </w:r>
          </w:p>
        </w:tc>
        <w:tc>
          <w:tcPr>
            <w:tcW w:w="359" w:type="pct"/>
            <w:tcBorders>
              <w:top w:val="nil"/>
              <w:bottom w:val="single" w:sz="4" w:space="0" w:color="auto"/>
            </w:tcBorders>
            <w:vAlign w:val="center"/>
          </w:tcPr>
          <w:p w:rsidR="00230EDD" w:rsidRDefault="00230EDD" w:rsidP="00230EDD">
            <w:pPr>
              <w:ind w:left="-106" w:right="-70"/>
              <w:jc w:val="center"/>
              <w:rPr>
                <w:rFonts w:cs="Arial"/>
                <w:szCs w:val="20"/>
              </w:rPr>
            </w:pPr>
            <w:r>
              <w:rPr>
                <w:rFonts w:cs="Arial"/>
                <w:szCs w:val="20"/>
              </w:rPr>
              <w:t>229</w:t>
            </w:r>
          </w:p>
        </w:tc>
        <w:tc>
          <w:tcPr>
            <w:tcW w:w="303" w:type="pct"/>
            <w:gridSpan w:val="2"/>
            <w:tcBorders>
              <w:top w:val="nil"/>
              <w:bottom w:val="single" w:sz="4" w:space="0" w:color="auto"/>
            </w:tcBorders>
            <w:vAlign w:val="center"/>
          </w:tcPr>
          <w:p w:rsidR="00230EDD" w:rsidRDefault="00230EDD" w:rsidP="00230EDD">
            <w:pPr>
              <w:ind w:left="-106" w:right="-70"/>
              <w:jc w:val="center"/>
              <w:rPr>
                <w:rFonts w:cs="Arial"/>
                <w:szCs w:val="20"/>
              </w:rPr>
            </w:pPr>
            <w:r>
              <w:rPr>
                <w:rFonts w:cs="Arial"/>
                <w:szCs w:val="20"/>
              </w:rPr>
              <w:t>-</w:t>
            </w:r>
          </w:p>
        </w:tc>
        <w:tc>
          <w:tcPr>
            <w:tcW w:w="412" w:type="pct"/>
            <w:tcBorders>
              <w:top w:val="nil"/>
              <w:bottom w:val="single" w:sz="4" w:space="0" w:color="auto"/>
            </w:tcBorders>
            <w:vAlign w:val="center"/>
          </w:tcPr>
          <w:p w:rsidR="00230EDD" w:rsidRDefault="00230EDD" w:rsidP="00230EDD">
            <w:pPr>
              <w:ind w:left="-106" w:right="-70"/>
              <w:jc w:val="center"/>
              <w:rPr>
                <w:rFonts w:cs="Arial"/>
                <w:szCs w:val="20"/>
              </w:rPr>
            </w:pPr>
            <w:r>
              <w:rPr>
                <w:rFonts w:cs="Arial"/>
                <w:szCs w:val="20"/>
              </w:rPr>
              <w:t>-</w:t>
            </w:r>
          </w:p>
        </w:tc>
      </w:tr>
    </w:tbl>
    <w:p w:rsidR="001521CB" w:rsidRPr="008D4DAB" w:rsidRDefault="001521CB" w:rsidP="00A226E9">
      <w:pPr>
        <w:pStyle w:val="AERbodytext"/>
        <w:keepNext/>
      </w:pPr>
      <w:r w:rsidRPr="00EC137F">
        <w:lastRenderedPageBreak/>
        <w:t>Figure 2 illustrates the daily prices in each gas market</w:t>
      </w:r>
      <w:r w:rsidR="00580E72" w:rsidRPr="00EC137F">
        <w:t>, as defined in figure 1</w:t>
      </w:r>
      <w:r w:rsidRPr="00EC137F">
        <w:t>.</w:t>
      </w:r>
    </w:p>
    <w:p w:rsidR="001521CB" w:rsidRPr="001521CB" w:rsidRDefault="001521CB" w:rsidP="001521CB">
      <w:pPr>
        <w:pStyle w:val="Caption"/>
      </w:pPr>
      <w:r w:rsidRPr="001521CB">
        <w:t xml:space="preserve">Figure </w:t>
      </w:r>
      <w:r w:rsidR="00EE40B5">
        <w:fldChar w:fldCharType="begin"/>
      </w:r>
      <w:r w:rsidR="00EE40B5">
        <w:instrText xml:space="preserve"> SEQ Figure \* ARABIC </w:instrText>
      </w:r>
      <w:r w:rsidR="00EE40B5">
        <w:fldChar w:fldCharType="separate"/>
      </w:r>
      <w:r w:rsidR="00EE40B5">
        <w:rPr>
          <w:noProof/>
        </w:rPr>
        <w:t>2</w:t>
      </w:r>
      <w:r w:rsidR="00EE40B5">
        <w:rPr>
          <w:noProof/>
        </w:rPr>
        <w:fldChar w:fldCharType="end"/>
      </w:r>
      <w:r w:rsidRPr="001521CB">
        <w:t xml:space="preserve">: </w:t>
      </w:r>
      <w:r w:rsidRPr="001521CB">
        <w:rPr>
          <w:color w:val="2272A3"/>
          <w:szCs w:val="24"/>
        </w:rPr>
        <w:t>Daily gas market prices</w:t>
      </w:r>
      <w:r w:rsidR="00A84149">
        <w:rPr>
          <w:color w:val="2272A3"/>
          <w:szCs w:val="24"/>
        </w:rPr>
        <w:t xml:space="preserve"> ($/GJ)</w:t>
      </w:r>
    </w:p>
    <w:p w:rsidR="001521CB" w:rsidRDefault="00230EDD" w:rsidP="0055398F">
      <w:pPr>
        <w:spacing w:line="240" w:lineRule="auto"/>
      </w:pPr>
      <w:r w:rsidRPr="00230EDD">
        <w:rPr>
          <w:noProof/>
          <w:lang w:eastAsia="en-AU"/>
        </w:rPr>
        <w:drawing>
          <wp:inline distT="0" distB="0" distL="0" distR="0" wp14:anchorId="41412FCC" wp14:editId="7CD36CF6">
            <wp:extent cx="5731510" cy="3551700"/>
            <wp:effectExtent l="0" t="0" r="2540" b="0"/>
            <wp:docPr id="2" name="Picture 2" descr="Figure 2 shows the daily price of gas in the mandatory gas markets and voluntary gas supply hubs (GSH). The weighted average daily imbalance price applies for Victoria. The prices shown for the GSH in Wallumbilla and Moomba are volume weighted average prices for all products traded on each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551700"/>
                    </a:xfrm>
                    <a:prstGeom prst="rect">
                      <a:avLst/>
                    </a:prstGeom>
                    <a:noFill/>
                    <a:ln>
                      <a:noFill/>
                    </a:ln>
                  </pic:spPr>
                </pic:pic>
              </a:graphicData>
            </a:graphic>
          </wp:inline>
        </w:drawing>
      </w:r>
    </w:p>
    <w:p w:rsidR="001521CB" w:rsidRPr="008D4DAB" w:rsidRDefault="001521CB" w:rsidP="00F26128">
      <w:pPr>
        <w:pStyle w:val="AERbodytext"/>
      </w:pPr>
      <w:r w:rsidRPr="00EC137F">
        <w:t xml:space="preserve">Figure 3 compares average ancillary market payments </w:t>
      </w:r>
      <w:r w:rsidR="006621AB" w:rsidRPr="00EC137F">
        <w:t xml:space="preserve">(VGM) </w:t>
      </w:r>
      <w:r w:rsidRPr="00EC137F">
        <w:t xml:space="preserve">and </w:t>
      </w:r>
      <w:r w:rsidR="006621AB" w:rsidRPr="00EC137F">
        <w:t xml:space="preserve">balancing gas service payments (STTM) </w:t>
      </w:r>
      <w:r w:rsidRPr="00EC137F">
        <w:t>against historical averages.</w:t>
      </w:r>
    </w:p>
    <w:p w:rsidR="001521CB" w:rsidRPr="001521CB" w:rsidRDefault="001521CB" w:rsidP="001521CB">
      <w:pPr>
        <w:pStyle w:val="Caption"/>
      </w:pPr>
      <w:r w:rsidRPr="001521CB">
        <w:t xml:space="preserve">Figure </w:t>
      </w:r>
      <w:r w:rsidR="00EE40B5">
        <w:fldChar w:fldCharType="begin"/>
      </w:r>
      <w:r w:rsidR="00EE40B5">
        <w:instrText xml:space="preserve"> SEQ Figure \* ARABIC </w:instrText>
      </w:r>
      <w:r w:rsidR="00EE40B5">
        <w:fldChar w:fldCharType="separate"/>
      </w:r>
      <w:r w:rsidR="00EE40B5">
        <w:rPr>
          <w:noProof/>
        </w:rPr>
        <w:t>3</w:t>
      </w:r>
      <w:r w:rsidR="00EE40B5">
        <w:rPr>
          <w:noProof/>
        </w:rPr>
        <w:fldChar w:fldCharType="end"/>
      </w:r>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230EDD" w:rsidRPr="00405CDE" w:rsidTr="00534DD9">
        <w:trPr>
          <w:trHeight w:val="510"/>
        </w:trPr>
        <w:tc>
          <w:tcPr>
            <w:tcW w:w="1585" w:type="pct"/>
            <w:tcBorders>
              <w:top w:val="nil"/>
              <w:bottom w:val="nil"/>
            </w:tcBorders>
            <w:vAlign w:val="center"/>
          </w:tcPr>
          <w:p w:rsidR="00230EDD" w:rsidRDefault="00230EDD">
            <w:pPr>
              <w:rPr>
                <w:rFonts w:cs="Arial"/>
                <w:sz w:val="16"/>
                <w:szCs w:val="16"/>
              </w:rPr>
            </w:pPr>
            <w:r>
              <w:rPr>
                <w:rFonts w:cs="Arial"/>
                <w:sz w:val="16"/>
                <w:szCs w:val="16"/>
              </w:rPr>
              <w:t>31 Jul - 06 Aug 2016</w:t>
            </w:r>
          </w:p>
        </w:tc>
        <w:tc>
          <w:tcPr>
            <w:tcW w:w="993" w:type="pct"/>
            <w:tcBorders>
              <w:top w:val="nil"/>
              <w:bottom w:val="nil"/>
            </w:tcBorders>
            <w:vAlign w:val="center"/>
          </w:tcPr>
          <w:p w:rsidR="00230EDD" w:rsidRDefault="00230EDD">
            <w:pPr>
              <w:jc w:val="center"/>
              <w:rPr>
                <w:rFonts w:cs="Arial"/>
                <w:sz w:val="20"/>
                <w:szCs w:val="20"/>
              </w:rPr>
            </w:pPr>
            <w:r>
              <w:rPr>
                <w:rFonts w:cs="Arial"/>
                <w:sz w:val="20"/>
                <w:szCs w:val="20"/>
              </w:rPr>
              <w:t>-</w:t>
            </w:r>
          </w:p>
        </w:tc>
        <w:tc>
          <w:tcPr>
            <w:tcW w:w="758" w:type="pct"/>
            <w:tcBorders>
              <w:top w:val="nil"/>
              <w:bottom w:val="nil"/>
            </w:tcBorders>
            <w:vAlign w:val="center"/>
          </w:tcPr>
          <w:p w:rsidR="00230EDD" w:rsidRDefault="00230EDD">
            <w:pPr>
              <w:jc w:val="center"/>
              <w:rPr>
                <w:rFonts w:cs="Arial"/>
                <w:sz w:val="20"/>
                <w:szCs w:val="20"/>
              </w:rPr>
            </w:pPr>
            <w:r>
              <w:rPr>
                <w:rFonts w:cs="Arial"/>
                <w:sz w:val="20"/>
                <w:szCs w:val="20"/>
              </w:rPr>
              <w:t>65.48</w:t>
            </w:r>
          </w:p>
        </w:tc>
        <w:tc>
          <w:tcPr>
            <w:tcW w:w="831" w:type="pct"/>
            <w:tcBorders>
              <w:top w:val="nil"/>
              <w:bottom w:val="nil"/>
            </w:tcBorders>
            <w:vAlign w:val="center"/>
          </w:tcPr>
          <w:p w:rsidR="00230EDD" w:rsidRDefault="00230EDD">
            <w:pPr>
              <w:jc w:val="center"/>
              <w:rPr>
                <w:rFonts w:cs="Arial"/>
                <w:sz w:val="20"/>
                <w:szCs w:val="20"/>
              </w:rPr>
            </w:pPr>
            <w:r>
              <w:rPr>
                <w:rFonts w:cs="Arial"/>
                <w:sz w:val="20"/>
                <w:szCs w:val="20"/>
              </w:rPr>
              <w:t>7.73</w:t>
            </w:r>
          </w:p>
        </w:tc>
        <w:tc>
          <w:tcPr>
            <w:tcW w:w="833" w:type="pct"/>
            <w:tcBorders>
              <w:top w:val="nil"/>
              <w:bottom w:val="nil"/>
            </w:tcBorders>
            <w:vAlign w:val="center"/>
          </w:tcPr>
          <w:p w:rsidR="00230EDD" w:rsidRDefault="00230EDD">
            <w:pPr>
              <w:jc w:val="center"/>
              <w:rPr>
                <w:rFonts w:cs="Arial"/>
                <w:sz w:val="20"/>
                <w:szCs w:val="20"/>
              </w:rPr>
            </w:pPr>
            <w:r>
              <w:rPr>
                <w:rFonts w:cs="Arial"/>
                <w:sz w:val="20"/>
                <w:szCs w:val="20"/>
              </w:rPr>
              <w:t>0.79</w:t>
            </w:r>
          </w:p>
        </w:tc>
      </w:tr>
      <w:tr w:rsidR="00230EDD"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230EDD" w:rsidRDefault="00230EDD">
            <w:pPr>
              <w:rPr>
                <w:rFonts w:cs="Arial"/>
                <w:sz w:val="16"/>
                <w:szCs w:val="16"/>
              </w:rPr>
            </w:pPr>
            <w:r>
              <w:rPr>
                <w:rFonts w:cs="Arial"/>
                <w:sz w:val="16"/>
                <w:szCs w:val="16"/>
              </w:rPr>
              <w:t>% change from previous week</w:t>
            </w:r>
          </w:p>
        </w:tc>
        <w:tc>
          <w:tcPr>
            <w:tcW w:w="993" w:type="pct"/>
            <w:tcBorders>
              <w:top w:val="nil"/>
              <w:bottom w:val="nil"/>
            </w:tcBorders>
            <w:vAlign w:val="center"/>
          </w:tcPr>
          <w:p w:rsidR="00230EDD" w:rsidRDefault="00230EDD">
            <w:pPr>
              <w:jc w:val="center"/>
              <w:rPr>
                <w:rFonts w:cs="Arial"/>
                <w:szCs w:val="20"/>
              </w:rPr>
            </w:pPr>
            <w:r>
              <w:rPr>
                <w:rFonts w:cs="Arial"/>
                <w:szCs w:val="20"/>
              </w:rPr>
              <w:t>-</w:t>
            </w:r>
          </w:p>
        </w:tc>
        <w:tc>
          <w:tcPr>
            <w:tcW w:w="758" w:type="pct"/>
            <w:tcBorders>
              <w:top w:val="nil"/>
              <w:bottom w:val="nil"/>
            </w:tcBorders>
            <w:vAlign w:val="center"/>
          </w:tcPr>
          <w:p w:rsidR="00230EDD" w:rsidRDefault="00230EDD">
            <w:pPr>
              <w:jc w:val="center"/>
              <w:rPr>
                <w:rFonts w:cs="Arial"/>
                <w:szCs w:val="20"/>
              </w:rPr>
            </w:pPr>
            <w:r>
              <w:rPr>
                <w:rFonts w:cs="Arial"/>
                <w:szCs w:val="20"/>
              </w:rPr>
              <w:t>-27</w:t>
            </w:r>
          </w:p>
        </w:tc>
        <w:tc>
          <w:tcPr>
            <w:tcW w:w="831" w:type="pct"/>
            <w:tcBorders>
              <w:top w:val="nil"/>
              <w:bottom w:val="nil"/>
            </w:tcBorders>
            <w:vAlign w:val="center"/>
          </w:tcPr>
          <w:p w:rsidR="00230EDD" w:rsidRDefault="00230EDD">
            <w:pPr>
              <w:jc w:val="center"/>
              <w:rPr>
                <w:rFonts w:cs="Arial"/>
                <w:szCs w:val="20"/>
              </w:rPr>
            </w:pPr>
            <w:r>
              <w:rPr>
                <w:rFonts w:cs="Arial"/>
                <w:szCs w:val="20"/>
              </w:rPr>
              <w:t>-46</w:t>
            </w:r>
          </w:p>
        </w:tc>
        <w:tc>
          <w:tcPr>
            <w:tcW w:w="833" w:type="pct"/>
            <w:tcBorders>
              <w:top w:val="nil"/>
              <w:bottom w:val="nil"/>
            </w:tcBorders>
            <w:vAlign w:val="center"/>
          </w:tcPr>
          <w:p w:rsidR="00230EDD" w:rsidRDefault="00230EDD">
            <w:pPr>
              <w:jc w:val="center"/>
              <w:rPr>
                <w:rFonts w:cs="Arial"/>
                <w:szCs w:val="20"/>
              </w:rPr>
            </w:pPr>
            <w:r>
              <w:rPr>
                <w:rFonts w:cs="Arial"/>
                <w:szCs w:val="20"/>
              </w:rPr>
              <w:t>-3</w:t>
            </w:r>
          </w:p>
        </w:tc>
      </w:tr>
      <w:tr w:rsidR="00230EDD" w:rsidRPr="00405CDE" w:rsidTr="00534DD9">
        <w:trPr>
          <w:trHeight w:val="510"/>
        </w:trPr>
        <w:tc>
          <w:tcPr>
            <w:tcW w:w="1585" w:type="pct"/>
            <w:tcBorders>
              <w:top w:val="nil"/>
              <w:bottom w:val="nil"/>
            </w:tcBorders>
            <w:vAlign w:val="center"/>
          </w:tcPr>
          <w:p w:rsidR="00230EDD" w:rsidRDefault="00230EDD">
            <w:pPr>
              <w:rPr>
                <w:rFonts w:cs="Arial"/>
                <w:sz w:val="16"/>
                <w:szCs w:val="16"/>
              </w:rPr>
            </w:pPr>
            <w:r>
              <w:rPr>
                <w:rFonts w:cs="Arial"/>
                <w:sz w:val="16"/>
                <w:szCs w:val="16"/>
              </w:rPr>
              <w:t>16-17 financial YTD</w:t>
            </w:r>
          </w:p>
        </w:tc>
        <w:tc>
          <w:tcPr>
            <w:tcW w:w="993" w:type="pct"/>
            <w:tcBorders>
              <w:top w:val="nil"/>
              <w:bottom w:val="nil"/>
            </w:tcBorders>
            <w:vAlign w:val="center"/>
          </w:tcPr>
          <w:p w:rsidR="00230EDD" w:rsidRDefault="00230EDD">
            <w:pPr>
              <w:jc w:val="center"/>
              <w:rPr>
                <w:rFonts w:cs="Arial"/>
                <w:sz w:val="20"/>
                <w:szCs w:val="20"/>
              </w:rPr>
            </w:pPr>
            <w:r>
              <w:rPr>
                <w:rFonts w:cs="Arial"/>
                <w:sz w:val="20"/>
                <w:szCs w:val="20"/>
              </w:rPr>
              <w:t> </w:t>
            </w:r>
          </w:p>
        </w:tc>
        <w:tc>
          <w:tcPr>
            <w:tcW w:w="758" w:type="pct"/>
            <w:tcBorders>
              <w:top w:val="nil"/>
              <w:bottom w:val="nil"/>
            </w:tcBorders>
            <w:vAlign w:val="center"/>
          </w:tcPr>
          <w:p w:rsidR="00230EDD" w:rsidRDefault="00230EDD">
            <w:pPr>
              <w:jc w:val="center"/>
              <w:rPr>
                <w:rFonts w:cs="Arial"/>
                <w:sz w:val="20"/>
                <w:szCs w:val="20"/>
              </w:rPr>
            </w:pPr>
            <w:r>
              <w:rPr>
                <w:rFonts w:cs="Arial"/>
                <w:sz w:val="20"/>
                <w:szCs w:val="20"/>
              </w:rPr>
              <w:t>80.15</w:t>
            </w:r>
          </w:p>
        </w:tc>
        <w:tc>
          <w:tcPr>
            <w:tcW w:w="831" w:type="pct"/>
            <w:tcBorders>
              <w:top w:val="nil"/>
              <w:bottom w:val="nil"/>
            </w:tcBorders>
            <w:vAlign w:val="center"/>
          </w:tcPr>
          <w:p w:rsidR="00230EDD" w:rsidRDefault="00230EDD">
            <w:pPr>
              <w:jc w:val="center"/>
              <w:rPr>
                <w:rFonts w:cs="Arial"/>
                <w:sz w:val="20"/>
                <w:szCs w:val="20"/>
              </w:rPr>
            </w:pPr>
            <w:r>
              <w:rPr>
                <w:rFonts w:cs="Arial"/>
                <w:sz w:val="20"/>
                <w:szCs w:val="20"/>
              </w:rPr>
              <w:t>13.96</w:t>
            </w:r>
          </w:p>
        </w:tc>
        <w:tc>
          <w:tcPr>
            <w:tcW w:w="833" w:type="pct"/>
            <w:tcBorders>
              <w:top w:val="nil"/>
              <w:bottom w:val="nil"/>
            </w:tcBorders>
            <w:vAlign w:val="center"/>
          </w:tcPr>
          <w:p w:rsidR="00230EDD" w:rsidRDefault="00230EDD">
            <w:pPr>
              <w:jc w:val="center"/>
              <w:rPr>
                <w:rFonts w:cs="Arial"/>
                <w:sz w:val="20"/>
                <w:szCs w:val="20"/>
              </w:rPr>
            </w:pPr>
            <w:r>
              <w:rPr>
                <w:rFonts w:cs="Arial"/>
                <w:sz w:val="20"/>
                <w:szCs w:val="20"/>
              </w:rPr>
              <w:t>1.12</w:t>
            </w:r>
          </w:p>
        </w:tc>
      </w:tr>
      <w:tr w:rsidR="00230EDD"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230EDD" w:rsidRDefault="00230EDD">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230EDD" w:rsidRDefault="00230EDD">
            <w:pPr>
              <w:jc w:val="center"/>
              <w:rPr>
                <w:rFonts w:cs="Arial"/>
                <w:szCs w:val="20"/>
              </w:rPr>
            </w:pPr>
            <w:r>
              <w:rPr>
                <w:rFonts w:cs="Arial"/>
                <w:szCs w:val="20"/>
              </w:rPr>
              <w:t> </w:t>
            </w:r>
          </w:p>
        </w:tc>
        <w:tc>
          <w:tcPr>
            <w:tcW w:w="758" w:type="pct"/>
            <w:tcBorders>
              <w:top w:val="nil"/>
              <w:bottom w:val="single" w:sz="4" w:space="0" w:color="auto"/>
            </w:tcBorders>
            <w:vAlign w:val="center"/>
          </w:tcPr>
          <w:p w:rsidR="00230EDD" w:rsidRDefault="00230EDD">
            <w:pPr>
              <w:jc w:val="center"/>
              <w:rPr>
                <w:rFonts w:cs="Arial"/>
                <w:szCs w:val="20"/>
              </w:rPr>
            </w:pPr>
            <w:r>
              <w:rPr>
                <w:rFonts w:cs="Arial"/>
                <w:szCs w:val="20"/>
              </w:rPr>
              <w:t>142</w:t>
            </w:r>
          </w:p>
        </w:tc>
        <w:tc>
          <w:tcPr>
            <w:tcW w:w="831" w:type="pct"/>
            <w:tcBorders>
              <w:top w:val="nil"/>
              <w:bottom w:val="single" w:sz="4" w:space="0" w:color="auto"/>
            </w:tcBorders>
            <w:vAlign w:val="center"/>
          </w:tcPr>
          <w:p w:rsidR="00230EDD" w:rsidRDefault="00230EDD">
            <w:pPr>
              <w:jc w:val="center"/>
              <w:rPr>
                <w:rFonts w:cs="Arial"/>
                <w:szCs w:val="20"/>
              </w:rPr>
            </w:pPr>
            <w:r>
              <w:rPr>
                <w:rFonts w:cs="Arial"/>
                <w:szCs w:val="20"/>
              </w:rPr>
              <w:t>-12</w:t>
            </w:r>
          </w:p>
        </w:tc>
        <w:tc>
          <w:tcPr>
            <w:tcW w:w="833" w:type="pct"/>
            <w:tcBorders>
              <w:top w:val="nil"/>
              <w:bottom w:val="single" w:sz="4" w:space="0" w:color="auto"/>
            </w:tcBorders>
            <w:vAlign w:val="center"/>
          </w:tcPr>
          <w:p w:rsidR="00230EDD" w:rsidRDefault="00230EDD">
            <w:pPr>
              <w:jc w:val="center"/>
              <w:rPr>
                <w:rFonts w:cs="Arial"/>
                <w:szCs w:val="20"/>
              </w:rPr>
            </w:pPr>
            <w:r>
              <w:rPr>
                <w:rFonts w:cs="Arial"/>
                <w:szCs w:val="20"/>
              </w:rPr>
              <w:t>-14</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F26128" w:rsidRDefault="00F26128" w:rsidP="001521CB">
      <w:pPr>
        <w:pStyle w:val="AERbodytext"/>
      </w:pPr>
    </w:p>
    <w:p w:rsidR="00F26128" w:rsidRDefault="00F26128" w:rsidP="001521CB">
      <w:pPr>
        <w:pStyle w:val="AERbodytext"/>
      </w:pPr>
    </w:p>
    <w:p w:rsidR="00F26128" w:rsidRDefault="00F26128" w:rsidP="001521CB">
      <w:pPr>
        <w:pStyle w:val="AERbodytext"/>
      </w:pPr>
    </w:p>
    <w:p w:rsidR="00F26128" w:rsidRDefault="00F26128" w:rsidP="001521CB">
      <w:pPr>
        <w:pStyle w:val="AERbodytext"/>
      </w:pPr>
    </w:p>
    <w:p w:rsidR="00F26128" w:rsidRDefault="00F26128" w:rsidP="00F26128">
      <w:pPr>
        <w:rPr>
          <w:highlight w:val="yellow"/>
        </w:rPr>
      </w:pPr>
    </w:p>
    <w:p w:rsidR="004C571B" w:rsidRPr="00552F68" w:rsidRDefault="004C571B" w:rsidP="00F26128">
      <w:pPr>
        <w:keepNext/>
      </w:pPr>
      <w:r w:rsidRPr="00552F68">
        <w:lastRenderedPageBreak/>
        <w:t xml:space="preserve">Figure </w:t>
      </w:r>
      <w:r w:rsidR="00534DD9" w:rsidRPr="00552F68">
        <w:t>4</w:t>
      </w:r>
      <w:r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Wallumbilla and Moomba.</w:t>
      </w:r>
    </w:p>
    <w:p w:rsidR="001521CB" w:rsidRDefault="001521CB" w:rsidP="001521CB">
      <w:pPr>
        <w:pStyle w:val="Caption"/>
        <w:rPr>
          <w:color w:val="2272A3"/>
          <w:szCs w:val="24"/>
        </w:rPr>
      </w:pPr>
      <w:r w:rsidRPr="00552F68">
        <w:t xml:space="preserve">Figure </w:t>
      </w:r>
      <w:r w:rsidR="00EE40B5">
        <w:fldChar w:fldCharType="begin"/>
      </w:r>
      <w:r w:rsidR="00EE40B5">
        <w:instrText xml:space="preserve"> SEQ Figure \* ARABIC </w:instrText>
      </w:r>
      <w:r w:rsidR="00EE40B5">
        <w:fldChar w:fldCharType="separate"/>
      </w:r>
      <w:r w:rsidR="00EE40B5">
        <w:rPr>
          <w:noProof/>
        </w:rPr>
        <w:t>4</w:t>
      </w:r>
      <w:r w:rsidR="00EE40B5">
        <w:rPr>
          <w:noProof/>
        </w:rPr>
        <w:fldChar w:fldCharType="end"/>
      </w:r>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p>
    <w:tbl>
      <w:tblPr>
        <w:tblStyle w:val="AERTable-Text"/>
        <w:tblW w:w="4920" w:type="pct"/>
        <w:tblLayout w:type="fixed"/>
        <w:tblLook w:val="04A0" w:firstRow="1" w:lastRow="0" w:firstColumn="1" w:lastColumn="0" w:noHBand="0" w:noVBand="1"/>
      </w:tblPr>
      <w:tblGrid>
        <w:gridCol w:w="1391"/>
        <w:gridCol w:w="708"/>
        <w:gridCol w:w="629"/>
        <w:gridCol w:w="646"/>
        <w:gridCol w:w="620"/>
        <w:gridCol w:w="646"/>
        <w:gridCol w:w="624"/>
        <w:gridCol w:w="571"/>
        <w:gridCol w:w="620"/>
        <w:gridCol w:w="597"/>
        <w:gridCol w:w="711"/>
        <w:gridCol w:w="618"/>
        <w:gridCol w:w="713"/>
      </w:tblGrid>
      <w:tr w:rsidR="00EB357C" w:rsidRPr="00E16EDC" w:rsidTr="003245A5">
        <w:trPr>
          <w:cnfStyle w:val="100000000000" w:firstRow="1" w:lastRow="0" w:firstColumn="0" w:lastColumn="0" w:oddVBand="0" w:evenVBand="0" w:oddHBand="0" w:evenHBand="0" w:firstRowFirstColumn="0" w:firstRowLastColumn="0" w:lastRowFirstColumn="0" w:lastRowLastColumn="0"/>
          <w:trHeight w:val="404"/>
          <w:tblHeader/>
        </w:trPr>
        <w:tc>
          <w:tcPr>
            <w:tcW w:w="765" w:type="pct"/>
            <w:tcBorders>
              <w:bottom w:val="nil"/>
            </w:tcBorders>
            <w:vAlign w:val="center"/>
          </w:tcPr>
          <w:p w:rsidR="00EB357C" w:rsidRPr="00E16EDC" w:rsidRDefault="00EB357C" w:rsidP="003245A5">
            <w:pPr>
              <w:pStyle w:val="TableHeading"/>
              <w:spacing w:before="120" w:after="0" w:line="240" w:lineRule="auto"/>
              <w:jc w:val="center"/>
              <w:rPr>
                <w:rFonts w:cs="Arial"/>
                <w:sz w:val="20"/>
                <w:szCs w:val="20"/>
              </w:rPr>
            </w:pPr>
          </w:p>
        </w:tc>
        <w:tc>
          <w:tcPr>
            <w:tcW w:w="735" w:type="pct"/>
            <w:gridSpan w:val="2"/>
            <w:tcBorders>
              <w:bottom w:val="nil"/>
            </w:tcBorders>
            <w:vAlign w:val="center"/>
          </w:tcPr>
          <w:p w:rsidR="00EB357C" w:rsidRPr="00E16EDC" w:rsidRDefault="00EB357C" w:rsidP="003245A5">
            <w:pPr>
              <w:spacing w:before="120" w:after="0" w:line="240" w:lineRule="auto"/>
              <w:jc w:val="center"/>
              <w:rPr>
                <w:rFonts w:cs="Arial"/>
                <w:bCs/>
                <w:color w:val="FFFFFF"/>
                <w:sz w:val="20"/>
                <w:szCs w:val="20"/>
              </w:rPr>
            </w:pPr>
            <w:r w:rsidRPr="00E16EDC">
              <w:rPr>
                <w:rFonts w:cs="Arial"/>
                <w:bCs/>
                <w:color w:val="FFFFFF"/>
                <w:sz w:val="20"/>
                <w:szCs w:val="20"/>
              </w:rPr>
              <w:t>RBP</w:t>
            </w:r>
          </w:p>
        </w:tc>
        <w:tc>
          <w:tcPr>
            <w:tcW w:w="696" w:type="pct"/>
            <w:gridSpan w:val="2"/>
            <w:tcBorders>
              <w:bottom w:val="nil"/>
            </w:tcBorders>
            <w:vAlign w:val="center"/>
          </w:tcPr>
          <w:p w:rsidR="00EB357C" w:rsidRPr="00E16EDC" w:rsidRDefault="00EB357C" w:rsidP="003245A5">
            <w:pPr>
              <w:spacing w:before="120" w:after="0" w:line="240" w:lineRule="auto"/>
              <w:jc w:val="center"/>
              <w:rPr>
                <w:rFonts w:cs="Arial"/>
                <w:bCs/>
                <w:color w:val="FFFFFF"/>
                <w:sz w:val="20"/>
                <w:szCs w:val="20"/>
              </w:rPr>
            </w:pPr>
            <w:r>
              <w:rPr>
                <w:rFonts w:cs="Arial"/>
                <w:bCs/>
                <w:color w:val="FFFFFF"/>
                <w:sz w:val="20"/>
                <w:szCs w:val="20"/>
              </w:rPr>
              <w:t>SWQP</w:t>
            </w:r>
          </w:p>
        </w:tc>
        <w:tc>
          <w:tcPr>
            <w:tcW w:w="698" w:type="pct"/>
            <w:gridSpan w:val="2"/>
            <w:tcBorders>
              <w:bottom w:val="nil"/>
            </w:tcBorders>
            <w:vAlign w:val="center"/>
          </w:tcPr>
          <w:p w:rsidR="00EB357C" w:rsidRPr="00E16EDC" w:rsidRDefault="00EB357C" w:rsidP="003245A5">
            <w:pPr>
              <w:spacing w:before="120" w:after="0" w:line="240" w:lineRule="auto"/>
              <w:jc w:val="center"/>
              <w:rPr>
                <w:rFonts w:cs="Arial"/>
                <w:bCs/>
                <w:color w:val="FFFFFF"/>
                <w:sz w:val="20"/>
                <w:szCs w:val="20"/>
              </w:rPr>
            </w:pPr>
            <w:r w:rsidRPr="00E16EDC">
              <w:rPr>
                <w:rFonts w:cs="Arial"/>
                <w:bCs/>
                <w:color w:val="FFFFFF"/>
                <w:sz w:val="20"/>
                <w:szCs w:val="20"/>
              </w:rPr>
              <w:t>MAP</w:t>
            </w:r>
          </w:p>
        </w:tc>
        <w:tc>
          <w:tcPr>
            <w:tcW w:w="655" w:type="pct"/>
            <w:gridSpan w:val="2"/>
            <w:tcBorders>
              <w:bottom w:val="nil"/>
            </w:tcBorders>
            <w:vAlign w:val="center"/>
          </w:tcPr>
          <w:p w:rsidR="00EB357C" w:rsidRPr="00E16EDC" w:rsidRDefault="00EB357C" w:rsidP="003245A5">
            <w:pPr>
              <w:spacing w:before="120" w:after="0" w:line="240" w:lineRule="auto"/>
              <w:jc w:val="center"/>
              <w:rPr>
                <w:rFonts w:cs="Arial"/>
                <w:bCs/>
                <w:color w:val="FFFFFF"/>
                <w:sz w:val="20"/>
                <w:szCs w:val="20"/>
              </w:rPr>
            </w:pPr>
            <w:r w:rsidRPr="00E16EDC">
              <w:rPr>
                <w:rFonts w:cs="Arial"/>
                <w:bCs/>
                <w:color w:val="FFFFFF"/>
                <w:sz w:val="20"/>
                <w:szCs w:val="20"/>
              </w:rPr>
              <w:t>MSP</w:t>
            </w:r>
          </w:p>
        </w:tc>
        <w:tc>
          <w:tcPr>
            <w:tcW w:w="719" w:type="pct"/>
            <w:gridSpan w:val="2"/>
            <w:tcBorders>
              <w:bottom w:val="nil"/>
            </w:tcBorders>
            <w:vAlign w:val="center"/>
          </w:tcPr>
          <w:p w:rsidR="00EB357C" w:rsidRPr="00E16EDC" w:rsidRDefault="00EB357C" w:rsidP="003245A5">
            <w:pPr>
              <w:spacing w:before="120" w:after="0" w:line="240" w:lineRule="auto"/>
              <w:jc w:val="center"/>
              <w:rPr>
                <w:rFonts w:cs="Arial"/>
                <w:bCs/>
                <w:color w:val="FFFFFF"/>
                <w:sz w:val="20"/>
                <w:szCs w:val="20"/>
              </w:rPr>
            </w:pPr>
            <w:r w:rsidRPr="00E16EDC">
              <w:rPr>
                <w:rFonts w:cs="Arial"/>
                <w:bCs/>
                <w:color w:val="FFFFFF"/>
                <w:sz w:val="20"/>
                <w:szCs w:val="20"/>
              </w:rPr>
              <w:t>QGP</w:t>
            </w:r>
          </w:p>
        </w:tc>
        <w:tc>
          <w:tcPr>
            <w:tcW w:w="732" w:type="pct"/>
            <w:gridSpan w:val="2"/>
            <w:tcBorders>
              <w:bottom w:val="nil"/>
            </w:tcBorders>
            <w:vAlign w:val="center"/>
          </w:tcPr>
          <w:p w:rsidR="00EB357C" w:rsidRPr="00E16EDC" w:rsidRDefault="00EB357C" w:rsidP="003245A5">
            <w:pPr>
              <w:spacing w:before="120" w:after="0" w:line="240" w:lineRule="auto"/>
              <w:jc w:val="center"/>
              <w:rPr>
                <w:rFonts w:cs="Arial"/>
                <w:bCs/>
                <w:color w:val="FFFFFF"/>
                <w:sz w:val="20"/>
                <w:szCs w:val="20"/>
              </w:rPr>
            </w:pPr>
            <w:r>
              <w:rPr>
                <w:rFonts w:cs="Arial"/>
                <w:bCs/>
                <w:color w:val="FFFFFF"/>
                <w:sz w:val="20"/>
                <w:szCs w:val="20"/>
              </w:rPr>
              <w:t>WAL non</w:t>
            </w:r>
            <w:r>
              <w:rPr>
                <w:rFonts w:cs="Arial"/>
                <w:bCs/>
                <w:color w:val="FFFFFF"/>
                <w:sz w:val="20"/>
                <w:szCs w:val="20"/>
              </w:rPr>
              <w:noBreakHyphen/>
              <w:t>netted</w:t>
            </w:r>
          </w:p>
        </w:tc>
      </w:tr>
      <w:tr w:rsidR="00EB357C" w:rsidRPr="00587CFB" w:rsidTr="003245A5">
        <w:trPr>
          <w:cnfStyle w:val="100000000000" w:firstRow="1" w:lastRow="0" w:firstColumn="0" w:lastColumn="0" w:oddVBand="0" w:evenVBand="0" w:oddHBand="0" w:evenHBand="0" w:firstRowFirstColumn="0" w:firstRowLastColumn="0" w:lastRowFirstColumn="0" w:lastRowLastColumn="0"/>
          <w:trHeight w:val="1134"/>
          <w:tblHeader/>
        </w:trPr>
        <w:tc>
          <w:tcPr>
            <w:tcW w:w="765" w:type="pct"/>
            <w:tcBorders>
              <w:bottom w:val="nil"/>
            </w:tcBorders>
            <w:vAlign w:val="center"/>
          </w:tcPr>
          <w:p w:rsidR="00EB357C" w:rsidRPr="00587CFB" w:rsidRDefault="00EB357C" w:rsidP="003245A5">
            <w:pPr>
              <w:pStyle w:val="TableHeading"/>
              <w:jc w:val="center"/>
              <w:rPr>
                <w:rFonts w:cs="Arial"/>
                <w:sz w:val="20"/>
                <w:szCs w:val="20"/>
              </w:rPr>
            </w:pPr>
          </w:p>
        </w:tc>
        <w:tc>
          <w:tcPr>
            <w:tcW w:w="389" w:type="pct"/>
            <w:tcBorders>
              <w:bottom w:val="nil"/>
            </w:tcBorders>
            <w:textDirection w:val="btLr"/>
            <w:vAlign w:val="center"/>
            <w:hideMark/>
          </w:tcPr>
          <w:p w:rsidR="00EB357C" w:rsidRPr="00587CFB" w:rsidRDefault="00EB357C" w:rsidP="003245A5">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46" w:type="pct"/>
            <w:tcBorders>
              <w:bottom w:val="nil"/>
            </w:tcBorders>
            <w:textDirection w:val="btLr"/>
            <w:vAlign w:val="center"/>
            <w:hideMark/>
          </w:tcPr>
          <w:p w:rsidR="00EB357C" w:rsidRPr="00587CFB" w:rsidRDefault="00EB357C" w:rsidP="003245A5">
            <w:pPr>
              <w:ind w:left="113" w:right="113"/>
              <w:jc w:val="center"/>
              <w:rPr>
                <w:rFonts w:cs="Arial"/>
                <w:bCs/>
                <w:color w:val="FFFFFF"/>
                <w:sz w:val="14"/>
                <w:szCs w:val="20"/>
                <w:highlight w:val="cyan"/>
              </w:rPr>
            </w:pPr>
            <w:r>
              <w:rPr>
                <w:rFonts w:cs="Arial"/>
                <w:bCs/>
                <w:color w:val="FFFFFF"/>
                <w:sz w:val="14"/>
                <w:szCs w:val="20"/>
              </w:rPr>
              <w:t>Quantity</w:t>
            </w:r>
          </w:p>
        </w:tc>
        <w:tc>
          <w:tcPr>
            <w:tcW w:w="355" w:type="pct"/>
            <w:tcBorders>
              <w:bottom w:val="nil"/>
            </w:tcBorders>
            <w:textDirection w:val="btLr"/>
            <w:vAlign w:val="center"/>
            <w:hideMark/>
          </w:tcPr>
          <w:p w:rsidR="00EB357C" w:rsidRPr="00587CFB" w:rsidRDefault="00EB357C" w:rsidP="003245A5">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41" w:type="pct"/>
            <w:tcBorders>
              <w:bottom w:val="nil"/>
            </w:tcBorders>
            <w:textDirection w:val="btLr"/>
            <w:vAlign w:val="center"/>
          </w:tcPr>
          <w:p w:rsidR="00EB357C" w:rsidRPr="00587CFB" w:rsidRDefault="00EB357C" w:rsidP="003245A5">
            <w:pPr>
              <w:ind w:left="113" w:right="113"/>
              <w:jc w:val="center"/>
              <w:rPr>
                <w:rFonts w:cs="Arial"/>
                <w:bCs/>
                <w:color w:val="FFFFFF"/>
                <w:sz w:val="14"/>
                <w:szCs w:val="20"/>
                <w:highlight w:val="cyan"/>
              </w:rPr>
            </w:pPr>
            <w:r>
              <w:rPr>
                <w:rFonts w:cs="Arial"/>
                <w:bCs/>
                <w:color w:val="FFFFFF"/>
                <w:sz w:val="14"/>
                <w:szCs w:val="20"/>
              </w:rPr>
              <w:t>Quantity</w:t>
            </w:r>
          </w:p>
        </w:tc>
        <w:tc>
          <w:tcPr>
            <w:tcW w:w="355" w:type="pct"/>
            <w:tcBorders>
              <w:bottom w:val="nil"/>
            </w:tcBorders>
            <w:textDirection w:val="btLr"/>
            <w:vAlign w:val="center"/>
          </w:tcPr>
          <w:p w:rsidR="00EB357C" w:rsidRPr="00587CFB" w:rsidRDefault="00EB357C" w:rsidP="003245A5">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43" w:type="pct"/>
            <w:tcBorders>
              <w:bottom w:val="nil"/>
            </w:tcBorders>
            <w:textDirection w:val="btLr"/>
            <w:vAlign w:val="center"/>
          </w:tcPr>
          <w:p w:rsidR="00EB357C" w:rsidRPr="00587CFB" w:rsidRDefault="00EB357C" w:rsidP="003245A5">
            <w:pPr>
              <w:ind w:left="113" w:right="113"/>
              <w:jc w:val="center"/>
              <w:rPr>
                <w:rFonts w:cs="Arial"/>
                <w:bCs/>
                <w:color w:val="FFFFFF"/>
                <w:sz w:val="14"/>
                <w:szCs w:val="20"/>
                <w:highlight w:val="cyan"/>
              </w:rPr>
            </w:pPr>
            <w:r>
              <w:rPr>
                <w:rFonts w:cs="Arial"/>
                <w:bCs/>
                <w:color w:val="FFFFFF"/>
                <w:sz w:val="14"/>
                <w:szCs w:val="20"/>
              </w:rPr>
              <w:t>Quantity</w:t>
            </w:r>
          </w:p>
        </w:tc>
        <w:tc>
          <w:tcPr>
            <w:tcW w:w="314" w:type="pct"/>
            <w:tcBorders>
              <w:bottom w:val="nil"/>
            </w:tcBorders>
            <w:textDirection w:val="btLr"/>
            <w:vAlign w:val="center"/>
          </w:tcPr>
          <w:p w:rsidR="00EB357C" w:rsidRPr="00587CFB" w:rsidRDefault="00EB357C" w:rsidP="003245A5">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41" w:type="pct"/>
            <w:tcBorders>
              <w:bottom w:val="nil"/>
            </w:tcBorders>
            <w:textDirection w:val="btLr"/>
            <w:vAlign w:val="center"/>
          </w:tcPr>
          <w:p w:rsidR="00EB357C" w:rsidRPr="00587CFB" w:rsidRDefault="00EB357C" w:rsidP="003245A5">
            <w:pPr>
              <w:ind w:left="113" w:right="113"/>
              <w:jc w:val="center"/>
              <w:rPr>
                <w:rFonts w:cs="Arial"/>
                <w:bCs/>
                <w:color w:val="FFFFFF"/>
                <w:sz w:val="14"/>
                <w:szCs w:val="20"/>
                <w:highlight w:val="cyan"/>
              </w:rPr>
            </w:pPr>
            <w:r>
              <w:rPr>
                <w:rFonts w:cs="Arial"/>
                <w:bCs/>
                <w:color w:val="FFFFFF"/>
                <w:sz w:val="14"/>
                <w:szCs w:val="20"/>
              </w:rPr>
              <w:t>Quantity</w:t>
            </w:r>
          </w:p>
        </w:tc>
        <w:tc>
          <w:tcPr>
            <w:tcW w:w="328" w:type="pct"/>
            <w:tcBorders>
              <w:bottom w:val="nil"/>
            </w:tcBorders>
            <w:textDirection w:val="btLr"/>
            <w:vAlign w:val="center"/>
          </w:tcPr>
          <w:p w:rsidR="00EB357C" w:rsidRPr="00587CFB" w:rsidRDefault="00EB357C" w:rsidP="003245A5">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91" w:type="pct"/>
            <w:tcBorders>
              <w:bottom w:val="nil"/>
            </w:tcBorders>
            <w:textDirection w:val="btLr"/>
            <w:vAlign w:val="center"/>
          </w:tcPr>
          <w:p w:rsidR="00EB357C" w:rsidRPr="00587CFB" w:rsidRDefault="00EB357C" w:rsidP="003245A5">
            <w:pPr>
              <w:ind w:left="113" w:right="113"/>
              <w:jc w:val="center"/>
              <w:rPr>
                <w:rFonts w:cs="Arial"/>
                <w:bCs/>
                <w:color w:val="FFFFFF"/>
                <w:sz w:val="14"/>
                <w:szCs w:val="20"/>
                <w:highlight w:val="cyan"/>
              </w:rPr>
            </w:pPr>
            <w:r>
              <w:rPr>
                <w:rFonts w:cs="Arial"/>
                <w:bCs/>
                <w:color w:val="FFFFFF"/>
                <w:sz w:val="14"/>
                <w:szCs w:val="20"/>
              </w:rPr>
              <w:t>Quantity</w:t>
            </w:r>
          </w:p>
        </w:tc>
        <w:tc>
          <w:tcPr>
            <w:tcW w:w="340" w:type="pct"/>
            <w:tcBorders>
              <w:bottom w:val="nil"/>
            </w:tcBorders>
            <w:textDirection w:val="btLr"/>
            <w:vAlign w:val="center"/>
          </w:tcPr>
          <w:p w:rsidR="00EB357C" w:rsidRPr="00587CFB" w:rsidRDefault="00EB357C" w:rsidP="003245A5">
            <w:pPr>
              <w:ind w:left="113" w:right="113"/>
              <w:jc w:val="center"/>
              <w:rPr>
                <w:rFonts w:cs="Arial"/>
                <w:bCs/>
                <w:color w:val="FFFFFF"/>
                <w:sz w:val="14"/>
                <w:szCs w:val="20"/>
                <w:highlight w:val="cyan"/>
              </w:rPr>
            </w:pPr>
            <w:r w:rsidRPr="00587CFB">
              <w:rPr>
                <w:rFonts w:cs="Arial"/>
                <w:bCs/>
                <w:color w:val="FFFFFF"/>
                <w:sz w:val="14"/>
                <w:szCs w:val="20"/>
              </w:rPr>
              <w:t>VWA price</w:t>
            </w:r>
          </w:p>
        </w:tc>
        <w:tc>
          <w:tcPr>
            <w:tcW w:w="392" w:type="pct"/>
            <w:tcBorders>
              <w:bottom w:val="nil"/>
            </w:tcBorders>
            <w:textDirection w:val="btLr"/>
            <w:vAlign w:val="center"/>
          </w:tcPr>
          <w:p w:rsidR="00EB357C" w:rsidRPr="00587CFB" w:rsidRDefault="00EB357C" w:rsidP="003245A5">
            <w:pPr>
              <w:ind w:left="113" w:right="113"/>
              <w:jc w:val="center"/>
              <w:rPr>
                <w:rFonts w:cs="Arial"/>
                <w:bCs/>
                <w:color w:val="FFFFFF"/>
                <w:sz w:val="14"/>
                <w:szCs w:val="20"/>
                <w:highlight w:val="cyan"/>
              </w:rPr>
            </w:pPr>
            <w:r>
              <w:rPr>
                <w:rFonts w:cs="Arial"/>
                <w:bCs/>
                <w:color w:val="FFFFFF"/>
                <w:sz w:val="14"/>
                <w:szCs w:val="20"/>
              </w:rPr>
              <w:t>Quantity</w:t>
            </w:r>
          </w:p>
        </w:tc>
      </w:tr>
      <w:tr w:rsidR="00230EDD" w:rsidRPr="000B4AD5" w:rsidTr="003245A5">
        <w:trPr>
          <w:trHeight w:val="510"/>
        </w:trPr>
        <w:tc>
          <w:tcPr>
            <w:tcW w:w="765" w:type="pct"/>
            <w:tcBorders>
              <w:top w:val="nil"/>
              <w:bottom w:val="nil"/>
            </w:tcBorders>
            <w:vAlign w:val="center"/>
          </w:tcPr>
          <w:p w:rsidR="00230EDD" w:rsidRPr="000B4AD5" w:rsidRDefault="00230EDD" w:rsidP="003245A5">
            <w:pPr>
              <w:rPr>
                <w:rFonts w:cs="Arial"/>
                <w:b/>
                <w:bCs/>
                <w:sz w:val="16"/>
                <w:szCs w:val="20"/>
              </w:rPr>
            </w:pPr>
            <w:r w:rsidRPr="000B4AD5">
              <w:rPr>
                <w:rFonts w:cs="Arial"/>
                <w:b/>
                <w:bCs/>
                <w:sz w:val="16"/>
                <w:szCs w:val="20"/>
              </w:rPr>
              <w:t>Balance of day</w:t>
            </w:r>
          </w:p>
        </w:tc>
        <w:tc>
          <w:tcPr>
            <w:tcW w:w="389" w:type="pct"/>
            <w:tcBorders>
              <w:top w:val="nil"/>
              <w:bottom w:val="nil"/>
            </w:tcBorders>
            <w:vAlign w:val="center"/>
          </w:tcPr>
          <w:p w:rsidR="00230EDD" w:rsidRDefault="00230EDD">
            <w:pPr>
              <w:jc w:val="center"/>
              <w:rPr>
                <w:rFonts w:cs="Arial"/>
                <w:sz w:val="20"/>
                <w:szCs w:val="20"/>
              </w:rPr>
            </w:pPr>
            <w:r>
              <w:rPr>
                <w:rFonts w:cs="Arial"/>
                <w:sz w:val="20"/>
                <w:szCs w:val="20"/>
              </w:rPr>
              <w:t>-</w:t>
            </w:r>
          </w:p>
        </w:tc>
        <w:tc>
          <w:tcPr>
            <w:tcW w:w="346" w:type="pct"/>
            <w:tcBorders>
              <w:top w:val="nil"/>
              <w:bottom w:val="nil"/>
            </w:tcBorders>
            <w:vAlign w:val="center"/>
          </w:tcPr>
          <w:p w:rsidR="00230EDD" w:rsidRDefault="00230EDD">
            <w:pPr>
              <w:jc w:val="center"/>
              <w:rPr>
                <w:rFonts w:cs="Arial"/>
                <w:sz w:val="20"/>
                <w:szCs w:val="20"/>
              </w:rPr>
            </w:pPr>
            <w:r>
              <w:rPr>
                <w:rFonts w:cs="Arial"/>
                <w:sz w:val="20"/>
                <w:szCs w:val="20"/>
              </w:rPr>
              <w:t>-</w:t>
            </w:r>
          </w:p>
        </w:tc>
        <w:tc>
          <w:tcPr>
            <w:tcW w:w="355" w:type="pct"/>
            <w:tcBorders>
              <w:top w:val="nil"/>
              <w:bottom w:val="nil"/>
            </w:tcBorders>
            <w:vAlign w:val="center"/>
          </w:tcPr>
          <w:p w:rsidR="00230EDD" w:rsidRDefault="00230EDD">
            <w:pPr>
              <w:jc w:val="center"/>
              <w:rPr>
                <w:rFonts w:cs="Arial"/>
                <w:sz w:val="20"/>
                <w:szCs w:val="20"/>
              </w:rPr>
            </w:pPr>
            <w:r>
              <w:rPr>
                <w:rFonts w:cs="Arial"/>
                <w:sz w:val="20"/>
                <w:szCs w:val="20"/>
              </w:rPr>
              <w:t>-</w:t>
            </w:r>
          </w:p>
        </w:tc>
        <w:tc>
          <w:tcPr>
            <w:tcW w:w="341" w:type="pct"/>
            <w:tcBorders>
              <w:top w:val="nil"/>
              <w:bottom w:val="nil"/>
            </w:tcBorders>
            <w:vAlign w:val="center"/>
          </w:tcPr>
          <w:p w:rsidR="00230EDD" w:rsidRDefault="00230EDD">
            <w:pPr>
              <w:jc w:val="center"/>
              <w:rPr>
                <w:rFonts w:cs="Arial"/>
                <w:sz w:val="20"/>
                <w:szCs w:val="20"/>
              </w:rPr>
            </w:pPr>
            <w:r>
              <w:rPr>
                <w:rFonts w:cs="Arial"/>
                <w:sz w:val="20"/>
                <w:szCs w:val="20"/>
              </w:rPr>
              <w:t>-</w:t>
            </w:r>
          </w:p>
        </w:tc>
        <w:tc>
          <w:tcPr>
            <w:tcW w:w="355" w:type="pct"/>
            <w:tcBorders>
              <w:top w:val="nil"/>
              <w:bottom w:val="nil"/>
            </w:tcBorders>
            <w:vAlign w:val="center"/>
          </w:tcPr>
          <w:p w:rsidR="00230EDD" w:rsidRDefault="00230EDD">
            <w:pPr>
              <w:jc w:val="center"/>
              <w:rPr>
                <w:rFonts w:cs="Arial"/>
                <w:sz w:val="20"/>
                <w:szCs w:val="20"/>
              </w:rPr>
            </w:pPr>
            <w:r>
              <w:rPr>
                <w:rFonts w:cs="Arial"/>
                <w:sz w:val="20"/>
                <w:szCs w:val="20"/>
              </w:rPr>
              <w:t>-</w:t>
            </w:r>
          </w:p>
        </w:tc>
        <w:tc>
          <w:tcPr>
            <w:tcW w:w="343" w:type="pct"/>
            <w:tcBorders>
              <w:top w:val="nil"/>
              <w:bottom w:val="nil"/>
            </w:tcBorders>
            <w:vAlign w:val="center"/>
          </w:tcPr>
          <w:p w:rsidR="00230EDD" w:rsidRDefault="00230EDD">
            <w:pPr>
              <w:jc w:val="center"/>
              <w:rPr>
                <w:rFonts w:cs="Arial"/>
                <w:sz w:val="20"/>
                <w:szCs w:val="20"/>
              </w:rPr>
            </w:pPr>
            <w:r>
              <w:rPr>
                <w:rFonts w:cs="Arial"/>
                <w:sz w:val="20"/>
                <w:szCs w:val="20"/>
              </w:rPr>
              <w:t>-</w:t>
            </w:r>
          </w:p>
        </w:tc>
        <w:tc>
          <w:tcPr>
            <w:tcW w:w="314" w:type="pct"/>
            <w:tcBorders>
              <w:top w:val="nil"/>
              <w:bottom w:val="nil"/>
            </w:tcBorders>
            <w:vAlign w:val="center"/>
          </w:tcPr>
          <w:p w:rsidR="00230EDD" w:rsidRDefault="00230EDD">
            <w:pPr>
              <w:jc w:val="center"/>
              <w:rPr>
                <w:rFonts w:cs="Arial"/>
                <w:sz w:val="20"/>
                <w:szCs w:val="20"/>
              </w:rPr>
            </w:pPr>
            <w:r>
              <w:rPr>
                <w:rFonts w:cs="Arial"/>
                <w:sz w:val="20"/>
                <w:szCs w:val="20"/>
              </w:rPr>
              <w:t>-</w:t>
            </w:r>
          </w:p>
        </w:tc>
        <w:tc>
          <w:tcPr>
            <w:tcW w:w="341" w:type="pct"/>
            <w:tcBorders>
              <w:top w:val="nil"/>
              <w:bottom w:val="nil"/>
            </w:tcBorders>
            <w:vAlign w:val="center"/>
          </w:tcPr>
          <w:p w:rsidR="00230EDD" w:rsidRDefault="00230EDD">
            <w:pPr>
              <w:jc w:val="center"/>
              <w:rPr>
                <w:rFonts w:cs="Arial"/>
                <w:sz w:val="20"/>
                <w:szCs w:val="20"/>
              </w:rPr>
            </w:pPr>
            <w:r>
              <w:rPr>
                <w:rFonts w:cs="Arial"/>
                <w:sz w:val="20"/>
                <w:szCs w:val="20"/>
              </w:rPr>
              <w:t>-</w:t>
            </w:r>
          </w:p>
        </w:tc>
        <w:tc>
          <w:tcPr>
            <w:tcW w:w="328" w:type="pct"/>
            <w:tcBorders>
              <w:top w:val="nil"/>
              <w:bottom w:val="nil"/>
            </w:tcBorders>
            <w:vAlign w:val="center"/>
          </w:tcPr>
          <w:p w:rsidR="00230EDD" w:rsidRDefault="00230EDD">
            <w:pPr>
              <w:jc w:val="center"/>
              <w:rPr>
                <w:rFonts w:cs="Arial"/>
                <w:sz w:val="20"/>
                <w:szCs w:val="20"/>
              </w:rPr>
            </w:pPr>
            <w:r>
              <w:rPr>
                <w:rFonts w:cs="Arial"/>
                <w:sz w:val="20"/>
                <w:szCs w:val="20"/>
              </w:rPr>
              <w:t>-</w:t>
            </w:r>
          </w:p>
        </w:tc>
        <w:tc>
          <w:tcPr>
            <w:tcW w:w="391" w:type="pct"/>
            <w:tcBorders>
              <w:top w:val="nil"/>
              <w:bottom w:val="nil"/>
            </w:tcBorders>
            <w:vAlign w:val="center"/>
          </w:tcPr>
          <w:p w:rsidR="00230EDD" w:rsidRDefault="00230EDD">
            <w:pPr>
              <w:jc w:val="center"/>
              <w:rPr>
                <w:rFonts w:cs="Arial"/>
                <w:sz w:val="20"/>
                <w:szCs w:val="20"/>
              </w:rPr>
            </w:pPr>
            <w:r>
              <w:rPr>
                <w:rFonts w:cs="Arial"/>
                <w:sz w:val="20"/>
                <w:szCs w:val="20"/>
              </w:rPr>
              <w:t>-</w:t>
            </w:r>
          </w:p>
        </w:tc>
        <w:tc>
          <w:tcPr>
            <w:tcW w:w="340" w:type="pct"/>
            <w:tcBorders>
              <w:top w:val="nil"/>
              <w:bottom w:val="nil"/>
            </w:tcBorders>
            <w:vAlign w:val="center"/>
          </w:tcPr>
          <w:p w:rsidR="00230EDD" w:rsidRDefault="00230EDD">
            <w:pPr>
              <w:jc w:val="center"/>
              <w:rPr>
                <w:rFonts w:cs="Arial"/>
                <w:sz w:val="20"/>
                <w:szCs w:val="20"/>
              </w:rPr>
            </w:pPr>
            <w:r>
              <w:rPr>
                <w:rFonts w:cs="Arial"/>
                <w:sz w:val="20"/>
                <w:szCs w:val="20"/>
              </w:rPr>
              <w:t>-</w:t>
            </w:r>
          </w:p>
        </w:tc>
        <w:tc>
          <w:tcPr>
            <w:tcW w:w="392" w:type="pct"/>
            <w:tcBorders>
              <w:top w:val="nil"/>
              <w:bottom w:val="nil"/>
            </w:tcBorders>
            <w:vAlign w:val="center"/>
          </w:tcPr>
          <w:p w:rsidR="00230EDD" w:rsidRDefault="00230EDD">
            <w:pPr>
              <w:jc w:val="center"/>
              <w:rPr>
                <w:rFonts w:cs="Arial"/>
                <w:sz w:val="20"/>
                <w:szCs w:val="20"/>
              </w:rPr>
            </w:pPr>
            <w:r>
              <w:rPr>
                <w:rFonts w:cs="Arial"/>
                <w:sz w:val="20"/>
                <w:szCs w:val="20"/>
              </w:rPr>
              <w:t>-</w:t>
            </w:r>
          </w:p>
        </w:tc>
      </w:tr>
      <w:tr w:rsidR="00230EDD" w:rsidRPr="000B4AD5" w:rsidTr="003245A5">
        <w:trPr>
          <w:cnfStyle w:val="000000010000" w:firstRow="0" w:lastRow="0" w:firstColumn="0" w:lastColumn="0" w:oddVBand="0" w:evenVBand="0" w:oddHBand="0" w:evenHBand="1" w:firstRowFirstColumn="0" w:firstRowLastColumn="0" w:lastRowFirstColumn="0" w:lastRowLastColumn="0"/>
          <w:trHeight w:val="510"/>
        </w:trPr>
        <w:tc>
          <w:tcPr>
            <w:tcW w:w="765" w:type="pct"/>
            <w:tcBorders>
              <w:top w:val="nil"/>
              <w:bottom w:val="nil"/>
            </w:tcBorders>
            <w:vAlign w:val="center"/>
          </w:tcPr>
          <w:p w:rsidR="00230EDD" w:rsidRPr="000B4AD5" w:rsidRDefault="00230EDD" w:rsidP="003245A5">
            <w:pPr>
              <w:rPr>
                <w:rFonts w:cs="Arial"/>
                <w:b/>
                <w:bCs/>
                <w:sz w:val="16"/>
                <w:szCs w:val="20"/>
              </w:rPr>
            </w:pPr>
            <w:r w:rsidRPr="000B4AD5">
              <w:rPr>
                <w:rFonts w:cs="Arial"/>
                <w:b/>
                <w:bCs/>
                <w:sz w:val="16"/>
                <w:szCs w:val="20"/>
              </w:rPr>
              <w:t>Daily</w:t>
            </w:r>
          </w:p>
        </w:tc>
        <w:tc>
          <w:tcPr>
            <w:tcW w:w="389" w:type="pct"/>
            <w:tcBorders>
              <w:top w:val="nil"/>
              <w:bottom w:val="nil"/>
            </w:tcBorders>
            <w:vAlign w:val="center"/>
          </w:tcPr>
          <w:p w:rsidR="00230EDD" w:rsidRDefault="00230EDD">
            <w:pPr>
              <w:jc w:val="center"/>
              <w:rPr>
                <w:rFonts w:cs="Arial"/>
                <w:szCs w:val="20"/>
              </w:rPr>
            </w:pPr>
            <w:r>
              <w:rPr>
                <w:rFonts w:cs="Arial"/>
                <w:szCs w:val="20"/>
              </w:rPr>
              <w:t>6.47</w:t>
            </w:r>
          </w:p>
        </w:tc>
        <w:tc>
          <w:tcPr>
            <w:tcW w:w="346" w:type="pct"/>
            <w:tcBorders>
              <w:top w:val="nil"/>
              <w:bottom w:val="nil"/>
            </w:tcBorders>
            <w:vAlign w:val="center"/>
          </w:tcPr>
          <w:p w:rsidR="00230EDD" w:rsidRDefault="00230EDD">
            <w:pPr>
              <w:jc w:val="center"/>
              <w:rPr>
                <w:rFonts w:cs="Arial"/>
                <w:szCs w:val="20"/>
              </w:rPr>
            </w:pPr>
            <w:r>
              <w:rPr>
                <w:rFonts w:cs="Arial"/>
                <w:szCs w:val="20"/>
              </w:rPr>
              <w:t>15.0</w:t>
            </w:r>
          </w:p>
        </w:tc>
        <w:tc>
          <w:tcPr>
            <w:tcW w:w="355" w:type="pct"/>
            <w:tcBorders>
              <w:top w:val="nil"/>
              <w:bottom w:val="nil"/>
            </w:tcBorders>
            <w:vAlign w:val="center"/>
          </w:tcPr>
          <w:p w:rsidR="00230EDD" w:rsidRDefault="00230EDD">
            <w:pPr>
              <w:jc w:val="center"/>
              <w:rPr>
                <w:rFonts w:cs="Arial"/>
                <w:szCs w:val="20"/>
              </w:rPr>
            </w:pPr>
            <w:r>
              <w:rPr>
                <w:rFonts w:cs="Arial"/>
                <w:szCs w:val="20"/>
              </w:rPr>
              <w:t>-</w:t>
            </w:r>
          </w:p>
        </w:tc>
        <w:tc>
          <w:tcPr>
            <w:tcW w:w="341" w:type="pct"/>
            <w:tcBorders>
              <w:top w:val="nil"/>
              <w:bottom w:val="nil"/>
            </w:tcBorders>
            <w:vAlign w:val="center"/>
          </w:tcPr>
          <w:p w:rsidR="00230EDD" w:rsidRDefault="00230EDD">
            <w:pPr>
              <w:jc w:val="center"/>
              <w:rPr>
                <w:rFonts w:cs="Arial"/>
                <w:szCs w:val="20"/>
              </w:rPr>
            </w:pPr>
            <w:r>
              <w:rPr>
                <w:rFonts w:cs="Arial"/>
                <w:szCs w:val="20"/>
              </w:rPr>
              <w:t>-</w:t>
            </w:r>
          </w:p>
        </w:tc>
        <w:tc>
          <w:tcPr>
            <w:tcW w:w="355" w:type="pct"/>
            <w:tcBorders>
              <w:top w:val="nil"/>
              <w:bottom w:val="nil"/>
            </w:tcBorders>
            <w:vAlign w:val="center"/>
          </w:tcPr>
          <w:p w:rsidR="00230EDD" w:rsidRDefault="00230EDD">
            <w:pPr>
              <w:jc w:val="center"/>
              <w:rPr>
                <w:rFonts w:cs="Arial"/>
                <w:szCs w:val="20"/>
              </w:rPr>
            </w:pPr>
            <w:r>
              <w:rPr>
                <w:rFonts w:cs="Arial"/>
                <w:szCs w:val="20"/>
              </w:rPr>
              <w:t>-</w:t>
            </w:r>
          </w:p>
        </w:tc>
        <w:tc>
          <w:tcPr>
            <w:tcW w:w="343" w:type="pct"/>
            <w:tcBorders>
              <w:top w:val="nil"/>
              <w:bottom w:val="nil"/>
            </w:tcBorders>
            <w:vAlign w:val="center"/>
          </w:tcPr>
          <w:p w:rsidR="00230EDD" w:rsidRDefault="00230EDD">
            <w:pPr>
              <w:jc w:val="center"/>
              <w:rPr>
                <w:rFonts w:cs="Arial"/>
                <w:szCs w:val="20"/>
              </w:rPr>
            </w:pPr>
            <w:r>
              <w:rPr>
                <w:rFonts w:cs="Arial"/>
                <w:szCs w:val="20"/>
              </w:rPr>
              <w:t>-</w:t>
            </w:r>
          </w:p>
        </w:tc>
        <w:tc>
          <w:tcPr>
            <w:tcW w:w="314" w:type="pct"/>
            <w:tcBorders>
              <w:top w:val="nil"/>
              <w:bottom w:val="nil"/>
            </w:tcBorders>
            <w:vAlign w:val="center"/>
          </w:tcPr>
          <w:p w:rsidR="00230EDD" w:rsidRDefault="00230EDD">
            <w:pPr>
              <w:jc w:val="center"/>
              <w:rPr>
                <w:rFonts w:cs="Arial"/>
                <w:szCs w:val="20"/>
              </w:rPr>
            </w:pPr>
            <w:r>
              <w:rPr>
                <w:rFonts w:cs="Arial"/>
                <w:szCs w:val="20"/>
              </w:rPr>
              <w:t>-</w:t>
            </w:r>
          </w:p>
        </w:tc>
        <w:tc>
          <w:tcPr>
            <w:tcW w:w="341" w:type="pct"/>
            <w:tcBorders>
              <w:top w:val="nil"/>
              <w:bottom w:val="nil"/>
            </w:tcBorders>
            <w:vAlign w:val="center"/>
          </w:tcPr>
          <w:p w:rsidR="00230EDD" w:rsidRDefault="00230EDD">
            <w:pPr>
              <w:jc w:val="center"/>
              <w:rPr>
                <w:rFonts w:cs="Arial"/>
                <w:szCs w:val="20"/>
              </w:rPr>
            </w:pPr>
            <w:r>
              <w:rPr>
                <w:rFonts w:cs="Arial"/>
                <w:szCs w:val="20"/>
              </w:rPr>
              <w:t>-</w:t>
            </w:r>
          </w:p>
        </w:tc>
        <w:tc>
          <w:tcPr>
            <w:tcW w:w="328" w:type="pct"/>
            <w:tcBorders>
              <w:top w:val="nil"/>
              <w:bottom w:val="nil"/>
            </w:tcBorders>
            <w:vAlign w:val="center"/>
          </w:tcPr>
          <w:p w:rsidR="00230EDD" w:rsidRDefault="00230EDD">
            <w:pPr>
              <w:jc w:val="center"/>
              <w:rPr>
                <w:rFonts w:cs="Arial"/>
                <w:szCs w:val="20"/>
              </w:rPr>
            </w:pPr>
            <w:r>
              <w:rPr>
                <w:rFonts w:cs="Arial"/>
                <w:szCs w:val="20"/>
              </w:rPr>
              <w:t>-</w:t>
            </w:r>
          </w:p>
        </w:tc>
        <w:tc>
          <w:tcPr>
            <w:tcW w:w="391" w:type="pct"/>
            <w:tcBorders>
              <w:top w:val="nil"/>
              <w:bottom w:val="nil"/>
            </w:tcBorders>
            <w:vAlign w:val="center"/>
          </w:tcPr>
          <w:p w:rsidR="00230EDD" w:rsidRDefault="00230EDD">
            <w:pPr>
              <w:jc w:val="center"/>
              <w:rPr>
                <w:rFonts w:cs="Arial"/>
                <w:szCs w:val="20"/>
              </w:rPr>
            </w:pPr>
            <w:r>
              <w:rPr>
                <w:rFonts w:cs="Arial"/>
                <w:szCs w:val="20"/>
              </w:rPr>
              <w:t>-</w:t>
            </w:r>
          </w:p>
        </w:tc>
        <w:tc>
          <w:tcPr>
            <w:tcW w:w="340" w:type="pct"/>
            <w:tcBorders>
              <w:top w:val="nil"/>
              <w:bottom w:val="nil"/>
            </w:tcBorders>
            <w:vAlign w:val="center"/>
          </w:tcPr>
          <w:p w:rsidR="00230EDD" w:rsidRDefault="00230EDD">
            <w:pPr>
              <w:jc w:val="center"/>
              <w:rPr>
                <w:rFonts w:cs="Arial"/>
                <w:szCs w:val="20"/>
              </w:rPr>
            </w:pPr>
            <w:r>
              <w:rPr>
                <w:rFonts w:cs="Arial"/>
                <w:szCs w:val="20"/>
              </w:rPr>
              <w:t>6.00</w:t>
            </w:r>
          </w:p>
        </w:tc>
        <w:tc>
          <w:tcPr>
            <w:tcW w:w="392" w:type="pct"/>
            <w:tcBorders>
              <w:top w:val="nil"/>
              <w:bottom w:val="nil"/>
            </w:tcBorders>
            <w:vAlign w:val="center"/>
          </w:tcPr>
          <w:p w:rsidR="00230EDD" w:rsidRDefault="00230EDD">
            <w:pPr>
              <w:jc w:val="center"/>
              <w:rPr>
                <w:rFonts w:cs="Arial"/>
                <w:szCs w:val="20"/>
              </w:rPr>
            </w:pPr>
            <w:r>
              <w:rPr>
                <w:rFonts w:cs="Arial"/>
                <w:szCs w:val="20"/>
              </w:rPr>
              <w:t>6.0</w:t>
            </w:r>
          </w:p>
        </w:tc>
      </w:tr>
      <w:tr w:rsidR="00230EDD" w:rsidRPr="000B4AD5" w:rsidTr="003245A5">
        <w:trPr>
          <w:trHeight w:val="510"/>
        </w:trPr>
        <w:tc>
          <w:tcPr>
            <w:tcW w:w="765" w:type="pct"/>
            <w:tcBorders>
              <w:top w:val="nil"/>
              <w:bottom w:val="nil"/>
            </w:tcBorders>
            <w:vAlign w:val="center"/>
          </w:tcPr>
          <w:p w:rsidR="00230EDD" w:rsidRPr="000B4AD5" w:rsidRDefault="00230EDD" w:rsidP="003245A5">
            <w:pPr>
              <w:rPr>
                <w:rFonts w:cs="Arial"/>
                <w:b/>
                <w:bCs/>
                <w:sz w:val="16"/>
                <w:szCs w:val="20"/>
              </w:rPr>
            </w:pPr>
            <w:r w:rsidRPr="000B4AD5">
              <w:rPr>
                <w:rFonts w:cs="Arial"/>
                <w:b/>
                <w:bCs/>
                <w:sz w:val="16"/>
                <w:szCs w:val="20"/>
              </w:rPr>
              <w:t>Day ahead</w:t>
            </w:r>
          </w:p>
        </w:tc>
        <w:tc>
          <w:tcPr>
            <w:tcW w:w="389" w:type="pct"/>
            <w:tcBorders>
              <w:top w:val="nil"/>
              <w:bottom w:val="nil"/>
            </w:tcBorders>
            <w:vAlign w:val="center"/>
          </w:tcPr>
          <w:p w:rsidR="00230EDD" w:rsidRDefault="00230EDD">
            <w:pPr>
              <w:jc w:val="center"/>
              <w:rPr>
                <w:rFonts w:cs="Arial"/>
                <w:sz w:val="20"/>
                <w:szCs w:val="20"/>
              </w:rPr>
            </w:pPr>
            <w:r>
              <w:rPr>
                <w:rFonts w:cs="Arial"/>
                <w:sz w:val="20"/>
                <w:szCs w:val="20"/>
              </w:rPr>
              <w:t>6.14</w:t>
            </w:r>
          </w:p>
        </w:tc>
        <w:tc>
          <w:tcPr>
            <w:tcW w:w="346" w:type="pct"/>
            <w:tcBorders>
              <w:top w:val="nil"/>
              <w:bottom w:val="nil"/>
            </w:tcBorders>
            <w:vAlign w:val="center"/>
          </w:tcPr>
          <w:p w:rsidR="00230EDD" w:rsidRDefault="00230EDD">
            <w:pPr>
              <w:jc w:val="center"/>
              <w:rPr>
                <w:rFonts w:cs="Arial"/>
                <w:sz w:val="20"/>
                <w:szCs w:val="20"/>
              </w:rPr>
            </w:pPr>
            <w:r>
              <w:rPr>
                <w:rFonts w:cs="Arial"/>
                <w:sz w:val="20"/>
                <w:szCs w:val="20"/>
              </w:rPr>
              <w:t>59.0</w:t>
            </w:r>
          </w:p>
        </w:tc>
        <w:tc>
          <w:tcPr>
            <w:tcW w:w="355" w:type="pct"/>
            <w:tcBorders>
              <w:top w:val="nil"/>
              <w:bottom w:val="nil"/>
            </w:tcBorders>
            <w:vAlign w:val="center"/>
          </w:tcPr>
          <w:p w:rsidR="00230EDD" w:rsidRDefault="00230EDD">
            <w:pPr>
              <w:jc w:val="center"/>
              <w:rPr>
                <w:rFonts w:cs="Arial"/>
                <w:sz w:val="20"/>
                <w:szCs w:val="20"/>
              </w:rPr>
            </w:pPr>
            <w:r>
              <w:rPr>
                <w:rFonts w:cs="Arial"/>
                <w:sz w:val="20"/>
                <w:szCs w:val="20"/>
              </w:rPr>
              <w:t>6.35</w:t>
            </w:r>
          </w:p>
        </w:tc>
        <w:tc>
          <w:tcPr>
            <w:tcW w:w="341" w:type="pct"/>
            <w:tcBorders>
              <w:top w:val="nil"/>
              <w:bottom w:val="nil"/>
            </w:tcBorders>
            <w:vAlign w:val="center"/>
          </w:tcPr>
          <w:p w:rsidR="00230EDD" w:rsidRDefault="00230EDD">
            <w:pPr>
              <w:jc w:val="center"/>
              <w:rPr>
                <w:rFonts w:cs="Arial"/>
                <w:sz w:val="20"/>
                <w:szCs w:val="20"/>
              </w:rPr>
            </w:pPr>
            <w:r>
              <w:rPr>
                <w:rFonts w:cs="Arial"/>
                <w:sz w:val="20"/>
                <w:szCs w:val="20"/>
              </w:rPr>
              <w:t>10.0</w:t>
            </w:r>
          </w:p>
        </w:tc>
        <w:tc>
          <w:tcPr>
            <w:tcW w:w="355" w:type="pct"/>
            <w:tcBorders>
              <w:top w:val="nil"/>
              <w:bottom w:val="nil"/>
            </w:tcBorders>
            <w:vAlign w:val="center"/>
          </w:tcPr>
          <w:p w:rsidR="00230EDD" w:rsidRDefault="00230EDD">
            <w:pPr>
              <w:jc w:val="center"/>
              <w:rPr>
                <w:rFonts w:cs="Arial"/>
                <w:sz w:val="20"/>
                <w:szCs w:val="20"/>
              </w:rPr>
            </w:pPr>
            <w:r>
              <w:rPr>
                <w:rFonts w:cs="Arial"/>
                <w:sz w:val="20"/>
                <w:szCs w:val="20"/>
              </w:rPr>
              <w:t>-</w:t>
            </w:r>
          </w:p>
        </w:tc>
        <w:tc>
          <w:tcPr>
            <w:tcW w:w="343" w:type="pct"/>
            <w:tcBorders>
              <w:top w:val="nil"/>
              <w:bottom w:val="nil"/>
            </w:tcBorders>
            <w:vAlign w:val="center"/>
          </w:tcPr>
          <w:p w:rsidR="00230EDD" w:rsidRDefault="00230EDD">
            <w:pPr>
              <w:jc w:val="center"/>
              <w:rPr>
                <w:rFonts w:cs="Arial"/>
                <w:sz w:val="20"/>
                <w:szCs w:val="20"/>
              </w:rPr>
            </w:pPr>
            <w:r>
              <w:rPr>
                <w:rFonts w:cs="Arial"/>
                <w:sz w:val="20"/>
                <w:szCs w:val="20"/>
              </w:rPr>
              <w:t>-</w:t>
            </w:r>
          </w:p>
        </w:tc>
        <w:tc>
          <w:tcPr>
            <w:tcW w:w="314" w:type="pct"/>
            <w:tcBorders>
              <w:top w:val="nil"/>
              <w:bottom w:val="nil"/>
            </w:tcBorders>
            <w:vAlign w:val="center"/>
          </w:tcPr>
          <w:p w:rsidR="00230EDD" w:rsidRDefault="00230EDD">
            <w:pPr>
              <w:jc w:val="center"/>
              <w:rPr>
                <w:rFonts w:cs="Arial"/>
                <w:sz w:val="20"/>
                <w:szCs w:val="20"/>
              </w:rPr>
            </w:pPr>
            <w:r>
              <w:rPr>
                <w:rFonts w:cs="Arial"/>
                <w:sz w:val="20"/>
                <w:szCs w:val="20"/>
              </w:rPr>
              <w:t>-</w:t>
            </w:r>
          </w:p>
        </w:tc>
        <w:tc>
          <w:tcPr>
            <w:tcW w:w="341" w:type="pct"/>
            <w:tcBorders>
              <w:top w:val="nil"/>
              <w:bottom w:val="nil"/>
            </w:tcBorders>
            <w:vAlign w:val="center"/>
          </w:tcPr>
          <w:p w:rsidR="00230EDD" w:rsidRDefault="00230EDD">
            <w:pPr>
              <w:jc w:val="center"/>
              <w:rPr>
                <w:rFonts w:cs="Arial"/>
                <w:sz w:val="20"/>
                <w:szCs w:val="20"/>
              </w:rPr>
            </w:pPr>
            <w:r>
              <w:rPr>
                <w:rFonts w:cs="Arial"/>
                <w:sz w:val="20"/>
                <w:szCs w:val="20"/>
              </w:rPr>
              <w:t>-</w:t>
            </w:r>
          </w:p>
        </w:tc>
        <w:tc>
          <w:tcPr>
            <w:tcW w:w="328" w:type="pct"/>
            <w:tcBorders>
              <w:top w:val="nil"/>
              <w:bottom w:val="nil"/>
            </w:tcBorders>
            <w:vAlign w:val="center"/>
          </w:tcPr>
          <w:p w:rsidR="00230EDD" w:rsidRDefault="00230EDD">
            <w:pPr>
              <w:jc w:val="center"/>
              <w:rPr>
                <w:rFonts w:cs="Arial"/>
                <w:sz w:val="20"/>
                <w:szCs w:val="20"/>
              </w:rPr>
            </w:pPr>
            <w:r>
              <w:rPr>
                <w:rFonts w:cs="Arial"/>
                <w:sz w:val="20"/>
                <w:szCs w:val="20"/>
              </w:rPr>
              <w:t>-</w:t>
            </w:r>
          </w:p>
        </w:tc>
        <w:tc>
          <w:tcPr>
            <w:tcW w:w="391" w:type="pct"/>
            <w:tcBorders>
              <w:top w:val="nil"/>
              <w:bottom w:val="nil"/>
            </w:tcBorders>
            <w:vAlign w:val="center"/>
          </w:tcPr>
          <w:p w:rsidR="00230EDD" w:rsidRDefault="00230EDD">
            <w:pPr>
              <w:jc w:val="center"/>
              <w:rPr>
                <w:rFonts w:cs="Arial"/>
                <w:sz w:val="20"/>
                <w:szCs w:val="20"/>
              </w:rPr>
            </w:pPr>
            <w:r>
              <w:rPr>
                <w:rFonts w:cs="Arial"/>
                <w:sz w:val="20"/>
                <w:szCs w:val="20"/>
              </w:rPr>
              <w:t>-</w:t>
            </w:r>
          </w:p>
        </w:tc>
        <w:tc>
          <w:tcPr>
            <w:tcW w:w="340" w:type="pct"/>
            <w:tcBorders>
              <w:top w:val="nil"/>
              <w:bottom w:val="nil"/>
            </w:tcBorders>
            <w:vAlign w:val="center"/>
          </w:tcPr>
          <w:p w:rsidR="00230EDD" w:rsidRDefault="00230EDD">
            <w:pPr>
              <w:jc w:val="center"/>
              <w:rPr>
                <w:rFonts w:cs="Arial"/>
                <w:sz w:val="20"/>
                <w:szCs w:val="20"/>
              </w:rPr>
            </w:pPr>
            <w:r>
              <w:rPr>
                <w:rFonts w:cs="Arial"/>
                <w:sz w:val="20"/>
                <w:szCs w:val="20"/>
              </w:rPr>
              <w:t>-</w:t>
            </w:r>
          </w:p>
        </w:tc>
        <w:tc>
          <w:tcPr>
            <w:tcW w:w="392" w:type="pct"/>
            <w:tcBorders>
              <w:top w:val="nil"/>
              <w:bottom w:val="nil"/>
            </w:tcBorders>
            <w:vAlign w:val="center"/>
          </w:tcPr>
          <w:p w:rsidR="00230EDD" w:rsidRDefault="00230EDD">
            <w:pPr>
              <w:jc w:val="center"/>
              <w:rPr>
                <w:rFonts w:cs="Arial"/>
                <w:sz w:val="20"/>
                <w:szCs w:val="20"/>
              </w:rPr>
            </w:pPr>
            <w:r>
              <w:rPr>
                <w:rFonts w:cs="Arial"/>
                <w:sz w:val="20"/>
                <w:szCs w:val="20"/>
              </w:rPr>
              <w:t>-</w:t>
            </w:r>
          </w:p>
        </w:tc>
      </w:tr>
      <w:tr w:rsidR="00230EDD" w:rsidRPr="000B4AD5" w:rsidTr="003245A5">
        <w:trPr>
          <w:cnfStyle w:val="000000010000" w:firstRow="0" w:lastRow="0" w:firstColumn="0" w:lastColumn="0" w:oddVBand="0" w:evenVBand="0" w:oddHBand="0" w:evenHBand="1" w:firstRowFirstColumn="0" w:firstRowLastColumn="0" w:lastRowFirstColumn="0" w:lastRowLastColumn="0"/>
          <w:trHeight w:val="510"/>
        </w:trPr>
        <w:tc>
          <w:tcPr>
            <w:tcW w:w="765" w:type="pct"/>
            <w:tcBorders>
              <w:top w:val="nil"/>
              <w:bottom w:val="nil"/>
            </w:tcBorders>
            <w:vAlign w:val="center"/>
          </w:tcPr>
          <w:p w:rsidR="00230EDD" w:rsidRPr="000B4AD5" w:rsidRDefault="00230EDD" w:rsidP="003245A5">
            <w:pPr>
              <w:rPr>
                <w:rFonts w:cs="Arial"/>
                <w:b/>
                <w:bCs/>
                <w:sz w:val="16"/>
                <w:szCs w:val="20"/>
              </w:rPr>
            </w:pPr>
            <w:r w:rsidRPr="000B4AD5">
              <w:rPr>
                <w:rFonts w:cs="Arial"/>
                <w:b/>
                <w:bCs/>
                <w:sz w:val="16"/>
                <w:szCs w:val="20"/>
              </w:rPr>
              <w:t>Weekly</w:t>
            </w:r>
          </w:p>
        </w:tc>
        <w:tc>
          <w:tcPr>
            <w:tcW w:w="389" w:type="pct"/>
            <w:tcBorders>
              <w:top w:val="nil"/>
              <w:bottom w:val="nil"/>
            </w:tcBorders>
            <w:vAlign w:val="center"/>
          </w:tcPr>
          <w:p w:rsidR="00230EDD" w:rsidRDefault="00230EDD">
            <w:pPr>
              <w:jc w:val="center"/>
              <w:rPr>
                <w:rFonts w:cs="Arial"/>
                <w:szCs w:val="20"/>
              </w:rPr>
            </w:pPr>
            <w:r>
              <w:rPr>
                <w:rFonts w:cs="Arial"/>
                <w:szCs w:val="20"/>
              </w:rPr>
              <w:t>-</w:t>
            </w:r>
          </w:p>
        </w:tc>
        <w:tc>
          <w:tcPr>
            <w:tcW w:w="346" w:type="pct"/>
            <w:tcBorders>
              <w:top w:val="nil"/>
              <w:bottom w:val="nil"/>
            </w:tcBorders>
            <w:vAlign w:val="center"/>
          </w:tcPr>
          <w:p w:rsidR="00230EDD" w:rsidRDefault="00230EDD">
            <w:pPr>
              <w:jc w:val="center"/>
              <w:rPr>
                <w:rFonts w:cs="Arial"/>
                <w:szCs w:val="20"/>
              </w:rPr>
            </w:pPr>
            <w:r>
              <w:rPr>
                <w:rFonts w:cs="Arial"/>
                <w:szCs w:val="20"/>
              </w:rPr>
              <w:t>-</w:t>
            </w:r>
          </w:p>
        </w:tc>
        <w:tc>
          <w:tcPr>
            <w:tcW w:w="355" w:type="pct"/>
            <w:tcBorders>
              <w:top w:val="nil"/>
              <w:bottom w:val="nil"/>
            </w:tcBorders>
            <w:vAlign w:val="center"/>
          </w:tcPr>
          <w:p w:rsidR="00230EDD" w:rsidRDefault="00230EDD">
            <w:pPr>
              <w:jc w:val="center"/>
              <w:rPr>
                <w:rFonts w:cs="Arial"/>
                <w:szCs w:val="20"/>
              </w:rPr>
            </w:pPr>
            <w:r>
              <w:rPr>
                <w:rFonts w:cs="Arial"/>
                <w:szCs w:val="20"/>
              </w:rPr>
              <w:t>-</w:t>
            </w:r>
          </w:p>
        </w:tc>
        <w:tc>
          <w:tcPr>
            <w:tcW w:w="341" w:type="pct"/>
            <w:tcBorders>
              <w:top w:val="nil"/>
              <w:bottom w:val="nil"/>
            </w:tcBorders>
            <w:vAlign w:val="center"/>
          </w:tcPr>
          <w:p w:rsidR="00230EDD" w:rsidRDefault="00230EDD">
            <w:pPr>
              <w:jc w:val="center"/>
              <w:rPr>
                <w:rFonts w:cs="Arial"/>
                <w:szCs w:val="20"/>
              </w:rPr>
            </w:pPr>
            <w:r>
              <w:rPr>
                <w:rFonts w:cs="Arial"/>
                <w:szCs w:val="20"/>
              </w:rPr>
              <w:t>-</w:t>
            </w:r>
          </w:p>
        </w:tc>
        <w:tc>
          <w:tcPr>
            <w:tcW w:w="355" w:type="pct"/>
            <w:tcBorders>
              <w:top w:val="nil"/>
              <w:bottom w:val="nil"/>
            </w:tcBorders>
            <w:vAlign w:val="center"/>
          </w:tcPr>
          <w:p w:rsidR="00230EDD" w:rsidRDefault="00230EDD">
            <w:pPr>
              <w:jc w:val="center"/>
              <w:rPr>
                <w:rFonts w:cs="Arial"/>
                <w:szCs w:val="20"/>
              </w:rPr>
            </w:pPr>
            <w:r>
              <w:rPr>
                <w:rFonts w:cs="Arial"/>
                <w:szCs w:val="20"/>
              </w:rPr>
              <w:t>-</w:t>
            </w:r>
          </w:p>
        </w:tc>
        <w:tc>
          <w:tcPr>
            <w:tcW w:w="343" w:type="pct"/>
            <w:tcBorders>
              <w:top w:val="nil"/>
              <w:bottom w:val="nil"/>
            </w:tcBorders>
            <w:vAlign w:val="center"/>
          </w:tcPr>
          <w:p w:rsidR="00230EDD" w:rsidRDefault="00230EDD">
            <w:pPr>
              <w:jc w:val="center"/>
              <w:rPr>
                <w:rFonts w:cs="Arial"/>
                <w:szCs w:val="20"/>
              </w:rPr>
            </w:pPr>
            <w:r>
              <w:rPr>
                <w:rFonts w:cs="Arial"/>
                <w:szCs w:val="20"/>
              </w:rPr>
              <w:t>-</w:t>
            </w:r>
          </w:p>
        </w:tc>
        <w:tc>
          <w:tcPr>
            <w:tcW w:w="314" w:type="pct"/>
            <w:tcBorders>
              <w:top w:val="nil"/>
              <w:bottom w:val="nil"/>
            </w:tcBorders>
            <w:vAlign w:val="center"/>
          </w:tcPr>
          <w:p w:rsidR="00230EDD" w:rsidRDefault="00230EDD">
            <w:pPr>
              <w:jc w:val="center"/>
              <w:rPr>
                <w:rFonts w:cs="Arial"/>
                <w:szCs w:val="20"/>
              </w:rPr>
            </w:pPr>
            <w:r>
              <w:rPr>
                <w:rFonts w:cs="Arial"/>
                <w:szCs w:val="20"/>
              </w:rPr>
              <w:t>-</w:t>
            </w:r>
          </w:p>
        </w:tc>
        <w:tc>
          <w:tcPr>
            <w:tcW w:w="341" w:type="pct"/>
            <w:tcBorders>
              <w:top w:val="nil"/>
              <w:bottom w:val="nil"/>
            </w:tcBorders>
            <w:vAlign w:val="center"/>
          </w:tcPr>
          <w:p w:rsidR="00230EDD" w:rsidRDefault="00230EDD">
            <w:pPr>
              <w:jc w:val="center"/>
              <w:rPr>
                <w:rFonts w:cs="Arial"/>
                <w:szCs w:val="20"/>
              </w:rPr>
            </w:pPr>
            <w:r>
              <w:rPr>
                <w:rFonts w:cs="Arial"/>
                <w:szCs w:val="20"/>
              </w:rPr>
              <w:t>-</w:t>
            </w:r>
          </w:p>
        </w:tc>
        <w:tc>
          <w:tcPr>
            <w:tcW w:w="328" w:type="pct"/>
            <w:tcBorders>
              <w:top w:val="nil"/>
              <w:bottom w:val="nil"/>
            </w:tcBorders>
            <w:vAlign w:val="center"/>
          </w:tcPr>
          <w:p w:rsidR="00230EDD" w:rsidRDefault="00230EDD">
            <w:pPr>
              <w:jc w:val="center"/>
              <w:rPr>
                <w:rFonts w:cs="Arial"/>
                <w:szCs w:val="20"/>
              </w:rPr>
            </w:pPr>
            <w:r>
              <w:rPr>
                <w:rFonts w:cs="Arial"/>
                <w:szCs w:val="20"/>
              </w:rPr>
              <w:t>-</w:t>
            </w:r>
          </w:p>
        </w:tc>
        <w:tc>
          <w:tcPr>
            <w:tcW w:w="391" w:type="pct"/>
            <w:tcBorders>
              <w:top w:val="nil"/>
              <w:bottom w:val="nil"/>
            </w:tcBorders>
            <w:vAlign w:val="center"/>
          </w:tcPr>
          <w:p w:rsidR="00230EDD" w:rsidRDefault="00230EDD">
            <w:pPr>
              <w:jc w:val="center"/>
              <w:rPr>
                <w:rFonts w:cs="Arial"/>
                <w:szCs w:val="20"/>
              </w:rPr>
            </w:pPr>
            <w:r>
              <w:rPr>
                <w:rFonts w:cs="Arial"/>
                <w:szCs w:val="20"/>
              </w:rPr>
              <w:t>-</w:t>
            </w:r>
          </w:p>
        </w:tc>
        <w:tc>
          <w:tcPr>
            <w:tcW w:w="340" w:type="pct"/>
            <w:tcBorders>
              <w:top w:val="nil"/>
              <w:bottom w:val="nil"/>
            </w:tcBorders>
            <w:vAlign w:val="center"/>
          </w:tcPr>
          <w:p w:rsidR="00230EDD" w:rsidRDefault="00230EDD">
            <w:pPr>
              <w:jc w:val="center"/>
              <w:rPr>
                <w:rFonts w:cs="Arial"/>
                <w:szCs w:val="20"/>
              </w:rPr>
            </w:pPr>
            <w:r>
              <w:rPr>
                <w:rFonts w:cs="Arial"/>
                <w:szCs w:val="20"/>
              </w:rPr>
              <w:t>-</w:t>
            </w:r>
          </w:p>
        </w:tc>
        <w:tc>
          <w:tcPr>
            <w:tcW w:w="392" w:type="pct"/>
            <w:tcBorders>
              <w:top w:val="nil"/>
              <w:bottom w:val="nil"/>
            </w:tcBorders>
            <w:vAlign w:val="center"/>
          </w:tcPr>
          <w:p w:rsidR="00230EDD" w:rsidRDefault="00230EDD">
            <w:pPr>
              <w:jc w:val="center"/>
              <w:rPr>
                <w:rFonts w:cs="Arial"/>
                <w:szCs w:val="20"/>
              </w:rPr>
            </w:pPr>
            <w:r>
              <w:rPr>
                <w:rFonts w:cs="Arial"/>
                <w:szCs w:val="20"/>
              </w:rPr>
              <w:t>-</w:t>
            </w:r>
          </w:p>
        </w:tc>
      </w:tr>
      <w:tr w:rsidR="00230EDD" w:rsidRPr="000B4AD5" w:rsidTr="003245A5">
        <w:trPr>
          <w:trHeight w:val="510"/>
        </w:trPr>
        <w:tc>
          <w:tcPr>
            <w:tcW w:w="765" w:type="pct"/>
            <w:tcBorders>
              <w:top w:val="nil"/>
              <w:bottom w:val="single" w:sz="4" w:space="0" w:color="auto"/>
            </w:tcBorders>
            <w:vAlign w:val="center"/>
          </w:tcPr>
          <w:p w:rsidR="00230EDD" w:rsidRPr="000B4AD5" w:rsidRDefault="00230EDD" w:rsidP="003245A5">
            <w:pPr>
              <w:rPr>
                <w:rFonts w:cs="Arial"/>
                <w:b/>
                <w:bCs/>
                <w:sz w:val="16"/>
                <w:szCs w:val="20"/>
              </w:rPr>
            </w:pPr>
            <w:r w:rsidRPr="000B4AD5">
              <w:rPr>
                <w:rFonts w:cs="Arial"/>
                <w:b/>
                <w:bCs/>
                <w:sz w:val="16"/>
                <w:szCs w:val="20"/>
              </w:rPr>
              <w:t>Monthly</w:t>
            </w:r>
          </w:p>
        </w:tc>
        <w:tc>
          <w:tcPr>
            <w:tcW w:w="389" w:type="pct"/>
            <w:tcBorders>
              <w:top w:val="nil"/>
              <w:bottom w:val="single" w:sz="4" w:space="0" w:color="auto"/>
            </w:tcBorders>
            <w:vAlign w:val="center"/>
          </w:tcPr>
          <w:p w:rsidR="00230EDD" w:rsidRDefault="00230EDD">
            <w:pPr>
              <w:jc w:val="center"/>
              <w:rPr>
                <w:rFonts w:cs="Arial"/>
                <w:sz w:val="20"/>
                <w:szCs w:val="20"/>
              </w:rPr>
            </w:pPr>
            <w:r>
              <w:rPr>
                <w:rFonts w:cs="Arial"/>
                <w:sz w:val="20"/>
                <w:szCs w:val="20"/>
              </w:rPr>
              <w:t>-</w:t>
            </w:r>
          </w:p>
        </w:tc>
        <w:tc>
          <w:tcPr>
            <w:tcW w:w="346" w:type="pct"/>
            <w:tcBorders>
              <w:top w:val="nil"/>
              <w:bottom w:val="single" w:sz="4" w:space="0" w:color="auto"/>
            </w:tcBorders>
            <w:vAlign w:val="center"/>
          </w:tcPr>
          <w:p w:rsidR="00230EDD" w:rsidRDefault="00230EDD">
            <w:pPr>
              <w:jc w:val="center"/>
              <w:rPr>
                <w:rFonts w:cs="Arial"/>
                <w:sz w:val="20"/>
                <w:szCs w:val="20"/>
              </w:rPr>
            </w:pPr>
            <w:r>
              <w:rPr>
                <w:rFonts w:cs="Arial"/>
                <w:sz w:val="20"/>
                <w:szCs w:val="20"/>
              </w:rPr>
              <w:t>-</w:t>
            </w:r>
          </w:p>
        </w:tc>
        <w:tc>
          <w:tcPr>
            <w:tcW w:w="355" w:type="pct"/>
            <w:tcBorders>
              <w:top w:val="nil"/>
              <w:bottom w:val="single" w:sz="4" w:space="0" w:color="auto"/>
            </w:tcBorders>
            <w:vAlign w:val="center"/>
          </w:tcPr>
          <w:p w:rsidR="00230EDD" w:rsidRDefault="00230EDD">
            <w:pPr>
              <w:jc w:val="center"/>
              <w:rPr>
                <w:rFonts w:cs="Arial"/>
                <w:sz w:val="20"/>
                <w:szCs w:val="20"/>
              </w:rPr>
            </w:pPr>
            <w:r>
              <w:rPr>
                <w:rFonts w:cs="Arial"/>
                <w:sz w:val="20"/>
                <w:szCs w:val="20"/>
              </w:rPr>
              <w:t>-</w:t>
            </w:r>
          </w:p>
        </w:tc>
        <w:tc>
          <w:tcPr>
            <w:tcW w:w="341" w:type="pct"/>
            <w:tcBorders>
              <w:top w:val="nil"/>
              <w:bottom w:val="single" w:sz="4" w:space="0" w:color="auto"/>
            </w:tcBorders>
            <w:vAlign w:val="center"/>
          </w:tcPr>
          <w:p w:rsidR="00230EDD" w:rsidRDefault="00230EDD">
            <w:pPr>
              <w:jc w:val="center"/>
              <w:rPr>
                <w:rFonts w:cs="Arial"/>
                <w:sz w:val="20"/>
                <w:szCs w:val="20"/>
              </w:rPr>
            </w:pPr>
            <w:r>
              <w:rPr>
                <w:rFonts w:cs="Arial"/>
                <w:sz w:val="20"/>
                <w:szCs w:val="20"/>
              </w:rPr>
              <w:t>-</w:t>
            </w:r>
          </w:p>
        </w:tc>
        <w:tc>
          <w:tcPr>
            <w:tcW w:w="355" w:type="pct"/>
            <w:tcBorders>
              <w:top w:val="nil"/>
              <w:bottom w:val="single" w:sz="4" w:space="0" w:color="auto"/>
            </w:tcBorders>
            <w:vAlign w:val="center"/>
          </w:tcPr>
          <w:p w:rsidR="00230EDD" w:rsidRDefault="00230EDD">
            <w:pPr>
              <w:jc w:val="center"/>
              <w:rPr>
                <w:rFonts w:cs="Arial"/>
                <w:sz w:val="20"/>
                <w:szCs w:val="20"/>
              </w:rPr>
            </w:pPr>
            <w:r>
              <w:rPr>
                <w:rFonts w:cs="Arial"/>
                <w:sz w:val="20"/>
                <w:szCs w:val="20"/>
              </w:rPr>
              <w:t>-</w:t>
            </w:r>
          </w:p>
        </w:tc>
        <w:tc>
          <w:tcPr>
            <w:tcW w:w="343" w:type="pct"/>
            <w:tcBorders>
              <w:top w:val="nil"/>
              <w:bottom w:val="single" w:sz="4" w:space="0" w:color="auto"/>
            </w:tcBorders>
            <w:vAlign w:val="center"/>
          </w:tcPr>
          <w:p w:rsidR="00230EDD" w:rsidRDefault="00230EDD">
            <w:pPr>
              <w:jc w:val="center"/>
              <w:rPr>
                <w:rFonts w:cs="Arial"/>
                <w:sz w:val="20"/>
                <w:szCs w:val="20"/>
              </w:rPr>
            </w:pPr>
            <w:r>
              <w:rPr>
                <w:rFonts w:cs="Arial"/>
                <w:sz w:val="20"/>
                <w:szCs w:val="20"/>
              </w:rPr>
              <w:t>-</w:t>
            </w:r>
          </w:p>
        </w:tc>
        <w:tc>
          <w:tcPr>
            <w:tcW w:w="314" w:type="pct"/>
            <w:tcBorders>
              <w:top w:val="nil"/>
              <w:bottom w:val="single" w:sz="4" w:space="0" w:color="auto"/>
            </w:tcBorders>
            <w:vAlign w:val="center"/>
          </w:tcPr>
          <w:p w:rsidR="00230EDD" w:rsidRDefault="00230EDD">
            <w:pPr>
              <w:jc w:val="center"/>
              <w:rPr>
                <w:rFonts w:cs="Arial"/>
                <w:sz w:val="20"/>
                <w:szCs w:val="20"/>
              </w:rPr>
            </w:pPr>
            <w:r>
              <w:rPr>
                <w:rFonts w:cs="Arial"/>
                <w:sz w:val="20"/>
                <w:szCs w:val="20"/>
              </w:rPr>
              <w:t>-</w:t>
            </w:r>
          </w:p>
        </w:tc>
        <w:tc>
          <w:tcPr>
            <w:tcW w:w="341" w:type="pct"/>
            <w:tcBorders>
              <w:top w:val="nil"/>
              <w:bottom w:val="single" w:sz="4" w:space="0" w:color="auto"/>
            </w:tcBorders>
            <w:vAlign w:val="center"/>
          </w:tcPr>
          <w:p w:rsidR="00230EDD" w:rsidRDefault="00230EDD">
            <w:pPr>
              <w:jc w:val="center"/>
              <w:rPr>
                <w:rFonts w:cs="Arial"/>
                <w:sz w:val="20"/>
                <w:szCs w:val="20"/>
              </w:rPr>
            </w:pPr>
            <w:r>
              <w:rPr>
                <w:rFonts w:cs="Arial"/>
                <w:sz w:val="20"/>
                <w:szCs w:val="20"/>
              </w:rPr>
              <w:t>-</w:t>
            </w:r>
          </w:p>
        </w:tc>
        <w:tc>
          <w:tcPr>
            <w:tcW w:w="328" w:type="pct"/>
            <w:tcBorders>
              <w:top w:val="nil"/>
              <w:bottom w:val="single" w:sz="4" w:space="0" w:color="auto"/>
            </w:tcBorders>
            <w:vAlign w:val="center"/>
          </w:tcPr>
          <w:p w:rsidR="00230EDD" w:rsidRDefault="00230EDD">
            <w:pPr>
              <w:jc w:val="center"/>
              <w:rPr>
                <w:rFonts w:cs="Arial"/>
                <w:sz w:val="20"/>
                <w:szCs w:val="20"/>
              </w:rPr>
            </w:pPr>
            <w:r>
              <w:rPr>
                <w:rFonts w:cs="Arial"/>
                <w:sz w:val="20"/>
                <w:szCs w:val="20"/>
              </w:rPr>
              <w:t>-</w:t>
            </w:r>
          </w:p>
        </w:tc>
        <w:tc>
          <w:tcPr>
            <w:tcW w:w="391" w:type="pct"/>
            <w:tcBorders>
              <w:top w:val="nil"/>
              <w:bottom w:val="single" w:sz="4" w:space="0" w:color="auto"/>
            </w:tcBorders>
            <w:vAlign w:val="center"/>
          </w:tcPr>
          <w:p w:rsidR="00230EDD" w:rsidRDefault="00230EDD">
            <w:pPr>
              <w:jc w:val="center"/>
              <w:rPr>
                <w:rFonts w:cs="Arial"/>
                <w:sz w:val="20"/>
                <w:szCs w:val="20"/>
              </w:rPr>
            </w:pPr>
            <w:r>
              <w:rPr>
                <w:rFonts w:cs="Arial"/>
                <w:sz w:val="20"/>
                <w:szCs w:val="20"/>
              </w:rPr>
              <w:t>-</w:t>
            </w:r>
          </w:p>
        </w:tc>
        <w:tc>
          <w:tcPr>
            <w:tcW w:w="340" w:type="pct"/>
            <w:tcBorders>
              <w:top w:val="nil"/>
              <w:bottom w:val="single" w:sz="4" w:space="0" w:color="auto"/>
            </w:tcBorders>
            <w:vAlign w:val="center"/>
          </w:tcPr>
          <w:p w:rsidR="00230EDD" w:rsidRDefault="00230EDD">
            <w:pPr>
              <w:jc w:val="center"/>
              <w:rPr>
                <w:rFonts w:cs="Arial"/>
                <w:sz w:val="20"/>
                <w:szCs w:val="20"/>
              </w:rPr>
            </w:pPr>
            <w:r>
              <w:rPr>
                <w:rFonts w:cs="Arial"/>
                <w:sz w:val="20"/>
                <w:szCs w:val="20"/>
              </w:rPr>
              <w:t>-</w:t>
            </w:r>
          </w:p>
        </w:tc>
        <w:tc>
          <w:tcPr>
            <w:tcW w:w="392" w:type="pct"/>
            <w:tcBorders>
              <w:top w:val="nil"/>
              <w:bottom w:val="single" w:sz="4" w:space="0" w:color="auto"/>
            </w:tcBorders>
            <w:vAlign w:val="center"/>
          </w:tcPr>
          <w:p w:rsidR="00230EDD" w:rsidRDefault="00230EDD">
            <w:pPr>
              <w:jc w:val="center"/>
              <w:rPr>
                <w:rFonts w:cs="Arial"/>
                <w:sz w:val="20"/>
                <w:szCs w:val="20"/>
              </w:rPr>
            </w:pPr>
            <w:r>
              <w:rPr>
                <w:rFonts w:cs="Arial"/>
                <w:sz w:val="20"/>
                <w:szCs w:val="20"/>
              </w:rPr>
              <w:t>-</w:t>
            </w:r>
          </w:p>
        </w:tc>
      </w:tr>
    </w:tbl>
    <w:p w:rsidR="001934E9" w:rsidRDefault="001934E9" w:rsidP="00A226E9">
      <w:pPr>
        <w:keepNext/>
      </w:pPr>
      <w:r w:rsidRPr="00552F68">
        <w:t xml:space="preserve">Figure </w:t>
      </w:r>
      <w:r w:rsidR="00587CFB" w:rsidRPr="00552F68">
        <w:t>5</w:t>
      </w:r>
      <w:r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t xml:space="preserve">Figure </w:t>
      </w:r>
      <w:r w:rsidR="00EE40B5">
        <w:fldChar w:fldCharType="begin"/>
      </w:r>
      <w:r w:rsidR="00EE40B5">
        <w:instrText xml:space="preserve"> SEQ Figure \* ARABIC </w:instrText>
      </w:r>
      <w:r w:rsidR="00EE40B5">
        <w:fldChar w:fldCharType="separate"/>
      </w:r>
      <w:r w:rsidR="00EE40B5">
        <w:rPr>
          <w:noProof/>
        </w:rPr>
        <w:t>5</w:t>
      </w:r>
      <w:r w:rsidR="00EE40B5">
        <w:rPr>
          <w:noProof/>
        </w:rPr>
        <w:fldChar w:fldCharType="end"/>
      </w:r>
      <w:r w:rsidRPr="001521CB">
        <w:t xml:space="preserve">: </w:t>
      </w:r>
      <w:r w:rsidR="00A226E9">
        <w:rPr>
          <w:color w:val="2272A3"/>
          <w:szCs w:val="24"/>
        </w:rPr>
        <w:t>LNG export pipeline and production flows</w:t>
      </w:r>
      <w:r w:rsidR="00587CFB">
        <w:rPr>
          <w:color w:val="2272A3"/>
          <w:szCs w:val="24"/>
        </w:rPr>
        <w:t xml:space="preserve"> (TJ)</w:t>
      </w:r>
    </w:p>
    <w:p w:rsidR="001934E9" w:rsidRPr="00E16EDC" w:rsidRDefault="00230EDD" w:rsidP="00E16EDC">
      <w:r w:rsidRPr="00230EDD">
        <w:rPr>
          <w:noProof/>
          <w:lang w:eastAsia="en-AU"/>
        </w:rPr>
        <w:drawing>
          <wp:inline distT="0" distB="0" distL="0" distR="0" wp14:anchorId="560820FD" wp14:editId="10E65AE9">
            <wp:extent cx="5731510" cy="3183320"/>
            <wp:effectExtent l="0" t="0" r="2540" b="0"/>
            <wp:docPr id="5" name="Picture 5" descr="Figure 5 shows the daily quantity of gas flowed on each of the three Queensland LNG export pipelines. Quantities of gas supplied by production facilities in the Roma region owned by these pipelines are also shown, grouped for each participant (APLNG, GLNG/Santos and QCLNG/Q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83320"/>
                    </a:xfrm>
                    <a:prstGeom prst="rect">
                      <a:avLst/>
                    </a:prstGeom>
                    <a:noFill/>
                    <a:ln>
                      <a:noFill/>
                    </a:ln>
                  </pic:spPr>
                </pic:pic>
              </a:graphicData>
            </a:graphic>
          </wp:inline>
        </w:drawing>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t>Detailed market analysis</w:t>
      </w:r>
    </w:p>
    <w:p w:rsidR="001521CB" w:rsidRPr="00B02463" w:rsidRDefault="0076239D" w:rsidP="00B02463">
      <w:pPr>
        <w:jc w:val="both"/>
        <w:rPr>
          <w:i/>
        </w:rPr>
      </w:pPr>
      <w:r w:rsidRPr="00B02463">
        <w:rPr>
          <w:i/>
        </w:rPr>
        <w:t>Southern States</w:t>
      </w:r>
      <w:r w:rsidR="00772DB4" w:rsidRPr="00B02463">
        <w:rPr>
          <w:i/>
        </w:rPr>
        <w:t xml:space="preserve"> (Vic</w:t>
      </w:r>
      <w:r w:rsidR="00B02463">
        <w:rPr>
          <w:i/>
        </w:rPr>
        <w:t>toria</w:t>
      </w:r>
      <w:r w:rsidR="00772DB4" w:rsidRPr="00B02463">
        <w:rPr>
          <w:i/>
        </w:rPr>
        <w:t>/Ad</w:t>
      </w:r>
      <w:r w:rsidR="00B02463">
        <w:rPr>
          <w:i/>
        </w:rPr>
        <w:t>e</w:t>
      </w:r>
      <w:r w:rsidR="00772DB4" w:rsidRPr="00B02463">
        <w:rPr>
          <w:i/>
        </w:rPr>
        <w:t>l</w:t>
      </w:r>
      <w:r w:rsidR="00B02463">
        <w:rPr>
          <w:i/>
        </w:rPr>
        <w:t>aide</w:t>
      </w:r>
      <w:r w:rsidR="00772DB4" w:rsidRPr="00B02463">
        <w:rPr>
          <w:i/>
        </w:rPr>
        <w:t>/Syd</w:t>
      </w:r>
      <w:r w:rsidR="00B02463">
        <w:rPr>
          <w:i/>
        </w:rPr>
        <w:t>ney</w:t>
      </w:r>
      <w:r w:rsidR="00772DB4" w:rsidRPr="00B02463">
        <w:rPr>
          <w:i/>
        </w:rPr>
        <w:t>)</w:t>
      </w:r>
    </w:p>
    <w:p w:rsidR="00D567AB" w:rsidRPr="00B02463" w:rsidRDefault="00807D58" w:rsidP="00B02463">
      <w:pPr>
        <w:jc w:val="both"/>
      </w:pPr>
      <w:r w:rsidRPr="00B02463">
        <w:t xml:space="preserve">Lower winter demand in Southern states led to reductions in prices from last week. </w:t>
      </w:r>
      <w:r w:rsidR="00A5538B" w:rsidRPr="00B02463">
        <w:t xml:space="preserve">The lower demand outcomes over this week were accompanied by </w:t>
      </w:r>
      <w:r w:rsidR="00BE69AE" w:rsidRPr="00B02463">
        <w:t xml:space="preserve">lower </w:t>
      </w:r>
      <w:r w:rsidR="005E3898">
        <w:t xml:space="preserve">magnitude </w:t>
      </w:r>
      <w:r w:rsidR="00A5538B" w:rsidRPr="00B02463">
        <w:t>forecasting error</w:t>
      </w:r>
      <w:r w:rsidR="00FE1CA9">
        <w:t>,</w:t>
      </w:r>
      <w:r w:rsidR="00A5538B" w:rsidRPr="00B02463">
        <w:t xml:space="preserve"> </w:t>
      </w:r>
      <w:r w:rsidR="005E3898">
        <w:t>which was reflected in</w:t>
      </w:r>
      <w:r w:rsidR="00FE1CA9">
        <w:t xml:space="preserve"> </w:t>
      </w:r>
      <w:r w:rsidR="00A5538B" w:rsidRPr="00B02463">
        <w:t xml:space="preserve">lower MOS payments across all states. Some supply was made available </w:t>
      </w:r>
      <w:r w:rsidR="00BE69AE" w:rsidRPr="00B02463">
        <w:t xml:space="preserve">via injections from </w:t>
      </w:r>
      <w:r w:rsidR="00772DB4" w:rsidRPr="00B02463">
        <w:t xml:space="preserve">the </w:t>
      </w:r>
      <w:r w:rsidR="00BE69AE" w:rsidRPr="00B02463">
        <w:t>Iona</w:t>
      </w:r>
      <w:r w:rsidR="00772DB4" w:rsidRPr="00B02463">
        <w:t xml:space="preserve"> storage facility</w:t>
      </w:r>
      <w:r w:rsidR="00380E5A" w:rsidRPr="00B02463">
        <w:t xml:space="preserve"> following withdrawals over the weekend to replenish gas stock</w:t>
      </w:r>
      <w:r w:rsidR="00772DB4" w:rsidRPr="00B02463">
        <w:t>.</w:t>
      </w:r>
      <w:r w:rsidR="00862BC8" w:rsidRPr="00B02463">
        <w:t xml:space="preserve"> </w:t>
      </w:r>
      <w:r w:rsidR="00B02463" w:rsidRPr="00B02463">
        <w:t xml:space="preserve">On </w:t>
      </w:r>
      <w:r w:rsidR="00D567AB" w:rsidRPr="00B02463">
        <w:t>31 July</w:t>
      </w:r>
      <w:r w:rsidR="00B02463" w:rsidRPr="00B02463">
        <w:t>,</w:t>
      </w:r>
      <w:r w:rsidR="00D567AB" w:rsidRPr="00B02463">
        <w:t xml:space="preserve"> over</w:t>
      </w:r>
      <w:r w:rsidR="00B02463" w:rsidRPr="00B02463">
        <w:t xml:space="preserve"> </w:t>
      </w:r>
      <w:r w:rsidR="00D567AB" w:rsidRPr="00B02463">
        <w:t>forecast</w:t>
      </w:r>
      <w:r w:rsidR="00B02463" w:rsidRPr="00B02463">
        <w:t>ing in Victoria</w:t>
      </w:r>
      <w:r w:rsidR="00D567AB" w:rsidRPr="00B02463">
        <w:t xml:space="preserve"> influenced the higher </w:t>
      </w:r>
      <w:r w:rsidR="00D567AB" w:rsidRPr="00B02463">
        <w:lastRenderedPageBreak/>
        <w:t xml:space="preserve">beginning of day price and led to </w:t>
      </w:r>
      <w:r w:rsidR="005B52C9">
        <w:t xml:space="preserve">an </w:t>
      </w:r>
      <w:r w:rsidR="00D567AB" w:rsidRPr="00B02463">
        <w:t xml:space="preserve">imbalance price of $14.32/GJ. </w:t>
      </w:r>
      <w:r w:rsidR="00380E5A" w:rsidRPr="00B02463">
        <w:t xml:space="preserve">Gas prices </w:t>
      </w:r>
      <w:r w:rsidR="00B02463" w:rsidRPr="00B02463">
        <w:t xml:space="preserve">across the remainder of the week </w:t>
      </w:r>
      <w:r w:rsidR="00380E5A" w:rsidRPr="00B02463">
        <w:t>fell below $10/GJ across all regions.</w:t>
      </w:r>
      <w:r w:rsidR="00380E5A" w:rsidRPr="00B02463">
        <w:rPr>
          <w:rStyle w:val="FootnoteReference"/>
        </w:rPr>
        <w:footnoteReference w:id="2"/>
      </w:r>
    </w:p>
    <w:p w:rsidR="0076239D" w:rsidRPr="00B02463" w:rsidRDefault="00772DB4" w:rsidP="00B02463">
      <w:pPr>
        <w:jc w:val="both"/>
        <w:rPr>
          <w:i/>
        </w:rPr>
      </w:pPr>
      <w:r w:rsidRPr="00B02463">
        <w:rPr>
          <w:i/>
        </w:rPr>
        <w:t>Northern state (Brisbane and Wallumbilla hub)</w:t>
      </w:r>
      <w:r w:rsidR="00A5538B" w:rsidRPr="00B02463">
        <w:rPr>
          <w:i/>
        </w:rPr>
        <w:t xml:space="preserve"> </w:t>
      </w:r>
    </w:p>
    <w:p w:rsidR="001521CB" w:rsidRPr="00B02463" w:rsidRDefault="00772DB4" w:rsidP="00B02463">
      <w:pPr>
        <w:jc w:val="both"/>
      </w:pPr>
      <w:r w:rsidRPr="00B02463">
        <w:t xml:space="preserve">Brisbane and the </w:t>
      </w:r>
      <w:r w:rsidR="00B02463" w:rsidRPr="00B02463">
        <w:t xml:space="preserve">Wallumbilla gas supply </w:t>
      </w:r>
      <w:r w:rsidRPr="00B02463">
        <w:t xml:space="preserve">hub continue to experience prices below that of all the Southern States. Increased </w:t>
      </w:r>
      <w:r w:rsidR="003245A5" w:rsidRPr="00B02463">
        <w:t xml:space="preserve">gas </w:t>
      </w:r>
      <w:r w:rsidRPr="00B02463">
        <w:t xml:space="preserve">production </w:t>
      </w:r>
      <w:r w:rsidR="003245A5" w:rsidRPr="00B02463">
        <w:t xml:space="preserve">occurred </w:t>
      </w:r>
      <w:r w:rsidR="005B52C9">
        <w:t xml:space="preserve">around Roma near </w:t>
      </w:r>
      <w:r w:rsidR="003245A5" w:rsidRPr="00B02463">
        <w:t xml:space="preserve">Brisbane as QGC’s LNG train maintenance outage concluded on 1 August. This was evident </w:t>
      </w:r>
      <w:r w:rsidR="00B02463">
        <w:t>in the large increase</w:t>
      </w:r>
      <w:r w:rsidR="003245A5" w:rsidRPr="00B02463">
        <w:t xml:space="preserve"> </w:t>
      </w:r>
      <w:r w:rsidR="00B02463">
        <w:t>to</w:t>
      </w:r>
      <w:r w:rsidR="003245A5" w:rsidRPr="00B02463">
        <w:t xml:space="preserve"> gas flow</w:t>
      </w:r>
      <w:r w:rsidR="00B02463">
        <w:t>s</w:t>
      </w:r>
      <w:r w:rsidR="003245A5" w:rsidRPr="00B02463">
        <w:t xml:space="preserve"> along the Wallumbilla to Gladstone LNG pipeline</w:t>
      </w:r>
      <w:r w:rsidR="00B02463" w:rsidRPr="00B02463">
        <w:t xml:space="preserve">, </w:t>
      </w:r>
      <w:r w:rsidR="00B02463">
        <w:t xml:space="preserve">shown </w:t>
      </w:r>
      <w:r w:rsidR="00B02463" w:rsidRPr="00B02463">
        <w:t>in figure 5.1</w:t>
      </w:r>
      <w:r w:rsidR="005E3898">
        <w:t>.</w:t>
      </w:r>
      <w:r w:rsidR="003245A5" w:rsidRPr="00B02463">
        <w:t xml:space="preserve"> </w:t>
      </w:r>
    </w:p>
    <w:p w:rsidR="001521CB" w:rsidRPr="00B02463" w:rsidRDefault="001521CB" w:rsidP="00B02463">
      <w:pPr>
        <w:spacing w:line="240" w:lineRule="auto"/>
        <w:ind w:left="709" w:hanging="709"/>
        <w:jc w:val="both"/>
        <w:rPr>
          <w:rFonts w:eastAsiaTheme="majorEastAsia" w:cstheme="majorBidi"/>
          <w:b/>
          <w:bCs/>
          <w:sz w:val="28"/>
          <w:szCs w:val="26"/>
        </w:rPr>
      </w:pPr>
      <w:r w:rsidRPr="00B02463">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703A5DAE" wp14:editId="0A28CF87">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3"/>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4"/>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5"/>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230EDD" w:rsidP="003171C6">
      <w:r w:rsidRPr="00230EDD">
        <w:rPr>
          <w:noProof/>
          <w:lang w:eastAsia="en-AU"/>
        </w:rPr>
        <w:drawing>
          <wp:inline distT="0" distB="0" distL="0" distR="0" wp14:anchorId="5AAE367F" wp14:editId="686D98C6">
            <wp:extent cx="5731510" cy="1653009"/>
            <wp:effectExtent l="0" t="0" r="2540" b="4445"/>
            <wp:docPr id="6" name="Picture 6" descr="Figure 1.1 shows the five Victorian schedule prices for each day this week. The marker indicates the daily imbalance weighted average price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3009"/>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230EDD" w:rsidP="003171C6">
      <w:r w:rsidRPr="00230EDD">
        <w:rPr>
          <w:noProof/>
          <w:lang w:eastAsia="en-AU"/>
        </w:rPr>
        <w:drawing>
          <wp:inline distT="0" distB="0" distL="0" distR="0" wp14:anchorId="4F8AE0AF" wp14:editId="1DDA83FA">
            <wp:extent cx="5731510" cy="2131557"/>
            <wp:effectExtent l="0" t="0" r="2540" b="2540"/>
            <wp:docPr id="7" name="Picture 7" descr="Figure 1.2 shows the demand forecast used to calculate the five daily schedule prices for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155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230EDD" w:rsidP="003171C6">
      <w:r w:rsidRPr="00230EDD">
        <w:rPr>
          <w:noProof/>
          <w:lang w:eastAsia="en-AU"/>
        </w:rPr>
        <w:drawing>
          <wp:inline distT="0" distB="0" distL="0" distR="0" wp14:anchorId="6305BE99" wp14:editId="6E6DD6EF">
            <wp:extent cx="5731510" cy="2485354"/>
            <wp:effectExtent l="0" t="0" r="2540" b="0"/>
            <wp:docPr id="9" name="Picture 9" descr="Figure 1.3 shows the injection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5354"/>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230EDD" w:rsidP="003171C6">
      <w:r w:rsidRPr="00230EDD">
        <w:rPr>
          <w:noProof/>
          <w:lang w:eastAsia="en-AU"/>
        </w:rPr>
        <w:drawing>
          <wp:inline distT="0" distB="0" distL="0" distR="0" wp14:anchorId="06DB897C" wp14:editId="2F361ADC">
            <wp:extent cx="5731510" cy="1958608"/>
            <wp:effectExtent l="0" t="0" r="2540" b="3810"/>
            <wp:docPr id="10" name="Picture 10" descr="Figure 1.4 shows the withdrawal bids within certain price bands for each trading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608"/>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F91E66" w:rsidP="003171C6">
      <w:r w:rsidRPr="00F91E66">
        <w:rPr>
          <w:noProof/>
          <w:lang w:eastAsia="en-AU"/>
        </w:rPr>
        <w:drawing>
          <wp:inline distT="0" distB="0" distL="0" distR="0" wp14:anchorId="55A1CECC" wp14:editId="3B875881">
            <wp:extent cx="5731510" cy="2142192"/>
            <wp:effectExtent l="0" t="0" r="2540" b="0"/>
            <wp:docPr id="3" name="Picture 3" descr="Figure 1.5 shows the metered injections sorted by facility for each 4 hour interval in Victoria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2192"/>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6"/>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7"/>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230EDD" w:rsidRPr="00405CDE" w:rsidTr="00A226E9">
        <w:trPr>
          <w:trHeight w:val="510"/>
        </w:trPr>
        <w:tc>
          <w:tcPr>
            <w:tcW w:w="1211" w:type="pct"/>
            <w:tcBorders>
              <w:top w:val="nil"/>
              <w:bottom w:val="nil"/>
            </w:tcBorders>
            <w:vAlign w:val="center"/>
          </w:tcPr>
          <w:p w:rsidR="00230EDD" w:rsidRDefault="00230EDD">
            <w:pPr>
              <w:rPr>
                <w:rFonts w:cs="Arial"/>
                <w:sz w:val="20"/>
                <w:szCs w:val="20"/>
              </w:rPr>
            </w:pPr>
            <w:r>
              <w:rPr>
                <w:rFonts w:cs="Arial"/>
                <w:sz w:val="20"/>
                <w:szCs w:val="20"/>
              </w:rPr>
              <w:t>Ex ante price ($/GJ)</w:t>
            </w:r>
          </w:p>
        </w:tc>
        <w:tc>
          <w:tcPr>
            <w:tcW w:w="580" w:type="pct"/>
            <w:tcBorders>
              <w:top w:val="nil"/>
              <w:bottom w:val="nil"/>
            </w:tcBorders>
            <w:vAlign w:val="center"/>
          </w:tcPr>
          <w:p w:rsidR="00230EDD" w:rsidRDefault="00230EDD">
            <w:pPr>
              <w:jc w:val="center"/>
              <w:rPr>
                <w:rFonts w:cs="Arial"/>
                <w:sz w:val="20"/>
                <w:szCs w:val="20"/>
              </w:rPr>
            </w:pPr>
            <w:r>
              <w:rPr>
                <w:rFonts w:cs="Arial"/>
                <w:sz w:val="20"/>
                <w:szCs w:val="20"/>
              </w:rPr>
              <w:t>6.44</w:t>
            </w:r>
          </w:p>
        </w:tc>
        <w:tc>
          <w:tcPr>
            <w:tcW w:w="508" w:type="pct"/>
            <w:tcBorders>
              <w:top w:val="nil"/>
              <w:bottom w:val="nil"/>
            </w:tcBorders>
            <w:vAlign w:val="center"/>
          </w:tcPr>
          <w:p w:rsidR="00230EDD" w:rsidRDefault="00230EDD">
            <w:pPr>
              <w:jc w:val="center"/>
              <w:rPr>
                <w:rFonts w:cs="Arial"/>
                <w:sz w:val="20"/>
                <w:szCs w:val="20"/>
              </w:rPr>
            </w:pPr>
            <w:r>
              <w:rPr>
                <w:rFonts w:cs="Arial"/>
                <w:sz w:val="20"/>
                <w:szCs w:val="20"/>
              </w:rPr>
              <w:t>9.22</w:t>
            </w:r>
          </w:p>
        </w:tc>
        <w:tc>
          <w:tcPr>
            <w:tcW w:w="589" w:type="pct"/>
            <w:tcBorders>
              <w:top w:val="nil"/>
              <w:bottom w:val="nil"/>
            </w:tcBorders>
            <w:vAlign w:val="center"/>
          </w:tcPr>
          <w:p w:rsidR="00230EDD" w:rsidRDefault="00230EDD">
            <w:pPr>
              <w:jc w:val="center"/>
              <w:rPr>
                <w:rFonts w:cs="Arial"/>
                <w:sz w:val="20"/>
                <w:szCs w:val="20"/>
              </w:rPr>
            </w:pPr>
            <w:r>
              <w:rPr>
                <w:rFonts w:cs="Arial"/>
                <w:sz w:val="20"/>
                <w:szCs w:val="20"/>
              </w:rPr>
              <w:t>9.56</w:t>
            </w:r>
          </w:p>
        </w:tc>
        <w:tc>
          <w:tcPr>
            <w:tcW w:w="517" w:type="pct"/>
            <w:tcBorders>
              <w:top w:val="nil"/>
              <w:bottom w:val="nil"/>
            </w:tcBorders>
            <w:vAlign w:val="center"/>
          </w:tcPr>
          <w:p w:rsidR="00230EDD" w:rsidRDefault="00230EDD">
            <w:pPr>
              <w:jc w:val="center"/>
              <w:rPr>
                <w:rFonts w:cs="Arial"/>
                <w:sz w:val="20"/>
                <w:szCs w:val="20"/>
              </w:rPr>
            </w:pPr>
            <w:r>
              <w:rPr>
                <w:rFonts w:cs="Arial"/>
                <w:sz w:val="20"/>
                <w:szCs w:val="20"/>
              </w:rPr>
              <w:t>8.31</w:t>
            </w:r>
          </w:p>
        </w:tc>
        <w:tc>
          <w:tcPr>
            <w:tcW w:w="510" w:type="pct"/>
            <w:tcBorders>
              <w:top w:val="nil"/>
              <w:bottom w:val="nil"/>
            </w:tcBorders>
            <w:vAlign w:val="center"/>
          </w:tcPr>
          <w:p w:rsidR="00230EDD" w:rsidRDefault="00230EDD">
            <w:pPr>
              <w:jc w:val="center"/>
              <w:rPr>
                <w:rFonts w:cs="Arial"/>
                <w:sz w:val="20"/>
                <w:szCs w:val="20"/>
              </w:rPr>
            </w:pPr>
            <w:r>
              <w:rPr>
                <w:rFonts w:cs="Arial"/>
                <w:sz w:val="20"/>
                <w:szCs w:val="20"/>
              </w:rPr>
              <w:t>9.10</w:t>
            </w:r>
          </w:p>
        </w:tc>
        <w:tc>
          <w:tcPr>
            <w:tcW w:w="507" w:type="pct"/>
            <w:tcBorders>
              <w:top w:val="nil"/>
              <w:bottom w:val="nil"/>
            </w:tcBorders>
            <w:vAlign w:val="center"/>
          </w:tcPr>
          <w:p w:rsidR="00230EDD" w:rsidRDefault="00230EDD">
            <w:pPr>
              <w:jc w:val="center"/>
              <w:rPr>
                <w:rFonts w:cs="Arial"/>
                <w:sz w:val="20"/>
                <w:szCs w:val="20"/>
              </w:rPr>
            </w:pPr>
            <w:r>
              <w:rPr>
                <w:rFonts w:cs="Arial"/>
                <w:sz w:val="20"/>
                <w:szCs w:val="20"/>
              </w:rPr>
              <w:t>8.22</w:t>
            </w:r>
          </w:p>
        </w:tc>
        <w:tc>
          <w:tcPr>
            <w:tcW w:w="578" w:type="pct"/>
            <w:tcBorders>
              <w:top w:val="nil"/>
              <w:bottom w:val="nil"/>
            </w:tcBorders>
            <w:vAlign w:val="center"/>
          </w:tcPr>
          <w:p w:rsidR="00230EDD" w:rsidRDefault="00230EDD">
            <w:pPr>
              <w:jc w:val="center"/>
              <w:rPr>
                <w:rFonts w:cs="Arial"/>
                <w:sz w:val="20"/>
                <w:szCs w:val="20"/>
              </w:rPr>
            </w:pPr>
            <w:r>
              <w:rPr>
                <w:rFonts w:cs="Arial"/>
                <w:sz w:val="20"/>
                <w:szCs w:val="20"/>
              </w:rPr>
              <w:t>7.94</w:t>
            </w:r>
          </w:p>
        </w:tc>
      </w:tr>
      <w:tr w:rsidR="00230EDD"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230EDD" w:rsidRDefault="00230EDD">
            <w:pPr>
              <w:rPr>
                <w:rFonts w:cs="Arial"/>
                <w:szCs w:val="20"/>
              </w:rPr>
            </w:pPr>
            <w:r>
              <w:rPr>
                <w:rFonts w:cs="Arial"/>
                <w:szCs w:val="20"/>
              </w:rPr>
              <w:t>Ex ante quantity (TJ)</w:t>
            </w:r>
          </w:p>
        </w:tc>
        <w:tc>
          <w:tcPr>
            <w:tcW w:w="580" w:type="pct"/>
            <w:tcBorders>
              <w:top w:val="nil"/>
              <w:bottom w:val="nil"/>
            </w:tcBorders>
            <w:vAlign w:val="center"/>
          </w:tcPr>
          <w:p w:rsidR="00230EDD" w:rsidRDefault="00230EDD">
            <w:pPr>
              <w:jc w:val="center"/>
              <w:rPr>
                <w:rFonts w:cs="Arial"/>
                <w:szCs w:val="20"/>
              </w:rPr>
            </w:pPr>
            <w:r>
              <w:rPr>
                <w:rFonts w:cs="Arial"/>
                <w:szCs w:val="20"/>
              </w:rPr>
              <w:t>282</w:t>
            </w:r>
          </w:p>
        </w:tc>
        <w:tc>
          <w:tcPr>
            <w:tcW w:w="508" w:type="pct"/>
            <w:tcBorders>
              <w:top w:val="nil"/>
              <w:bottom w:val="nil"/>
            </w:tcBorders>
            <w:vAlign w:val="center"/>
          </w:tcPr>
          <w:p w:rsidR="00230EDD" w:rsidRDefault="00230EDD">
            <w:pPr>
              <w:jc w:val="center"/>
              <w:rPr>
                <w:rFonts w:cs="Arial"/>
                <w:szCs w:val="20"/>
              </w:rPr>
            </w:pPr>
            <w:r>
              <w:rPr>
                <w:rFonts w:cs="Arial"/>
                <w:szCs w:val="20"/>
              </w:rPr>
              <w:t>301</w:t>
            </w:r>
          </w:p>
        </w:tc>
        <w:tc>
          <w:tcPr>
            <w:tcW w:w="589" w:type="pct"/>
            <w:tcBorders>
              <w:top w:val="nil"/>
              <w:bottom w:val="nil"/>
            </w:tcBorders>
            <w:vAlign w:val="center"/>
          </w:tcPr>
          <w:p w:rsidR="00230EDD" w:rsidRDefault="00230EDD">
            <w:pPr>
              <w:jc w:val="center"/>
              <w:rPr>
                <w:rFonts w:cs="Arial"/>
                <w:szCs w:val="20"/>
              </w:rPr>
            </w:pPr>
            <w:r>
              <w:rPr>
                <w:rFonts w:cs="Arial"/>
                <w:szCs w:val="20"/>
              </w:rPr>
              <w:t>305</w:t>
            </w:r>
          </w:p>
        </w:tc>
        <w:tc>
          <w:tcPr>
            <w:tcW w:w="517" w:type="pct"/>
            <w:tcBorders>
              <w:top w:val="nil"/>
              <w:bottom w:val="nil"/>
            </w:tcBorders>
            <w:vAlign w:val="center"/>
          </w:tcPr>
          <w:p w:rsidR="00230EDD" w:rsidRDefault="00230EDD">
            <w:pPr>
              <w:jc w:val="center"/>
              <w:rPr>
                <w:rFonts w:cs="Arial"/>
                <w:szCs w:val="20"/>
              </w:rPr>
            </w:pPr>
            <w:r>
              <w:rPr>
                <w:rFonts w:cs="Arial"/>
                <w:szCs w:val="20"/>
              </w:rPr>
              <w:t>308</w:t>
            </w:r>
          </w:p>
        </w:tc>
        <w:tc>
          <w:tcPr>
            <w:tcW w:w="510" w:type="pct"/>
            <w:tcBorders>
              <w:top w:val="nil"/>
              <w:bottom w:val="nil"/>
            </w:tcBorders>
            <w:vAlign w:val="center"/>
          </w:tcPr>
          <w:p w:rsidR="00230EDD" w:rsidRDefault="00230EDD">
            <w:pPr>
              <w:jc w:val="center"/>
              <w:rPr>
                <w:rFonts w:cs="Arial"/>
                <w:szCs w:val="20"/>
              </w:rPr>
            </w:pPr>
            <w:r>
              <w:rPr>
                <w:rFonts w:cs="Arial"/>
                <w:szCs w:val="20"/>
              </w:rPr>
              <w:t>307</w:t>
            </w:r>
          </w:p>
        </w:tc>
        <w:tc>
          <w:tcPr>
            <w:tcW w:w="507" w:type="pct"/>
            <w:tcBorders>
              <w:top w:val="nil"/>
              <w:bottom w:val="nil"/>
            </w:tcBorders>
            <w:vAlign w:val="center"/>
          </w:tcPr>
          <w:p w:rsidR="00230EDD" w:rsidRDefault="00230EDD">
            <w:pPr>
              <w:jc w:val="center"/>
              <w:rPr>
                <w:rFonts w:cs="Arial"/>
                <w:szCs w:val="20"/>
              </w:rPr>
            </w:pPr>
            <w:r>
              <w:rPr>
                <w:rFonts w:cs="Arial"/>
                <w:szCs w:val="20"/>
              </w:rPr>
              <w:t>295</w:t>
            </w:r>
          </w:p>
        </w:tc>
        <w:tc>
          <w:tcPr>
            <w:tcW w:w="578" w:type="pct"/>
            <w:tcBorders>
              <w:top w:val="nil"/>
              <w:bottom w:val="nil"/>
            </w:tcBorders>
            <w:vAlign w:val="center"/>
          </w:tcPr>
          <w:p w:rsidR="00230EDD" w:rsidRDefault="00230EDD">
            <w:pPr>
              <w:jc w:val="center"/>
              <w:rPr>
                <w:rFonts w:cs="Arial"/>
                <w:szCs w:val="20"/>
              </w:rPr>
            </w:pPr>
            <w:r>
              <w:rPr>
                <w:rFonts w:cs="Arial"/>
                <w:szCs w:val="20"/>
              </w:rPr>
              <w:t>270</w:t>
            </w:r>
          </w:p>
        </w:tc>
      </w:tr>
      <w:tr w:rsidR="00230EDD" w:rsidRPr="00405CDE" w:rsidTr="00A226E9">
        <w:trPr>
          <w:trHeight w:val="510"/>
        </w:trPr>
        <w:tc>
          <w:tcPr>
            <w:tcW w:w="1211" w:type="pct"/>
            <w:tcBorders>
              <w:top w:val="nil"/>
              <w:bottom w:val="nil"/>
            </w:tcBorders>
            <w:vAlign w:val="center"/>
          </w:tcPr>
          <w:p w:rsidR="00230EDD" w:rsidRDefault="00230EDD">
            <w:pPr>
              <w:rPr>
                <w:rFonts w:cs="Arial"/>
                <w:sz w:val="20"/>
                <w:szCs w:val="20"/>
              </w:rPr>
            </w:pPr>
            <w:r>
              <w:rPr>
                <w:rFonts w:cs="Arial"/>
                <w:sz w:val="20"/>
                <w:szCs w:val="20"/>
              </w:rPr>
              <w:t>Ex post price ($/GJ)</w:t>
            </w:r>
          </w:p>
        </w:tc>
        <w:tc>
          <w:tcPr>
            <w:tcW w:w="580" w:type="pct"/>
            <w:tcBorders>
              <w:top w:val="nil"/>
              <w:bottom w:val="nil"/>
            </w:tcBorders>
            <w:vAlign w:val="center"/>
          </w:tcPr>
          <w:p w:rsidR="00230EDD" w:rsidRDefault="00230EDD">
            <w:pPr>
              <w:jc w:val="center"/>
              <w:rPr>
                <w:rFonts w:cs="Arial"/>
                <w:sz w:val="20"/>
                <w:szCs w:val="20"/>
              </w:rPr>
            </w:pPr>
            <w:r>
              <w:rPr>
                <w:rFonts w:cs="Arial"/>
                <w:sz w:val="20"/>
                <w:szCs w:val="20"/>
              </w:rPr>
              <w:t>5.26</w:t>
            </w:r>
          </w:p>
        </w:tc>
        <w:tc>
          <w:tcPr>
            <w:tcW w:w="508" w:type="pct"/>
            <w:tcBorders>
              <w:top w:val="nil"/>
              <w:bottom w:val="nil"/>
            </w:tcBorders>
            <w:vAlign w:val="center"/>
          </w:tcPr>
          <w:p w:rsidR="00230EDD" w:rsidRDefault="00230EDD">
            <w:pPr>
              <w:jc w:val="center"/>
              <w:rPr>
                <w:rFonts w:cs="Arial"/>
                <w:sz w:val="20"/>
                <w:szCs w:val="20"/>
              </w:rPr>
            </w:pPr>
            <w:r>
              <w:rPr>
                <w:rFonts w:cs="Arial"/>
                <w:sz w:val="20"/>
                <w:szCs w:val="20"/>
              </w:rPr>
              <w:t>7.46</w:t>
            </w:r>
          </w:p>
        </w:tc>
        <w:tc>
          <w:tcPr>
            <w:tcW w:w="589" w:type="pct"/>
            <w:tcBorders>
              <w:top w:val="nil"/>
              <w:bottom w:val="nil"/>
            </w:tcBorders>
            <w:vAlign w:val="center"/>
          </w:tcPr>
          <w:p w:rsidR="00230EDD" w:rsidRDefault="00230EDD">
            <w:pPr>
              <w:jc w:val="center"/>
              <w:rPr>
                <w:rFonts w:cs="Arial"/>
                <w:sz w:val="20"/>
                <w:szCs w:val="20"/>
              </w:rPr>
            </w:pPr>
            <w:r>
              <w:rPr>
                <w:rFonts w:cs="Arial"/>
                <w:sz w:val="20"/>
                <w:szCs w:val="20"/>
              </w:rPr>
              <w:t>9.56</w:t>
            </w:r>
          </w:p>
        </w:tc>
        <w:tc>
          <w:tcPr>
            <w:tcW w:w="517" w:type="pct"/>
            <w:tcBorders>
              <w:top w:val="nil"/>
              <w:bottom w:val="nil"/>
            </w:tcBorders>
            <w:vAlign w:val="center"/>
          </w:tcPr>
          <w:p w:rsidR="00230EDD" w:rsidRDefault="00230EDD">
            <w:pPr>
              <w:jc w:val="center"/>
              <w:rPr>
                <w:rFonts w:cs="Arial"/>
                <w:sz w:val="20"/>
                <w:szCs w:val="20"/>
              </w:rPr>
            </w:pPr>
            <w:r>
              <w:rPr>
                <w:rFonts w:cs="Arial"/>
                <w:sz w:val="20"/>
                <w:szCs w:val="20"/>
              </w:rPr>
              <w:t>9.55</w:t>
            </w:r>
          </w:p>
        </w:tc>
        <w:tc>
          <w:tcPr>
            <w:tcW w:w="510" w:type="pct"/>
            <w:tcBorders>
              <w:top w:val="nil"/>
              <w:bottom w:val="nil"/>
            </w:tcBorders>
            <w:vAlign w:val="center"/>
          </w:tcPr>
          <w:p w:rsidR="00230EDD" w:rsidRDefault="00230EDD">
            <w:pPr>
              <w:jc w:val="center"/>
              <w:rPr>
                <w:rFonts w:cs="Arial"/>
                <w:sz w:val="20"/>
                <w:szCs w:val="20"/>
              </w:rPr>
            </w:pPr>
            <w:r>
              <w:rPr>
                <w:rFonts w:cs="Arial"/>
                <w:sz w:val="20"/>
                <w:szCs w:val="20"/>
              </w:rPr>
              <w:t>8.50</w:t>
            </w:r>
          </w:p>
        </w:tc>
        <w:tc>
          <w:tcPr>
            <w:tcW w:w="507" w:type="pct"/>
            <w:tcBorders>
              <w:top w:val="nil"/>
              <w:bottom w:val="nil"/>
            </w:tcBorders>
            <w:vAlign w:val="center"/>
          </w:tcPr>
          <w:p w:rsidR="00230EDD" w:rsidRDefault="00230EDD">
            <w:pPr>
              <w:jc w:val="center"/>
              <w:rPr>
                <w:rFonts w:cs="Arial"/>
                <w:sz w:val="20"/>
                <w:szCs w:val="20"/>
              </w:rPr>
            </w:pPr>
            <w:r>
              <w:rPr>
                <w:rFonts w:cs="Arial"/>
                <w:sz w:val="20"/>
                <w:szCs w:val="20"/>
              </w:rPr>
              <w:t>8.22</w:t>
            </w:r>
          </w:p>
        </w:tc>
        <w:tc>
          <w:tcPr>
            <w:tcW w:w="578" w:type="pct"/>
            <w:tcBorders>
              <w:top w:val="nil"/>
              <w:bottom w:val="nil"/>
            </w:tcBorders>
            <w:vAlign w:val="center"/>
          </w:tcPr>
          <w:p w:rsidR="00230EDD" w:rsidRDefault="00230EDD">
            <w:pPr>
              <w:jc w:val="center"/>
              <w:rPr>
                <w:rFonts w:cs="Arial"/>
                <w:sz w:val="20"/>
                <w:szCs w:val="20"/>
              </w:rPr>
            </w:pPr>
            <w:r>
              <w:rPr>
                <w:rFonts w:cs="Arial"/>
                <w:sz w:val="20"/>
                <w:szCs w:val="20"/>
              </w:rPr>
              <w:t>7.94</w:t>
            </w:r>
          </w:p>
        </w:tc>
      </w:tr>
      <w:tr w:rsidR="00230EDD"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230EDD" w:rsidRDefault="00230EDD">
            <w:pPr>
              <w:rPr>
                <w:rFonts w:cs="Arial"/>
                <w:szCs w:val="20"/>
              </w:rPr>
            </w:pPr>
            <w:r>
              <w:rPr>
                <w:rFonts w:cs="Arial"/>
                <w:szCs w:val="20"/>
              </w:rPr>
              <w:t>Ex post quantity (TJ)</w:t>
            </w:r>
          </w:p>
        </w:tc>
        <w:tc>
          <w:tcPr>
            <w:tcW w:w="580" w:type="pct"/>
            <w:tcBorders>
              <w:top w:val="nil"/>
              <w:bottom w:val="single" w:sz="4" w:space="0" w:color="auto"/>
            </w:tcBorders>
            <w:vAlign w:val="center"/>
          </w:tcPr>
          <w:p w:rsidR="00230EDD" w:rsidRDefault="00230EDD">
            <w:pPr>
              <w:jc w:val="center"/>
              <w:rPr>
                <w:rFonts w:cs="Arial"/>
                <w:szCs w:val="20"/>
              </w:rPr>
            </w:pPr>
            <w:r>
              <w:rPr>
                <w:rFonts w:cs="Arial"/>
                <w:szCs w:val="20"/>
              </w:rPr>
              <w:t>266</w:t>
            </w:r>
          </w:p>
        </w:tc>
        <w:tc>
          <w:tcPr>
            <w:tcW w:w="508" w:type="pct"/>
            <w:tcBorders>
              <w:top w:val="nil"/>
              <w:bottom w:val="single" w:sz="4" w:space="0" w:color="auto"/>
            </w:tcBorders>
            <w:vAlign w:val="center"/>
          </w:tcPr>
          <w:p w:rsidR="00230EDD" w:rsidRDefault="00230EDD">
            <w:pPr>
              <w:jc w:val="center"/>
              <w:rPr>
                <w:rFonts w:cs="Arial"/>
                <w:szCs w:val="20"/>
              </w:rPr>
            </w:pPr>
            <w:r>
              <w:rPr>
                <w:rFonts w:cs="Arial"/>
                <w:szCs w:val="20"/>
              </w:rPr>
              <w:t>294</w:t>
            </w:r>
          </w:p>
        </w:tc>
        <w:tc>
          <w:tcPr>
            <w:tcW w:w="589" w:type="pct"/>
            <w:tcBorders>
              <w:top w:val="nil"/>
              <w:bottom w:val="single" w:sz="4" w:space="0" w:color="auto"/>
            </w:tcBorders>
            <w:vAlign w:val="center"/>
          </w:tcPr>
          <w:p w:rsidR="00230EDD" w:rsidRDefault="00230EDD">
            <w:pPr>
              <w:jc w:val="center"/>
              <w:rPr>
                <w:rFonts w:cs="Arial"/>
                <w:szCs w:val="20"/>
              </w:rPr>
            </w:pPr>
            <w:r>
              <w:rPr>
                <w:rFonts w:cs="Arial"/>
                <w:szCs w:val="20"/>
              </w:rPr>
              <w:t>304</w:t>
            </w:r>
          </w:p>
        </w:tc>
        <w:tc>
          <w:tcPr>
            <w:tcW w:w="517" w:type="pct"/>
            <w:tcBorders>
              <w:top w:val="nil"/>
              <w:bottom w:val="single" w:sz="4" w:space="0" w:color="auto"/>
            </w:tcBorders>
            <w:vAlign w:val="center"/>
          </w:tcPr>
          <w:p w:rsidR="00230EDD" w:rsidRDefault="00230EDD">
            <w:pPr>
              <w:jc w:val="center"/>
              <w:rPr>
                <w:rFonts w:cs="Arial"/>
                <w:szCs w:val="20"/>
              </w:rPr>
            </w:pPr>
            <w:r>
              <w:rPr>
                <w:rFonts w:cs="Arial"/>
                <w:szCs w:val="20"/>
              </w:rPr>
              <w:t>315</w:t>
            </w:r>
          </w:p>
        </w:tc>
        <w:tc>
          <w:tcPr>
            <w:tcW w:w="510" w:type="pct"/>
            <w:tcBorders>
              <w:top w:val="nil"/>
              <w:bottom w:val="single" w:sz="4" w:space="0" w:color="auto"/>
            </w:tcBorders>
            <w:vAlign w:val="center"/>
          </w:tcPr>
          <w:p w:rsidR="00230EDD" w:rsidRDefault="00230EDD">
            <w:pPr>
              <w:jc w:val="center"/>
              <w:rPr>
                <w:rFonts w:cs="Arial"/>
                <w:szCs w:val="20"/>
              </w:rPr>
            </w:pPr>
            <w:r>
              <w:rPr>
                <w:rFonts w:cs="Arial"/>
                <w:szCs w:val="20"/>
              </w:rPr>
              <w:t>305</w:t>
            </w:r>
          </w:p>
        </w:tc>
        <w:tc>
          <w:tcPr>
            <w:tcW w:w="507" w:type="pct"/>
            <w:tcBorders>
              <w:top w:val="nil"/>
              <w:bottom w:val="single" w:sz="4" w:space="0" w:color="auto"/>
            </w:tcBorders>
            <w:vAlign w:val="center"/>
          </w:tcPr>
          <w:p w:rsidR="00230EDD" w:rsidRDefault="00230EDD">
            <w:pPr>
              <w:jc w:val="center"/>
              <w:rPr>
                <w:rFonts w:cs="Arial"/>
                <w:szCs w:val="20"/>
              </w:rPr>
            </w:pPr>
            <w:r>
              <w:rPr>
                <w:rFonts w:cs="Arial"/>
                <w:szCs w:val="20"/>
              </w:rPr>
              <w:t>294</w:t>
            </w:r>
          </w:p>
        </w:tc>
        <w:tc>
          <w:tcPr>
            <w:tcW w:w="578" w:type="pct"/>
            <w:tcBorders>
              <w:top w:val="nil"/>
              <w:bottom w:val="single" w:sz="4" w:space="0" w:color="auto"/>
            </w:tcBorders>
            <w:vAlign w:val="center"/>
          </w:tcPr>
          <w:p w:rsidR="00230EDD" w:rsidRDefault="00230EDD">
            <w:pPr>
              <w:jc w:val="center"/>
              <w:rPr>
                <w:rFonts w:cs="Arial"/>
                <w:szCs w:val="20"/>
              </w:rPr>
            </w:pPr>
            <w:r>
              <w:rPr>
                <w:rFonts w:cs="Arial"/>
                <w:szCs w:val="20"/>
              </w:rPr>
              <w:t>268</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230EDD" w:rsidP="00EC2CB1">
      <w:r w:rsidRPr="00230EDD">
        <w:rPr>
          <w:noProof/>
          <w:lang w:eastAsia="en-AU"/>
        </w:rPr>
        <w:drawing>
          <wp:inline distT="0" distB="0" distL="0" distR="0" wp14:anchorId="354DF350" wp14:editId="0A7C02C8">
            <wp:extent cx="5731510" cy="2051996"/>
            <wp:effectExtent l="0" t="0" r="0" b="5715"/>
            <wp:docPr id="19" name="Picture 19" descr="Figure 2.2 shows the daily hub offers and bid in within certain price bands in Sydney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51996"/>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230EDD" w:rsidP="00EC2CB1">
      <w:r w:rsidRPr="00230EDD">
        <w:rPr>
          <w:noProof/>
          <w:lang w:eastAsia="en-AU"/>
        </w:rPr>
        <w:drawing>
          <wp:inline distT="0" distB="0" distL="0" distR="0" wp14:anchorId="52836768" wp14:editId="1622D5D4">
            <wp:extent cx="5731510" cy="2549536"/>
            <wp:effectExtent l="0" t="0" r="2540" b="3175"/>
            <wp:docPr id="21" name="Picture 21" descr="Figure 2.3 shows the daily scheduled and allocated quantities sorted by facility for Sydney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495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8"/>
      </w:r>
    </w:p>
    <w:p w:rsidR="00EC2CB1" w:rsidRDefault="00230EDD" w:rsidP="00EC2CB1">
      <w:r w:rsidRPr="00230EDD">
        <w:rPr>
          <w:noProof/>
          <w:lang w:eastAsia="en-AU"/>
        </w:rPr>
        <w:drawing>
          <wp:inline distT="0" distB="0" distL="0" distR="0" wp14:anchorId="5171DFB6" wp14:editId="18A01DB7">
            <wp:extent cx="5731510" cy="2175861"/>
            <wp:effectExtent l="0" t="0" r="2540" b="0"/>
            <wp:docPr id="28" name="Picture 28" descr="Figure 2.4 shows the daily MOS allocations sorted by facility for each facility in Sydney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861"/>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230EDD" w:rsidRPr="00405CDE" w:rsidTr="00A226E9">
        <w:trPr>
          <w:trHeight w:val="389"/>
        </w:trPr>
        <w:tc>
          <w:tcPr>
            <w:tcW w:w="1152" w:type="pct"/>
            <w:tcBorders>
              <w:top w:val="nil"/>
              <w:bottom w:val="nil"/>
            </w:tcBorders>
            <w:vAlign w:val="center"/>
          </w:tcPr>
          <w:p w:rsidR="00230EDD" w:rsidRDefault="00230EDD">
            <w:pPr>
              <w:rPr>
                <w:rFonts w:cs="Arial"/>
                <w:sz w:val="20"/>
                <w:szCs w:val="20"/>
              </w:rPr>
            </w:pPr>
            <w:r>
              <w:rPr>
                <w:rFonts w:cs="Arial"/>
                <w:sz w:val="20"/>
                <w:szCs w:val="20"/>
              </w:rPr>
              <w:t>Ex ante price ($/GJ)</w:t>
            </w:r>
          </w:p>
        </w:tc>
        <w:tc>
          <w:tcPr>
            <w:tcW w:w="589" w:type="pct"/>
            <w:tcBorders>
              <w:top w:val="nil"/>
              <w:bottom w:val="nil"/>
            </w:tcBorders>
            <w:vAlign w:val="center"/>
          </w:tcPr>
          <w:p w:rsidR="00230EDD" w:rsidRDefault="00230EDD">
            <w:pPr>
              <w:jc w:val="center"/>
              <w:rPr>
                <w:rFonts w:cs="Arial"/>
                <w:sz w:val="20"/>
                <w:szCs w:val="20"/>
              </w:rPr>
            </w:pPr>
            <w:r>
              <w:rPr>
                <w:rFonts w:cs="Arial"/>
                <w:sz w:val="20"/>
                <w:szCs w:val="20"/>
              </w:rPr>
              <w:t>8.68</w:t>
            </w:r>
          </w:p>
        </w:tc>
        <w:tc>
          <w:tcPr>
            <w:tcW w:w="516" w:type="pct"/>
            <w:tcBorders>
              <w:top w:val="nil"/>
              <w:bottom w:val="nil"/>
            </w:tcBorders>
            <w:vAlign w:val="center"/>
          </w:tcPr>
          <w:p w:rsidR="00230EDD" w:rsidRDefault="00230EDD">
            <w:pPr>
              <w:jc w:val="center"/>
              <w:rPr>
                <w:rFonts w:cs="Arial"/>
                <w:sz w:val="20"/>
                <w:szCs w:val="20"/>
              </w:rPr>
            </w:pPr>
            <w:r>
              <w:rPr>
                <w:rFonts w:cs="Arial"/>
                <w:sz w:val="20"/>
                <w:szCs w:val="20"/>
              </w:rPr>
              <w:t>10.73</w:t>
            </w:r>
          </w:p>
        </w:tc>
        <w:tc>
          <w:tcPr>
            <w:tcW w:w="598" w:type="pct"/>
            <w:tcBorders>
              <w:top w:val="nil"/>
              <w:bottom w:val="nil"/>
            </w:tcBorders>
            <w:vAlign w:val="center"/>
          </w:tcPr>
          <w:p w:rsidR="00230EDD" w:rsidRDefault="00230EDD">
            <w:pPr>
              <w:jc w:val="center"/>
              <w:rPr>
                <w:rFonts w:cs="Arial"/>
                <w:sz w:val="20"/>
                <w:szCs w:val="20"/>
              </w:rPr>
            </w:pPr>
            <w:r>
              <w:rPr>
                <w:rFonts w:cs="Arial"/>
                <w:sz w:val="20"/>
                <w:szCs w:val="20"/>
              </w:rPr>
              <w:t>9.64</w:t>
            </w:r>
          </w:p>
        </w:tc>
        <w:tc>
          <w:tcPr>
            <w:tcW w:w="525" w:type="pct"/>
            <w:tcBorders>
              <w:top w:val="nil"/>
              <w:bottom w:val="nil"/>
            </w:tcBorders>
            <w:vAlign w:val="center"/>
          </w:tcPr>
          <w:p w:rsidR="00230EDD" w:rsidRDefault="00230EDD">
            <w:pPr>
              <w:jc w:val="center"/>
              <w:rPr>
                <w:rFonts w:cs="Arial"/>
                <w:sz w:val="20"/>
                <w:szCs w:val="20"/>
              </w:rPr>
            </w:pPr>
            <w:r>
              <w:rPr>
                <w:rFonts w:cs="Arial"/>
                <w:sz w:val="20"/>
                <w:szCs w:val="20"/>
              </w:rPr>
              <w:t>9.60</w:t>
            </w:r>
          </w:p>
        </w:tc>
        <w:tc>
          <w:tcPr>
            <w:tcW w:w="518" w:type="pct"/>
            <w:tcBorders>
              <w:top w:val="nil"/>
              <w:bottom w:val="nil"/>
            </w:tcBorders>
            <w:vAlign w:val="center"/>
          </w:tcPr>
          <w:p w:rsidR="00230EDD" w:rsidRDefault="00230EDD">
            <w:pPr>
              <w:jc w:val="center"/>
              <w:rPr>
                <w:rFonts w:cs="Arial"/>
                <w:sz w:val="20"/>
                <w:szCs w:val="20"/>
              </w:rPr>
            </w:pPr>
            <w:r>
              <w:rPr>
                <w:rFonts w:cs="Arial"/>
                <w:sz w:val="20"/>
                <w:szCs w:val="20"/>
              </w:rPr>
              <w:t>9.51</w:t>
            </w:r>
          </w:p>
        </w:tc>
        <w:tc>
          <w:tcPr>
            <w:tcW w:w="515" w:type="pct"/>
            <w:tcBorders>
              <w:top w:val="nil"/>
              <w:bottom w:val="nil"/>
            </w:tcBorders>
            <w:vAlign w:val="center"/>
          </w:tcPr>
          <w:p w:rsidR="00230EDD" w:rsidRDefault="00230EDD">
            <w:pPr>
              <w:jc w:val="center"/>
              <w:rPr>
                <w:rFonts w:cs="Arial"/>
                <w:sz w:val="20"/>
                <w:szCs w:val="20"/>
              </w:rPr>
            </w:pPr>
            <w:r>
              <w:rPr>
                <w:rFonts w:cs="Arial"/>
                <w:sz w:val="20"/>
                <w:szCs w:val="20"/>
              </w:rPr>
              <w:t>8.82</w:t>
            </w:r>
          </w:p>
        </w:tc>
        <w:tc>
          <w:tcPr>
            <w:tcW w:w="587" w:type="pct"/>
            <w:tcBorders>
              <w:top w:val="nil"/>
              <w:bottom w:val="nil"/>
            </w:tcBorders>
            <w:vAlign w:val="center"/>
          </w:tcPr>
          <w:p w:rsidR="00230EDD" w:rsidRDefault="00230EDD">
            <w:pPr>
              <w:jc w:val="center"/>
              <w:rPr>
                <w:rFonts w:cs="Arial"/>
                <w:sz w:val="20"/>
                <w:szCs w:val="20"/>
              </w:rPr>
            </w:pPr>
            <w:r>
              <w:rPr>
                <w:rFonts w:cs="Arial"/>
                <w:sz w:val="20"/>
                <w:szCs w:val="20"/>
              </w:rPr>
              <w:t>8.35</w:t>
            </w:r>
          </w:p>
        </w:tc>
      </w:tr>
      <w:tr w:rsidR="00230EDD"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230EDD" w:rsidRDefault="00230EDD">
            <w:pPr>
              <w:rPr>
                <w:rFonts w:cs="Arial"/>
                <w:szCs w:val="20"/>
              </w:rPr>
            </w:pPr>
            <w:r>
              <w:rPr>
                <w:rFonts w:cs="Arial"/>
                <w:szCs w:val="20"/>
              </w:rPr>
              <w:t>Ex ante quantity (TJ)</w:t>
            </w:r>
          </w:p>
        </w:tc>
        <w:tc>
          <w:tcPr>
            <w:tcW w:w="589" w:type="pct"/>
            <w:tcBorders>
              <w:top w:val="nil"/>
              <w:bottom w:val="nil"/>
            </w:tcBorders>
            <w:vAlign w:val="center"/>
          </w:tcPr>
          <w:p w:rsidR="00230EDD" w:rsidRDefault="00230EDD">
            <w:pPr>
              <w:jc w:val="center"/>
              <w:rPr>
                <w:rFonts w:cs="Arial"/>
                <w:szCs w:val="20"/>
              </w:rPr>
            </w:pPr>
            <w:r>
              <w:rPr>
                <w:rFonts w:cs="Arial"/>
                <w:szCs w:val="20"/>
              </w:rPr>
              <w:t>69</w:t>
            </w:r>
          </w:p>
        </w:tc>
        <w:tc>
          <w:tcPr>
            <w:tcW w:w="516" w:type="pct"/>
            <w:tcBorders>
              <w:top w:val="nil"/>
              <w:bottom w:val="nil"/>
            </w:tcBorders>
            <w:vAlign w:val="center"/>
          </w:tcPr>
          <w:p w:rsidR="00230EDD" w:rsidRDefault="00230EDD">
            <w:pPr>
              <w:jc w:val="center"/>
              <w:rPr>
                <w:rFonts w:cs="Arial"/>
                <w:szCs w:val="20"/>
              </w:rPr>
            </w:pPr>
            <w:r>
              <w:rPr>
                <w:rFonts w:cs="Arial"/>
                <w:szCs w:val="20"/>
              </w:rPr>
              <w:t>90</w:t>
            </w:r>
          </w:p>
        </w:tc>
        <w:tc>
          <w:tcPr>
            <w:tcW w:w="598" w:type="pct"/>
            <w:tcBorders>
              <w:top w:val="nil"/>
              <w:bottom w:val="nil"/>
            </w:tcBorders>
            <w:vAlign w:val="center"/>
          </w:tcPr>
          <w:p w:rsidR="00230EDD" w:rsidRDefault="00230EDD">
            <w:pPr>
              <w:jc w:val="center"/>
              <w:rPr>
                <w:rFonts w:cs="Arial"/>
                <w:szCs w:val="20"/>
              </w:rPr>
            </w:pPr>
            <w:r>
              <w:rPr>
                <w:rFonts w:cs="Arial"/>
                <w:szCs w:val="20"/>
              </w:rPr>
              <w:t>96</w:t>
            </w:r>
          </w:p>
        </w:tc>
        <w:tc>
          <w:tcPr>
            <w:tcW w:w="525" w:type="pct"/>
            <w:tcBorders>
              <w:top w:val="nil"/>
              <w:bottom w:val="nil"/>
            </w:tcBorders>
            <w:vAlign w:val="center"/>
          </w:tcPr>
          <w:p w:rsidR="00230EDD" w:rsidRDefault="00230EDD">
            <w:pPr>
              <w:jc w:val="center"/>
              <w:rPr>
                <w:rFonts w:cs="Arial"/>
                <w:szCs w:val="20"/>
              </w:rPr>
            </w:pPr>
            <w:r>
              <w:rPr>
                <w:rFonts w:cs="Arial"/>
                <w:szCs w:val="20"/>
              </w:rPr>
              <w:t>98</w:t>
            </w:r>
          </w:p>
        </w:tc>
        <w:tc>
          <w:tcPr>
            <w:tcW w:w="518" w:type="pct"/>
            <w:tcBorders>
              <w:top w:val="nil"/>
              <w:bottom w:val="nil"/>
            </w:tcBorders>
            <w:vAlign w:val="center"/>
          </w:tcPr>
          <w:p w:rsidR="00230EDD" w:rsidRDefault="00230EDD">
            <w:pPr>
              <w:jc w:val="center"/>
              <w:rPr>
                <w:rFonts w:cs="Arial"/>
                <w:szCs w:val="20"/>
              </w:rPr>
            </w:pPr>
            <w:r>
              <w:rPr>
                <w:rFonts w:cs="Arial"/>
                <w:szCs w:val="20"/>
              </w:rPr>
              <w:t>98</w:t>
            </w:r>
          </w:p>
        </w:tc>
        <w:tc>
          <w:tcPr>
            <w:tcW w:w="515" w:type="pct"/>
            <w:tcBorders>
              <w:top w:val="nil"/>
              <w:bottom w:val="nil"/>
            </w:tcBorders>
            <w:vAlign w:val="center"/>
          </w:tcPr>
          <w:p w:rsidR="00230EDD" w:rsidRDefault="00230EDD">
            <w:pPr>
              <w:jc w:val="center"/>
              <w:rPr>
                <w:rFonts w:cs="Arial"/>
                <w:szCs w:val="20"/>
              </w:rPr>
            </w:pPr>
            <w:r>
              <w:rPr>
                <w:rFonts w:cs="Arial"/>
                <w:szCs w:val="20"/>
              </w:rPr>
              <w:t>91</w:t>
            </w:r>
          </w:p>
        </w:tc>
        <w:tc>
          <w:tcPr>
            <w:tcW w:w="587" w:type="pct"/>
            <w:tcBorders>
              <w:top w:val="nil"/>
              <w:bottom w:val="nil"/>
            </w:tcBorders>
            <w:vAlign w:val="center"/>
          </w:tcPr>
          <w:p w:rsidR="00230EDD" w:rsidRDefault="00230EDD">
            <w:pPr>
              <w:jc w:val="center"/>
              <w:rPr>
                <w:rFonts w:cs="Arial"/>
                <w:szCs w:val="20"/>
              </w:rPr>
            </w:pPr>
            <w:r>
              <w:rPr>
                <w:rFonts w:cs="Arial"/>
                <w:szCs w:val="20"/>
              </w:rPr>
              <w:t>76</w:t>
            </w:r>
          </w:p>
        </w:tc>
      </w:tr>
      <w:tr w:rsidR="00230EDD" w:rsidRPr="00405CDE" w:rsidTr="00A226E9">
        <w:trPr>
          <w:trHeight w:val="87"/>
        </w:trPr>
        <w:tc>
          <w:tcPr>
            <w:tcW w:w="1152" w:type="pct"/>
            <w:tcBorders>
              <w:top w:val="nil"/>
              <w:bottom w:val="nil"/>
            </w:tcBorders>
            <w:vAlign w:val="center"/>
          </w:tcPr>
          <w:p w:rsidR="00230EDD" w:rsidRDefault="00230EDD">
            <w:pPr>
              <w:rPr>
                <w:rFonts w:cs="Arial"/>
                <w:sz w:val="20"/>
                <w:szCs w:val="20"/>
              </w:rPr>
            </w:pPr>
            <w:r>
              <w:rPr>
                <w:rFonts w:cs="Arial"/>
                <w:sz w:val="20"/>
                <w:szCs w:val="20"/>
              </w:rPr>
              <w:t>Ex post price ($/GJ)</w:t>
            </w:r>
          </w:p>
        </w:tc>
        <w:tc>
          <w:tcPr>
            <w:tcW w:w="589" w:type="pct"/>
            <w:tcBorders>
              <w:top w:val="nil"/>
              <w:bottom w:val="nil"/>
            </w:tcBorders>
            <w:vAlign w:val="center"/>
          </w:tcPr>
          <w:p w:rsidR="00230EDD" w:rsidRDefault="00230EDD">
            <w:pPr>
              <w:jc w:val="center"/>
              <w:rPr>
                <w:rFonts w:cs="Arial"/>
                <w:sz w:val="20"/>
                <w:szCs w:val="20"/>
              </w:rPr>
            </w:pPr>
            <w:r>
              <w:rPr>
                <w:rFonts w:cs="Arial"/>
                <w:sz w:val="20"/>
                <w:szCs w:val="20"/>
              </w:rPr>
              <w:t>8.30</w:t>
            </w:r>
          </w:p>
        </w:tc>
        <w:tc>
          <w:tcPr>
            <w:tcW w:w="516" w:type="pct"/>
            <w:tcBorders>
              <w:top w:val="nil"/>
              <w:bottom w:val="nil"/>
            </w:tcBorders>
            <w:vAlign w:val="center"/>
          </w:tcPr>
          <w:p w:rsidR="00230EDD" w:rsidRDefault="00230EDD">
            <w:pPr>
              <w:jc w:val="center"/>
              <w:rPr>
                <w:rFonts w:cs="Arial"/>
                <w:sz w:val="20"/>
                <w:szCs w:val="20"/>
              </w:rPr>
            </w:pPr>
            <w:r>
              <w:rPr>
                <w:rFonts w:cs="Arial"/>
                <w:sz w:val="20"/>
                <w:szCs w:val="20"/>
              </w:rPr>
              <w:t>10.80</w:t>
            </w:r>
          </w:p>
        </w:tc>
        <w:tc>
          <w:tcPr>
            <w:tcW w:w="598" w:type="pct"/>
            <w:tcBorders>
              <w:top w:val="nil"/>
              <w:bottom w:val="nil"/>
            </w:tcBorders>
            <w:vAlign w:val="center"/>
          </w:tcPr>
          <w:p w:rsidR="00230EDD" w:rsidRDefault="00230EDD">
            <w:pPr>
              <w:jc w:val="center"/>
              <w:rPr>
                <w:rFonts w:cs="Arial"/>
                <w:sz w:val="20"/>
                <w:szCs w:val="20"/>
              </w:rPr>
            </w:pPr>
            <w:r>
              <w:rPr>
                <w:rFonts w:cs="Arial"/>
                <w:sz w:val="20"/>
                <w:szCs w:val="20"/>
              </w:rPr>
              <w:t>9.64</w:t>
            </w:r>
          </w:p>
        </w:tc>
        <w:tc>
          <w:tcPr>
            <w:tcW w:w="525" w:type="pct"/>
            <w:tcBorders>
              <w:top w:val="nil"/>
              <w:bottom w:val="nil"/>
            </w:tcBorders>
            <w:vAlign w:val="center"/>
          </w:tcPr>
          <w:p w:rsidR="00230EDD" w:rsidRDefault="00230EDD">
            <w:pPr>
              <w:jc w:val="center"/>
              <w:rPr>
                <w:rFonts w:cs="Arial"/>
                <w:sz w:val="20"/>
                <w:szCs w:val="20"/>
              </w:rPr>
            </w:pPr>
            <w:r>
              <w:rPr>
                <w:rFonts w:cs="Arial"/>
                <w:sz w:val="20"/>
                <w:szCs w:val="20"/>
              </w:rPr>
              <w:t>9.60</w:t>
            </w:r>
          </w:p>
        </w:tc>
        <w:tc>
          <w:tcPr>
            <w:tcW w:w="518" w:type="pct"/>
            <w:tcBorders>
              <w:top w:val="nil"/>
              <w:bottom w:val="nil"/>
            </w:tcBorders>
            <w:vAlign w:val="center"/>
          </w:tcPr>
          <w:p w:rsidR="00230EDD" w:rsidRDefault="00230EDD">
            <w:pPr>
              <w:jc w:val="center"/>
              <w:rPr>
                <w:rFonts w:cs="Arial"/>
                <w:sz w:val="20"/>
                <w:szCs w:val="20"/>
              </w:rPr>
            </w:pPr>
            <w:r>
              <w:rPr>
                <w:rFonts w:cs="Arial"/>
                <w:sz w:val="20"/>
                <w:szCs w:val="20"/>
              </w:rPr>
              <w:t>10.12</w:t>
            </w:r>
          </w:p>
        </w:tc>
        <w:tc>
          <w:tcPr>
            <w:tcW w:w="515" w:type="pct"/>
            <w:tcBorders>
              <w:top w:val="nil"/>
              <w:bottom w:val="nil"/>
            </w:tcBorders>
            <w:vAlign w:val="center"/>
          </w:tcPr>
          <w:p w:rsidR="00230EDD" w:rsidRDefault="00230EDD">
            <w:pPr>
              <w:jc w:val="center"/>
              <w:rPr>
                <w:rFonts w:cs="Arial"/>
                <w:sz w:val="20"/>
                <w:szCs w:val="20"/>
              </w:rPr>
            </w:pPr>
            <w:r>
              <w:rPr>
                <w:rFonts w:cs="Arial"/>
                <w:sz w:val="20"/>
                <w:szCs w:val="20"/>
              </w:rPr>
              <w:t>8.97</w:t>
            </w:r>
          </w:p>
        </w:tc>
        <w:tc>
          <w:tcPr>
            <w:tcW w:w="587" w:type="pct"/>
            <w:tcBorders>
              <w:top w:val="nil"/>
              <w:bottom w:val="nil"/>
            </w:tcBorders>
            <w:vAlign w:val="center"/>
          </w:tcPr>
          <w:p w:rsidR="00230EDD" w:rsidRDefault="00230EDD">
            <w:pPr>
              <w:jc w:val="center"/>
              <w:rPr>
                <w:rFonts w:cs="Arial"/>
                <w:sz w:val="20"/>
                <w:szCs w:val="20"/>
              </w:rPr>
            </w:pPr>
            <w:r>
              <w:rPr>
                <w:rFonts w:cs="Arial"/>
                <w:sz w:val="20"/>
                <w:szCs w:val="20"/>
              </w:rPr>
              <w:t>9.10</w:t>
            </w:r>
          </w:p>
        </w:tc>
      </w:tr>
      <w:tr w:rsidR="00230EDD"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230EDD" w:rsidRDefault="00230EDD">
            <w:pPr>
              <w:rPr>
                <w:rFonts w:cs="Arial"/>
                <w:szCs w:val="20"/>
              </w:rPr>
            </w:pPr>
            <w:r>
              <w:rPr>
                <w:rFonts w:cs="Arial"/>
                <w:szCs w:val="20"/>
              </w:rPr>
              <w:t>Ex post quantity (TJ)</w:t>
            </w:r>
          </w:p>
        </w:tc>
        <w:tc>
          <w:tcPr>
            <w:tcW w:w="589" w:type="pct"/>
            <w:tcBorders>
              <w:top w:val="nil"/>
              <w:bottom w:val="single" w:sz="4" w:space="0" w:color="auto"/>
            </w:tcBorders>
            <w:vAlign w:val="center"/>
          </w:tcPr>
          <w:p w:rsidR="00230EDD" w:rsidRDefault="00230EDD">
            <w:pPr>
              <w:jc w:val="center"/>
              <w:rPr>
                <w:rFonts w:cs="Arial"/>
                <w:szCs w:val="20"/>
              </w:rPr>
            </w:pPr>
            <w:r>
              <w:rPr>
                <w:rFonts w:cs="Arial"/>
                <w:szCs w:val="20"/>
              </w:rPr>
              <w:t>67</w:t>
            </w:r>
          </w:p>
        </w:tc>
        <w:tc>
          <w:tcPr>
            <w:tcW w:w="516" w:type="pct"/>
            <w:tcBorders>
              <w:top w:val="nil"/>
              <w:bottom w:val="single" w:sz="4" w:space="0" w:color="auto"/>
            </w:tcBorders>
            <w:vAlign w:val="center"/>
          </w:tcPr>
          <w:p w:rsidR="00230EDD" w:rsidRDefault="00230EDD">
            <w:pPr>
              <w:jc w:val="center"/>
              <w:rPr>
                <w:rFonts w:cs="Arial"/>
                <w:szCs w:val="20"/>
              </w:rPr>
            </w:pPr>
            <w:r>
              <w:rPr>
                <w:rFonts w:cs="Arial"/>
                <w:szCs w:val="20"/>
              </w:rPr>
              <w:t>91</w:t>
            </w:r>
          </w:p>
        </w:tc>
        <w:tc>
          <w:tcPr>
            <w:tcW w:w="598" w:type="pct"/>
            <w:tcBorders>
              <w:top w:val="nil"/>
              <w:bottom w:val="single" w:sz="4" w:space="0" w:color="auto"/>
            </w:tcBorders>
            <w:vAlign w:val="center"/>
          </w:tcPr>
          <w:p w:rsidR="00230EDD" w:rsidRDefault="00230EDD">
            <w:pPr>
              <w:jc w:val="center"/>
              <w:rPr>
                <w:rFonts w:cs="Arial"/>
                <w:szCs w:val="20"/>
              </w:rPr>
            </w:pPr>
            <w:r>
              <w:rPr>
                <w:rFonts w:cs="Arial"/>
                <w:szCs w:val="20"/>
              </w:rPr>
              <w:t>96</w:t>
            </w:r>
          </w:p>
        </w:tc>
        <w:tc>
          <w:tcPr>
            <w:tcW w:w="525" w:type="pct"/>
            <w:tcBorders>
              <w:top w:val="nil"/>
              <w:bottom w:val="single" w:sz="4" w:space="0" w:color="auto"/>
            </w:tcBorders>
            <w:vAlign w:val="center"/>
          </w:tcPr>
          <w:p w:rsidR="00230EDD" w:rsidRDefault="00230EDD">
            <w:pPr>
              <w:jc w:val="center"/>
              <w:rPr>
                <w:rFonts w:cs="Arial"/>
                <w:szCs w:val="20"/>
              </w:rPr>
            </w:pPr>
            <w:r>
              <w:rPr>
                <w:rFonts w:cs="Arial"/>
                <w:szCs w:val="20"/>
              </w:rPr>
              <w:t>96</w:t>
            </w:r>
          </w:p>
        </w:tc>
        <w:tc>
          <w:tcPr>
            <w:tcW w:w="518" w:type="pct"/>
            <w:tcBorders>
              <w:top w:val="nil"/>
              <w:bottom w:val="single" w:sz="4" w:space="0" w:color="auto"/>
            </w:tcBorders>
            <w:vAlign w:val="center"/>
          </w:tcPr>
          <w:p w:rsidR="00230EDD" w:rsidRDefault="00230EDD">
            <w:pPr>
              <w:jc w:val="center"/>
              <w:rPr>
                <w:rFonts w:cs="Arial"/>
                <w:szCs w:val="20"/>
              </w:rPr>
            </w:pPr>
            <w:r>
              <w:rPr>
                <w:rFonts w:cs="Arial"/>
                <w:szCs w:val="20"/>
              </w:rPr>
              <w:t>106</w:t>
            </w:r>
          </w:p>
        </w:tc>
        <w:tc>
          <w:tcPr>
            <w:tcW w:w="515" w:type="pct"/>
            <w:tcBorders>
              <w:top w:val="nil"/>
              <w:bottom w:val="single" w:sz="4" w:space="0" w:color="auto"/>
            </w:tcBorders>
            <w:vAlign w:val="center"/>
          </w:tcPr>
          <w:p w:rsidR="00230EDD" w:rsidRDefault="00230EDD">
            <w:pPr>
              <w:jc w:val="center"/>
              <w:rPr>
                <w:rFonts w:cs="Arial"/>
                <w:szCs w:val="20"/>
              </w:rPr>
            </w:pPr>
            <w:r>
              <w:rPr>
                <w:rFonts w:cs="Arial"/>
                <w:szCs w:val="20"/>
              </w:rPr>
              <w:t>93</w:t>
            </w:r>
          </w:p>
        </w:tc>
        <w:tc>
          <w:tcPr>
            <w:tcW w:w="587" w:type="pct"/>
            <w:tcBorders>
              <w:top w:val="nil"/>
              <w:bottom w:val="single" w:sz="4" w:space="0" w:color="auto"/>
            </w:tcBorders>
            <w:vAlign w:val="center"/>
          </w:tcPr>
          <w:p w:rsidR="00230EDD" w:rsidRDefault="00230EDD">
            <w:pPr>
              <w:jc w:val="center"/>
              <w:rPr>
                <w:rFonts w:cs="Arial"/>
                <w:szCs w:val="20"/>
              </w:rPr>
            </w:pPr>
            <w:r>
              <w:rPr>
                <w:rFonts w:cs="Arial"/>
                <w:szCs w:val="20"/>
              </w:rPr>
              <w:t>85</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230EDD" w:rsidP="00EC2CB1">
      <w:r w:rsidRPr="00230EDD">
        <w:rPr>
          <w:noProof/>
          <w:lang w:eastAsia="en-AU"/>
        </w:rPr>
        <w:drawing>
          <wp:inline distT="0" distB="0" distL="0" distR="0" wp14:anchorId="51A0ABBA" wp14:editId="1BE8EBE5">
            <wp:extent cx="5731510" cy="1738095"/>
            <wp:effectExtent l="0" t="0" r="2540" b="0"/>
            <wp:docPr id="17" name="Picture 17" descr="Figure 3.2 shows the daily hub offers and bid in within certain price bands in Adelaid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8095"/>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230EDD" w:rsidP="00EC2CB1">
      <w:r w:rsidRPr="00230EDD">
        <w:rPr>
          <w:noProof/>
          <w:lang w:eastAsia="en-AU"/>
        </w:rPr>
        <w:drawing>
          <wp:inline distT="0" distB="0" distL="0" distR="0" wp14:anchorId="51AE6431" wp14:editId="2A4687E4">
            <wp:extent cx="5731510" cy="1505863"/>
            <wp:effectExtent l="0" t="0" r="2540" b="0"/>
            <wp:docPr id="22" name="Picture 22" descr="Figure 3.3 shows the daily scheduled and allocated quantities sorted by facility for Adelaid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05863"/>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230EDD" w:rsidP="00A226E9">
      <w:r w:rsidRPr="00230EDD">
        <w:rPr>
          <w:noProof/>
          <w:lang w:eastAsia="en-AU"/>
        </w:rPr>
        <w:drawing>
          <wp:inline distT="0" distB="0" distL="0" distR="0" wp14:anchorId="6ED7F25E" wp14:editId="6D79F75B">
            <wp:extent cx="5731510" cy="1805302"/>
            <wp:effectExtent l="0" t="0" r="2540" b="5080"/>
            <wp:docPr id="27" name="Picture 27" descr="Figure 3.4 shows the daily MOS allocations sorted by facility for each facility in Adelaid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530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230EDD" w:rsidRPr="00405CDE" w:rsidTr="00A226E9">
        <w:trPr>
          <w:trHeight w:val="510"/>
        </w:trPr>
        <w:tc>
          <w:tcPr>
            <w:tcW w:w="1152" w:type="pct"/>
            <w:tcBorders>
              <w:top w:val="nil"/>
              <w:bottom w:val="nil"/>
            </w:tcBorders>
            <w:vAlign w:val="center"/>
          </w:tcPr>
          <w:p w:rsidR="00230EDD" w:rsidRDefault="00230EDD">
            <w:pPr>
              <w:rPr>
                <w:rFonts w:cs="Arial"/>
                <w:sz w:val="20"/>
                <w:szCs w:val="20"/>
              </w:rPr>
            </w:pPr>
            <w:r>
              <w:rPr>
                <w:rFonts w:cs="Arial"/>
                <w:sz w:val="20"/>
                <w:szCs w:val="20"/>
              </w:rPr>
              <w:t>Ex ante price ($/GJ)</w:t>
            </w:r>
          </w:p>
        </w:tc>
        <w:tc>
          <w:tcPr>
            <w:tcW w:w="589" w:type="pct"/>
            <w:tcBorders>
              <w:top w:val="nil"/>
              <w:bottom w:val="nil"/>
            </w:tcBorders>
            <w:vAlign w:val="center"/>
          </w:tcPr>
          <w:p w:rsidR="00230EDD" w:rsidRDefault="00230EDD">
            <w:pPr>
              <w:jc w:val="center"/>
              <w:rPr>
                <w:rFonts w:cs="Arial"/>
                <w:sz w:val="20"/>
                <w:szCs w:val="20"/>
              </w:rPr>
            </w:pPr>
            <w:r>
              <w:rPr>
                <w:rFonts w:cs="Arial"/>
                <w:sz w:val="20"/>
                <w:szCs w:val="20"/>
              </w:rPr>
              <w:t>6.19</w:t>
            </w:r>
          </w:p>
        </w:tc>
        <w:tc>
          <w:tcPr>
            <w:tcW w:w="516" w:type="pct"/>
            <w:tcBorders>
              <w:top w:val="nil"/>
              <w:bottom w:val="nil"/>
            </w:tcBorders>
            <w:vAlign w:val="center"/>
          </w:tcPr>
          <w:p w:rsidR="00230EDD" w:rsidRDefault="00230EDD">
            <w:pPr>
              <w:jc w:val="center"/>
              <w:rPr>
                <w:rFonts w:cs="Arial"/>
                <w:sz w:val="20"/>
                <w:szCs w:val="20"/>
              </w:rPr>
            </w:pPr>
            <w:r>
              <w:rPr>
                <w:rFonts w:cs="Arial"/>
                <w:sz w:val="20"/>
                <w:szCs w:val="20"/>
              </w:rPr>
              <w:t>6.70</w:t>
            </w:r>
          </w:p>
        </w:tc>
        <w:tc>
          <w:tcPr>
            <w:tcW w:w="598" w:type="pct"/>
            <w:tcBorders>
              <w:top w:val="nil"/>
              <w:bottom w:val="nil"/>
            </w:tcBorders>
            <w:vAlign w:val="center"/>
          </w:tcPr>
          <w:p w:rsidR="00230EDD" w:rsidRDefault="00230EDD">
            <w:pPr>
              <w:jc w:val="center"/>
              <w:rPr>
                <w:rFonts w:cs="Arial"/>
                <w:sz w:val="20"/>
                <w:szCs w:val="20"/>
              </w:rPr>
            </w:pPr>
            <w:r>
              <w:rPr>
                <w:rFonts w:cs="Arial"/>
                <w:sz w:val="20"/>
                <w:szCs w:val="20"/>
              </w:rPr>
              <w:t>5.95</w:t>
            </w:r>
          </w:p>
        </w:tc>
        <w:tc>
          <w:tcPr>
            <w:tcW w:w="525" w:type="pct"/>
            <w:tcBorders>
              <w:top w:val="nil"/>
              <w:bottom w:val="nil"/>
            </w:tcBorders>
            <w:vAlign w:val="center"/>
          </w:tcPr>
          <w:p w:rsidR="00230EDD" w:rsidRDefault="00230EDD">
            <w:pPr>
              <w:jc w:val="center"/>
              <w:rPr>
                <w:rFonts w:cs="Arial"/>
                <w:sz w:val="20"/>
                <w:szCs w:val="20"/>
              </w:rPr>
            </w:pPr>
            <w:r>
              <w:rPr>
                <w:rFonts w:cs="Arial"/>
                <w:sz w:val="20"/>
                <w:szCs w:val="20"/>
              </w:rPr>
              <w:t>7.50</w:t>
            </w:r>
          </w:p>
        </w:tc>
        <w:tc>
          <w:tcPr>
            <w:tcW w:w="518" w:type="pct"/>
            <w:tcBorders>
              <w:top w:val="nil"/>
              <w:bottom w:val="nil"/>
            </w:tcBorders>
            <w:vAlign w:val="center"/>
          </w:tcPr>
          <w:p w:rsidR="00230EDD" w:rsidRDefault="00230EDD">
            <w:pPr>
              <w:jc w:val="center"/>
              <w:rPr>
                <w:rFonts w:cs="Arial"/>
                <w:sz w:val="20"/>
                <w:szCs w:val="20"/>
              </w:rPr>
            </w:pPr>
            <w:r>
              <w:rPr>
                <w:rFonts w:cs="Arial"/>
                <w:sz w:val="20"/>
                <w:szCs w:val="20"/>
              </w:rPr>
              <w:t>6.80</w:t>
            </w:r>
          </w:p>
        </w:tc>
        <w:tc>
          <w:tcPr>
            <w:tcW w:w="515" w:type="pct"/>
            <w:tcBorders>
              <w:top w:val="nil"/>
              <w:bottom w:val="nil"/>
            </w:tcBorders>
            <w:vAlign w:val="center"/>
          </w:tcPr>
          <w:p w:rsidR="00230EDD" w:rsidRDefault="00230EDD">
            <w:pPr>
              <w:jc w:val="center"/>
              <w:rPr>
                <w:rFonts w:cs="Arial"/>
                <w:sz w:val="20"/>
                <w:szCs w:val="20"/>
              </w:rPr>
            </w:pPr>
            <w:r>
              <w:rPr>
                <w:rFonts w:cs="Arial"/>
                <w:sz w:val="20"/>
                <w:szCs w:val="20"/>
              </w:rPr>
              <w:t>5.45</w:t>
            </w:r>
          </w:p>
        </w:tc>
        <w:tc>
          <w:tcPr>
            <w:tcW w:w="587" w:type="pct"/>
            <w:tcBorders>
              <w:top w:val="nil"/>
              <w:bottom w:val="nil"/>
            </w:tcBorders>
            <w:vAlign w:val="center"/>
          </w:tcPr>
          <w:p w:rsidR="00230EDD" w:rsidRDefault="00230EDD">
            <w:pPr>
              <w:jc w:val="center"/>
              <w:rPr>
                <w:rFonts w:cs="Arial"/>
                <w:sz w:val="20"/>
                <w:szCs w:val="20"/>
              </w:rPr>
            </w:pPr>
            <w:r>
              <w:rPr>
                <w:rFonts w:cs="Arial"/>
                <w:sz w:val="20"/>
                <w:szCs w:val="20"/>
              </w:rPr>
              <w:t>5.81</w:t>
            </w:r>
          </w:p>
        </w:tc>
      </w:tr>
      <w:tr w:rsidR="00230EDD"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230EDD" w:rsidRDefault="00230EDD">
            <w:pPr>
              <w:rPr>
                <w:rFonts w:cs="Arial"/>
                <w:szCs w:val="20"/>
              </w:rPr>
            </w:pPr>
            <w:r>
              <w:rPr>
                <w:rFonts w:cs="Arial"/>
                <w:szCs w:val="20"/>
              </w:rPr>
              <w:t>Ex ante quantity (TJ)</w:t>
            </w:r>
          </w:p>
        </w:tc>
        <w:tc>
          <w:tcPr>
            <w:tcW w:w="589" w:type="pct"/>
            <w:tcBorders>
              <w:top w:val="nil"/>
              <w:bottom w:val="nil"/>
            </w:tcBorders>
            <w:vAlign w:val="center"/>
          </w:tcPr>
          <w:p w:rsidR="00230EDD" w:rsidRDefault="00230EDD">
            <w:pPr>
              <w:jc w:val="center"/>
              <w:rPr>
                <w:rFonts w:cs="Arial"/>
                <w:szCs w:val="20"/>
              </w:rPr>
            </w:pPr>
            <w:r>
              <w:rPr>
                <w:rFonts w:cs="Arial"/>
                <w:szCs w:val="20"/>
              </w:rPr>
              <w:t>86</w:t>
            </w:r>
          </w:p>
        </w:tc>
        <w:tc>
          <w:tcPr>
            <w:tcW w:w="516" w:type="pct"/>
            <w:tcBorders>
              <w:top w:val="nil"/>
              <w:bottom w:val="nil"/>
            </w:tcBorders>
            <w:vAlign w:val="center"/>
          </w:tcPr>
          <w:p w:rsidR="00230EDD" w:rsidRDefault="00230EDD">
            <w:pPr>
              <w:jc w:val="center"/>
              <w:rPr>
                <w:rFonts w:cs="Arial"/>
                <w:szCs w:val="20"/>
              </w:rPr>
            </w:pPr>
            <w:r>
              <w:rPr>
                <w:rFonts w:cs="Arial"/>
                <w:szCs w:val="20"/>
              </w:rPr>
              <w:t>104</w:t>
            </w:r>
          </w:p>
        </w:tc>
        <w:tc>
          <w:tcPr>
            <w:tcW w:w="598" w:type="pct"/>
            <w:tcBorders>
              <w:top w:val="nil"/>
              <w:bottom w:val="nil"/>
            </w:tcBorders>
            <w:vAlign w:val="center"/>
          </w:tcPr>
          <w:p w:rsidR="00230EDD" w:rsidRDefault="00230EDD">
            <w:pPr>
              <w:jc w:val="center"/>
              <w:rPr>
                <w:rFonts w:cs="Arial"/>
                <w:szCs w:val="20"/>
              </w:rPr>
            </w:pPr>
            <w:r>
              <w:rPr>
                <w:rFonts w:cs="Arial"/>
                <w:szCs w:val="20"/>
              </w:rPr>
              <w:t>102</w:t>
            </w:r>
          </w:p>
        </w:tc>
        <w:tc>
          <w:tcPr>
            <w:tcW w:w="525" w:type="pct"/>
            <w:tcBorders>
              <w:top w:val="nil"/>
              <w:bottom w:val="nil"/>
            </w:tcBorders>
            <w:vAlign w:val="center"/>
          </w:tcPr>
          <w:p w:rsidR="00230EDD" w:rsidRDefault="00230EDD">
            <w:pPr>
              <w:jc w:val="center"/>
              <w:rPr>
                <w:rFonts w:cs="Arial"/>
                <w:szCs w:val="20"/>
              </w:rPr>
            </w:pPr>
            <w:r>
              <w:rPr>
                <w:rFonts w:cs="Arial"/>
                <w:szCs w:val="20"/>
              </w:rPr>
              <w:t>103</w:t>
            </w:r>
          </w:p>
        </w:tc>
        <w:tc>
          <w:tcPr>
            <w:tcW w:w="518" w:type="pct"/>
            <w:tcBorders>
              <w:top w:val="nil"/>
              <w:bottom w:val="nil"/>
            </w:tcBorders>
            <w:vAlign w:val="center"/>
          </w:tcPr>
          <w:p w:rsidR="00230EDD" w:rsidRDefault="00230EDD">
            <w:pPr>
              <w:jc w:val="center"/>
              <w:rPr>
                <w:rFonts w:cs="Arial"/>
                <w:szCs w:val="20"/>
              </w:rPr>
            </w:pPr>
            <w:r>
              <w:rPr>
                <w:rFonts w:cs="Arial"/>
                <w:szCs w:val="20"/>
              </w:rPr>
              <w:t>104</w:t>
            </w:r>
          </w:p>
        </w:tc>
        <w:tc>
          <w:tcPr>
            <w:tcW w:w="515" w:type="pct"/>
            <w:tcBorders>
              <w:top w:val="nil"/>
              <w:bottom w:val="nil"/>
            </w:tcBorders>
            <w:vAlign w:val="center"/>
          </w:tcPr>
          <w:p w:rsidR="00230EDD" w:rsidRDefault="00230EDD">
            <w:pPr>
              <w:jc w:val="center"/>
              <w:rPr>
                <w:rFonts w:cs="Arial"/>
                <w:szCs w:val="20"/>
              </w:rPr>
            </w:pPr>
            <w:r>
              <w:rPr>
                <w:rFonts w:cs="Arial"/>
                <w:szCs w:val="20"/>
              </w:rPr>
              <w:t>97</w:t>
            </w:r>
          </w:p>
        </w:tc>
        <w:tc>
          <w:tcPr>
            <w:tcW w:w="587" w:type="pct"/>
            <w:tcBorders>
              <w:top w:val="nil"/>
              <w:bottom w:val="nil"/>
            </w:tcBorders>
            <w:vAlign w:val="center"/>
          </w:tcPr>
          <w:p w:rsidR="00230EDD" w:rsidRDefault="00230EDD">
            <w:pPr>
              <w:jc w:val="center"/>
              <w:rPr>
                <w:rFonts w:cs="Arial"/>
                <w:szCs w:val="20"/>
              </w:rPr>
            </w:pPr>
            <w:r>
              <w:rPr>
                <w:rFonts w:cs="Arial"/>
                <w:szCs w:val="20"/>
              </w:rPr>
              <w:t>82</w:t>
            </w:r>
          </w:p>
        </w:tc>
      </w:tr>
      <w:tr w:rsidR="00230EDD" w:rsidRPr="00405CDE" w:rsidTr="00A226E9">
        <w:trPr>
          <w:trHeight w:val="510"/>
        </w:trPr>
        <w:tc>
          <w:tcPr>
            <w:tcW w:w="1152" w:type="pct"/>
            <w:tcBorders>
              <w:top w:val="nil"/>
              <w:bottom w:val="nil"/>
            </w:tcBorders>
            <w:vAlign w:val="center"/>
          </w:tcPr>
          <w:p w:rsidR="00230EDD" w:rsidRDefault="00230EDD">
            <w:pPr>
              <w:rPr>
                <w:rFonts w:cs="Arial"/>
                <w:sz w:val="20"/>
                <w:szCs w:val="20"/>
              </w:rPr>
            </w:pPr>
            <w:r>
              <w:rPr>
                <w:rFonts w:cs="Arial"/>
                <w:sz w:val="20"/>
                <w:szCs w:val="20"/>
              </w:rPr>
              <w:t>Ex post price ($/GJ)</w:t>
            </w:r>
          </w:p>
        </w:tc>
        <w:tc>
          <w:tcPr>
            <w:tcW w:w="589" w:type="pct"/>
            <w:tcBorders>
              <w:top w:val="nil"/>
              <w:bottom w:val="nil"/>
            </w:tcBorders>
            <w:vAlign w:val="center"/>
          </w:tcPr>
          <w:p w:rsidR="00230EDD" w:rsidRDefault="00230EDD">
            <w:pPr>
              <w:jc w:val="center"/>
              <w:rPr>
                <w:rFonts w:cs="Arial"/>
                <w:sz w:val="20"/>
                <w:szCs w:val="20"/>
              </w:rPr>
            </w:pPr>
            <w:r>
              <w:rPr>
                <w:rFonts w:cs="Arial"/>
                <w:sz w:val="20"/>
                <w:szCs w:val="20"/>
              </w:rPr>
              <w:t>6.19</w:t>
            </w:r>
          </w:p>
        </w:tc>
        <w:tc>
          <w:tcPr>
            <w:tcW w:w="516" w:type="pct"/>
            <w:tcBorders>
              <w:top w:val="nil"/>
              <w:bottom w:val="nil"/>
            </w:tcBorders>
            <w:vAlign w:val="center"/>
          </w:tcPr>
          <w:p w:rsidR="00230EDD" w:rsidRDefault="00230EDD">
            <w:pPr>
              <w:jc w:val="center"/>
              <w:rPr>
                <w:rFonts w:cs="Arial"/>
                <w:sz w:val="20"/>
                <w:szCs w:val="20"/>
              </w:rPr>
            </w:pPr>
            <w:r>
              <w:rPr>
                <w:rFonts w:cs="Arial"/>
                <w:sz w:val="20"/>
                <w:szCs w:val="20"/>
              </w:rPr>
              <w:t>6.70</w:t>
            </w:r>
          </w:p>
        </w:tc>
        <w:tc>
          <w:tcPr>
            <w:tcW w:w="598" w:type="pct"/>
            <w:tcBorders>
              <w:top w:val="nil"/>
              <w:bottom w:val="nil"/>
            </w:tcBorders>
            <w:vAlign w:val="center"/>
          </w:tcPr>
          <w:p w:rsidR="00230EDD" w:rsidRDefault="00230EDD">
            <w:pPr>
              <w:jc w:val="center"/>
              <w:rPr>
                <w:rFonts w:cs="Arial"/>
                <w:sz w:val="20"/>
                <w:szCs w:val="20"/>
              </w:rPr>
            </w:pPr>
            <w:r>
              <w:rPr>
                <w:rFonts w:cs="Arial"/>
                <w:sz w:val="20"/>
                <w:szCs w:val="20"/>
              </w:rPr>
              <w:t>5.81</w:t>
            </w:r>
          </w:p>
        </w:tc>
        <w:tc>
          <w:tcPr>
            <w:tcW w:w="525" w:type="pct"/>
            <w:tcBorders>
              <w:top w:val="nil"/>
              <w:bottom w:val="nil"/>
            </w:tcBorders>
            <w:vAlign w:val="center"/>
          </w:tcPr>
          <w:p w:rsidR="00230EDD" w:rsidRDefault="00230EDD">
            <w:pPr>
              <w:jc w:val="center"/>
              <w:rPr>
                <w:rFonts w:cs="Arial"/>
                <w:sz w:val="20"/>
                <w:szCs w:val="20"/>
              </w:rPr>
            </w:pPr>
            <w:r>
              <w:rPr>
                <w:rFonts w:cs="Arial"/>
                <w:sz w:val="20"/>
                <w:szCs w:val="20"/>
              </w:rPr>
              <w:t>6.07</w:t>
            </w:r>
          </w:p>
        </w:tc>
        <w:tc>
          <w:tcPr>
            <w:tcW w:w="518" w:type="pct"/>
            <w:tcBorders>
              <w:top w:val="nil"/>
              <w:bottom w:val="nil"/>
            </w:tcBorders>
            <w:vAlign w:val="center"/>
          </w:tcPr>
          <w:p w:rsidR="00230EDD" w:rsidRDefault="00230EDD">
            <w:pPr>
              <w:jc w:val="center"/>
              <w:rPr>
                <w:rFonts w:cs="Arial"/>
                <w:sz w:val="20"/>
                <w:szCs w:val="20"/>
              </w:rPr>
            </w:pPr>
            <w:r>
              <w:rPr>
                <w:rFonts w:cs="Arial"/>
                <w:sz w:val="20"/>
                <w:szCs w:val="20"/>
              </w:rPr>
              <w:t>6.80</w:t>
            </w:r>
          </w:p>
        </w:tc>
        <w:tc>
          <w:tcPr>
            <w:tcW w:w="515" w:type="pct"/>
            <w:tcBorders>
              <w:top w:val="nil"/>
              <w:bottom w:val="nil"/>
            </w:tcBorders>
            <w:vAlign w:val="center"/>
          </w:tcPr>
          <w:p w:rsidR="00230EDD" w:rsidRDefault="00230EDD">
            <w:pPr>
              <w:jc w:val="center"/>
              <w:rPr>
                <w:rFonts w:cs="Arial"/>
                <w:sz w:val="20"/>
                <w:szCs w:val="20"/>
              </w:rPr>
            </w:pPr>
            <w:r>
              <w:rPr>
                <w:rFonts w:cs="Arial"/>
                <w:sz w:val="20"/>
                <w:szCs w:val="20"/>
              </w:rPr>
              <w:t>5.45</w:t>
            </w:r>
          </w:p>
        </w:tc>
        <w:tc>
          <w:tcPr>
            <w:tcW w:w="587" w:type="pct"/>
            <w:tcBorders>
              <w:top w:val="nil"/>
              <w:bottom w:val="nil"/>
            </w:tcBorders>
            <w:vAlign w:val="center"/>
          </w:tcPr>
          <w:p w:rsidR="00230EDD" w:rsidRDefault="00230EDD">
            <w:pPr>
              <w:jc w:val="center"/>
              <w:rPr>
                <w:rFonts w:cs="Arial"/>
                <w:sz w:val="20"/>
                <w:szCs w:val="20"/>
              </w:rPr>
            </w:pPr>
            <w:r>
              <w:rPr>
                <w:rFonts w:cs="Arial"/>
                <w:sz w:val="20"/>
                <w:szCs w:val="20"/>
              </w:rPr>
              <w:t>6.90</w:t>
            </w:r>
          </w:p>
        </w:tc>
      </w:tr>
      <w:tr w:rsidR="00230EDD"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230EDD" w:rsidRDefault="00230EDD">
            <w:pPr>
              <w:rPr>
                <w:rFonts w:cs="Arial"/>
                <w:szCs w:val="20"/>
              </w:rPr>
            </w:pPr>
            <w:r>
              <w:rPr>
                <w:rFonts w:cs="Arial"/>
                <w:szCs w:val="20"/>
              </w:rPr>
              <w:t>Ex post quantity (TJ)</w:t>
            </w:r>
          </w:p>
        </w:tc>
        <w:tc>
          <w:tcPr>
            <w:tcW w:w="589" w:type="pct"/>
            <w:tcBorders>
              <w:top w:val="nil"/>
              <w:bottom w:val="single" w:sz="4" w:space="0" w:color="auto"/>
            </w:tcBorders>
            <w:vAlign w:val="center"/>
          </w:tcPr>
          <w:p w:rsidR="00230EDD" w:rsidRDefault="00230EDD">
            <w:pPr>
              <w:jc w:val="center"/>
              <w:rPr>
                <w:rFonts w:cs="Arial"/>
                <w:szCs w:val="20"/>
              </w:rPr>
            </w:pPr>
            <w:r>
              <w:rPr>
                <w:rFonts w:cs="Arial"/>
                <w:szCs w:val="20"/>
              </w:rPr>
              <w:t>86</w:t>
            </w:r>
          </w:p>
        </w:tc>
        <w:tc>
          <w:tcPr>
            <w:tcW w:w="516" w:type="pct"/>
            <w:tcBorders>
              <w:top w:val="nil"/>
              <w:bottom w:val="single" w:sz="4" w:space="0" w:color="auto"/>
            </w:tcBorders>
            <w:vAlign w:val="center"/>
          </w:tcPr>
          <w:p w:rsidR="00230EDD" w:rsidRDefault="00230EDD">
            <w:pPr>
              <w:jc w:val="center"/>
              <w:rPr>
                <w:rFonts w:cs="Arial"/>
                <w:szCs w:val="20"/>
              </w:rPr>
            </w:pPr>
            <w:r>
              <w:rPr>
                <w:rFonts w:cs="Arial"/>
                <w:szCs w:val="20"/>
              </w:rPr>
              <w:t>101</w:t>
            </w:r>
          </w:p>
        </w:tc>
        <w:tc>
          <w:tcPr>
            <w:tcW w:w="598" w:type="pct"/>
            <w:tcBorders>
              <w:top w:val="nil"/>
              <w:bottom w:val="single" w:sz="4" w:space="0" w:color="auto"/>
            </w:tcBorders>
            <w:vAlign w:val="center"/>
          </w:tcPr>
          <w:p w:rsidR="00230EDD" w:rsidRDefault="00230EDD">
            <w:pPr>
              <w:jc w:val="center"/>
              <w:rPr>
                <w:rFonts w:cs="Arial"/>
                <w:szCs w:val="20"/>
              </w:rPr>
            </w:pPr>
            <w:r>
              <w:rPr>
                <w:rFonts w:cs="Arial"/>
                <w:szCs w:val="20"/>
              </w:rPr>
              <w:t>100</w:t>
            </w:r>
          </w:p>
        </w:tc>
        <w:tc>
          <w:tcPr>
            <w:tcW w:w="525" w:type="pct"/>
            <w:tcBorders>
              <w:top w:val="nil"/>
              <w:bottom w:val="single" w:sz="4" w:space="0" w:color="auto"/>
            </w:tcBorders>
            <w:vAlign w:val="center"/>
          </w:tcPr>
          <w:p w:rsidR="00230EDD" w:rsidRDefault="00230EDD">
            <w:pPr>
              <w:jc w:val="center"/>
              <w:rPr>
                <w:rFonts w:cs="Arial"/>
                <w:szCs w:val="20"/>
              </w:rPr>
            </w:pPr>
            <w:r>
              <w:rPr>
                <w:rFonts w:cs="Arial"/>
                <w:szCs w:val="20"/>
              </w:rPr>
              <w:t>100</w:t>
            </w:r>
          </w:p>
        </w:tc>
        <w:tc>
          <w:tcPr>
            <w:tcW w:w="518" w:type="pct"/>
            <w:tcBorders>
              <w:top w:val="nil"/>
              <w:bottom w:val="single" w:sz="4" w:space="0" w:color="auto"/>
            </w:tcBorders>
            <w:vAlign w:val="center"/>
          </w:tcPr>
          <w:p w:rsidR="00230EDD" w:rsidRDefault="00230EDD">
            <w:pPr>
              <w:jc w:val="center"/>
              <w:rPr>
                <w:rFonts w:cs="Arial"/>
                <w:szCs w:val="20"/>
              </w:rPr>
            </w:pPr>
            <w:r>
              <w:rPr>
                <w:rFonts w:cs="Arial"/>
                <w:szCs w:val="20"/>
              </w:rPr>
              <w:t>102</w:t>
            </w:r>
          </w:p>
        </w:tc>
        <w:tc>
          <w:tcPr>
            <w:tcW w:w="515" w:type="pct"/>
            <w:tcBorders>
              <w:top w:val="nil"/>
              <w:bottom w:val="single" w:sz="4" w:space="0" w:color="auto"/>
            </w:tcBorders>
            <w:vAlign w:val="center"/>
          </w:tcPr>
          <w:p w:rsidR="00230EDD" w:rsidRDefault="00230EDD">
            <w:pPr>
              <w:jc w:val="center"/>
              <w:rPr>
                <w:rFonts w:cs="Arial"/>
                <w:szCs w:val="20"/>
              </w:rPr>
            </w:pPr>
            <w:r>
              <w:rPr>
                <w:rFonts w:cs="Arial"/>
                <w:szCs w:val="20"/>
              </w:rPr>
              <w:t>97</w:t>
            </w:r>
          </w:p>
        </w:tc>
        <w:tc>
          <w:tcPr>
            <w:tcW w:w="587" w:type="pct"/>
            <w:tcBorders>
              <w:top w:val="nil"/>
              <w:bottom w:val="single" w:sz="4" w:space="0" w:color="auto"/>
            </w:tcBorders>
            <w:vAlign w:val="center"/>
          </w:tcPr>
          <w:p w:rsidR="00230EDD" w:rsidRDefault="00230EDD">
            <w:pPr>
              <w:jc w:val="center"/>
              <w:rPr>
                <w:rFonts w:cs="Arial"/>
                <w:szCs w:val="20"/>
              </w:rPr>
            </w:pPr>
            <w:r>
              <w:rPr>
                <w:rFonts w:cs="Arial"/>
                <w:szCs w:val="20"/>
              </w:rPr>
              <w:t>84</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230EDD" w:rsidP="00EC2CB1">
      <w:r w:rsidRPr="00230EDD">
        <w:rPr>
          <w:noProof/>
          <w:lang w:eastAsia="en-AU"/>
        </w:rPr>
        <w:drawing>
          <wp:inline distT="0" distB="0" distL="0" distR="0" wp14:anchorId="7B135DF5" wp14:editId="3108829B">
            <wp:extent cx="5731510" cy="1728306"/>
            <wp:effectExtent l="0" t="0" r="2540" b="0"/>
            <wp:docPr id="12" name="Picture 12" descr="Figure 4.2 shows the daily hub offers and bid in within certain price bands in Brisbane this week. The line indicates the scheduled quantity for each day.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8306"/>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230EDD" w:rsidP="00EC2CB1">
      <w:r w:rsidRPr="00230EDD">
        <w:rPr>
          <w:noProof/>
          <w:lang w:eastAsia="en-AU"/>
        </w:rPr>
        <w:drawing>
          <wp:inline distT="0" distB="0" distL="0" distR="0" wp14:anchorId="2E873EDD" wp14:editId="158373DD">
            <wp:extent cx="5731510" cy="1475290"/>
            <wp:effectExtent l="0" t="0" r="2540" b="0"/>
            <wp:docPr id="23" name="Picture 23" descr="Figure 4.3 shows the daily scheduled and allocated quantities sorted by facility for Brisbane this week.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290"/>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230EDD" w:rsidP="00A226E9">
      <w:r w:rsidRPr="00230EDD">
        <w:rPr>
          <w:noProof/>
          <w:lang w:eastAsia="en-AU"/>
        </w:rPr>
        <w:drawing>
          <wp:inline distT="0" distB="0" distL="0" distR="0" wp14:anchorId="6F009503" wp14:editId="046188FB">
            <wp:extent cx="5731510" cy="1883831"/>
            <wp:effectExtent l="0" t="0" r="2540" b="2540"/>
            <wp:docPr id="24" name="Picture 24" descr="Figure 4.4 shows the daily MOS allocations sorted by facility for each facility in Brisbane this week. The figure also shows the daily breakdown of costs associated with the MOS provided.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3831"/>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4C571B" w:rsidRDefault="00551D6B" w:rsidP="00551D6B">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9"/>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0"/>
      </w:r>
      <w:r>
        <w:t xml:space="preserve"> are provided for gas markets </w:t>
      </w:r>
      <w:r w:rsidR="00817724">
        <w:t>and gas supply hubs. Average daily quantities are provided for</w:t>
      </w:r>
      <w:r>
        <w:t xml:space="preserve"> gas powered generation for each region.</w:t>
      </w:r>
    </w:p>
    <w:p w:rsidR="004C571B" w:rsidRDefault="00551D6B" w:rsidP="00551D6B">
      <w:pPr>
        <w:pStyle w:val="Caption"/>
        <w:numPr>
          <w:ilvl w:val="0"/>
          <w:numId w:val="33"/>
        </w:numPr>
        <w:ind w:left="1418" w:hanging="1418"/>
        <w:rPr>
          <w:color w:val="2272A3"/>
          <w:szCs w:val="24"/>
        </w:rPr>
      </w:pPr>
      <w:r w:rsidRPr="00DD0358">
        <w:rPr>
          <w:color w:val="2272A3"/>
          <w:szCs w:val="24"/>
        </w:rPr>
        <w:t>Gas mar</w:t>
      </w:r>
      <w:bookmarkStart w:id="6" w:name="_GoBack"/>
      <w:bookmarkEnd w:id="6"/>
      <w:r w:rsidRPr="00DD0358">
        <w:rPr>
          <w:color w:val="2272A3"/>
          <w:szCs w:val="24"/>
        </w:rPr>
        <w:t>ket data ($/GJ, TJ); Production and Pipeline flows (TJ)</w:t>
      </w:r>
    </w:p>
    <w:p w:rsidR="00665C0C" w:rsidRDefault="0067291B">
      <w:pPr>
        <w:spacing w:line="240" w:lineRule="auto"/>
      </w:pPr>
      <w:r>
        <w:rPr>
          <w:b/>
          <w:bCs/>
          <w:noProof/>
          <w:lang w:eastAsia="en-AU"/>
        </w:rPr>
        <w:drawing>
          <wp:inline distT="0" distB="0" distL="0" distR="0">
            <wp:extent cx="5731510" cy="6140538"/>
            <wp:effectExtent l="0" t="0" r="2540" b="0"/>
            <wp:docPr id="8" name="Picture 8"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140538"/>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E16EDC" w:rsidRDefault="00551D6B" w:rsidP="00551D6B">
      <w:pPr>
        <w:jc w:val="both"/>
      </w:pPr>
      <w:r>
        <w:t xml:space="preserve">The Gas Supply </w:t>
      </w:r>
      <w:r w:rsidRPr="00552F68">
        <w:t xml:space="preserve">Hub </w:t>
      </w:r>
      <w:r w:rsidRPr="00552F68">
        <w:rPr>
          <w:b/>
          <w:bCs/>
        </w:rPr>
        <w:t>(GSH)</w:t>
      </w:r>
      <w:r w:rsidRPr="00552F68">
        <w:t xml:space="preserve"> was established</w:t>
      </w:r>
      <w:r w:rsidR="00E06937" w:rsidRPr="00552F68">
        <w:t xml:space="preserve"> in March 2014</w:t>
      </w:r>
      <w:r w:rsidRPr="00552F68">
        <w:t xml:space="preserve"> for the trading of gas at Wallumbilla. The GSH is a voluntary market</w:t>
      </w:r>
      <w:r w:rsidRPr="00552F68">
        <w:rPr>
          <w:rStyle w:val="FootnoteReference"/>
        </w:rPr>
        <w:footnoteReference w:id="11"/>
      </w:r>
      <w:r w:rsidRPr="00552F68">
        <w:t xml:space="preserve"> for the supply of gas traded</w:t>
      </w:r>
      <w:r w:rsidR="006A1226">
        <w:rPr>
          <w:rStyle w:val="FootnoteReference"/>
        </w:rPr>
        <w:footnoteReference w:id="12"/>
      </w:r>
      <w:r w:rsidRPr="00552F68">
        <w:t xml:space="preserve"> between separate participants, with products listed for sale and purchase at delivery points on three major connecting pipelines at Wallumbilla – the </w:t>
      </w:r>
      <w:r w:rsidRPr="00552F68">
        <w:rPr>
          <w:b/>
        </w:rPr>
        <w:t>QGP</w:t>
      </w:r>
      <w:r w:rsidRPr="00552F68">
        <w:t xml:space="preserve">, the </w:t>
      </w:r>
      <w:r w:rsidRPr="00552F68">
        <w:rPr>
          <w:b/>
        </w:rPr>
        <w:t>SWQP</w:t>
      </w:r>
      <w:r w:rsidRPr="00552F68">
        <w:t xml:space="preserve"> and the </w:t>
      </w:r>
      <w:r w:rsidRPr="00552F68">
        <w:rPr>
          <w:b/>
        </w:rPr>
        <w:t>RBP</w:t>
      </w:r>
      <w:r w:rsidRPr="00552F68">
        <w:t>. There are separate products for each pipeline (each pipeline is considered a trading location, and each has a number of delivery points) and delivery period (daily, day-ahead, balance-of-day</w:t>
      </w:r>
      <w:r w:rsidR="00E06937" w:rsidRPr="00552F68">
        <w:t>,</w:t>
      </w:r>
      <w:r w:rsidRPr="00552F68">
        <w:t xml:space="preserve"> weekly</w:t>
      </w:r>
      <w:r w:rsidR="00E06937" w:rsidRPr="00552F68">
        <w:t xml:space="preserve"> and monthly products</w:t>
      </w:r>
      <w:r w:rsidRPr="00552F68">
        <w:t>).</w:t>
      </w:r>
      <w:r w:rsidR="00E06937" w:rsidRPr="00552F68">
        <w:rPr>
          <w:color w:val="FF0000"/>
        </w:rPr>
        <w:t xml:space="preserve"> </w:t>
      </w:r>
      <w:r w:rsidR="00E06937" w:rsidRPr="00552F68">
        <w:t xml:space="preserve">In June 2016, a new supply hub at Moomba was created to facilitate trade on the </w:t>
      </w:r>
      <w:r w:rsidR="00E06937" w:rsidRPr="000E7D8C">
        <w:rPr>
          <w:b/>
        </w:rPr>
        <w:t>MAP</w:t>
      </w:r>
      <w:r w:rsidR="00E06937" w:rsidRPr="00552F68">
        <w:t xml:space="preserve"> and </w:t>
      </w:r>
      <w:r w:rsidR="00E06937" w:rsidRPr="000E7D8C">
        <w:rPr>
          <w:b/>
        </w:rPr>
        <w:t>MSP</w:t>
      </w:r>
      <w:r w:rsidR="00E06937" w:rsidRPr="00552F68">
        <w:t>, and also allow for trading between the Wallumbilla and Moomba markets on the SWQP through a spread product</w:t>
      </w:r>
      <w:r w:rsidR="001C3452" w:rsidRPr="00552F68">
        <w:t xml:space="preserve"> (representing the price differential between the two hubs)</w:t>
      </w:r>
      <w:r w:rsidR="00E06937" w:rsidRPr="00552F68">
        <w:t>.</w:t>
      </w:r>
      <w:r w:rsidR="00337F4F" w:rsidRPr="00552F68">
        <w:t xml:space="preserve"> </w:t>
      </w:r>
    </w:p>
    <w:p w:rsidR="00856183" w:rsidRPr="00336E98" w:rsidRDefault="00EF7E69" w:rsidP="00551D6B">
      <w:pPr>
        <w:jc w:val="both"/>
      </w:pPr>
      <w:r w:rsidRPr="00336E98">
        <w:t>There were 1</w:t>
      </w:r>
      <w:r w:rsidR="00856183" w:rsidRPr="00336E98">
        <w:t>7</w:t>
      </w:r>
      <w:r w:rsidRPr="00336E98">
        <w:t xml:space="preserve"> trades for 90 TJ of gas this week at a volume weighted price of $6.</w:t>
      </w:r>
      <w:r w:rsidR="00856183" w:rsidRPr="00336E98">
        <w:t>21</w:t>
      </w:r>
      <w:r w:rsidRPr="00336E98">
        <w:t>/GJ. Day-ahead and daily products were traded on the RBP (74 TJ, $6.</w:t>
      </w:r>
      <w:r w:rsidR="00856183" w:rsidRPr="00336E98">
        <w:t>2</w:t>
      </w:r>
      <w:r w:rsidRPr="00336E98">
        <w:t xml:space="preserve">1/GJ) and SWQP (10 TJ, $6.35/GJ). In addition to these trades, there was also an off-market non-netted product trade for </w:t>
      </w:r>
      <w:r w:rsidR="00856183" w:rsidRPr="00336E98">
        <w:t>6</w:t>
      </w:r>
      <w:r w:rsidRPr="00336E98">
        <w:t xml:space="preserve"> TJ of gas at $</w:t>
      </w:r>
      <w:r w:rsidR="00856183" w:rsidRPr="00336E98">
        <w:t>6</w:t>
      </w:r>
      <w:r w:rsidRPr="00336E98">
        <w:t xml:space="preserve">/GJ for delivery on the </w:t>
      </w:r>
      <w:r w:rsidR="00856183" w:rsidRPr="00336E98">
        <w:t>RBP</w:t>
      </w:r>
      <w:r w:rsidRPr="00336E98">
        <w:t>.</w:t>
      </w:r>
      <w:r w:rsidR="003F4148" w:rsidRPr="00336E98">
        <w:t xml:space="preserve"> </w:t>
      </w:r>
    </w:p>
    <w:p w:rsidR="000C1A94" w:rsidRPr="00E06937" w:rsidRDefault="000C1A94" w:rsidP="00551D6B">
      <w:pPr>
        <w:jc w:val="both"/>
      </w:pPr>
      <w:r w:rsidRPr="00552F68">
        <w:t xml:space="preserve">Figure 6.1 shows the </w:t>
      </w:r>
      <w:r w:rsidR="00F65699" w:rsidRPr="00552F68">
        <w:t>quantity of gas</w:t>
      </w:r>
      <w:r w:rsidRPr="00552F68">
        <w:t xml:space="preserve"> traded </w:t>
      </w:r>
      <w:r w:rsidR="001934E9" w:rsidRPr="00552F68">
        <w:t>by product type for each trading day on pipeline trading locations in the Wallumbilla and Moomba Gas Supply Hubs.</w:t>
      </w:r>
      <w:r w:rsidR="001934E9">
        <w:t xml:space="preserve"> </w:t>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230EDD" w:rsidP="00E16EDC">
      <w:r w:rsidRPr="00230EDD">
        <w:rPr>
          <w:noProof/>
          <w:lang w:eastAsia="en-AU"/>
        </w:rPr>
        <w:drawing>
          <wp:inline distT="0" distB="0" distL="0" distR="0" wp14:anchorId="73BD6A72" wp14:editId="44A98436">
            <wp:extent cx="5731510" cy="3122393"/>
            <wp:effectExtent l="0" t="0" r="2540" b="1905"/>
            <wp:docPr id="30" name="Picture 30" descr="Figure 6.1 shows the daily quantity of gas traded during the week at each trading location. In the Moomba hub, trading locations include registered facilities at MSP (SWQP) and MAP. In the Wallumbilla hub, trading locations include registered facilities at RBP, SWQP and QGP, and registered/alternate delivery points for non-netted product trades (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2393"/>
                    </a:xfrm>
                    <a:prstGeom prst="rect">
                      <a:avLst/>
                    </a:prstGeom>
                    <a:noFill/>
                    <a:ln>
                      <a:noFill/>
                    </a:ln>
                  </pic:spPr>
                </pic:pic>
              </a:graphicData>
            </a:graphic>
          </wp:inline>
        </w:drawing>
      </w:r>
    </w:p>
    <w:bookmarkEnd w:id="0"/>
    <w:bookmarkEnd w:id="1"/>
    <w:bookmarkEnd w:id="2"/>
    <w:bookmarkEnd w:id="3"/>
    <w:bookmarkEnd w:id="4"/>
    <w:bookmarkEnd w:id="5"/>
    <w:p w:rsidR="00EB357C" w:rsidRPr="001F5FED" w:rsidRDefault="00EB357C" w:rsidP="00EB357C">
      <w:pPr>
        <w:rPr>
          <w:sz w:val="16"/>
          <w:szCs w:val="16"/>
        </w:rPr>
      </w:pPr>
      <w:r w:rsidRPr="001F5FED">
        <w:rPr>
          <w:sz w:val="16"/>
          <w:szCs w:val="16"/>
        </w:rPr>
        <w:t>WAL* = Wallumbilla non</w:t>
      </w:r>
      <w:r w:rsidRPr="001F5FED">
        <w:rPr>
          <w:sz w:val="16"/>
          <w:szCs w:val="16"/>
        </w:rPr>
        <w:noBreakHyphen/>
        <w:t>netted product (off-market trade at a specified delivery point)</w:t>
      </w:r>
    </w:p>
    <w:p w:rsidR="00275002" w:rsidRPr="009F2CAC" w:rsidRDefault="00275002" w:rsidP="00783D4E">
      <w:pPr>
        <w:pStyle w:val="Heading4notnumbered"/>
      </w:pPr>
      <w:r w:rsidRPr="00D92E07">
        <w:t>Australian Energy Regulator</w:t>
      </w:r>
      <w:r w:rsidR="005B0EF5" w:rsidRPr="00D92E07">
        <w:br/>
      </w:r>
      <w:r w:rsidR="00230EDD">
        <w:t>August 2016</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7B59" w:rsidRDefault="000C7B59" w:rsidP="004B4412">
      <w:pPr>
        <w:spacing w:before="0"/>
      </w:pPr>
      <w:r>
        <w:separator/>
      </w:r>
    </w:p>
  </w:endnote>
  <w:endnote w:type="continuationSeparator" w:id="0">
    <w:p w:rsidR="000C7B59" w:rsidRDefault="000C7B59"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B59" w:rsidRPr="00A91A9E" w:rsidRDefault="000C7B59"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0C7B59" w:rsidRDefault="000C7B59"/>
  <w:p w:rsidR="000C7B59" w:rsidRDefault="000C7B5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B59" w:rsidRPr="00A94D89" w:rsidRDefault="000C7B59"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EE40B5">
      <w:rPr>
        <w:rFonts w:cs="Arial"/>
        <w:i/>
        <w:noProof/>
      </w:rPr>
      <w:t>12</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B59" w:rsidRPr="00A94D89" w:rsidRDefault="000C7B59"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EE40B5">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D16/</w:t>
    </w:r>
    <w:r>
      <w:rPr>
        <w:rFonts w:cs="Arial"/>
        <w:i/>
        <w:szCs w:val="18"/>
      </w:rPr>
      <w:t>110966</w:t>
    </w:r>
  </w:p>
  <w:p w:rsidR="000C7B59" w:rsidRDefault="000C7B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7B59" w:rsidRDefault="000C7B59" w:rsidP="004B4412">
      <w:pPr>
        <w:spacing w:before="0"/>
      </w:pPr>
      <w:r>
        <w:separator/>
      </w:r>
    </w:p>
  </w:footnote>
  <w:footnote w:type="continuationSeparator" w:id="0">
    <w:p w:rsidR="000C7B59" w:rsidRDefault="000C7B59" w:rsidP="004B4412">
      <w:pPr>
        <w:spacing w:before="0"/>
      </w:pPr>
      <w:r>
        <w:continuationSeparator/>
      </w:r>
    </w:p>
  </w:footnote>
  <w:footnote w:id="1">
    <w:p w:rsidR="000C7B59" w:rsidRPr="000835F4" w:rsidRDefault="000C7B59"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with the exception of Gas Supply Hubs (GSH). </w:t>
      </w:r>
      <w:r w:rsidRPr="00EC137F">
        <w:rPr>
          <w:szCs w:val="16"/>
        </w:rPr>
        <w:t>The weighted average daily imbalance price applies for Victoria. The prices shown for the GSH in Wallumbilla and Moomba are volume weighted average prices for all products traded across the period. The total quantity contributing to the weighted price is displayed for these GSH.</w:t>
      </w:r>
    </w:p>
  </w:footnote>
  <w:footnote w:id="2">
    <w:p w:rsidR="000C7B59" w:rsidRDefault="000C7B59">
      <w:pPr>
        <w:pStyle w:val="FootnoteText"/>
      </w:pPr>
      <w:r>
        <w:rPr>
          <w:rStyle w:val="FootnoteReference"/>
        </w:rPr>
        <w:footnoteRef/>
      </w:r>
      <w:r>
        <w:t xml:space="preserve"> </w:t>
      </w:r>
      <w:r>
        <w:tab/>
        <w:t>With the exception of Adelaide on Monday 1 August, where the ex ante price was just over $10/GJ.</w:t>
      </w:r>
    </w:p>
  </w:footnote>
  <w:footnote w:id="3">
    <w:p w:rsidR="000C7B59" w:rsidRPr="00EC2CB1" w:rsidRDefault="000C7B59"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4">
    <w:p w:rsidR="000C7B59" w:rsidRPr="00EC2CB1" w:rsidRDefault="000C7B59"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5">
    <w:p w:rsidR="000C7B59" w:rsidRPr="00EC2CB1" w:rsidRDefault="000C7B59"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6">
    <w:p w:rsidR="000C7B59" w:rsidRPr="00551D6B" w:rsidRDefault="000C7B59"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7">
    <w:p w:rsidR="000C7B59" w:rsidRPr="00551D6B" w:rsidRDefault="000C7B59"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8">
    <w:p w:rsidR="000C7B59" w:rsidRPr="00552F68" w:rsidRDefault="000C7B59"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9">
    <w:p w:rsidR="000C7B59" w:rsidRDefault="000C7B59" w:rsidP="00034A40">
      <w:pPr>
        <w:pStyle w:val="FootnoteText"/>
        <w:spacing w:before="0"/>
        <w:ind w:left="709" w:hanging="709"/>
        <w:jc w:val="both"/>
        <w:rPr>
          <w:sz w:val="20"/>
          <w:szCs w:val="16"/>
        </w:rPr>
      </w:pPr>
      <w:r w:rsidRPr="00552F68">
        <w:rPr>
          <w:rStyle w:val="FootnoteReference"/>
          <w:sz w:val="20"/>
          <w:szCs w:val="16"/>
        </w:rPr>
        <w:footnoteRef/>
      </w:r>
      <w:r w:rsidRPr="00552F68">
        <w:rPr>
          <w:sz w:val="20"/>
          <w:szCs w:val="16"/>
        </w:rPr>
        <w:t xml:space="preserve"> </w:t>
      </w:r>
      <w:r w:rsidRPr="00552F68">
        <w:rPr>
          <w:sz w:val="20"/>
          <w:szCs w:val="16"/>
        </w:rPr>
        <w:tab/>
      </w:r>
      <w:r w:rsidRPr="00552F68">
        <w:rPr>
          <w:b/>
          <w:sz w:val="20"/>
          <w:szCs w:val="16"/>
        </w:rPr>
        <w:t>Domestic gas flows</w:t>
      </w:r>
      <w:r w:rsidRPr="00552F68">
        <w:rPr>
          <w:sz w:val="20"/>
          <w:szCs w:val="16"/>
        </w:rPr>
        <w:t xml:space="preserve"> are calculated as the total of:  </w:t>
      </w:r>
      <w:r w:rsidRPr="00552F68">
        <w:rPr>
          <w:b/>
          <w:sz w:val="20"/>
          <w:szCs w:val="16"/>
        </w:rPr>
        <w:t>SA</w:t>
      </w:r>
      <w:r w:rsidRPr="00552F68">
        <w:rPr>
          <w:sz w:val="20"/>
          <w:szCs w:val="16"/>
        </w:rPr>
        <w:t xml:space="preserve"> = MAP + SEAGAS</w:t>
      </w:r>
      <w:r>
        <w:rPr>
          <w:sz w:val="20"/>
          <w:szCs w:val="16"/>
        </w:rPr>
        <w:t>;</w:t>
      </w:r>
      <w:r w:rsidRPr="00552F68">
        <w:rPr>
          <w:sz w:val="20"/>
          <w:szCs w:val="16"/>
        </w:rPr>
        <w:t xml:space="preserve"> </w:t>
      </w:r>
      <w:r w:rsidRPr="00552F68">
        <w:rPr>
          <w:b/>
          <w:sz w:val="20"/>
          <w:szCs w:val="16"/>
        </w:rPr>
        <w:t>VIC</w:t>
      </w:r>
      <w:r w:rsidRPr="00552F68">
        <w:rPr>
          <w:sz w:val="20"/>
          <w:szCs w:val="16"/>
        </w:rPr>
        <w:t xml:space="preserve"> = SWP + LMP </w:t>
      </w:r>
      <w:r>
        <w:rPr>
          <w:sz w:val="20"/>
          <w:szCs w:val="16"/>
        </w:rPr>
        <w:t>+ (absolute quantity of</w:t>
      </w:r>
      <w:r w:rsidRPr="00552F68">
        <w:rPr>
          <w:sz w:val="20"/>
          <w:szCs w:val="16"/>
        </w:rPr>
        <w:t xml:space="preserve"> negative</w:t>
      </w:r>
      <w:r>
        <w:rPr>
          <w:sz w:val="20"/>
          <w:szCs w:val="16"/>
        </w:rPr>
        <w:t xml:space="preserve"> flows only on the ‘</w:t>
      </w:r>
      <w:r w:rsidRPr="00552F68">
        <w:rPr>
          <w:sz w:val="20"/>
          <w:szCs w:val="16"/>
        </w:rPr>
        <w:t>NSW-VIC</w:t>
      </w:r>
      <w:r>
        <w:rPr>
          <w:sz w:val="20"/>
          <w:szCs w:val="16"/>
        </w:rPr>
        <w:t> </w:t>
      </w:r>
      <w:proofErr w:type="gramStart"/>
      <w:r>
        <w:rPr>
          <w:sz w:val="20"/>
          <w:szCs w:val="16"/>
        </w:rPr>
        <w:t>interconnect</w:t>
      </w:r>
      <w:proofErr w:type="gramEnd"/>
      <w:r>
        <w:rPr>
          <w:sz w:val="20"/>
          <w:szCs w:val="16"/>
        </w:rPr>
        <w:t>’</w:t>
      </w:r>
      <w:r w:rsidRPr="00552F68">
        <w:rPr>
          <w:sz w:val="20"/>
          <w:szCs w:val="16"/>
        </w:rPr>
        <w:t>)</w:t>
      </w:r>
      <w:r>
        <w:rPr>
          <w:sz w:val="20"/>
          <w:szCs w:val="16"/>
        </w:rPr>
        <w:t>;</w:t>
      </w:r>
      <w:r w:rsidRPr="00552F68">
        <w:rPr>
          <w:sz w:val="20"/>
          <w:szCs w:val="16"/>
        </w:rPr>
        <w:t xml:space="preserve"> </w:t>
      </w:r>
      <w:r w:rsidRPr="00552F68">
        <w:rPr>
          <w:b/>
          <w:sz w:val="20"/>
          <w:szCs w:val="16"/>
        </w:rPr>
        <w:t>NSW/ACT</w:t>
      </w:r>
      <w:r w:rsidRPr="00552F68">
        <w:rPr>
          <w:sz w:val="20"/>
          <w:szCs w:val="16"/>
        </w:rPr>
        <w:t xml:space="preserve"> = EGP + MSP</w:t>
      </w:r>
      <w:r>
        <w:rPr>
          <w:sz w:val="20"/>
          <w:szCs w:val="16"/>
        </w:rPr>
        <w:t>;</w:t>
      </w:r>
      <w:r w:rsidRPr="00552F68">
        <w:rPr>
          <w:sz w:val="20"/>
          <w:szCs w:val="16"/>
        </w:rPr>
        <w:t xml:space="preserve"> </w:t>
      </w:r>
      <w:r w:rsidRPr="00552F68">
        <w:rPr>
          <w:b/>
          <w:sz w:val="20"/>
          <w:szCs w:val="16"/>
        </w:rPr>
        <w:t>TAS</w:t>
      </w:r>
      <w:r w:rsidRPr="00552F68">
        <w:rPr>
          <w:sz w:val="20"/>
          <w:szCs w:val="16"/>
        </w:rPr>
        <w:t xml:space="preserve"> = TGP</w:t>
      </w:r>
      <w:r>
        <w:rPr>
          <w:sz w:val="20"/>
          <w:szCs w:val="16"/>
        </w:rPr>
        <w:t>;</w:t>
      </w:r>
      <w:r w:rsidRPr="00552F68">
        <w:rPr>
          <w:sz w:val="20"/>
          <w:szCs w:val="16"/>
        </w:rPr>
        <w:t xml:space="preserve"> </w:t>
      </w:r>
      <w:r w:rsidRPr="00552F68">
        <w:rPr>
          <w:b/>
          <w:sz w:val="20"/>
          <w:szCs w:val="16"/>
        </w:rPr>
        <w:t>QLD (Brisbane)</w:t>
      </w:r>
      <w:r w:rsidRPr="00552F68">
        <w:rPr>
          <w:sz w:val="20"/>
          <w:szCs w:val="16"/>
        </w:rPr>
        <w:t xml:space="preserve"> = RBP</w:t>
      </w:r>
      <w:r>
        <w:rPr>
          <w:sz w:val="20"/>
          <w:szCs w:val="16"/>
        </w:rPr>
        <w:t>;</w:t>
      </w:r>
      <w:r w:rsidRPr="00552F68">
        <w:rPr>
          <w:sz w:val="20"/>
          <w:szCs w:val="16"/>
        </w:rPr>
        <w:t xml:space="preserve"> </w:t>
      </w:r>
      <w:r w:rsidRPr="00552F68">
        <w:rPr>
          <w:b/>
          <w:sz w:val="20"/>
          <w:szCs w:val="16"/>
        </w:rPr>
        <w:t>QLD (Mt Isa)</w:t>
      </w:r>
      <w:r w:rsidRPr="00552F68">
        <w:rPr>
          <w:sz w:val="20"/>
          <w:szCs w:val="16"/>
        </w:rPr>
        <w:t xml:space="preserve"> = CGP</w:t>
      </w:r>
      <w:r>
        <w:rPr>
          <w:sz w:val="20"/>
          <w:szCs w:val="16"/>
        </w:rPr>
        <w:t>;</w:t>
      </w:r>
      <w:r w:rsidRPr="00552F68">
        <w:rPr>
          <w:sz w:val="20"/>
          <w:szCs w:val="16"/>
        </w:rPr>
        <w:t xml:space="preserve"> </w:t>
      </w:r>
      <w:r>
        <w:rPr>
          <w:sz w:val="20"/>
          <w:szCs w:val="16"/>
        </w:rPr>
        <w:t xml:space="preserve">and </w:t>
      </w:r>
      <w:r w:rsidRPr="00552F68">
        <w:rPr>
          <w:b/>
          <w:sz w:val="20"/>
          <w:szCs w:val="16"/>
        </w:rPr>
        <w:t>QLD (Gladstone)</w:t>
      </w:r>
      <w:r w:rsidRPr="00552F68">
        <w:rPr>
          <w:sz w:val="20"/>
          <w:szCs w:val="16"/>
        </w:rPr>
        <w:t xml:space="preserve"> = QGP. </w:t>
      </w:r>
    </w:p>
    <w:p w:rsidR="000C7B59" w:rsidRPr="00552F68" w:rsidRDefault="000C7B59" w:rsidP="003D30EE">
      <w:pPr>
        <w:pStyle w:val="FootnoteText"/>
        <w:spacing w:before="0"/>
        <w:ind w:left="709"/>
        <w:jc w:val="both"/>
        <w:rPr>
          <w:sz w:val="20"/>
          <w:szCs w:val="16"/>
        </w:rPr>
      </w:pPr>
      <w:r w:rsidRPr="00552F68">
        <w:rPr>
          <w:b/>
          <w:sz w:val="20"/>
          <w:szCs w:val="16"/>
        </w:rPr>
        <w:t xml:space="preserve">Export gas flows </w:t>
      </w:r>
      <w:r w:rsidRPr="00552F68">
        <w:rPr>
          <w:sz w:val="20"/>
          <w:szCs w:val="16"/>
        </w:rPr>
        <w:t xml:space="preserve">are calculated as the total of: </w:t>
      </w:r>
      <w:r>
        <w:rPr>
          <w:sz w:val="20"/>
          <w:szCs w:val="16"/>
        </w:rPr>
        <w:t xml:space="preserve">the </w:t>
      </w:r>
      <w:r w:rsidRPr="00552F68">
        <w:rPr>
          <w:sz w:val="20"/>
          <w:szCs w:val="16"/>
        </w:rPr>
        <w:t>APLNG pipeline</w:t>
      </w:r>
      <w:r>
        <w:rPr>
          <w:sz w:val="20"/>
          <w:szCs w:val="16"/>
        </w:rPr>
        <w:t>;</w:t>
      </w:r>
      <w:r w:rsidRPr="00552F68">
        <w:rPr>
          <w:sz w:val="20"/>
          <w:szCs w:val="16"/>
        </w:rPr>
        <w:t xml:space="preserve"> </w:t>
      </w:r>
      <w:r>
        <w:rPr>
          <w:sz w:val="20"/>
          <w:szCs w:val="16"/>
        </w:rPr>
        <w:t xml:space="preserve">the </w:t>
      </w:r>
      <w:r w:rsidRPr="00552F68">
        <w:rPr>
          <w:sz w:val="20"/>
          <w:szCs w:val="16"/>
        </w:rPr>
        <w:t>GLNG pipeline</w:t>
      </w:r>
      <w:r>
        <w:rPr>
          <w:sz w:val="20"/>
          <w:szCs w:val="16"/>
        </w:rPr>
        <w:t>;</w:t>
      </w:r>
      <w:r w:rsidRPr="00552F68">
        <w:rPr>
          <w:sz w:val="20"/>
          <w:szCs w:val="16"/>
        </w:rPr>
        <w:t xml:space="preserve"> </w:t>
      </w:r>
      <w:r>
        <w:rPr>
          <w:sz w:val="20"/>
          <w:szCs w:val="16"/>
        </w:rPr>
        <w:t xml:space="preserve">and the </w:t>
      </w:r>
      <w:r w:rsidRPr="00552F68">
        <w:rPr>
          <w:sz w:val="20"/>
          <w:szCs w:val="16"/>
        </w:rPr>
        <w:t>Wallumbilla to Gladstone pipeline.</w:t>
      </w:r>
    </w:p>
    <w:p w:rsidR="000C7B59" w:rsidRPr="00552F68" w:rsidRDefault="000C7B59" w:rsidP="00551D6B">
      <w:pPr>
        <w:pStyle w:val="FootnoteText"/>
        <w:spacing w:before="0"/>
        <w:ind w:left="709"/>
        <w:jc w:val="both"/>
        <w:rPr>
          <w:sz w:val="20"/>
          <w:szCs w:val="16"/>
        </w:rPr>
      </w:pPr>
      <w:r w:rsidRPr="00552F68">
        <w:rPr>
          <w:b/>
          <w:sz w:val="20"/>
          <w:szCs w:val="16"/>
        </w:rPr>
        <w:t>GPG volumes</w:t>
      </w:r>
      <w:r w:rsidRPr="00552F68">
        <w:rPr>
          <w:sz w:val="20"/>
          <w:szCs w:val="16"/>
        </w:rPr>
        <w:t xml:space="preserve"> may include gas usage that does not show up on Bulletin Board pipeline flows.</w:t>
      </w:r>
    </w:p>
  </w:footnote>
  <w:footnote w:id="10">
    <w:p w:rsidR="000C7B59" w:rsidRPr="003C7B5B" w:rsidRDefault="000C7B59" w:rsidP="001C3452">
      <w:pPr>
        <w:pStyle w:val="FootnoteText"/>
        <w:spacing w:before="0"/>
        <w:ind w:left="709" w:hanging="709"/>
        <w:jc w:val="both"/>
        <w:rPr>
          <w:sz w:val="20"/>
          <w:szCs w:val="16"/>
        </w:rPr>
      </w:pPr>
      <w:r w:rsidRPr="00552F68">
        <w:rPr>
          <w:rStyle w:val="FootnoteReference"/>
          <w:sz w:val="20"/>
          <w:szCs w:val="16"/>
        </w:rPr>
        <w:footnoteRef/>
      </w:r>
      <w:r w:rsidRPr="00552F68">
        <w:rPr>
          <w:sz w:val="20"/>
          <w:szCs w:val="16"/>
        </w:rPr>
        <w:t xml:space="preserve"> </w:t>
      </w:r>
      <w:r w:rsidRPr="00552F68">
        <w:rPr>
          <w:sz w:val="20"/>
          <w:szCs w:val="16"/>
        </w:rPr>
        <w:tab/>
        <w:t>GSH supply is the average daily volume of gas ‘traded’, while price is a volume weighted</w:t>
      </w:r>
      <w:r w:rsidRPr="003C7B5B">
        <w:rPr>
          <w:sz w:val="20"/>
          <w:szCs w:val="16"/>
        </w:rPr>
        <w:t xml:space="preserve"> average.</w:t>
      </w:r>
    </w:p>
  </w:footnote>
  <w:footnote w:id="11">
    <w:p w:rsidR="000C7B59" w:rsidRPr="001C3452" w:rsidRDefault="000C7B59" w:rsidP="001C3452">
      <w:pPr>
        <w:pStyle w:val="FootnoteText"/>
        <w:spacing w:before="0"/>
        <w:ind w:left="709" w:hanging="709"/>
        <w:jc w:val="both"/>
        <w:rPr>
          <w:szCs w:val="16"/>
        </w:rPr>
      </w:pPr>
      <w:r w:rsidRPr="001C3452">
        <w:rPr>
          <w:rStyle w:val="FootnoteReference"/>
          <w:szCs w:val="16"/>
        </w:rPr>
        <w:footnoteRef/>
      </w:r>
      <w:r w:rsidRPr="001C3452">
        <w:rPr>
          <w:szCs w:val="16"/>
        </w:rPr>
        <w:t xml:space="preserve"> </w:t>
      </w:r>
      <w:r w:rsidRPr="001C3452">
        <w:rPr>
          <w:szCs w:val="16"/>
        </w:rPr>
        <w:tab/>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2">
    <w:p w:rsidR="000C7B59" w:rsidRDefault="000C7B59" w:rsidP="006E0523">
      <w:pPr>
        <w:pStyle w:val="FootnoteText"/>
        <w:ind w:left="709" w:hanging="709"/>
        <w:jc w:val="both"/>
      </w:pPr>
      <w:r>
        <w:rPr>
          <w:rStyle w:val="FootnoteReference"/>
        </w:rPr>
        <w:footnoteRef/>
      </w:r>
      <w:r>
        <w:t xml:space="preserve"> </w:t>
      </w:r>
      <w:r>
        <w:tab/>
        <w:t>Volume weighted average prices and traded quantities provided in this report may include off-market trades, which are not included in AEMO’s reference price calculations.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removePersonalInformation/>
  <w:removeDateAndTime/>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239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cdchnas-evs02\home$\adrae\Desktop\AER gas weekly report - 31 July – 6 August 2016.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A89"/>
    <w:rsid w:val="000422AB"/>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835F4"/>
    <w:rsid w:val="00085663"/>
    <w:rsid w:val="00085EBF"/>
    <w:rsid w:val="00086CF3"/>
    <w:rsid w:val="00087C4A"/>
    <w:rsid w:val="00087CDC"/>
    <w:rsid w:val="00091FB4"/>
    <w:rsid w:val="0009584C"/>
    <w:rsid w:val="000961FA"/>
    <w:rsid w:val="0009653D"/>
    <w:rsid w:val="000A241B"/>
    <w:rsid w:val="000A29ED"/>
    <w:rsid w:val="000A4529"/>
    <w:rsid w:val="000A62B4"/>
    <w:rsid w:val="000A62D6"/>
    <w:rsid w:val="000A6F14"/>
    <w:rsid w:val="000B0311"/>
    <w:rsid w:val="000B364C"/>
    <w:rsid w:val="000B3C8A"/>
    <w:rsid w:val="000C0472"/>
    <w:rsid w:val="000C1A94"/>
    <w:rsid w:val="000C7B59"/>
    <w:rsid w:val="000D122C"/>
    <w:rsid w:val="000D355E"/>
    <w:rsid w:val="000D3C77"/>
    <w:rsid w:val="000D4350"/>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107F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53BC"/>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5113"/>
    <w:rsid w:val="0015602B"/>
    <w:rsid w:val="001566F6"/>
    <w:rsid w:val="001573E4"/>
    <w:rsid w:val="00160756"/>
    <w:rsid w:val="00162584"/>
    <w:rsid w:val="00164658"/>
    <w:rsid w:val="00164FB1"/>
    <w:rsid w:val="00165247"/>
    <w:rsid w:val="001653F3"/>
    <w:rsid w:val="00165C87"/>
    <w:rsid w:val="001666AA"/>
    <w:rsid w:val="00166BD2"/>
    <w:rsid w:val="001674B3"/>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0EDD"/>
    <w:rsid w:val="00231C73"/>
    <w:rsid w:val="00232A71"/>
    <w:rsid w:val="00232FBD"/>
    <w:rsid w:val="002338A0"/>
    <w:rsid w:val="00237048"/>
    <w:rsid w:val="00240AA4"/>
    <w:rsid w:val="0024199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17AB"/>
    <w:rsid w:val="002828A0"/>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7439"/>
    <w:rsid w:val="002A7729"/>
    <w:rsid w:val="002A7C78"/>
    <w:rsid w:val="002A7DEF"/>
    <w:rsid w:val="002B0749"/>
    <w:rsid w:val="002B0DAE"/>
    <w:rsid w:val="002B1949"/>
    <w:rsid w:val="002B1B50"/>
    <w:rsid w:val="002B3B2D"/>
    <w:rsid w:val="002B6FD1"/>
    <w:rsid w:val="002B720D"/>
    <w:rsid w:val="002C2278"/>
    <w:rsid w:val="002C2A63"/>
    <w:rsid w:val="002C341F"/>
    <w:rsid w:val="002C3E5B"/>
    <w:rsid w:val="002C42B0"/>
    <w:rsid w:val="002C4965"/>
    <w:rsid w:val="002C581B"/>
    <w:rsid w:val="002C621D"/>
    <w:rsid w:val="002C6B96"/>
    <w:rsid w:val="002C6DD3"/>
    <w:rsid w:val="002D1734"/>
    <w:rsid w:val="002D37FB"/>
    <w:rsid w:val="002D484E"/>
    <w:rsid w:val="002D4A1F"/>
    <w:rsid w:val="002E29A0"/>
    <w:rsid w:val="002E5E33"/>
    <w:rsid w:val="002E6254"/>
    <w:rsid w:val="002E64AB"/>
    <w:rsid w:val="002F02A4"/>
    <w:rsid w:val="002F22FD"/>
    <w:rsid w:val="002F2481"/>
    <w:rsid w:val="002F3D02"/>
    <w:rsid w:val="002F4F34"/>
    <w:rsid w:val="002F7986"/>
    <w:rsid w:val="00300C0B"/>
    <w:rsid w:val="00302D83"/>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45A5"/>
    <w:rsid w:val="003271B5"/>
    <w:rsid w:val="003274A9"/>
    <w:rsid w:val="0032770E"/>
    <w:rsid w:val="00331264"/>
    <w:rsid w:val="00332F5D"/>
    <w:rsid w:val="00334C8D"/>
    <w:rsid w:val="00336D50"/>
    <w:rsid w:val="00336E98"/>
    <w:rsid w:val="003375A4"/>
    <w:rsid w:val="00337F4F"/>
    <w:rsid w:val="003401B9"/>
    <w:rsid w:val="00341169"/>
    <w:rsid w:val="00342870"/>
    <w:rsid w:val="00343BF7"/>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715C8"/>
    <w:rsid w:val="00371F3A"/>
    <w:rsid w:val="003749F7"/>
    <w:rsid w:val="00375E24"/>
    <w:rsid w:val="00376373"/>
    <w:rsid w:val="00380E5A"/>
    <w:rsid w:val="00383C6B"/>
    <w:rsid w:val="003846F1"/>
    <w:rsid w:val="00384A55"/>
    <w:rsid w:val="00384B54"/>
    <w:rsid w:val="00386C86"/>
    <w:rsid w:val="003874F8"/>
    <w:rsid w:val="003904D2"/>
    <w:rsid w:val="00395B4C"/>
    <w:rsid w:val="00397EB2"/>
    <w:rsid w:val="003A0810"/>
    <w:rsid w:val="003A0CB8"/>
    <w:rsid w:val="003A1F17"/>
    <w:rsid w:val="003A3E2D"/>
    <w:rsid w:val="003A41E0"/>
    <w:rsid w:val="003A431D"/>
    <w:rsid w:val="003A4B6B"/>
    <w:rsid w:val="003A7DC0"/>
    <w:rsid w:val="003B0D56"/>
    <w:rsid w:val="003B282E"/>
    <w:rsid w:val="003B40ED"/>
    <w:rsid w:val="003B4804"/>
    <w:rsid w:val="003B4D9B"/>
    <w:rsid w:val="003B6F90"/>
    <w:rsid w:val="003C0710"/>
    <w:rsid w:val="003C24A9"/>
    <w:rsid w:val="003C2B22"/>
    <w:rsid w:val="003C2BC1"/>
    <w:rsid w:val="003C30E5"/>
    <w:rsid w:val="003C3C98"/>
    <w:rsid w:val="003C3D77"/>
    <w:rsid w:val="003C62E9"/>
    <w:rsid w:val="003C7164"/>
    <w:rsid w:val="003C7B5B"/>
    <w:rsid w:val="003C7EFA"/>
    <w:rsid w:val="003D30EE"/>
    <w:rsid w:val="003D5258"/>
    <w:rsid w:val="003E1341"/>
    <w:rsid w:val="003E3C33"/>
    <w:rsid w:val="003E47DC"/>
    <w:rsid w:val="003E521D"/>
    <w:rsid w:val="003E74FF"/>
    <w:rsid w:val="003E78A9"/>
    <w:rsid w:val="003F004E"/>
    <w:rsid w:val="003F0289"/>
    <w:rsid w:val="003F3672"/>
    <w:rsid w:val="003F4148"/>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1DC9"/>
    <w:rsid w:val="0042429B"/>
    <w:rsid w:val="00424809"/>
    <w:rsid w:val="004253D6"/>
    <w:rsid w:val="004303EE"/>
    <w:rsid w:val="00436F76"/>
    <w:rsid w:val="00440D85"/>
    <w:rsid w:val="00441A99"/>
    <w:rsid w:val="00442767"/>
    <w:rsid w:val="00444A48"/>
    <w:rsid w:val="00450611"/>
    <w:rsid w:val="004507A1"/>
    <w:rsid w:val="0045129B"/>
    <w:rsid w:val="004518EA"/>
    <w:rsid w:val="00453327"/>
    <w:rsid w:val="00456C20"/>
    <w:rsid w:val="00462CFF"/>
    <w:rsid w:val="00465210"/>
    <w:rsid w:val="00470AF4"/>
    <w:rsid w:val="00470EE9"/>
    <w:rsid w:val="0047130B"/>
    <w:rsid w:val="00471992"/>
    <w:rsid w:val="00471E68"/>
    <w:rsid w:val="0047346C"/>
    <w:rsid w:val="00477821"/>
    <w:rsid w:val="0048018F"/>
    <w:rsid w:val="00480B4B"/>
    <w:rsid w:val="00480DA9"/>
    <w:rsid w:val="004831F8"/>
    <w:rsid w:val="00485752"/>
    <w:rsid w:val="00485DC4"/>
    <w:rsid w:val="00487C10"/>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231C"/>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77C0"/>
    <w:rsid w:val="00522360"/>
    <w:rsid w:val="00522486"/>
    <w:rsid w:val="00522668"/>
    <w:rsid w:val="00523AD2"/>
    <w:rsid w:val="00524513"/>
    <w:rsid w:val="00527551"/>
    <w:rsid w:val="005279B6"/>
    <w:rsid w:val="00530128"/>
    <w:rsid w:val="00530657"/>
    <w:rsid w:val="005323B2"/>
    <w:rsid w:val="00532467"/>
    <w:rsid w:val="0053491C"/>
    <w:rsid w:val="00534DD9"/>
    <w:rsid w:val="0053611E"/>
    <w:rsid w:val="00536BBD"/>
    <w:rsid w:val="0054102B"/>
    <w:rsid w:val="0054173F"/>
    <w:rsid w:val="0054254C"/>
    <w:rsid w:val="00543945"/>
    <w:rsid w:val="00543BEC"/>
    <w:rsid w:val="00544C6F"/>
    <w:rsid w:val="00546B16"/>
    <w:rsid w:val="00547DC4"/>
    <w:rsid w:val="005502E7"/>
    <w:rsid w:val="00551739"/>
    <w:rsid w:val="00551D6B"/>
    <w:rsid w:val="00552DA2"/>
    <w:rsid w:val="00552F68"/>
    <w:rsid w:val="0055398F"/>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539A"/>
    <w:rsid w:val="00595613"/>
    <w:rsid w:val="00595ED0"/>
    <w:rsid w:val="00596275"/>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52C9"/>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3898"/>
    <w:rsid w:val="005E6FFA"/>
    <w:rsid w:val="005E7718"/>
    <w:rsid w:val="005F0661"/>
    <w:rsid w:val="005F0CD5"/>
    <w:rsid w:val="005F69C4"/>
    <w:rsid w:val="005F6ADE"/>
    <w:rsid w:val="005F702C"/>
    <w:rsid w:val="005F7247"/>
    <w:rsid w:val="00600B2D"/>
    <w:rsid w:val="00602A58"/>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80B"/>
    <w:rsid w:val="0067291B"/>
    <w:rsid w:val="00673D15"/>
    <w:rsid w:val="006741D4"/>
    <w:rsid w:val="00675E21"/>
    <w:rsid w:val="00676679"/>
    <w:rsid w:val="00677233"/>
    <w:rsid w:val="006777D7"/>
    <w:rsid w:val="00680042"/>
    <w:rsid w:val="00683B14"/>
    <w:rsid w:val="00686411"/>
    <w:rsid w:val="00687AA8"/>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3750"/>
    <w:rsid w:val="006F393C"/>
    <w:rsid w:val="006F3FCB"/>
    <w:rsid w:val="006F48AA"/>
    <w:rsid w:val="006F4C38"/>
    <w:rsid w:val="006F6C2D"/>
    <w:rsid w:val="00700DAB"/>
    <w:rsid w:val="00701CAB"/>
    <w:rsid w:val="007037F6"/>
    <w:rsid w:val="00704518"/>
    <w:rsid w:val="00704CA4"/>
    <w:rsid w:val="00707011"/>
    <w:rsid w:val="00707563"/>
    <w:rsid w:val="00711BF6"/>
    <w:rsid w:val="00712D03"/>
    <w:rsid w:val="00716355"/>
    <w:rsid w:val="0071735A"/>
    <w:rsid w:val="0072073C"/>
    <w:rsid w:val="00720AB2"/>
    <w:rsid w:val="0072348C"/>
    <w:rsid w:val="007241D7"/>
    <w:rsid w:val="007247EC"/>
    <w:rsid w:val="00724827"/>
    <w:rsid w:val="00724A37"/>
    <w:rsid w:val="00724BF3"/>
    <w:rsid w:val="00727D4D"/>
    <w:rsid w:val="007303C3"/>
    <w:rsid w:val="00731F13"/>
    <w:rsid w:val="0073214E"/>
    <w:rsid w:val="0073561F"/>
    <w:rsid w:val="007356A7"/>
    <w:rsid w:val="00741247"/>
    <w:rsid w:val="00741D03"/>
    <w:rsid w:val="007426D5"/>
    <w:rsid w:val="00743223"/>
    <w:rsid w:val="00746063"/>
    <w:rsid w:val="00746E01"/>
    <w:rsid w:val="00747D2F"/>
    <w:rsid w:val="00751821"/>
    <w:rsid w:val="007532DD"/>
    <w:rsid w:val="00753ADA"/>
    <w:rsid w:val="00760FD8"/>
    <w:rsid w:val="007618A3"/>
    <w:rsid w:val="0076239D"/>
    <w:rsid w:val="00762D41"/>
    <w:rsid w:val="00763E5D"/>
    <w:rsid w:val="00764C7F"/>
    <w:rsid w:val="00767740"/>
    <w:rsid w:val="00771822"/>
    <w:rsid w:val="00772A95"/>
    <w:rsid w:val="00772DB4"/>
    <w:rsid w:val="00777EE6"/>
    <w:rsid w:val="00780452"/>
    <w:rsid w:val="00781A01"/>
    <w:rsid w:val="00782EEA"/>
    <w:rsid w:val="0078319A"/>
    <w:rsid w:val="00783D4E"/>
    <w:rsid w:val="00783E1A"/>
    <w:rsid w:val="00784059"/>
    <w:rsid w:val="0078423F"/>
    <w:rsid w:val="00784A7E"/>
    <w:rsid w:val="007861E0"/>
    <w:rsid w:val="0079277A"/>
    <w:rsid w:val="0079310A"/>
    <w:rsid w:val="007959E7"/>
    <w:rsid w:val="00796C78"/>
    <w:rsid w:val="00796D6A"/>
    <w:rsid w:val="007A1135"/>
    <w:rsid w:val="007A1428"/>
    <w:rsid w:val="007A1AB0"/>
    <w:rsid w:val="007A33E8"/>
    <w:rsid w:val="007A6656"/>
    <w:rsid w:val="007A7264"/>
    <w:rsid w:val="007B1732"/>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FC9"/>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07D58"/>
    <w:rsid w:val="0081034E"/>
    <w:rsid w:val="0081253D"/>
    <w:rsid w:val="00812E7B"/>
    <w:rsid w:val="0081351D"/>
    <w:rsid w:val="00813CE4"/>
    <w:rsid w:val="0081592A"/>
    <w:rsid w:val="00817724"/>
    <w:rsid w:val="008238B2"/>
    <w:rsid w:val="008245E2"/>
    <w:rsid w:val="008257CA"/>
    <w:rsid w:val="008301E7"/>
    <w:rsid w:val="00831483"/>
    <w:rsid w:val="008344B4"/>
    <w:rsid w:val="008344F6"/>
    <w:rsid w:val="0083510F"/>
    <w:rsid w:val="008366CD"/>
    <w:rsid w:val="00836890"/>
    <w:rsid w:val="00840C6C"/>
    <w:rsid w:val="00840FCC"/>
    <w:rsid w:val="008445D3"/>
    <w:rsid w:val="00845396"/>
    <w:rsid w:val="00847ED9"/>
    <w:rsid w:val="00851209"/>
    <w:rsid w:val="0085188E"/>
    <w:rsid w:val="00851B46"/>
    <w:rsid w:val="00852B3D"/>
    <w:rsid w:val="008556A5"/>
    <w:rsid w:val="00856183"/>
    <w:rsid w:val="00856965"/>
    <w:rsid w:val="00857917"/>
    <w:rsid w:val="00861AED"/>
    <w:rsid w:val="00862BC8"/>
    <w:rsid w:val="00864A9F"/>
    <w:rsid w:val="00867506"/>
    <w:rsid w:val="008707C1"/>
    <w:rsid w:val="00870903"/>
    <w:rsid w:val="0087280A"/>
    <w:rsid w:val="0087308C"/>
    <w:rsid w:val="00873B1F"/>
    <w:rsid w:val="0087479D"/>
    <w:rsid w:val="008837AC"/>
    <w:rsid w:val="00884D30"/>
    <w:rsid w:val="0088604D"/>
    <w:rsid w:val="00886662"/>
    <w:rsid w:val="00886BAB"/>
    <w:rsid w:val="00886CEC"/>
    <w:rsid w:val="00886FA8"/>
    <w:rsid w:val="00887EBF"/>
    <w:rsid w:val="008909FD"/>
    <w:rsid w:val="008934F4"/>
    <w:rsid w:val="00895878"/>
    <w:rsid w:val="00896C79"/>
    <w:rsid w:val="008A147B"/>
    <w:rsid w:val="008A157D"/>
    <w:rsid w:val="008A4DB6"/>
    <w:rsid w:val="008A587D"/>
    <w:rsid w:val="008A59AB"/>
    <w:rsid w:val="008A6198"/>
    <w:rsid w:val="008A7580"/>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5BFF"/>
    <w:rsid w:val="0091710E"/>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4863"/>
    <w:rsid w:val="009456DC"/>
    <w:rsid w:val="00947919"/>
    <w:rsid w:val="00950B15"/>
    <w:rsid w:val="0095158D"/>
    <w:rsid w:val="00952CF7"/>
    <w:rsid w:val="00953534"/>
    <w:rsid w:val="009540FA"/>
    <w:rsid w:val="00956C19"/>
    <w:rsid w:val="00957591"/>
    <w:rsid w:val="0095772E"/>
    <w:rsid w:val="00960AC5"/>
    <w:rsid w:val="00960C83"/>
    <w:rsid w:val="00963914"/>
    <w:rsid w:val="00963EC7"/>
    <w:rsid w:val="0096498C"/>
    <w:rsid w:val="009661DE"/>
    <w:rsid w:val="009721AF"/>
    <w:rsid w:val="00972A40"/>
    <w:rsid w:val="00974CDB"/>
    <w:rsid w:val="009777E3"/>
    <w:rsid w:val="00981578"/>
    <w:rsid w:val="00981E7F"/>
    <w:rsid w:val="00982FEB"/>
    <w:rsid w:val="009837D1"/>
    <w:rsid w:val="00983EEC"/>
    <w:rsid w:val="009856B7"/>
    <w:rsid w:val="00985A66"/>
    <w:rsid w:val="0098646A"/>
    <w:rsid w:val="009920D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6668"/>
    <w:rsid w:val="009E7749"/>
    <w:rsid w:val="009E7AC6"/>
    <w:rsid w:val="009E7D2D"/>
    <w:rsid w:val="009F0A79"/>
    <w:rsid w:val="009F1D03"/>
    <w:rsid w:val="009F1E42"/>
    <w:rsid w:val="009F2CAC"/>
    <w:rsid w:val="009F4806"/>
    <w:rsid w:val="009F4940"/>
    <w:rsid w:val="00A00767"/>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2A18"/>
    <w:rsid w:val="00A5538B"/>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5AAA"/>
    <w:rsid w:val="00A81710"/>
    <w:rsid w:val="00A81EF8"/>
    <w:rsid w:val="00A8219E"/>
    <w:rsid w:val="00A84149"/>
    <w:rsid w:val="00A84E2D"/>
    <w:rsid w:val="00A84F46"/>
    <w:rsid w:val="00A871F4"/>
    <w:rsid w:val="00A87F90"/>
    <w:rsid w:val="00A912B1"/>
    <w:rsid w:val="00A91A4B"/>
    <w:rsid w:val="00A923DD"/>
    <w:rsid w:val="00A9455D"/>
    <w:rsid w:val="00A94D89"/>
    <w:rsid w:val="00A956AD"/>
    <w:rsid w:val="00A96CE0"/>
    <w:rsid w:val="00A96D5A"/>
    <w:rsid w:val="00A971A0"/>
    <w:rsid w:val="00AA0CEB"/>
    <w:rsid w:val="00AA12D3"/>
    <w:rsid w:val="00AA39C0"/>
    <w:rsid w:val="00AA3A2C"/>
    <w:rsid w:val="00AA476F"/>
    <w:rsid w:val="00AA649A"/>
    <w:rsid w:val="00AA73F0"/>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D5"/>
    <w:rsid w:val="00AF3A41"/>
    <w:rsid w:val="00AF46F3"/>
    <w:rsid w:val="00AF66A7"/>
    <w:rsid w:val="00AF7058"/>
    <w:rsid w:val="00AF7C0E"/>
    <w:rsid w:val="00B01BD3"/>
    <w:rsid w:val="00B02463"/>
    <w:rsid w:val="00B02ED5"/>
    <w:rsid w:val="00B03817"/>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4128D"/>
    <w:rsid w:val="00B41686"/>
    <w:rsid w:val="00B44E99"/>
    <w:rsid w:val="00B474EE"/>
    <w:rsid w:val="00B52EC8"/>
    <w:rsid w:val="00B55C24"/>
    <w:rsid w:val="00B56CF6"/>
    <w:rsid w:val="00B56E03"/>
    <w:rsid w:val="00B6278D"/>
    <w:rsid w:val="00B62BB5"/>
    <w:rsid w:val="00B63E2C"/>
    <w:rsid w:val="00B64DF7"/>
    <w:rsid w:val="00B652AF"/>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FB2"/>
    <w:rsid w:val="00BB3304"/>
    <w:rsid w:val="00BB4732"/>
    <w:rsid w:val="00BB51C2"/>
    <w:rsid w:val="00BB6815"/>
    <w:rsid w:val="00BB7780"/>
    <w:rsid w:val="00BC03BC"/>
    <w:rsid w:val="00BC1B6B"/>
    <w:rsid w:val="00BC4CD2"/>
    <w:rsid w:val="00BC614B"/>
    <w:rsid w:val="00BC6398"/>
    <w:rsid w:val="00BC675F"/>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69AE"/>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4065"/>
    <w:rsid w:val="00C35876"/>
    <w:rsid w:val="00C361EB"/>
    <w:rsid w:val="00C41237"/>
    <w:rsid w:val="00C420D7"/>
    <w:rsid w:val="00C420EB"/>
    <w:rsid w:val="00C43C4F"/>
    <w:rsid w:val="00C452B9"/>
    <w:rsid w:val="00C466B4"/>
    <w:rsid w:val="00C46AB5"/>
    <w:rsid w:val="00C4709E"/>
    <w:rsid w:val="00C4712A"/>
    <w:rsid w:val="00C47DEE"/>
    <w:rsid w:val="00C47EC0"/>
    <w:rsid w:val="00C50EC2"/>
    <w:rsid w:val="00C51484"/>
    <w:rsid w:val="00C51BE7"/>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72E0"/>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6516"/>
    <w:rsid w:val="00CC656F"/>
    <w:rsid w:val="00CC6738"/>
    <w:rsid w:val="00CC7A4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614C"/>
    <w:rsid w:val="00D16710"/>
    <w:rsid w:val="00D22BD4"/>
    <w:rsid w:val="00D22E23"/>
    <w:rsid w:val="00D2306D"/>
    <w:rsid w:val="00D250AC"/>
    <w:rsid w:val="00D270E1"/>
    <w:rsid w:val="00D323D0"/>
    <w:rsid w:val="00D32767"/>
    <w:rsid w:val="00D33489"/>
    <w:rsid w:val="00D372FA"/>
    <w:rsid w:val="00D409E5"/>
    <w:rsid w:val="00D40B44"/>
    <w:rsid w:val="00D43663"/>
    <w:rsid w:val="00D44037"/>
    <w:rsid w:val="00D4594F"/>
    <w:rsid w:val="00D4681D"/>
    <w:rsid w:val="00D5111E"/>
    <w:rsid w:val="00D5124C"/>
    <w:rsid w:val="00D53F55"/>
    <w:rsid w:val="00D567AB"/>
    <w:rsid w:val="00D61388"/>
    <w:rsid w:val="00D613F3"/>
    <w:rsid w:val="00D615F9"/>
    <w:rsid w:val="00D61A54"/>
    <w:rsid w:val="00D62BAD"/>
    <w:rsid w:val="00D64DEA"/>
    <w:rsid w:val="00D65E49"/>
    <w:rsid w:val="00D67D07"/>
    <w:rsid w:val="00D70F71"/>
    <w:rsid w:val="00D71771"/>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50F5"/>
    <w:rsid w:val="00D95177"/>
    <w:rsid w:val="00D96914"/>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569F"/>
    <w:rsid w:val="00E86851"/>
    <w:rsid w:val="00E91678"/>
    <w:rsid w:val="00E91BED"/>
    <w:rsid w:val="00E926FC"/>
    <w:rsid w:val="00E95390"/>
    <w:rsid w:val="00E95CA7"/>
    <w:rsid w:val="00E96EFF"/>
    <w:rsid w:val="00EA1DEE"/>
    <w:rsid w:val="00EA3D42"/>
    <w:rsid w:val="00EA4DD9"/>
    <w:rsid w:val="00EA6B1B"/>
    <w:rsid w:val="00EB049F"/>
    <w:rsid w:val="00EB100D"/>
    <w:rsid w:val="00EB357C"/>
    <w:rsid w:val="00EB456D"/>
    <w:rsid w:val="00EB540F"/>
    <w:rsid w:val="00EB7D7F"/>
    <w:rsid w:val="00EC05BF"/>
    <w:rsid w:val="00EC0D58"/>
    <w:rsid w:val="00EC10A1"/>
    <w:rsid w:val="00EC137F"/>
    <w:rsid w:val="00EC24B0"/>
    <w:rsid w:val="00EC2CB1"/>
    <w:rsid w:val="00EC317E"/>
    <w:rsid w:val="00EC67D4"/>
    <w:rsid w:val="00EC7EB1"/>
    <w:rsid w:val="00ED3C5B"/>
    <w:rsid w:val="00ED4A25"/>
    <w:rsid w:val="00ED6E24"/>
    <w:rsid w:val="00ED7697"/>
    <w:rsid w:val="00EE164B"/>
    <w:rsid w:val="00EE28F3"/>
    <w:rsid w:val="00EE347F"/>
    <w:rsid w:val="00EE40B5"/>
    <w:rsid w:val="00EE42C2"/>
    <w:rsid w:val="00EE46CE"/>
    <w:rsid w:val="00EE575A"/>
    <w:rsid w:val="00EF013A"/>
    <w:rsid w:val="00EF0E42"/>
    <w:rsid w:val="00EF0FE6"/>
    <w:rsid w:val="00EF1961"/>
    <w:rsid w:val="00EF3FB8"/>
    <w:rsid w:val="00EF5110"/>
    <w:rsid w:val="00EF62CA"/>
    <w:rsid w:val="00EF69CB"/>
    <w:rsid w:val="00EF7E69"/>
    <w:rsid w:val="00F00587"/>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7967"/>
    <w:rsid w:val="00F32D35"/>
    <w:rsid w:val="00F336DF"/>
    <w:rsid w:val="00F3590E"/>
    <w:rsid w:val="00F36430"/>
    <w:rsid w:val="00F373A5"/>
    <w:rsid w:val="00F376D3"/>
    <w:rsid w:val="00F42DB4"/>
    <w:rsid w:val="00F45B2F"/>
    <w:rsid w:val="00F47559"/>
    <w:rsid w:val="00F5112C"/>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F41"/>
    <w:rsid w:val="00F74CBC"/>
    <w:rsid w:val="00F75A26"/>
    <w:rsid w:val="00F766B3"/>
    <w:rsid w:val="00F77D49"/>
    <w:rsid w:val="00F8021A"/>
    <w:rsid w:val="00F805F3"/>
    <w:rsid w:val="00F83FAD"/>
    <w:rsid w:val="00F87EBA"/>
    <w:rsid w:val="00F90A80"/>
    <w:rsid w:val="00F91BC0"/>
    <w:rsid w:val="00F91E66"/>
    <w:rsid w:val="00F93027"/>
    <w:rsid w:val="00F946BA"/>
    <w:rsid w:val="00F94788"/>
    <w:rsid w:val="00F952A0"/>
    <w:rsid w:val="00F965FC"/>
    <w:rsid w:val="00FA25D4"/>
    <w:rsid w:val="00FA3830"/>
    <w:rsid w:val="00FA3C7F"/>
    <w:rsid w:val="00FA7736"/>
    <w:rsid w:val="00FA7920"/>
    <w:rsid w:val="00FB153F"/>
    <w:rsid w:val="00FB265D"/>
    <w:rsid w:val="00FB2690"/>
    <w:rsid w:val="00FB4068"/>
    <w:rsid w:val="00FB411D"/>
    <w:rsid w:val="00FB41E6"/>
    <w:rsid w:val="00FB45CF"/>
    <w:rsid w:val="00FB62B5"/>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CA9"/>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Borders>
        <w:top w:val="single" w:sz="8" w:space="0" w:color="51626F" w:themeColor="accent1"/>
        <w:bottom w:val="single" w:sz="8" w:space="0" w:color="51626F" w:themeColor="accent1"/>
      </w:tblBorders>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Borders>
        <w:top w:val="single" w:sz="8" w:space="0" w:color="0098C3" w:themeColor="accent3"/>
        <w:bottom w:val="single" w:sz="8" w:space="0" w:color="0098C3" w:themeColor="accent3"/>
      </w:tblBorders>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Borders>
        <w:top w:val="single" w:sz="8" w:space="0" w:color="B71202" w:themeColor="accent5"/>
        <w:bottom w:val="single" w:sz="8" w:space="0" w:color="B71202" w:themeColor="accent5"/>
      </w:tblBorders>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tblBorders>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98C3" w:themeColor="accent3"/>
        <w:left w:val="single" w:sz="8" w:space="0" w:color="0098C3" w:themeColor="accent3"/>
        <w:bottom w:val="single" w:sz="8" w:space="0" w:color="0098C3" w:themeColor="accent3"/>
        <w:right w:val="single" w:sz="8" w:space="0" w:color="0098C3" w:themeColor="accent3"/>
      </w:tblBorders>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tblBorders>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Borders>
        <w:top w:val="single" w:sz="8" w:space="0" w:color="A0CFEB" w:themeColor="accent4"/>
        <w:bottom w:val="single" w:sz="8" w:space="0" w:color="A0CFEB" w:themeColor="accent4"/>
      </w:tblBorders>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Borders>
        <w:top w:val="single" w:sz="8" w:space="0" w:color="DC5034" w:themeColor="accent6"/>
        <w:bottom w:val="single" w:sz="8" w:space="0" w:color="DC5034" w:themeColor="accent6"/>
      </w:tblBorders>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Borders>
        <w:top w:val="single" w:sz="4" w:space="0" w:color="D5D6D2" w:themeColor="background2"/>
        <w:bottom w:val="single" w:sz="4" w:space="0" w:color="D5D6D2" w:themeColor="background2"/>
        <w:insideH w:val="single" w:sz="4" w:space="0" w:color="D5D6D2"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tblBorders>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tblBorders>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DC5034" w:themeColor="accent6"/>
        <w:left w:val="single" w:sz="8" w:space="0" w:color="DC5034" w:themeColor="accent6"/>
        <w:bottom w:val="single" w:sz="8" w:space="0" w:color="DC5034" w:themeColor="accent6"/>
        <w:right w:val="single" w:sz="8" w:space="0" w:color="DC5034" w:themeColor="accent6"/>
      </w:tblBorders>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D5D6D2"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83F264-4A1E-4F66-A543-101B58C43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A1A65F8.dotm</Template>
  <TotalTime>0</TotalTime>
  <Pages>12</Pages>
  <Words>1620</Words>
  <Characters>9238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2016-08-19T06:33:00Z</dcterms:created>
  <dcterms:modified xsi:type="dcterms:W3CDTF">2016-08-19T06:42:00Z</dcterms:modified>
</cp:coreProperties>
</file>