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4EF8" w:rsidRPr="00C4712A" w:rsidRDefault="002A4EF8" w:rsidP="002A4EF8">
      <w:pPr>
        <w:pStyle w:val="Heading1"/>
        <w:spacing w:before="120"/>
        <w:ind w:left="142"/>
        <w:rPr>
          <w:rFonts w:asciiTheme="minorHAnsi" w:hAnsiTheme="minorHAnsi" w:cstheme="minorHAnsi"/>
          <w:b/>
          <w:sz w:val="36"/>
          <w:szCs w:val="36"/>
        </w:rPr>
      </w:pPr>
      <w:bookmarkStart w:id="0" w:name="_Toc305751931"/>
      <w:bookmarkStart w:id="1" w:name="_Toc308601044"/>
      <w:bookmarkStart w:id="2" w:name="_Toc316978870"/>
      <w:bookmarkStart w:id="3" w:name="_Toc317520246"/>
      <w:bookmarkStart w:id="4" w:name="OLE_LINK72"/>
      <w:bookmarkStart w:id="5" w:name="OLE_LINK73"/>
      <w:bookmarkStart w:id="6" w:name="_GoBack"/>
      <w:bookmarkEnd w:id="6"/>
      <w:r w:rsidRPr="00C4712A">
        <w:rPr>
          <w:rFonts w:asciiTheme="minorHAnsi" w:hAnsiTheme="minorHAnsi" w:cstheme="minorHAnsi"/>
          <w:b/>
          <w:noProof/>
          <w:color w:val="FFFFFF" w:themeColor="background1"/>
          <w:sz w:val="36"/>
          <w:szCs w:val="36"/>
          <w:lang w:eastAsia="en-AU"/>
        </w:rPr>
        <w:drawing>
          <wp:anchor distT="0" distB="0" distL="114300" distR="114300" simplePos="0" relativeHeight="251666432" behindDoc="1" locked="0" layoutInCell="1" allowOverlap="1" wp14:anchorId="0BE068F8" wp14:editId="3B27A352">
            <wp:simplePos x="0" y="0"/>
            <wp:positionH relativeFrom="column">
              <wp:posOffset>0</wp:posOffset>
            </wp:positionH>
            <wp:positionV relativeFrom="paragraph">
              <wp:posOffset>7800</wp:posOffset>
            </wp:positionV>
            <wp:extent cx="5693434" cy="923502"/>
            <wp:effectExtent l="0" t="0" r="2540" b="0"/>
            <wp:wrapNone/>
            <wp:docPr id="1" name="Picture 1"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4619" cy="923694"/>
                    </a:xfrm>
                    <a:prstGeom prst="rect">
                      <a:avLst/>
                    </a:prstGeom>
                    <a:noFill/>
                  </pic:spPr>
                </pic:pic>
              </a:graphicData>
            </a:graphic>
            <wp14:sizeRelH relativeFrom="page">
              <wp14:pctWidth>0</wp14:pctWidth>
            </wp14:sizeRelH>
            <wp14:sizeRelV relativeFrom="page">
              <wp14:pctHeight>0</wp14:pctHeight>
            </wp14:sizeRelV>
          </wp:anchor>
        </w:drawing>
      </w:r>
      <w:r w:rsidR="0015496E">
        <w:rPr>
          <w:rFonts w:asciiTheme="minorHAnsi" w:hAnsiTheme="minorHAnsi" w:cstheme="minorHAnsi"/>
          <w:b/>
          <w:color w:val="FFFFFF" w:themeColor="background1"/>
          <w:sz w:val="36"/>
          <w:szCs w:val="36"/>
        </w:rPr>
        <w:t xml:space="preserve"> </w:t>
      </w:r>
      <w:r w:rsidR="003171C6">
        <w:rPr>
          <w:rFonts w:asciiTheme="minorHAnsi" w:hAnsiTheme="minorHAnsi" w:cstheme="minorHAnsi"/>
          <w:b/>
          <w:color w:val="FFFFFF" w:themeColor="background1"/>
          <w:sz w:val="36"/>
          <w:szCs w:val="36"/>
        </w:rPr>
        <w:t>Gas Market</w:t>
      </w:r>
      <w:r w:rsidRPr="00C4712A">
        <w:rPr>
          <w:rFonts w:asciiTheme="minorHAnsi" w:hAnsiTheme="minorHAnsi" w:cstheme="minorHAnsi"/>
          <w:b/>
          <w:color w:val="FFFFFF" w:themeColor="background1"/>
          <w:sz w:val="36"/>
          <w:szCs w:val="36"/>
        </w:rPr>
        <w:t xml:space="preserve"> Report</w:t>
      </w:r>
    </w:p>
    <w:p w:rsidR="002A4EF8" w:rsidRPr="00C4712A" w:rsidRDefault="002A4EF8" w:rsidP="002A4EF8"/>
    <w:p w:rsidR="002A4EF8" w:rsidRDefault="002A4EF8" w:rsidP="002A4EF8"/>
    <w:p w:rsidR="00286866" w:rsidRPr="00AC3047" w:rsidRDefault="00090F47" w:rsidP="00286866">
      <w:pPr>
        <w:pStyle w:val="Heading2"/>
        <w:rPr>
          <w:i/>
        </w:rPr>
      </w:pPr>
      <w:r w:rsidRPr="00090F47">
        <w:rPr>
          <w:sz w:val="36"/>
          <w:szCs w:val="36"/>
        </w:rPr>
        <w:t>4 – 10</w:t>
      </w:r>
      <w:r>
        <w:rPr>
          <w:sz w:val="36"/>
          <w:szCs w:val="36"/>
        </w:rPr>
        <w:t xml:space="preserve"> June</w:t>
      </w:r>
      <w:r w:rsidR="00286866" w:rsidRPr="00090F47">
        <w:rPr>
          <w:sz w:val="36"/>
          <w:szCs w:val="36"/>
        </w:rPr>
        <w:t xml:space="preserve"> </w:t>
      </w:r>
      <w:r>
        <w:rPr>
          <w:sz w:val="36"/>
          <w:szCs w:val="36"/>
        </w:rPr>
        <w:t>2017</w:t>
      </w:r>
    </w:p>
    <w:p w:rsidR="000835F4" w:rsidRPr="000835F4" w:rsidRDefault="000835F4" w:rsidP="000835F4">
      <w:pPr>
        <w:pStyle w:val="Heading2"/>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Weekly Summary</w:t>
      </w:r>
    </w:p>
    <w:p w:rsidR="00970577" w:rsidRPr="007215AA" w:rsidRDefault="00835528" w:rsidP="00F26128">
      <w:pPr>
        <w:jc w:val="both"/>
      </w:pPr>
      <w:r w:rsidRPr="007215AA">
        <w:t>This week, there were</w:t>
      </w:r>
      <w:r w:rsidR="00914DCF" w:rsidRPr="007215AA">
        <w:t xml:space="preserve"> small</w:t>
      </w:r>
      <w:r w:rsidRPr="007215AA">
        <w:t xml:space="preserve"> price and demand increases in </w:t>
      </w:r>
      <w:r w:rsidR="00914DCF" w:rsidRPr="007215AA">
        <w:t>all markets coming into the 2017 winter period</w:t>
      </w:r>
      <w:r w:rsidRPr="007215AA">
        <w:t>.</w:t>
      </w:r>
      <w:r w:rsidR="007215AA" w:rsidRPr="007215AA">
        <w:t xml:space="preserve"> </w:t>
      </w:r>
      <w:r w:rsidR="00154EBC" w:rsidRPr="007215AA">
        <w:t xml:space="preserve">Commensurate with the </w:t>
      </w:r>
      <w:r w:rsidR="00D972FC" w:rsidRPr="007215AA">
        <w:t>onset of winter, there were</w:t>
      </w:r>
      <w:r w:rsidR="00154EBC" w:rsidRPr="007215AA">
        <w:t xml:space="preserve"> significant daily withdrawals from Victoria’s Iona Underground Storage facility (see Figure 1.5).</w:t>
      </w:r>
    </w:p>
    <w:p w:rsidR="00DD734D" w:rsidRPr="007215AA" w:rsidRDefault="005154BB" w:rsidP="00F26128">
      <w:pPr>
        <w:jc w:val="both"/>
      </w:pPr>
      <w:r w:rsidRPr="007215AA">
        <w:t>There w</w:t>
      </w:r>
      <w:r w:rsidR="000D4D06" w:rsidRPr="007215AA">
        <w:t>ere further</w:t>
      </w:r>
      <w:r w:rsidR="00435F7C" w:rsidRPr="007215AA">
        <w:t xml:space="preserve"> </w:t>
      </w:r>
      <w:r w:rsidRPr="007215AA">
        <w:t>increase</w:t>
      </w:r>
      <w:r w:rsidR="000D4D06" w:rsidRPr="007215AA">
        <w:t>s, from the previous week,</w:t>
      </w:r>
      <w:r w:rsidRPr="007215AA">
        <w:t xml:space="preserve"> in gas usage by electricity generators in Victoria and South Australia, </w:t>
      </w:r>
      <w:r w:rsidR="00D972FC" w:rsidRPr="007215AA">
        <w:t>most significantly</w:t>
      </w:r>
      <w:r w:rsidRPr="007215AA">
        <w:t xml:space="preserve"> in South Australia where gas usage (for generation) increased </w:t>
      </w:r>
      <w:r w:rsidR="000D4D06" w:rsidRPr="007215AA">
        <w:t xml:space="preserve">by </w:t>
      </w:r>
      <w:r w:rsidR="00D972FC" w:rsidRPr="007215AA">
        <w:t>25 per cent.</w:t>
      </w:r>
    </w:p>
    <w:p w:rsidR="002B4F04" w:rsidRDefault="00835528" w:rsidP="007215AA">
      <w:pPr>
        <w:jc w:val="both"/>
        <w:rPr>
          <w:color w:val="FF0000"/>
        </w:rPr>
      </w:pPr>
      <w:r w:rsidRPr="007215AA">
        <w:t xml:space="preserve">Ancillary service costs in </w:t>
      </w:r>
      <w:r w:rsidRPr="001C2995">
        <w:t xml:space="preserve">Brisbane </w:t>
      </w:r>
      <w:r w:rsidR="00154EBC" w:rsidRPr="001C2995">
        <w:t xml:space="preserve">more than </w:t>
      </w:r>
      <w:r w:rsidR="000D4D06" w:rsidRPr="001C2995">
        <w:t>doubled</w:t>
      </w:r>
      <w:r w:rsidR="007215AA" w:rsidRPr="001C2995">
        <w:t xml:space="preserve"> in line with a decrease MOS service requirement above 8 TJ on 9 June. I</w:t>
      </w:r>
      <w:r w:rsidR="000D4D06" w:rsidRPr="001C2995">
        <w:t xml:space="preserve">n </w:t>
      </w:r>
      <w:r w:rsidR="00154EBC" w:rsidRPr="001C2995">
        <w:t>Sy</w:t>
      </w:r>
      <w:r w:rsidR="000D4D06" w:rsidRPr="001C2995">
        <w:t>dney</w:t>
      </w:r>
      <w:r w:rsidR="007215AA" w:rsidRPr="001C2995">
        <w:t>, service costs</w:t>
      </w:r>
      <w:r w:rsidR="000D4D06" w:rsidRPr="001C2995">
        <w:t xml:space="preserve"> </w:t>
      </w:r>
      <w:r w:rsidR="001C2995" w:rsidRPr="001C2995">
        <w:t>were up by 5</w:t>
      </w:r>
      <w:r w:rsidR="0079091B">
        <w:t>2</w:t>
      </w:r>
      <w:r w:rsidR="001C2995" w:rsidRPr="001C2995">
        <w:t xml:space="preserve"> per cent and daily service payments exceeded $50,000 on four occasions following a number of counteracting MOS allocations across the week</w:t>
      </w:r>
      <w:r w:rsidR="0059001F">
        <w:t xml:space="preserve"> (see figure 2.4)</w:t>
      </w:r>
      <w:r w:rsidR="001C2995" w:rsidRPr="001C2995">
        <w:t>.</w:t>
      </w:r>
      <w:r w:rsidR="001C2995" w:rsidRPr="001C2995">
        <w:rPr>
          <w:rStyle w:val="FootnoteReference"/>
        </w:rPr>
        <w:footnoteReference w:id="1"/>
      </w:r>
    </w:p>
    <w:p w:rsidR="002B4F04" w:rsidRPr="001C2995" w:rsidRDefault="00EC45EA" w:rsidP="00F26128">
      <w:pPr>
        <w:jc w:val="both"/>
      </w:pPr>
      <w:r w:rsidRPr="001C2995">
        <w:t>There wa</w:t>
      </w:r>
      <w:r w:rsidR="009E5613" w:rsidRPr="001C2995">
        <w:t>s a large increase</w:t>
      </w:r>
      <w:r w:rsidRPr="001C2995">
        <w:t xml:space="preserve"> </w:t>
      </w:r>
      <w:r w:rsidR="009E5613" w:rsidRPr="001C2995">
        <w:t xml:space="preserve">in </w:t>
      </w:r>
      <w:r w:rsidRPr="001C2995">
        <w:t>activity on the Wallumbilla Gas Supply Hub exchange</w:t>
      </w:r>
      <w:r w:rsidR="001C2995" w:rsidRPr="001C2995">
        <w:t xml:space="preserve"> (excluding off-market trades)</w:t>
      </w:r>
      <w:r w:rsidR="009E5613" w:rsidRPr="001C2995">
        <w:t>,</w:t>
      </w:r>
      <w:r w:rsidRPr="001C2995">
        <w:t xml:space="preserve"> with 285</w:t>
      </w:r>
      <w:r w:rsidR="001C2995" w:rsidRPr="001C2995">
        <w:t> </w:t>
      </w:r>
      <w:r w:rsidRPr="001C2995">
        <w:t>TJ traded compared to 26</w:t>
      </w:r>
      <w:r w:rsidR="001C2995" w:rsidRPr="001C2995">
        <w:t> </w:t>
      </w:r>
      <w:r w:rsidRPr="001C2995">
        <w:t>TJ the previous week.</w:t>
      </w:r>
    </w:p>
    <w:p w:rsidR="00835528" w:rsidRPr="001C2995" w:rsidRDefault="000D4D06" w:rsidP="00F26128">
      <w:pPr>
        <w:jc w:val="both"/>
      </w:pPr>
      <w:r w:rsidRPr="001C2995">
        <w:t>Santos GLNG</w:t>
      </w:r>
      <w:r w:rsidR="00970577" w:rsidRPr="001C2995">
        <w:t xml:space="preserve"> commenced an</w:t>
      </w:r>
      <w:r w:rsidRPr="001C2995">
        <w:t xml:space="preserve"> extended shutdown of one export train on 5 June.</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Long term statistics and explanatory material</w:t>
      </w:r>
    </w:p>
    <w:p w:rsidR="000835F4" w:rsidRPr="00AF2164" w:rsidRDefault="000835F4" w:rsidP="000835F4">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0835F4" w:rsidRPr="000835F4" w:rsidRDefault="000835F4" w:rsidP="001521CB">
      <w:pPr>
        <w:pStyle w:val="Heading3"/>
        <w:rPr>
          <w:rFonts w:eastAsia="Times New Roman" w:cs="Times New Roman"/>
          <w:color w:val="2272A3" w:themeColor="accent4" w:themeShade="80"/>
          <w:sz w:val="32"/>
          <w:szCs w:val="20"/>
        </w:rPr>
      </w:pPr>
      <w:r w:rsidRPr="000835F4">
        <w:rPr>
          <w:rFonts w:eastAsia="Times New Roman" w:cs="Times New Roman"/>
          <w:color w:val="2272A3" w:themeColor="accent4" w:themeShade="80"/>
          <w:sz w:val="32"/>
          <w:szCs w:val="20"/>
        </w:rPr>
        <w:t>Market overview</w:t>
      </w:r>
    </w:p>
    <w:p w:rsidR="000835F4" w:rsidRDefault="000835F4" w:rsidP="000835F4">
      <w:pPr>
        <w:jc w:val="both"/>
      </w:pPr>
      <w:r w:rsidRPr="00EC137F">
        <w:t>Figure 1 sets out the average daily prices ($/GJ) for the current week</w:t>
      </w:r>
      <w:r w:rsidR="003106BC" w:rsidRPr="00EC137F">
        <w:t>, and demand levels,</w:t>
      </w:r>
      <w:r w:rsidRPr="00EC137F">
        <w:t xml:space="preserve"> compared to historical averages. </w:t>
      </w:r>
      <w:r w:rsidR="003106BC" w:rsidRPr="00EC137F">
        <w:t>Regions shown include</w:t>
      </w:r>
      <w:r w:rsidRPr="00EC137F">
        <w:t xml:space="preserve"> the Victorian Declared Wholesale Market </w:t>
      </w:r>
      <w:r w:rsidRPr="00EC137F">
        <w:rPr>
          <w:b/>
        </w:rPr>
        <w:t>(VGM or Victorian gas market)</w:t>
      </w:r>
      <w:r w:rsidRPr="00EC137F">
        <w:t xml:space="preserve"> and for the Sydney </w:t>
      </w:r>
      <w:r w:rsidRPr="00EC137F">
        <w:rPr>
          <w:b/>
        </w:rPr>
        <w:t>(SYD)</w:t>
      </w:r>
      <w:r w:rsidRPr="00EC137F">
        <w:t xml:space="preserve">, Adelaide </w:t>
      </w:r>
      <w:r w:rsidRPr="00EC137F">
        <w:rPr>
          <w:b/>
        </w:rPr>
        <w:t xml:space="preserve">(ADL) </w:t>
      </w:r>
      <w:r w:rsidRPr="00EC137F">
        <w:t xml:space="preserve">and Brisbane </w:t>
      </w:r>
      <w:r w:rsidRPr="00EC137F">
        <w:rPr>
          <w:b/>
        </w:rPr>
        <w:t xml:space="preserve">(BRI) </w:t>
      </w:r>
      <w:r w:rsidRPr="00EC137F">
        <w:t xml:space="preserve">Short Term Trading Market hubs </w:t>
      </w:r>
      <w:r w:rsidRPr="00EC137F">
        <w:rPr>
          <w:b/>
        </w:rPr>
        <w:t>(STTM)</w:t>
      </w:r>
      <w:r w:rsidRPr="00EC137F">
        <w:t xml:space="preserve">. </w:t>
      </w:r>
    </w:p>
    <w:p w:rsidR="0059001F" w:rsidRDefault="0059001F">
      <w:pPr>
        <w:spacing w:line="240" w:lineRule="auto"/>
        <w:rPr>
          <w:b/>
          <w:bCs/>
          <w:color w:val="2272A3" w:themeColor="accent4" w:themeShade="80"/>
          <w:sz w:val="24"/>
          <w:szCs w:val="18"/>
        </w:rPr>
      </w:pPr>
      <w:r>
        <w:br w:type="page"/>
      </w:r>
    </w:p>
    <w:p w:rsidR="000835F4" w:rsidRDefault="000835F4" w:rsidP="000835F4">
      <w:pPr>
        <w:pStyle w:val="Caption"/>
        <w:rPr>
          <w:color w:val="2272A3"/>
          <w:szCs w:val="24"/>
        </w:rPr>
      </w:pPr>
      <w:r w:rsidRPr="00BE2075">
        <w:lastRenderedPageBreak/>
        <w:t xml:space="preserve">Figure </w:t>
      </w:r>
      <w:fldSimple w:instr=" SEQ Figure \* ARABIC ">
        <w:r w:rsidR="001521CB">
          <w:rPr>
            <w:noProof/>
          </w:rPr>
          <w:t>1</w:t>
        </w:r>
      </w:fldSimple>
      <w:r w:rsidRPr="00BE2075">
        <w:t xml:space="preserve">: </w:t>
      </w:r>
      <w:r w:rsidRPr="006E7E57">
        <w:rPr>
          <w:color w:val="2272A3"/>
          <w:szCs w:val="24"/>
        </w:rPr>
        <w:t>Average daily prices</w:t>
      </w:r>
      <w:r w:rsidR="003106BC">
        <w:rPr>
          <w:color w:val="2272A3"/>
          <w:szCs w:val="24"/>
        </w:rPr>
        <w:t xml:space="preserve"> and demand</w:t>
      </w:r>
      <w:r w:rsidRPr="006E7E57">
        <w:rPr>
          <w:color w:val="2272A3"/>
          <w:szCs w:val="24"/>
        </w:rPr>
        <w:t xml:space="preserve"> – all markets ($/GJ</w:t>
      </w:r>
      <w:r w:rsidR="003106BC" w:rsidRPr="00EC137F">
        <w:rPr>
          <w:color w:val="2272A3"/>
          <w:szCs w:val="24"/>
        </w:rPr>
        <w:t>, TJ</w:t>
      </w:r>
      <w:r w:rsidRPr="00EC137F">
        <w:rPr>
          <w:color w:val="2272A3"/>
          <w:szCs w:val="24"/>
        </w:rPr>
        <w:t>)</w:t>
      </w:r>
      <w:r w:rsidRPr="00EC137F">
        <w:rPr>
          <w:color w:val="2272A3"/>
          <w:szCs w:val="24"/>
          <w:vertAlign w:val="superscript"/>
        </w:rPr>
        <w:footnoteReference w:id="2"/>
      </w:r>
    </w:p>
    <w:tbl>
      <w:tblPr>
        <w:tblStyle w:val="AERTable-Text"/>
        <w:tblW w:w="4909" w:type="pct"/>
        <w:tblLayout w:type="fixed"/>
        <w:tblLook w:val="04A0" w:firstRow="1" w:lastRow="0" w:firstColumn="1" w:lastColumn="0" w:noHBand="0" w:noVBand="1"/>
      </w:tblPr>
      <w:tblGrid>
        <w:gridCol w:w="1924"/>
        <w:gridCol w:w="1009"/>
        <w:gridCol w:w="849"/>
        <w:gridCol w:w="864"/>
        <w:gridCol w:w="851"/>
        <w:gridCol w:w="907"/>
        <w:gridCol w:w="849"/>
        <w:gridCol w:w="846"/>
        <w:gridCol w:w="975"/>
      </w:tblGrid>
      <w:tr w:rsidR="00DD5D65" w:rsidRPr="002861A9" w:rsidTr="00C524B8">
        <w:trPr>
          <w:cnfStyle w:val="100000000000" w:firstRow="1" w:lastRow="0" w:firstColumn="0" w:lastColumn="0" w:oddVBand="0" w:evenVBand="0" w:oddHBand="0" w:evenHBand="0" w:firstRowFirstColumn="0" w:firstRowLastColumn="0" w:lastRowFirstColumn="0" w:lastRowLastColumn="0"/>
          <w:trHeight w:val="404"/>
          <w:tblHeader/>
        </w:trPr>
        <w:tc>
          <w:tcPr>
            <w:tcW w:w="1060" w:type="pct"/>
            <w:tcBorders>
              <w:bottom w:val="nil"/>
            </w:tcBorders>
            <w:vAlign w:val="center"/>
          </w:tcPr>
          <w:p w:rsidR="00674600" w:rsidRPr="00E16EDC" w:rsidRDefault="00674600" w:rsidP="00674600">
            <w:pPr>
              <w:pStyle w:val="TableHeading"/>
              <w:spacing w:before="120" w:after="0" w:line="240" w:lineRule="auto"/>
              <w:jc w:val="center"/>
              <w:rPr>
                <w:rFonts w:cs="Arial"/>
                <w:sz w:val="20"/>
                <w:szCs w:val="20"/>
              </w:rPr>
            </w:pPr>
          </w:p>
        </w:tc>
        <w:tc>
          <w:tcPr>
            <w:tcW w:w="102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Victoria</w:t>
            </w:r>
          </w:p>
        </w:tc>
        <w:tc>
          <w:tcPr>
            <w:tcW w:w="945"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Sydney</w:t>
            </w:r>
          </w:p>
        </w:tc>
        <w:tc>
          <w:tcPr>
            <w:tcW w:w="968"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Adelaide</w:t>
            </w:r>
          </w:p>
        </w:tc>
        <w:tc>
          <w:tcPr>
            <w:tcW w:w="1004" w:type="pct"/>
            <w:gridSpan w:val="2"/>
            <w:tcBorders>
              <w:bottom w:val="nil"/>
            </w:tcBorders>
            <w:vAlign w:val="center"/>
          </w:tcPr>
          <w:p w:rsidR="00674600" w:rsidRPr="00E95390" w:rsidRDefault="00674600" w:rsidP="00674600">
            <w:pPr>
              <w:spacing w:before="120" w:line="240" w:lineRule="auto"/>
              <w:jc w:val="center"/>
              <w:rPr>
                <w:rFonts w:eastAsia="Times New Roman" w:cs="Arial"/>
                <w:b w:val="0"/>
                <w:bCs/>
                <w:color w:val="FFFFFF"/>
                <w:sz w:val="20"/>
                <w:szCs w:val="20"/>
                <w:lang w:eastAsia="en-AU"/>
              </w:rPr>
            </w:pPr>
            <w:r w:rsidRPr="00E95390">
              <w:rPr>
                <w:rFonts w:eastAsia="Times New Roman" w:cs="Arial"/>
                <w:bCs/>
                <w:color w:val="FFFFFF"/>
                <w:sz w:val="20"/>
                <w:szCs w:val="20"/>
                <w:lang w:eastAsia="en-AU"/>
              </w:rPr>
              <w:t>Brisbane</w:t>
            </w:r>
          </w:p>
        </w:tc>
      </w:tr>
      <w:tr w:rsidR="00DD5D65" w:rsidRPr="002861A9" w:rsidTr="00C524B8">
        <w:trPr>
          <w:cnfStyle w:val="100000000000" w:firstRow="1" w:lastRow="0" w:firstColumn="0" w:lastColumn="0" w:oddVBand="0" w:evenVBand="0" w:oddHBand="0" w:evenHBand="0" w:firstRowFirstColumn="0" w:firstRowLastColumn="0" w:lastRowFirstColumn="0" w:lastRowLastColumn="0"/>
          <w:tblHeader/>
        </w:trPr>
        <w:tc>
          <w:tcPr>
            <w:tcW w:w="1060" w:type="pct"/>
            <w:tcBorders>
              <w:bottom w:val="nil"/>
            </w:tcBorders>
            <w:vAlign w:val="center"/>
            <w:hideMark/>
          </w:tcPr>
          <w:p w:rsidR="00674600" w:rsidRPr="00A226E9" w:rsidRDefault="00674600" w:rsidP="00674600">
            <w:pPr>
              <w:spacing w:before="0" w:line="240" w:lineRule="auto"/>
              <w:rPr>
                <w:rFonts w:cs="Arial"/>
                <w:sz w:val="20"/>
                <w:szCs w:val="20"/>
                <w:highlight w:val="yellow"/>
              </w:rPr>
            </w:pPr>
          </w:p>
        </w:tc>
        <w:tc>
          <w:tcPr>
            <w:tcW w:w="55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76" w:type="pct"/>
            <w:tcBorders>
              <w:bottom w:val="nil"/>
            </w:tcBorders>
            <w:vAlign w:val="center"/>
            <w:hideMark/>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9"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500"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46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c>
          <w:tcPr>
            <w:tcW w:w="466"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538" w:type="pct"/>
            <w:tcBorders>
              <w:bottom w:val="nil"/>
            </w:tcBorders>
            <w:vAlign w:val="center"/>
          </w:tcPr>
          <w:p w:rsidR="00674600" w:rsidRPr="00E16EDC" w:rsidRDefault="00674600" w:rsidP="00674600">
            <w:pPr>
              <w:spacing w:before="120" w:line="240" w:lineRule="auto"/>
              <w:ind w:left="-113" w:right="-113"/>
              <w:jc w:val="center"/>
              <w:rPr>
                <w:rFonts w:cs="Arial"/>
                <w:bCs/>
                <w:color w:val="FFFFFF"/>
                <w:sz w:val="14"/>
                <w:szCs w:val="20"/>
              </w:rPr>
            </w:pPr>
            <w:r>
              <w:rPr>
                <w:rFonts w:cs="Arial"/>
                <w:bCs/>
                <w:color w:val="FFFFFF"/>
                <w:sz w:val="14"/>
                <w:szCs w:val="20"/>
              </w:rPr>
              <w:t>Demand</w:t>
            </w:r>
          </w:p>
        </w:tc>
      </w:tr>
      <w:tr w:rsidR="00C524B8" w:rsidRPr="006A7228" w:rsidTr="00C524B8">
        <w:trPr>
          <w:trHeight w:val="510"/>
        </w:trPr>
        <w:tc>
          <w:tcPr>
            <w:tcW w:w="1060" w:type="pct"/>
            <w:tcBorders>
              <w:top w:val="nil"/>
              <w:bottom w:val="nil"/>
            </w:tcBorders>
            <w:vAlign w:val="center"/>
          </w:tcPr>
          <w:p w:rsidR="00C524B8" w:rsidRDefault="00C524B8">
            <w:pPr>
              <w:rPr>
                <w:rFonts w:cs="Arial"/>
                <w:sz w:val="16"/>
                <w:szCs w:val="16"/>
              </w:rPr>
            </w:pPr>
            <w:r>
              <w:rPr>
                <w:rFonts w:cs="Arial"/>
                <w:sz w:val="16"/>
                <w:szCs w:val="16"/>
              </w:rPr>
              <w:t>04 Jun - 10 Jun 2017</w:t>
            </w:r>
          </w:p>
        </w:tc>
        <w:tc>
          <w:tcPr>
            <w:tcW w:w="556" w:type="pct"/>
            <w:tcBorders>
              <w:top w:val="nil"/>
              <w:bottom w:val="nil"/>
            </w:tcBorders>
            <w:vAlign w:val="center"/>
          </w:tcPr>
          <w:p w:rsidR="00C524B8" w:rsidRDefault="00C524B8">
            <w:pPr>
              <w:jc w:val="center"/>
              <w:rPr>
                <w:rFonts w:cs="Arial"/>
                <w:sz w:val="20"/>
                <w:szCs w:val="20"/>
              </w:rPr>
            </w:pPr>
            <w:r>
              <w:rPr>
                <w:rFonts w:cs="Arial"/>
                <w:sz w:val="20"/>
                <w:szCs w:val="20"/>
              </w:rPr>
              <w:t>11.06</w:t>
            </w:r>
          </w:p>
        </w:tc>
        <w:tc>
          <w:tcPr>
            <w:tcW w:w="468" w:type="pct"/>
            <w:tcBorders>
              <w:top w:val="nil"/>
              <w:bottom w:val="nil"/>
            </w:tcBorders>
            <w:vAlign w:val="center"/>
          </w:tcPr>
          <w:p w:rsidR="00C524B8" w:rsidRDefault="00C524B8">
            <w:pPr>
              <w:jc w:val="center"/>
              <w:rPr>
                <w:rFonts w:cs="Arial"/>
                <w:sz w:val="20"/>
                <w:szCs w:val="20"/>
              </w:rPr>
            </w:pPr>
            <w:r>
              <w:rPr>
                <w:rFonts w:cs="Arial"/>
                <w:sz w:val="20"/>
                <w:szCs w:val="20"/>
              </w:rPr>
              <w:t>900</w:t>
            </w:r>
          </w:p>
        </w:tc>
        <w:tc>
          <w:tcPr>
            <w:tcW w:w="476" w:type="pct"/>
            <w:tcBorders>
              <w:top w:val="nil"/>
              <w:bottom w:val="nil"/>
            </w:tcBorders>
            <w:vAlign w:val="center"/>
          </w:tcPr>
          <w:p w:rsidR="00C524B8" w:rsidRDefault="00C524B8">
            <w:pPr>
              <w:jc w:val="center"/>
              <w:rPr>
                <w:rFonts w:cs="Arial"/>
                <w:sz w:val="20"/>
                <w:szCs w:val="20"/>
              </w:rPr>
            </w:pPr>
            <w:r>
              <w:rPr>
                <w:rFonts w:cs="Arial"/>
                <w:sz w:val="20"/>
                <w:szCs w:val="20"/>
              </w:rPr>
              <w:t>12.45</w:t>
            </w:r>
          </w:p>
        </w:tc>
        <w:tc>
          <w:tcPr>
            <w:tcW w:w="469" w:type="pct"/>
            <w:tcBorders>
              <w:top w:val="nil"/>
              <w:bottom w:val="nil"/>
            </w:tcBorders>
            <w:vAlign w:val="center"/>
          </w:tcPr>
          <w:p w:rsidR="00C524B8" w:rsidRDefault="00C524B8">
            <w:pPr>
              <w:jc w:val="center"/>
              <w:rPr>
                <w:rFonts w:cs="Arial"/>
                <w:sz w:val="20"/>
                <w:szCs w:val="20"/>
              </w:rPr>
            </w:pPr>
            <w:r>
              <w:rPr>
                <w:rFonts w:cs="Arial"/>
                <w:sz w:val="20"/>
                <w:szCs w:val="20"/>
              </w:rPr>
              <w:t>303</w:t>
            </w:r>
          </w:p>
        </w:tc>
        <w:tc>
          <w:tcPr>
            <w:tcW w:w="500" w:type="pct"/>
            <w:tcBorders>
              <w:top w:val="nil"/>
              <w:bottom w:val="nil"/>
            </w:tcBorders>
            <w:vAlign w:val="center"/>
          </w:tcPr>
          <w:p w:rsidR="00C524B8" w:rsidRDefault="00C524B8">
            <w:pPr>
              <w:jc w:val="center"/>
              <w:rPr>
                <w:rFonts w:cs="Arial"/>
                <w:sz w:val="20"/>
                <w:szCs w:val="20"/>
              </w:rPr>
            </w:pPr>
            <w:r>
              <w:rPr>
                <w:rFonts w:cs="Arial"/>
                <w:sz w:val="20"/>
                <w:szCs w:val="20"/>
              </w:rPr>
              <w:t>9.57</w:t>
            </w:r>
          </w:p>
        </w:tc>
        <w:tc>
          <w:tcPr>
            <w:tcW w:w="468" w:type="pct"/>
            <w:tcBorders>
              <w:top w:val="nil"/>
              <w:bottom w:val="nil"/>
            </w:tcBorders>
            <w:vAlign w:val="center"/>
          </w:tcPr>
          <w:p w:rsidR="00C524B8" w:rsidRDefault="00C524B8">
            <w:pPr>
              <w:jc w:val="center"/>
              <w:rPr>
                <w:rFonts w:cs="Arial"/>
                <w:sz w:val="20"/>
                <w:szCs w:val="20"/>
              </w:rPr>
            </w:pPr>
            <w:r>
              <w:rPr>
                <w:rFonts w:cs="Arial"/>
                <w:sz w:val="20"/>
                <w:szCs w:val="20"/>
              </w:rPr>
              <w:t>87</w:t>
            </w:r>
          </w:p>
        </w:tc>
        <w:tc>
          <w:tcPr>
            <w:tcW w:w="466" w:type="pct"/>
            <w:tcBorders>
              <w:top w:val="nil"/>
              <w:bottom w:val="nil"/>
            </w:tcBorders>
            <w:vAlign w:val="center"/>
          </w:tcPr>
          <w:p w:rsidR="00C524B8" w:rsidRDefault="00C524B8">
            <w:pPr>
              <w:jc w:val="center"/>
              <w:rPr>
                <w:rFonts w:cs="Arial"/>
                <w:sz w:val="20"/>
                <w:szCs w:val="20"/>
              </w:rPr>
            </w:pPr>
            <w:r>
              <w:rPr>
                <w:rFonts w:cs="Arial"/>
                <w:sz w:val="20"/>
                <w:szCs w:val="20"/>
              </w:rPr>
              <w:t>7.76</w:t>
            </w:r>
          </w:p>
        </w:tc>
        <w:tc>
          <w:tcPr>
            <w:tcW w:w="538" w:type="pct"/>
            <w:tcBorders>
              <w:top w:val="nil"/>
              <w:bottom w:val="nil"/>
            </w:tcBorders>
            <w:vAlign w:val="center"/>
          </w:tcPr>
          <w:p w:rsidR="00C524B8" w:rsidRDefault="00C524B8">
            <w:pPr>
              <w:jc w:val="center"/>
              <w:rPr>
                <w:rFonts w:cs="Arial"/>
                <w:sz w:val="20"/>
                <w:szCs w:val="20"/>
              </w:rPr>
            </w:pPr>
            <w:r>
              <w:rPr>
                <w:rFonts w:cs="Arial"/>
                <w:sz w:val="20"/>
                <w:szCs w:val="20"/>
              </w:rPr>
              <w:t>90</w:t>
            </w:r>
          </w:p>
        </w:tc>
      </w:tr>
      <w:tr w:rsidR="00C524B8" w:rsidRPr="006A7228" w:rsidTr="00C524B8">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nil"/>
            </w:tcBorders>
            <w:vAlign w:val="center"/>
          </w:tcPr>
          <w:p w:rsidR="00C524B8" w:rsidRDefault="00C524B8">
            <w:pPr>
              <w:rPr>
                <w:rFonts w:cs="Arial"/>
                <w:sz w:val="16"/>
                <w:szCs w:val="16"/>
              </w:rPr>
            </w:pPr>
            <w:r>
              <w:rPr>
                <w:rFonts w:cs="Arial"/>
                <w:sz w:val="16"/>
                <w:szCs w:val="16"/>
              </w:rPr>
              <w:t>% change from previous week</w:t>
            </w:r>
          </w:p>
        </w:tc>
        <w:tc>
          <w:tcPr>
            <w:tcW w:w="556" w:type="pct"/>
            <w:tcBorders>
              <w:top w:val="nil"/>
              <w:bottom w:val="nil"/>
            </w:tcBorders>
            <w:vAlign w:val="center"/>
          </w:tcPr>
          <w:p w:rsidR="00C524B8" w:rsidRDefault="00C524B8">
            <w:pPr>
              <w:jc w:val="center"/>
              <w:rPr>
                <w:rFonts w:cs="Arial"/>
                <w:szCs w:val="20"/>
              </w:rPr>
            </w:pPr>
            <w:r>
              <w:rPr>
                <w:rFonts w:cs="Arial"/>
                <w:szCs w:val="20"/>
              </w:rPr>
              <w:t>12</w:t>
            </w:r>
          </w:p>
        </w:tc>
        <w:tc>
          <w:tcPr>
            <w:tcW w:w="468" w:type="pct"/>
            <w:tcBorders>
              <w:top w:val="nil"/>
              <w:bottom w:val="nil"/>
            </w:tcBorders>
            <w:vAlign w:val="center"/>
          </w:tcPr>
          <w:p w:rsidR="00C524B8" w:rsidRDefault="00C524B8">
            <w:pPr>
              <w:jc w:val="center"/>
              <w:rPr>
                <w:rFonts w:cs="Arial"/>
                <w:szCs w:val="20"/>
              </w:rPr>
            </w:pPr>
            <w:r>
              <w:rPr>
                <w:rFonts w:cs="Arial"/>
                <w:szCs w:val="20"/>
              </w:rPr>
              <w:t>4</w:t>
            </w:r>
          </w:p>
        </w:tc>
        <w:tc>
          <w:tcPr>
            <w:tcW w:w="476" w:type="pct"/>
            <w:tcBorders>
              <w:top w:val="nil"/>
              <w:bottom w:val="nil"/>
            </w:tcBorders>
            <w:vAlign w:val="center"/>
          </w:tcPr>
          <w:p w:rsidR="00C524B8" w:rsidRDefault="00C524B8">
            <w:pPr>
              <w:jc w:val="center"/>
              <w:rPr>
                <w:rFonts w:cs="Arial"/>
                <w:szCs w:val="20"/>
              </w:rPr>
            </w:pPr>
            <w:r>
              <w:rPr>
                <w:rFonts w:cs="Arial"/>
                <w:szCs w:val="20"/>
              </w:rPr>
              <w:t>9</w:t>
            </w:r>
          </w:p>
        </w:tc>
        <w:tc>
          <w:tcPr>
            <w:tcW w:w="469" w:type="pct"/>
            <w:tcBorders>
              <w:top w:val="nil"/>
              <w:bottom w:val="nil"/>
            </w:tcBorders>
            <w:vAlign w:val="center"/>
          </w:tcPr>
          <w:p w:rsidR="00C524B8" w:rsidRDefault="00C524B8">
            <w:pPr>
              <w:jc w:val="center"/>
              <w:rPr>
                <w:rFonts w:cs="Arial"/>
                <w:szCs w:val="20"/>
              </w:rPr>
            </w:pPr>
            <w:r>
              <w:rPr>
                <w:rFonts w:cs="Arial"/>
                <w:szCs w:val="20"/>
              </w:rPr>
              <w:t>4</w:t>
            </w:r>
          </w:p>
        </w:tc>
        <w:tc>
          <w:tcPr>
            <w:tcW w:w="500" w:type="pct"/>
            <w:tcBorders>
              <w:top w:val="nil"/>
              <w:bottom w:val="nil"/>
            </w:tcBorders>
            <w:vAlign w:val="center"/>
          </w:tcPr>
          <w:p w:rsidR="00C524B8" w:rsidRDefault="00C524B8">
            <w:pPr>
              <w:jc w:val="center"/>
              <w:rPr>
                <w:rFonts w:cs="Arial"/>
                <w:szCs w:val="20"/>
              </w:rPr>
            </w:pPr>
            <w:r>
              <w:rPr>
                <w:rFonts w:cs="Arial"/>
                <w:szCs w:val="20"/>
              </w:rPr>
              <w:t>5</w:t>
            </w:r>
          </w:p>
        </w:tc>
        <w:tc>
          <w:tcPr>
            <w:tcW w:w="468" w:type="pct"/>
            <w:tcBorders>
              <w:top w:val="nil"/>
              <w:bottom w:val="nil"/>
            </w:tcBorders>
            <w:vAlign w:val="center"/>
          </w:tcPr>
          <w:p w:rsidR="00C524B8" w:rsidRDefault="00C524B8">
            <w:pPr>
              <w:jc w:val="center"/>
              <w:rPr>
                <w:rFonts w:cs="Arial"/>
                <w:szCs w:val="20"/>
              </w:rPr>
            </w:pPr>
            <w:r>
              <w:rPr>
                <w:rFonts w:cs="Arial"/>
                <w:szCs w:val="20"/>
              </w:rPr>
              <w:t>6</w:t>
            </w:r>
          </w:p>
        </w:tc>
        <w:tc>
          <w:tcPr>
            <w:tcW w:w="466" w:type="pct"/>
            <w:tcBorders>
              <w:top w:val="nil"/>
              <w:bottom w:val="nil"/>
            </w:tcBorders>
            <w:vAlign w:val="center"/>
          </w:tcPr>
          <w:p w:rsidR="00C524B8" w:rsidRDefault="00C524B8">
            <w:pPr>
              <w:jc w:val="center"/>
              <w:rPr>
                <w:rFonts w:cs="Arial"/>
                <w:szCs w:val="20"/>
              </w:rPr>
            </w:pPr>
            <w:r>
              <w:rPr>
                <w:rFonts w:cs="Arial"/>
                <w:szCs w:val="20"/>
              </w:rPr>
              <w:t>8</w:t>
            </w:r>
          </w:p>
        </w:tc>
        <w:tc>
          <w:tcPr>
            <w:tcW w:w="538" w:type="pct"/>
            <w:tcBorders>
              <w:top w:val="nil"/>
              <w:bottom w:val="nil"/>
            </w:tcBorders>
            <w:vAlign w:val="center"/>
          </w:tcPr>
          <w:p w:rsidR="00C524B8" w:rsidRDefault="00C524B8">
            <w:pPr>
              <w:jc w:val="center"/>
              <w:rPr>
                <w:rFonts w:cs="Arial"/>
                <w:szCs w:val="20"/>
              </w:rPr>
            </w:pPr>
            <w:r>
              <w:rPr>
                <w:rFonts w:cs="Arial"/>
                <w:szCs w:val="20"/>
              </w:rPr>
              <w:t>2</w:t>
            </w:r>
          </w:p>
        </w:tc>
      </w:tr>
      <w:tr w:rsidR="00C524B8" w:rsidRPr="006A7228" w:rsidTr="00C524B8">
        <w:trPr>
          <w:trHeight w:val="510"/>
        </w:trPr>
        <w:tc>
          <w:tcPr>
            <w:tcW w:w="1060" w:type="pct"/>
            <w:tcBorders>
              <w:top w:val="nil"/>
              <w:bottom w:val="nil"/>
            </w:tcBorders>
            <w:vAlign w:val="center"/>
          </w:tcPr>
          <w:p w:rsidR="00C524B8" w:rsidRDefault="00C524B8">
            <w:pPr>
              <w:rPr>
                <w:rFonts w:cs="Arial"/>
                <w:sz w:val="16"/>
                <w:szCs w:val="16"/>
              </w:rPr>
            </w:pPr>
            <w:r>
              <w:rPr>
                <w:rFonts w:cs="Arial"/>
                <w:sz w:val="16"/>
                <w:szCs w:val="16"/>
              </w:rPr>
              <w:t>16-17 financial YTD</w:t>
            </w:r>
          </w:p>
        </w:tc>
        <w:tc>
          <w:tcPr>
            <w:tcW w:w="556" w:type="pct"/>
            <w:tcBorders>
              <w:top w:val="nil"/>
              <w:bottom w:val="nil"/>
            </w:tcBorders>
            <w:vAlign w:val="center"/>
          </w:tcPr>
          <w:p w:rsidR="00C524B8" w:rsidRDefault="00C524B8">
            <w:pPr>
              <w:jc w:val="center"/>
              <w:rPr>
                <w:rFonts w:cs="Arial"/>
                <w:sz w:val="20"/>
                <w:szCs w:val="20"/>
              </w:rPr>
            </w:pPr>
            <w:r>
              <w:rPr>
                <w:rFonts w:cs="Arial"/>
                <w:sz w:val="20"/>
                <w:szCs w:val="20"/>
              </w:rPr>
              <w:t>8.54</w:t>
            </w:r>
          </w:p>
        </w:tc>
        <w:tc>
          <w:tcPr>
            <w:tcW w:w="468" w:type="pct"/>
            <w:tcBorders>
              <w:top w:val="nil"/>
              <w:bottom w:val="nil"/>
            </w:tcBorders>
            <w:vAlign w:val="center"/>
          </w:tcPr>
          <w:p w:rsidR="00C524B8" w:rsidRDefault="00C524B8">
            <w:pPr>
              <w:jc w:val="center"/>
              <w:rPr>
                <w:rFonts w:cs="Arial"/>
                <w:sz w:val="20"/>
                <w:szCs w:val="20"/>
              </w:rPr>
            </w:pPr>
            <w:r>
              <w:rPr>
                <w:rFonts w:cs="Arial"/>
                <w:sz w:val="20"/>
                <w:szCs w:val="20"/>
              </w:rPr>
              <w:t>544</w:t>
            </w:r>
          </w:p>
        </w:tc>
        <w:tc>
          <w:tcPr>
            <w:tcW w:w="476" w:type="pct"/>
            <w:tcBorders>
              <w:top w:val="nil"/>
              <w:bottom w:val="nil"/>
            </w:tcBorders>
            <w:vAlign w:val="center"/>
          </w:tcPr>
          <w:p w:rsidR="00C524B8" w:rsidRDefault="00C524B8">
            <w:pPr>
              <w:jc w:val="center"/>
              <w:rPr>
                <w:rFonts w:cs="Arial"/>
                <w:sz w:val="20"/>
                <w:szCs w:val="20"/>
              </w:rPr>
            </w:pPr>
            <w:r>
              <w:rPr>
                <w:rFonts w:cs="Arial"/>
                <w:sz w:val="20"/>
                <w:szCs w:val="20"/>
              </w:rPr>
              <w:t>8.76</w:t>
            </w:r>
          </w:p>
        </w:tc>
        <w:tc>
          <w:tcPr>
            <w:tcW w:w="469" w:type="pct"/>
            <w:tcBorders>
              <w:top w:val="nil"/>
              <w:bottom w:val="nil"/>
            </w:tcBorders>
            <w:vAlign w:val="center"/>
          </w:tcPr>
          <w:p w:rsidR="00C524B8" w:rsidRDefault="00C524B8">
            <w:pPr>
              <w:jc w:val="center"/>
              <w:rPr>
                <w:rFonts w:cs="Arial"/>
                <w:sz w:val="20"/>
                <w:szCs w:val="20"/>
              </w:rPr>
            </w:pPr>
            <w:r>
              <w:rPr>
                <w:rFonts w:cs="Arial"/>
                <w:sz w:val="20"/>
                <w:szCs w:val="20"/>
              </w:rPr>
              <w:t>241</w:t>
            </w:r>
          </w:p>
        </w:tc>
        <w:tc>
          <w:tcPr>
            <w:tcW w:w="500" w:type="pct"/>
            <w:tcBorders>
              <w:top w:val="nil"/>
              <w:bottom w:val="nil"/>
            </w:tcBorders>
            <w:vAlign w:val="center"/>
          </w:tcPr>
          <w:p w:rsidR="00C524B8" w:rsidRDefault="00C524B8">
            <w:pPr>
              <w:jc w:val="center"/>
              <w:rPr>
                <w:rFonts w:cs="Arial"/>
                <w:sz w:val="20"/>
                <w:szCs w:val="20"/>
              </w:rPr>
            </w:pPr>
            <w:r>
              <w:rPr>
                <w:rFonts w:cs="Arial"/>
                <w:sz w:val="20"/>
                <w:szCs w:val="20"/>
              </w:rPr>
              <w:t>8.81</w:t>
            </w:r>
          </w:p>
        </w:tc>
        <w:tc>
          <w:tcPr>
            <w:tcW w:w="468" w:type="pct"/>
            <w:tcBorders>
              <w:top w:val="nil"/>
              <w:bottom w:val="nil"/>
            </w:tcBorders>
            <w:vAlign w:val="center"/>
          </w:tcPr>
          <w:p w:rsidR="00C524B8" w:rsidRDefault="00C524B8">
            <w:pPr>
              <w:jc w:val="center"/>
              <w:rPr>
                <w:rFonts w:cs="Arial"/>
                <w:sz w:val="20"/>
                <w:szCs w:val="20"/>
              </w:rPr>
            </w:pPr>
            <w:r>
              <w:rPr>
                <w:rFonts w:cs="Arial"/>
                <w:sz w:val="20"/>
                <w:szCs w:val="20"/>
              </w:rPr>
              <w:t>61</w:t>
            </w:r>
          </w:p>
        </w:tc>
        <w:tc>
          <w:tcPr>
            <w:tcW w:w="466" w:type="pct"/>
            <w:tcBorders>
              <w:top w:val="nil"/>
              <w:bottom w:val="nil"/>
            </w:tcBorders>
            <w:vAlign w:val="center"/>
          </w:tcPr>
          <w:p w:rsidR="00C524B8" w:rsidRDefault="00C524B8">
            <w:pPr>
              <w:jc w:val="center"/>
              <w:rPr>
                <w:rFonts w:cs="Arial"/>
                <w:sz w:val="20"/>
                <w:szCs w:val="20"/>
              </w:rPr>
            </w:pPr>
            <w:r>
              <w:rPr>
                <w:rFonts w:cs="Arial"/>
                <w:sz w:val="20"/>
                <w:szCs w:val="20"/>
              </w:rPr>
              <w:t>8.26</w:t>
            </w:r>
          </w:p>
        </w:tc>
        <w:tc>
          <w:tcPr>
            <w:tcW w:w="538" w:type="pct"/>
            <w:tcBorders>
              <w:top w:val="nil"/>
              <w:bottom w:val="nil"/>
            </w:tcBorders>
            <w:vAlign w:val="center"/>
          </w:tcPr>
          <w:p w:rsidR="00C524B8" w:rsidRDefault="00C524B8">
            <w:pPr>
              <w:jc w:val="center"/>
              <w:rPr>
                <w:rFonts w:cs="Arial"/>
                <w:sz w:val="20"/>
                <w:szCs w:val="20"/>
              </w:rPr>
            </w:pPr>
            <w:r>
              <w:rPr>
                <w:rFonts w:cs="Arial"/>
                <w:sz w:val="20"/>
                <w:szCs w:val="20"/>
              </w:rPr>
              <w:t>84</w:t>
            </w:r>
          </w:p>
        </w:tc>
      </w:tr>
      <w:tr w:rsidR="00C524B8" w:rsidRPr="006A7228" w:rsidTr="00C524B8">
        <w:trPr>
          <w:cnfStyle w:val="000000010000" w:firstRow="0" w:lastRow="0" w:firstColumn="0" w:lastColumn="0" w:oddVBand="0" w:evenVBand="0" w:oddHBand="0" w:evenHBand="1" w:firstRowFirstColumn="0" w:firstRowLastColumn="0" w:lastRowFirstColumn="0" w:lastRowLastColumn="0"/>
          <w:trHeight w:val="510"/>
        </w:trPr>
        <w:tc>
          <w:tcPr>
            <w:tcW w:w="1060" w:type="pct"/>
            <w:tcBorders>
              <w:top w:val="nil"/>
              <w:bottom w:val="single" w:sz="4" w:space="0" w:color="auto"/>
            </w:tcBorders>
            <w:vAlign w:val="center"/>
          </w:tcPr>
          <w:p w:rsidR="00C524B8" w:rsidRDefault="00C524B8">
            <w:pPr>
              <w:rPr>
                <w:rFonts w:cs="Arial"/>
                <w:sz w:val="16"/>
                <w:szCs w:val="16"/>
              </w:rPr>
            </w:pPr>
            <w:r>
              <w:rPr>
                <w:rFonts w:cs="Arial"/>
                <w:sz w:val="16"/>
                <w:szCs w:val="16"/>
              </w:rPr>
              <w:t>% change from previous financial YTD</w:t>
            </w:r>
          </w:p>
        </w:tc>
        <w:tc>
          <w:tcPr>
            <w:tcW w:w="556" w:type="pct"/>
            <w:tcBorders>
              <w:top w:val="nil"/>
              <w:bottom w:val="single" w:sz="4" w:space="0" w:color="auto"/>
            </w:tcBorders>
            <w:vAlign w:val="center"/>
          </w:tcPr>
          <w:p w:rsidR="00C524B8" w:rsidRDefault="00C524B8">
            <w:pPr>
              <w:jc w:val="center"/>
              <w:rPr>
                <w:rFonts w:cs="Arial"/>
                <w:szCs w:val="20"/>
              </w:rPr>
            </w:pPr>
            <w:r>
              <w:rPr>
                <w:rFonts w:cs="Arial"/>
                <w:szCs w:val="20"/>
              </w:rPr>
              <w:t>85</w:t>
            </w:r>
          </w:p>
        </w:tc>
        <w:tc>
          <w:tcPr>
            <w:tcW w:w="468" w:type="pct"/>
            <w:tcBorders>
              <w:top w:val="nil"/>
              <w:bottom w:val="single" w:sz="4" w:space="0" w:color="auto"/>
            </w:tcBorders>
            <w:vAlign w:val="center"/>
          </w:tcPr>
          <w:p w:rsidR="00C524B8" w:rsidRDefault="00C524B8">
            <w:pPr>
              <w:jc w:val="center"/>
              <w:rPr>
                <w:rFonts w:cs="Arial"/>
                <w:szCs w:val="20"/>
              </w:rPr>
            </w:pPr>
            <w:r>
              <w:rPr>
                <w:rFonts w:cs="Arial"/>
                <w:szCs w:val="20"/>
              </w:rPr>
              <w:t>1</w:t>
            </w:r>
          </w:p>
        </w:tc>
        <w:tc>
          <w:tcPr>
            <w:tcW w:w="476" w:type="pct"/>
            <w:tcBorders>
              <w:top w:val="nil"/>
              <w:bottom w:val="single" w:sz="4" w:space="0" w:color="auto"/>
            </w:tcBorders>
            <w:vAlign w:val="center"/>
          </w:tcPr>
          <w:p w:rsidR="00C524B8" w:rsidRDefault="00C524B8">
            <w:pPr>
              <w:jc w:val="center"/>
              <w:rPr>
                <w:rFonts w:cs="Arial"/>
                <w:szCs w:val="20"/>
              </w:rPr>
            </w:pPr>
            <w:r>
              <w:rPr>
                <w:rFonts w:cs="Arial"/>
                <w:szCs w:val="20"/>
              </w:rPr>
              <w:t>83</w:t>
            </w:r>
          </w:p>
        </w:tc>
        <w:tc>
          <w:tcPr>
            <w:tcW w:w="469" w:type="pct"/>
            <w:tcBorders>
              <w:top w:val="nil"/>
              <w:bottom w:val="single" w:sz="4" w:space="0" w:color="auto"/>
            </w:tcBorders>
            <w:vAlign w:val="center"/>
          </w:tcPr>
          <w:p w:rsidR="00C524B8" w:rsidRDefault="00C524B8">
            <w:pPr>
              <w:jc w:val="center"/>
              <w:rPr>
                <w:rFonts w:cs="Arial"/>
                <w:szCs w:val="20"/>
              </w:rPr>
            </w:pPr>
            <w:r>
              <w:rPr>
                <w:rFonts w:cs="Arial"/>
                <w:szCs w:val="20"/>
              </w:rPr>
              <w:t>2</w:t>
            </w:r>
          </w:p>
        </w:tc>
        <w:tc>
          <w:tcPr>
            <w:tcW w:w="500" w:type="pct"/>
            <w:tcBorders>
              <w:top w:val="nil"/>
              <w:bottom w:val="single" w:sz="4" w:space="0" w:color="auto"/>
            </w:tcBorders>
            <w:vAlign w:val="center"/>
          </w:tcPr>
          <w:p w:rsidR="00C524B8" w:rsidRDefault="00C524B8">
            <w:pPr>
              <w:jc w:val="center"/>
              <w:rPr>
                <w:rFonts w:cs="Arial"/>
                <w:szCs w:val="20"/>
              </w:rPr>
            </w:pPr>
            <w:r>
              <w:rPr>
                <w:rFonts w:cs="Arial"/>
                <w:szCs w:val="20"/>
              </w:rPr>
              <w:t>60</w:t>
            </w:r>
          </w:p>
        </w:tc>
        <w:tc>
          <w:tcPr>
            <w:tcW w:w="468" w:type="pct"/>
            <w:tcBorders>
              <w:top w:val="nil"/>
              <w:bottom w:val="single" w:sz="4" w:space="0" w:color="auto"/>
            </w:tcBorders>
            <w:vAlign w:val="center"/>
          </w:tcPr>
          <w:p w:rsidR="00C524B8" w:rsidRDefault="00C524B8">
            <w:pPr>
              <w:jc w:val="center"/>
              <w:rPr>
                <w:rFonts w:cs="Arial"/>
                <w:szCs w:val="20"/>
              </w:rPr>
            </w:pPr>
            <w:r>
              <w:rPr>
                <w:rFonts w:cs="Arial"/>
                <w:szCs w:val="20"/>
              </w:rPr>
              <w:t>3</w:t>
            </w:r>
          </w:p>
        </w:tc>
        <w:tc>
          <w:tcPr>
            <w:tcW w:w="466" w:type="pct"/>
            <w:tcBorders>
              <w:top w:val="nil"/>
              <w:bottom w:val="single" w:sz="4" w:space="0" w:color="auto"/>
            </w:tcBorders>
            <w:vAlign w:val="center"/>
          </w:tcPr>
          <w:p w:rsidR="00C524B8" w:rsidRDefault="00C524B8">
            <w:pPr>
              <w:jc w:val="center"/>
              <w:rPr>
                <w:rFonts w:cs="Arial"/>
                <w:szCs w:val="20"/>
              </w:rPr>
            </w:pPr>
            <w:r>
              <w:rPr>
                <w:rFonts w:cs="Arial"/>
                <w:szCs w:val="20"/>
              </w:rPr>
              <w:t>86</w:t>
            </w:r>
          </w:p>
        </w:tc>
        <w:tc>
          <w:tcPr>
            <w:tcW w:w="538" w:type="pct"/>
            <w:tcBorders>
              <w:top w:val="nil"/>
              <w:bottom w:val="single" w:sz="4" w:space="0" w:color="auto"/>
            </w:tcBorders>
            <w:vAlign w:val="center"/>
          </w:tcPr>
          <w:p w:rsidR="00C524B8" w:rsidRDefault="00C524B8">
            <w:pPr>
              <w:jc w:val="center"/>
              <w:rPr>
                <w:rFonts w:cs="Arial"/>
                <w:szCs w:val="20"/>
              </w:rPr>
            </w:pPr>
            <w:r>
              <w:rPr>
                <w:rFonts w:cs="Arial"/>
                <w:szCs w:val="20"/>
              </w:rPr>
              <w:t>1</w:t>
            </w:r>
          </w:p>
        </w:tc>
      </w:tr>
    </w:tbl>
    <w:p w:rsidR="00674600" w:rsidRDefault="00674600" w:rsidP="00674600">
      <w:pPr>
        <w:jc w:val="both"/>
      </w:pPr>
      <w:r>
        <w:t>Figure 2 sets out p</w:t>
      </w:r>
      <w:r w:rsidRPr="00EC137F">
        <w:t xml:space="preserve">rice and demand information is also shown for the voluntary Wallumbilla and Moomba Gas Supply Hubs </w:t>
      </w:r>
      <w:r w:rsidRPr="00EC137F">
        <w:rPr>
          <w:b/>
        </w:rPr>
        <w:t>(GSH)</w:t>
      </w:r>
      <w:r w:rsidRPr="00EC137F">
        <w:t>.</w:t>
      </w:r>
    </w:p>
    <w:p w:rsidR="00674600" w:rsidRDefault="00674600" w:rsidP="00674600">
      <w:pPr>
        <w:pStyle w:val="Caption"/>
        <w:rPr>
          <w:color w:val="2272A3"/>
          <w:szCs w:val="24"/>
        </w:rPr>
      </w:pPr>
      <w:r w:rsidRPr="00BE2075">
        <w:t xml:space="preserve">Figure </w:t>
      </w:r>
      <w:fldSimple w:instr=" SEQ Figure \* ARABIC ">
        <w:r>
          <w:rPr>
            <w:noProof/>
          </w:rPr>
          <w:t>2</w:t>
        </w:r>
      </w:fldSimple>
      <w:r w:rsidRPr="00BE2075">
        <w:t xml:space="preserve">: </w:t>
      </w:r>
      <w:r w:rsidRPr="006E7E57">
        <w:rPr>
          <w:color w:val="2272A3"/>
          <w:szCs w:val="24"/>
        </w:rPr>
        <w:t>Average prices</w:t>
      </w:r>
      <w:r>
        <w:rPr>
          <w:color w:val="2272A3"/>
          <w:szCs w:val="24"/>
        </w:rPr>
        <w:t xml:space="preserve"> and </w:t>
      </w:r>
      <w:r w:rsidR="0060313E">
        <w:rPr>
          <w:color w:val="2272A3"/>
          <w:szCs w:val="24"/>
        </w:rPr>
        <w:t xml:space="preserve">total </w:t>
      </w:r>
      <w:r w:rsidR="009904FF">
        <w:rPr>
          <w:color w:val="2272A3"/>
          <w:szCs w:val="24"/>
        </w:rPr>
        <w:t>quantity</w:t>
      </w:r>
      <w:r w:rsidRPr="006E7E57">
        <w:rPr>
          <w:color w:val="2272A3"/>
          <w:szCs w:val="24"/>
        </w:rPr>
        <w:t xml:space="preserve"> – </w:t>
      </w:r>
      <w:r w:rsidR="008D7D94">
        <w:rPr>
          <w:color w:val="2272A3"/>
          <w:szCs w:val="24"/>
        </w:rPr>
        <w:t>Gas supply hub</w:t>
      </w:r>
      <w:r w:rsidRPr="006E7E57">
        <w:rPr>
          <w:color w:val="2272A3"/>
          <w:szCs w:val="24"/>
        </w:rPr>
        <w:t xml:space="preserve"> ($/GJ</w:t>
      </w:r>
      <w:r w:rsidRPr="00EC137F">
        <w:rPr>
          <w:color w:val="2272A3"/>
          <w:szCs w:val="24"/>
        </w:rPr>
        <w:t>, TJ)</w:t>
      </w:r>
      <w:r w:rsidRPr="00EC137F">
        <w:rPr>
          <w:color w:val="2272A3"/>
          <w:szCs w:val="24"/>
          <w:vertAlign w:val="superscript"/>
        </w:rPr>
        <w:footnoteReference w:id="3"/>
      </w:r>
    </w:p>
    <w:tbl>
      <w:tblPr>
        <w:tblStyle w:val="AERTable-Text"/>
        <w:tblW w:w="5000" w:type="pct"/>
        <w:tblLayout w:type="fixed"/>
        <w:tblLook w:val="04A0" w:firstRow="1" w:lastRow="0" w:firstColumn="1" w:lastColumn="0" w:noHBand="0" w:noVBand="1"/>
      </w:tblPr>
      <w:tblGrid>
        <w:gridCol w:w="1891"/>
        <w:gridCol w:w="1336"/>
        <w:gridCol w:w="1174"/>
        <w:gridCol w:w="1237"/>
        <w:gridCol w:w="1253"/>
        <w:gridCol w:w="1155"/>
        <w:gridCol w:w="1196"/>
      </w:tblGrid>
      <w:tr w:rsidR="008D7D94" w:rsidRPr="002861A9" w:rsidTr="006F1BC3">
        <w:trPr>
          <w:cnfStyle w:val="100000000000" w:firstRow="1" w:lastRow="0" w:firstColumn="0" w:lastColumn="0" w:oddVBand="0" w:evenVBand="0" w:oddHBand="0" w:evenHBand="0" w:firstRowFirstColumn="0" w:firstRowLastColumn="0" w:lastRowFirstColumn="0" w:lastRowLastColumn="0"/>
          <w:trHeight w:val="404"/>
          <w:tblHeader/>
        </w:trPr>
        <w:tc>
          <w:tcPr>
            <w:tcW w:w="1023" w:type="pct"/>
            <w:tcBorders>
              <w:top w:val="nil"/>
              <w:left w:val="nil"/>
              <w:bottom w:val="nil"/>
              <w:right w:val="nil"/>
            </w:tcBorders>
            <w:vAlign w:val="center"/>
          </w:tcPr>
          <w:p w:rsidR="008D7D94" w:rsidRPr="00E16EDC" w:rsidRDefault="008D7D94" w:rsidP="006F1BC3">
            <w:pPr>
              <w:pStyle w:val="TableHeading"/>
              <w:spacing w:before="120" w:after="0" w:line="240" w:lineRule="auto"/>
              <w:jc w:val="center"/>
              <w:rPr>
                <w:rFonts w:cs="Arial"/>
                <w:sz w:val="20"/>
                <w:szCs w:val="20"/>
              </w:rPr>
            </w:pPr>
          </w:p>
        </w:tc>
        <w:tc>
          <w:tcPr>
            <w:tcW w:w="1358" w:type="pct"/>
            <w:gridSpan w:val="2"/>
            <w:tcBorders>
              <w:top w:val="nil"/>
              <w:left w:val="nil"/>
              <w:bottom w:val="nil"/>
              <w:right w:val="nil"/>
            </w:tcBorders>
            <w:vAlign w:val="center"/>
          </w:tcPr>
          <w:p w:rsidR="008D7D94" w:rsidRPr="00E95390" w:rsidRDefault="008D7D94" w:rsidP="006F1BC3">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Moomba</w:t>
            </w:r>
          </w:p>
        </w:tc>
        <w:tc>
          <w:tcPr>
            <w:tcW w:w="1347" w:type="pct"/>
            <w:gridSpan w:val="2"/>
            <w:tcBorders>
              <w:top w:val="nil"/>
              <w:left w:val="nil"/>
              <w:bottom w:val="nil"/>
              <w:right w:val="nil"/>
            </w:tcBorders>
            <w:vAlign w:val="center"/>
          </w:tcPr>
          <w:p w:rsidR="008D7D94" w:rsidRPr="00E95390" w:rsidRDefault="008D7D94" w:rsidP="006F1BC3">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South East Queensland</w:t>
            </w:r>
          </w:p>
        </w:tc>
        <w:tc>
          <w:tcPr>
            <w:tcW w:w="1272" w:type="pct"/>
            <w:gridSpan w:val="2"/>
            <w:tcBorders>
              <w:top w:val="nil"/>
              <w:left w:val="nil"/>
              <w:bottom w:val="nil"/>
              <w:right w:val="nil"/>
            </w:tcBorders>
            <w:vAlign w:val="center"/>
          </w:tcPr>
          <w:p w:rsidR="008D7D94" w:rsidRPr="00E95390" w:rsidRDefault="008D7D94" w:rsidP="006F1BC3">
            <w:pPr>
              <w:spacing w:before="120" w:line="240" w:lineRule="auto"/>
              <w:jc w:val="center"/>
              <w:rPr>
                <w:rFonts w:eastAsia="Times New Roman" w:cs="Arial"/>
                <w:b w:val="0"/>
                <w:bCs/>
                <w:color w:val="FFFFFF"/>
                <w:sz w:val="20"/>
                <w:szCs w:val="20"/>
                <w:lang w:eastAsia="en-AU"/>
              </w:rPr>
            </w:pPr>
            <w:r>
              <w:rPr>
                <w:rFonts w:eastAsia="Times New Roman" w:cs="Arial"/>
                <w:bCs/>
                <w:color w:val="FFFFFF"/>
                <w:sz w:val="20"/>
                <w:szCs w:val="20"/>
                <w:lang w:eastAsia="en-AU"/>
              </w:rPr>
              <w:t>Wallumbilla</w:t>
            </w:r>
          </w:p>
        </w:tc>
      </w:tr>
      <w:tr w:rsidR="008D7D94" w:rsidRPr="002861A9" w:rsidTr="006F1BC3">
        <w:trPr>
          <w:cnfStyle w:val="100000000000" w:firstRow="1" w:lastRow="0" w:firstColumn="0" w:lastColumn="0" w:oddVBand="0" w:evenVBand="0" w:oddHBand="0" w:evenHBand="0" w:firstRowFirstColumn="0" w:firstRowLastColumn="0" w:lastRowFirstColumn="0" w:lastRowLastColumn="0"/>
          <w:tblHeader/>
        </w:trPr>
        <w:tc>
          <w:tcPr>
            <w:tcW w:w="1023" w:type="pct"/>
            <w:tcBorders>
              <w:top w:val="nil"/>
              <w:left w:val="nil"/>
              <w:bottom w:val="nil"/>
              <w:right w:val="nil"/>
            </w:tcBorders>
            <w:vAlign w:val="center"/>
            <w:hideMark/>
          </w:tcPr>
          <w:p w:rsidR="008D7D94" w:rsidRPr="00A226E9" w:rsidRDefault="008D7D94" w:rsidP="006F1BC3">
            <w:pPr>
              <w:spacing w:before="0" w:line="240" w:lineRule="auto"/>
              <w:rPr>
                <w:rFonts w:cs="Arial"/>
                <w:sz w:val="20"/>
                <w:szCs w:val="20"/>
                <w:highlight w:val="yellow"/>
              </w:rPr>
            </w:pPr>
          </w:p>
        </w:tc>
        <w:tc>
          <w:tcPr>
            <w:tcW w:w="723" w:type="pct"/>
            <w:tcBorders>
              <w:top w:val="nil"/>
              <w:left w:val="nil"/>
              <w:bottom w:val="nil"/>
              <w:right w:val="nil"/>
            </w:tcBorders>
            <w:vAlign w:val="center"/>
            <w:hideMark/>
          </w:tcPr>
          <w:p w:rsidR="008D7D94" w:rsidRPr="00E16EDC" w:rsidRDefault="008D7D94" w:rsidP="006F1BC3">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35" w:type="pct"/>
            <w:tcBorders>
              <w:top w:val="nil"/>
              <w:left w:val="nil"/>
              <w:bottom w:val="nil"/>
              <w:right w:val="nil"/>
            </w:tcBorders>
            <w:vAlign w:val="center"/>
            <w:hideMark/>
          </w:tcPr>
          <w:p w:rsidR="008D7D94" w:rsidRPr="00E16EDC" w:rsidRDefault="009904FF" w:rsidP="006F1BC3">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69" w:type="pct"/>
            <w:tcBorders>
              <w:top w:val="nil"/>
              <w:left w:val="nil"/>
              <w:bottom w:val="nil"/>
              <w:right w:val="nil"/>
            </w:tcBorders>
            <w:vAlign w:val="center"/>
            <w:hideMark/>
          </w:tcPr>
          <w:p w:rsidR="008D7D94" w:rsidRPr="00E16EDC" w:rsidRDefault="008D7D94" w:rsidP="006F1BC3">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78" w:type="pct"/>
            <w:tcBorders>
              <w:top w:val="nil"/>
              <w:left w:val="nil"/>
              <w:bottom w:val="nil"/>
              <w:right w:val="nil"/>
            </w:tcBorders>
            <w:vAlign w:val="center"/>
          </w:tcPr>
          <w:p w:rsidR="008D7D94" w:rsidRPr="00E16EDC" w:rsidRDefault="009904FF" w:rsidP="006F1BC3">
            <w:pPr>
              <w:spacing w:before="120" w:line="240" w:lineRule="auto"/>
              <w:ind w:left="-113" w:right="-113"/>
              <w:jc w:val="center"/>
              <w:rPr>
                <w:rFonts w:cs="Arial"/>
                <w:bCs/>
                <w:color w:val="FFFFFF"/>
                <w:sz w:val="14"/>
                <w:szCs w:val="20"/>
              </w:rPr>
            </w:pPr>
            <w:r>
              <w:rPr>
                <w:rFonts w:cs="Arial"/>
                <w:bCs/>
                <w:color w:val="FFFFFF"/>
                <w:sz w:val="14"/>
                <w:szCs w:val="20"/>
              </w:rPr>
              <w:t>Quantity</w:t>
            </w:r>
          </w:p>
        </w:tc>
        <w:tc>
          <w:tcPr>
            <w:tcW w:w="625" w:type="pct"/>
            <w:tcBorders>
              <w:top w:val="nil"/>
              <w:left w:val="nil"/>
              <w:bottom w:val="nil"/>
              <w:right w:val="nil"/>
            </w:tcBorders>
            <w:vAlign w:val="center"/>
          </w:tcPr>
          <w:p w:rsidR="008D7D94" w:rsidRPr="00E16EDC" w:rsidRDefault="008D7D94" w:rsidP="006F1BC3">
            <w:pPr>
              <w:spacing w:before="120" w:line="240" w:lineRule="auto"/>
              <w:ind w:left="-113" w:right="-113"/>
              <w:jc w:val="center"/>
              <w:rPr>
                <w:rFonts w:cs="Arial"/>
                <w:bCs/>
                <w:color w:val="FFFFFF"/>
                <w:sz w:val="14"/>
                <w:szCs w:val="20"/>
              </w:rPr>
            </w:pPr>
            <w:r>
              <w:rPr>
                <w:rFonts w:cs="Arial"/>
                <w:bCs/>
                <w:color w:val="FFFFFF"/>
                <w:sz w:val="14"/>
                <w:szCs w:val="20"/>
              </w:rPr>
              <w:t>Price</w:t>
            </w:r>
          </w:p>
        </w:tc>
        <w:tc>
          <w:tcPr>
            <w:tcW w:w="647" w:type="pct"/>
            <w:tcBorders>
              <w:top w:val="nil"/>
              <w:left w:val="nil"/>
              <w:bottom w:val="nil"/>
              <w:right w:val="nil"/>
            </w:tcBorders>
            <w:vAlign w:val="center"/>
          </w:tcPr>
          <w:p w:rsidR="008D7D94" w:rsidRPr="00E16EDC" w:rsidRDefault="009904FF" w:rsidP="006F1BC3">
            <w:pPr>
              <w:spacing w:before="120" w:line="240" w:lineRule="auto"/>
              <w:ind w:left="-113" w:right="-113"/>
              <w:jc w:val="center"/>
              <w:rPr>
                <w:rFonts w:cs="Arial"/>
                <w:bCs/>
                <w:color w:val="FFFFFF"/>
                <w:sz w:val="14"/>
                <w:szCs w:val="20"/>
              </w:rPr>
            </w:pPr>
            <w:r>
              <w:rPr>
                <w:rFonts w:cs="Arial"/>
                <w:bCs/>
                <w:color w:val="FFFFFF"/>
                <w:sz w:val="14"/>
                <w:szCs w:val="20"/>
              </w:rPr>
              <w:t>Quantity</w:t>
            </w:r>
          </w:p>
        </w:tc>
      </w:tr>
      <w:tr w:rsidR="00C524B8" w:rsidRPr="006A7228" w:rsidTr="006F1BC3">
        <w:trPr>
          <w:trHeight w:val="510"/>
        </w:trPr>
        <w:tc>
          <w:tcPr>
            <w:tcW w:w="1023" w:type="pct"/>
            <w:tcBorders>
              <w:top w:val="nil"/>
              <w:bottom w:val="nil"/>
            </w:tcBorders>
            <w:vAlign w:val="center"/>
          </w:tcPr>
          <w:p w:rsidR="00C524B8" w:rsidRDefault="00C524B8">
            <w:pPr>
              <w:rPr>
                <w:rFonts w:cs="Arial"/>
                <w:sz w:val="16"/>
                <w:szCs w:val="16"/>
              </w:rPr>
            </w:pPr>
            <w:r>
              <w:rPr>
                <w:rFonts w:cs="Arial"/>
                <w:sz w:val="16"/>
                <w:szCs w:val="16"/>
              </w:rPr>
              <w:t>04 Jun - 10 Jun 2017</w:t>
            </w:r>
          </w:p>
        </w:tc>
        <w:tc>
          <w:tcPr>
            <w:tcW w:w="723"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635"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669" w:type="pct"/>
            <w:tcBorders>
              <w:top w:val="nil"/>
              <w:bottom w:val="nil"/>
            </w:tcBorders>
            <w:vAlign w:val="center"/>
          </w:tcPr>
          <w:p w:rsidR="00C524B8" w:rsidRDefault="00C524B8">
            <w:pPr>
              <w:jc w:val="center"/>
              <w:rPr>
                <w:rFonts w:cs="Arial"/>
                <w:sz w:val="20"/>
                <w:szCs w:val="20"/>
              </w:rPr>
            </w:pPr>
            <w:r>
              <w:rPr>
                <w:rFonts w:cs="Arial"/>
                <w:sz w:val="20"/>
                <w:szCs w:val="20"/>
              </w:rPr>
              <w:t>7.44</w:t>
            </w:r>
          </w:p>
        </w:tc>
        <w:tc>
          <w:tcPr>
            <w:tcW w:w="678" w:type="pct"/>
            <w:tcBorders>
              <w:top w:val="nil"/>
              <w:bottom w:val="nil"/>
            </w:tcBorders>
            <w:vAlign w:val="center"/>
          </w:tcPr>
          <w:p w:rsidR="00C524B8" w:rsidRDefault="00C524B8">
            <w:pPr>
              <w:jc w:val="center"/>
              <w:rPr>
                <w:rFonts w:cs="Arial"/>
                <w:sz w:val="20"/>
                <w:szCs w:val="20"/>
              </w:rPr>
            </w:pPr>
            <w:r>
              <w:rPr>
                <w:rFonts w:cs="Arial"/>
                <w:sz w:val="20"/>
                <w:szCs w:val="20"/>
              </w:rPr>
              <w:t>82</w:t>
            </w:r>
          </w:p>
        </w:tc>
        <w:tc>
          <w:tcPr>
            <w:tcW w:w="625" w:type="pct"/>
            <w:tcBorders>
              <w:top w:val="nil"/>
              <w:bottom w:val="nil"/>
            </w:tcBorders>
            <w:vAlign w:val="center"/>
          </w:tcPr>
          <w:p w:rsidR="00C524B8" w:rsidRDefault="00C524B8">
            <w:pPr>
              <w:jc w:val="center"/>
              <w:rPr>
                <w:rFonts w:cs="Arial"/>
                <w:sz w:val="20"/>
                <w:szCs w:val="20"/>
              </w:rPr>
            </w:pPr>
            <w:r>
              <w:rPr>
                <w:rFonts w:cs="Arial"/>
                <w:sz w:val="20"/>
                <w:szCs w:val="20"/>
              </w:rPr>
              <w:t>8.00</w:t>
            </w:r>
          </w:p>
        </w:tc>
        <w:tc>
          <w:tcPr>
            <w:tcW w:w="647" w:type="pct"/>
            <w:tcBorders>
              <w:top w:val="nil"/>
              <w:bottom w:val="nil"/>
            </w:tcBorders>
            <w:vAlign w:val="center"/>
          </w:tcPr>
          <w:p w:rsidR="00C524B8" w:rsidRDefault="00C524B8">
            <w:pPr>
              <w:jc w:val="center"/>
              <w:rPr>
                <w:rFonts w:cs="Arial"/>
                <w:sz w:val="20"/>
                <w:szCs w:val="20"/>
              </w:rPr>
            </w:pPr>
            <w:r>
              <w:rPr>
                <w:rFonts w:cs="Arial"/>
                <w:sz w:val="20"/>
                <w:szCs w:val="20"/>
              </w:rPr>
              <w:t>314</w:t>
            </w:r>
          </w:p>
        </w:tc>
      </w:tr>
      <w:tr w:rsidR="00C524B8" w:rsidRPr="006A7228" w:rsidTr="006F1BC3">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nil"/>
            </w:tcBorders>
            <w:vAlign w:val="center"/>
          </w:tcPr>
          <w:p w:rsidR="00C524B8" w:rsidRDefault="00C524B8">
            <w:pPr>
              <w:rPr>
                <w:rFonts w:cs="Arial"/>
                <w:sz w:val="16"/>
                <w:szCs w:val="16"/>
              </w:rPr>
            </w:pPr>
            <w:r>
              <w:rPr>
                <w:rFonts w:cs="Arial"/>
                <w:sz w:val="16"/>
                <w:szCs w:val="16"/>
              </w:rPr>
              <w:t>% change from previous week</w:t>
            </w:r>
          </w:p>
        </w:tc>
        <w:tc>
          <w:tcPr>
            <w:tcW w:w="723" w:type="pct"/>
            <w:tcBorders>
              <w:top w:val="nil"/>
              <w:bottom w:val="nil"/>
            </w:tcBorders>
            <w:vAlign w:val="center"/>
          </w:tcPr>
          <w:p w:rsidR="00C524B8" w:rsidRDefault="00C524B8">
            <w:pPr>
              <w:jc w:val="center"/>
              <w:rPr>
                <w:rFonts w:cs="Arial"/>
                <w:szCs w:val="20"/>
              </w:rPr>
            </w:pPr>
            <w:r>
              <w:rPr>
                <w:rFonts w:cs="Arial"/>
                <w:szCs w:val="20"/>
              </w:rPr>
              <w:t>-</w:t>
            </w:r>
          </w:p>
        </w:tc>
        <w:tc>
          <w:tcPr>
            <w:tcW w:w="635" w:type="pct"/>
            <w:tcBorders>
              <w:top w:val="nil"/>
              <w:bottom w:val="nil"/>
            </w:tcBorders>
            <w:vAlign w:val="center"/>
          </w:tcPr>
          <w:p w:rsidR="00C524B8" w:rsidRDefault="00C524B8">
            <w:pPr>
              <w:jc w:val="center"/>
              <w:rPr>
                <w:rFonts w:cs="Arial"/>
                <w:szCs w:val="20"/>
              </w:rPr>
            </w:pPr>
            <w:r>
              <w:rPr>
                <w:rFonts w:cs="Arial"/>
                <w:szCs w:val="20"/>
              </w:rPr>
              <w:t>-</w:t>
            </w:r>
          </w:p>
        </w:tc>
        <w:tc>
          <w:tcPr>
            <w:tcW w:w="669" w:type="pct"/>
            <w:tcBorders>
              <w:top w:val="nil"/>
              <w:bottom w:val="nil"/>
            </w:tcBorders>
            <w:vAlign w:val="center"/>
          </w:tcPr>
          <w:p w:rsidR="00C524B8" w:rsidRDefault="00C524B8">
            <w:pPr>
              <w:jc w:val="center"/>
              <w:rPr>
                <w:rFonts w:cs="Arial"/>
                <w:szCs w:val="20"/>
              </w:rPr>
            </w:pPr>
            <w:r>
              <w:rPr>
                <w:rFonts w:cs="Arial"/>
                <w:szCs w:val="20"/>
              </w:rPr>
              <w:t>5</w:t>
            </w:r>
          </w:p>
        </w:tc>
        <w:tc>
          <w:tcPr>
            <w:tcW w:w="678" w:type="pct"/>
            <w:tcBorders>
              <w:top w:val="nil"/>
              <w:bottom w:val="nil"/>
            </w:tcBorders>
            <w:vAlign w:val="center"/>
          </w:tcPr>
          <w:p w:rsidR="00C524B8" w:rsidRDefault="00C524B8">
            <w:pPr>
              <w:jc w:val="center"/>
              <w:rPr>
                <w:rFonts w:cs="Arial"/>
                <w:szCs w:val="20"/>
              </w:rPr>
            </w:pPr>
            <w:r>
              <w:rPr>
                <w:rFonts w:cs="Arial"/>
                <w:szCs w:val="20"/>
              </w:rPr>
              <w:t>91</w:t>
            </w:r>
          </w:p>
        </w:tc>
        <w:tc>
          <w:tcPr>
            <w:tcW w:w="625" w:type="pct"/>
            <w:tcBorders>
              <w:top w:val="nil"/>
              <w:bottom w:val="nil"/>
            </w:tcBorders>
            <w:vAlign w:val="center"/>
          </w:tcPr>
          <w:p w:rsidR="00C524B8" w:rsidRDefault="00C524B8">
            <w:pPr>
              <w:jc w:val="center"/>
              <w:rPr>
                <w:rFonts w:cs="Arial"/>
                <w:szCs w:val="20"/>
              </w:rPr>
            </w:pPr>
            <w:r>
              <w:rPr>
                <w:rFonts w:cs="Arial"/>
                <w:szCs w:val="20"/>
              </w:rPr>
              <w:t>3</w:t>
            </w:r>
          </w:p>
        </w:tc>
        <w:tc>
          <w:tcPr>
            <w:tcW w:w="647" w:type="pct"/>
            <w:tcBorders>
              <w:top w:val="nil"/>
              <w:bottom w:val="nil"/>
            </w:tcBorders>
            <w:vAlign w:val="center"/>
          </w:tcPr>
          <w:p w:rsidR="00C524B8" w:rsidRDefault="00C524B8">
            <w:pPr>
              <w:jc w:val="center"/>
              <w:rPr>
                <w:rFonts w:cs="Arial"/>
                <w:szCs w:val="20"/>
              </w:rPr>
            </w:pPr>
            <w:r>
              <w:rPr>
                <w:rFonts w:cs="Arial"/>
                <w:szCs w:val="20"/>
              </w:rPr>
              <w:t>96</w:t>
            </w:r>
          </w:p>
        </w:tc>
      </w:tr>
      <w:tr w:rsidR="00C524B8" w:rsidRPr="006A7228" w:rsidTr="006F1BC3">
        <w:trPr>
          <w:trHeight w:val="510"/>
        </w:trPr>
        <w:tc>
          <w:tcPr>
            <w:tcW w:w="1023" w:type="pct"/>
            <w:tcBorders>
              <w:top w:val="nil"/>
              <w:bottom w:val="nil"/>
            </w:tcBorders>
            <w:vAlign w:val="center"/>
          </w:tcPr>
          <w:p w:rsidR="00C524B8" w:rsidRDefault="00C524B8">
            <w:pPr>
              <w:rPr>
                <w:rFonts w:cs="Arial"/>
                <w:sz w:val="16"/>
                <w:szCs w:val="16"/>
              </w:rPr>
            </w:pPr>
            <w:r>
              <w:rPr>
                <w:rFonts w:cs="Arial"/>
                <w:sz w:val="16"/>
                <w:szCs w:val="16"/>
              </w:rPr>
              <w:t>16-17 financial YTD</w:t>
            </w:r>
          </w:p>
        </w:tc>
        <w:tc>
          <w:tcPr>
            <w:tcW w:w="723"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635"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669" w:type="pct"/>
            <w:tcBorders>
              <w:top w:val="nil"/>
              <w:bottom w:val="nil"/>
            </w:tcBorders>
            <w:vAlign w:val="center"/>
          </w:tcPr>
          <w:p w:rsidR="00C524B8" w:rsidRDefault="00C524B8">
            <w:pPr>
              <w:jc w:val="center"/>
              <w:rPr>
                <w:rFonts w:cs="Arial"/>
                <w:sz w:val="20"/>
                <w:szCs w:val="20"/>
              </w:rPr>
            </w:pPr>
            <w:r>
              <w:rPr>
                <w:rFonts w:cs="Arial"/>
                <w:sz w:val="20"/>
                <w:szCs w:val="20"/>
              </w:rPr>
              <w:t>7.32</w:t>
            </w:r>
          </w:p>
        </w:tc>
        <w:tc>
          <w:tcPr>
            <w:tcW w:w="678" w:type="pct"/>
            <w:tcBorders>
              <w:top w:val="nil"/>
              <w:bottom w:val="nil"/>
            </w:tcBorders>
            <w:vAlign w:val="center"/>
          </w:tcPr>
          <w:p w:rsidR="00C524B8" w:rsidRDefault="00C524B8">
            <w:pPr>
              <w:jc w:val="center"/>
              <w:rPr>
                <w:rFonts w:cs="Arial"/>
                <w:sz w:val="20"/>
                <w:szCs w:val="20"/>
              </w:rPr>
            </w:pPr>
            <w:r>
              <w:rPr>
                <w:rFonts w:cs="Arial"/>
                <w:sz w:val="20"/>
                <w:szCs w:val="20"/>
              </w:rPr>
              <w:t>667</w:t>
            </w:r>
          </w:p>
        </w:tc>
        <w:tc>
          <w:tcPr>
            <w:tcW w:w="625" w:type="pct"/>
            <w:tcBorders>
              <w:top w:val="nil"/>
              <w:bottom w:val="nil"/>
            </w:tcBorders>
            <w:vAlign w:val="center"/>
          </w:tcPr>
          <w:p w:rsidR="00C524B8" w:rsidRDefault="00C524B8">
            <w:pPr>
              <w:jc w:val="center"/>
              <w:rPr>
                <w:rFonts w:cs="Arial"/>
                <w:sz w:val="20"/>
                <w:szCs w:val="20"/>
              </w:rPr>
            </w:pPr>
            <w:r>
              <w:rPr>
                <w:rFonts w:cs="Arial"/>
                <w:sz w:val="20"/>
                <w:szCs w:val="20"/>
              </w:rPr>
              <w:t>8.32</w:t>
            </w:r>
          </w:p>
        </w:tc>
        <w:tc>
          <w:tcPr>
            <w:tcW w:w="647" w:type="pct"/>
            <w:tcBorders>
              <w:top w:val="nil"/>
              <w:bottom w:val="nil"/>
            </w:tcBorders>
            <w:vAlign w:val="center"/>
          </w:tcPr>
          <w:p w:rsidR="00C524B8" w:rsidRDefault="00C524B8">
            <w:pPr>
              <w:jc w:val="center"/>
              <w:rPr>
                <w:rFonts w:cs="Arial"/>
                <w:sz w:val="20"/>
                <w:szCs w:val="20"/>
              </w:rPr>
            </w:pPr>
            <w:r>
              <w:rPr>
                <w:rFonts w:cs="Arial"/>
                <w:sz w:val="20"/>
                <w:szCs w:val="20"/>
              </w:rPr>
              <w:t>7439</w:t>
            </w:r>
          </w:p>
        </w:tc>
      </w:tr>
      <w:tr w:rsidR="00C524B8" w:rsidRPr="006A7228" w:rsidTr="006F1BC3">
        <w:trPr>
          <w:cnfStyle w:val="000000010000" w:firstRow="0" w:lastRow="0" w:firstColumn="0" w:lastColumn="0" w:oddVBand="0" w:evenVBand="0" w:oddHBand="0" w:evenHBand="1" w:firstRowFirstColumn="0" w:firstRowLastColumn="0" w:lastRowFirstColumn="0" w:lastRowLastColumn="0"/>
          <w:trHeight w:val="510"/>
        </w:trPr>
        <w:tc>
          <w:tcPr>
            <w:tcW w:w="1023" w:type="pct"/>
            <w:tcBorders>
              <w:top w:val="nil"/>
              <w:bottom w:val="single" w:sz="4" w:space="0" w:color="auto"/>
            </w:tcBorders>
            <w:vAlign w:val="center"/>
          </w:tcPr>
          <w:p w:rsidR="00C524B8" w:rsidRDefault="00C524B8">
            <w:pPr>
              <w:rPr>
                <w:rFonts w:cs="Arial"/>
                <w:sz w:val="16"/>
                <w:szCs w:val="16"/>
              </w:rPr>
            </w:pPr>
            <w:r>
              <w:rPr>
                <w:rFonts w:cs="Arial"/>
                <w:sz w:val="16"/>
                <w:szCs w:val="16"/>
              </w:rPr>
              <w:t>% change from previous financial YTD</w:t>
            </w:r>
          </w:p>
        </w:tc>
        <w:tc>
          <w:tcPr>
            <w:tcW w:w="723" w:type="pct"/>
            <w:tcBorders>
              <w:top w:val="nil"/>
              <w:bottom w:val="single" w:sz="4" w:space="0" w:color="auto"/>
            </w:tcBorders>
            <w:vAlign w:val="center"/>
          </w:tcPr>
          <w:p w:rsidR="00C524B8" w:rsidRDefault="00C524B8">
            <w:pPr>
              <w:jc w:val="center"/>
              <w:rPr>
                <w:rFonts w:cs="Arial"/>
                <w:szCs w:val="20"/>
              </w:rPr>
            </w:pPr>
            <w:r>
              <w:rPr>
                <w:rFonts w:cs="Arial"/>
                <w:szCs w:val="20"/>
              </w:rPr>
              <w:t>-</w:t>
            </w:r>
          </w:p>
        </w:tc>
        <w:tc>
          <w:tcPr>
            <w:tcW w:w="635" w:type="pct"/>
            <w:tcBorders>
              <w:top w:val="nil"/>
              <w:bottom w:val="single" w:sz="4" w:space="0" w:color="auto"/>
            </w:tcBorders>
            <w:vAlign w:val="center"/>
          </w:tcPr>
          <w:p w:rsidR="00C524B8" w:rsidRDefault="00C524B8">
            <w:pPr>
              <w:jc w:val="center"/>
              <w:rPr>
                <w:rFonts w:cs="Arial"/>
                <w:szCs w:val="20"/>
              </w:rPr>
            </w:pPr>
            <w:r>
              <w:rPr>
                <w:rFonts w:cs="Arial"/>
                <w:szCs w:val="20"/>
              </w:rPr>
              <w:t>-</w:t>
            </w:r>
          </w:p>
        </w:tc>
        <w:tc>
          <w:tcPr>
            <w:tcW w:w="669" w:type="pct"/>
            <w:tcBorders>
              <w:top w:val="nil"/>
              <w:bottom w:val="single" w:sz="4" w:space="0" w:color="auto"/>
            </w:tcBorders>
            <w:vAlign w:val="center"/>
          </w:tcPr>
          <w:p w:rsidR="00C524B8" w:rsidRDefault="00C524B8">
            <w:pPr>
              <w:jc w:val="center"/>
              <w:rPr>
                <w:rFonts w:cs="Arial"/>
                <w:szCs w:val="20"/>
              </w:rPr>
            </w:pPr>
            <w:r>
              <w:rPr>
                <w:rFonts w:cs="Arial"/>
                <w:szCs w:val="20"/>
              </w:rPr>
              <w:t>-</w:t>
            </w:r>
          </w:p>
        </w:tc>
        <w:tc>
          <w:tcPr>
            <w:tcW w:w="678" w:type="pct"/>
            <w:tcBorders>
              <w:top w:val="nil"/>
              <w:bottom w:val="single" w:sz="4" w:space="0" w:color="auto"/>
            </w:tcBorders>
            <w:vAlign w:val="center"/>
          </w:tcPr>
          <w:p w:rsidR="00C524B8" w:rsidRDefault="00C524B8">
            <w:pPr>
              <w:jc w:val="center"/>
              <w:rPr>
                <w:rFonts w:cs="Arial"/>
                <w:szCs w:val="20"/>
              </w:rPr>
            </w:pPr>
            <w:r>
              <w:rPr>
                <w:rFonts w:cs="Arial"/>
                <w:szCs w:val="20"/>
              </w:rPr>
              <w:t>-</w:t>
            </w:r>
          </w:p>
        </w:tc>
        <w:tc>
          <w:tcPr>
            <w:tcW w:w="625" w:type="pct"/>
            <w:tcBorders>
              <w:top w:val="nil"/>
              <w:bottom w:val="single" w:sz="4" w:space="0" w:color="auto"/>
            </w:tcBorders>
            <w:vAlign w:val="center"/>
          </w:tcPr>
          <w:p w:rsidR="00C524B8" w:rsidRDefault="00C524B8">
            <w:pPr>
              <w:jc w:val="center"/>
              <w:rPr>
                <w:rFonts w:cs="Arial"/>
                <w:szCs w:val="20"/>
              </w:rPr>
            </w:pPr>
            <w:r>
              <w:rPr>
                <w:rFonts w:cs="Arial"/>
                <w:szCs w:val="20"/>
              </w:rPr>
              <w:t>105</w:t>
            </w:r>
          </w:p>
        </w:tc>
        <w:tc>
          <w:tcPr>
            <w:tcW w:w="647" w:type="pct"/>
            <w:tcBorders>
              <w:top w:val="nil"/>
              <w:bottom w:val="single" w:sz="4" w:space="0" w:color="auto"/>
            </w:tcBorders>
            <w:vAlign w:val="center"/>
          </w:tcPr>
          <w:p w:rsidR="00C524B8" w:rsidRDefault="00C524B8">
            <w:pPr>
              <w:jc w:val="center"/>
              <w:rPr>
                <w:rFonts w:cs="Arial"/>
                <w:szCs w:val="20"/>
              </w:rPr>
            </w:pPr>
            <w:r>
              <w:rPr>
                <w:rFonts w:cs="Arial"/>
                <w:szCs w:val="20"/>
              </w:rPr>
              <w:t>5</w:t>
            </w:r>
          </w:p>
        </w:tc>
      </w:tr>
    </w:tbl>
    <w:p w:rsidR="001521CB" w:rsidRPr="008D4DAB" w:rsidRDefault="00674600" w:rsidP="00D352AB">
      <w:pPr>
        <w:pStyle w:val="AERbodytext"/>
        <w:keepNext/>
        <w:spacing w:before="200"/>
      </w:pPr>
      <w:r w:rsidRPr="00EC137F">
        <w:t>Figure</w:t>
      </w:r>
      <w:r>
        <w:t> 3</w:t>
      </w:r>
      <w:r w:rsidRPr="00EC137F">
        <w:t xml:space="preserve"> </w:t>
      </w:r>
      <w:r w:rsidR="001521CB" w:rsidRPr="00EC137F">
        <w:t>illustrates the daily prices in each gas market</w:t>
      </w:r>
      <w:r w:rsidR="00580E72" w:rsidRPr="00EC137F">
        <w:t>, as defined in figure</w:t>
      </w:r>
      <w:r>
        <w:t>s</w:t>
      </w:r>
      <w:r w:rsidR="00580E72" w:rsidRPr="00EC137F">
        <w:t> 1</w:t>
      </w:r>
      <w:r>
        <w:t xml:space="preserve"> and 2</w:t>
      </w:r>
      <w:r w:rsidR="001521CB" w:rsidRPr="00EC137F">
        <w:t>.</w:t>
      </w:r>
    </w:p>
    <w:p w:rsidR="001521CB" w:rsidRPr="001521CB" w:rsidRDefault="001521CB" w:rsidP="001521CB">
      <w:pPr>
        <w:pStyle w:val="Caption"/>
      </w:pPr>
      <w:r w:rsidRPr="001521CB">
        <w:t xml:space="preserve">Figure </w:t>
      </w:r>
      <w:fldSimple w:instr=" SEQ Figure \* ARABIC ">
        <w:r w:rsidR="00674600">
          <w:rPr>
            <w:noProof/>
          </w:rPr>
          <w:t>3</w:t>
        </w:r>
      </w:fldSimple>
      <w:r w:rsidRPr="001521CB">
        <w:t xml:space="preserve">: </w:t>
      </w:r>
      <w:r w:rsidRPr="001521CB">
        <w:rPr>
          <w:color w:val="2272A3"/>
          <w:szCs w:val="24"/>
        </w:rPr>
        <w:t>Daily gas market prices</w:t>
      </w:r>
      <w:r w:rsidR="00A84149">
        <w:rPr>
          <w:color w:val="2272A3"/>
          <w:szCs w:val="24"/>
        </w:rPr>
        <w:t xml:space="preserve"> ($/GJ)</w:t>
      </w:r>
    </w:p>
    <w:p w:rsidR="001521CB" w:rsidRDefault="00C524B8" w:rsidP="001521CB">
      <w:r w:rsidRPr="00C524B8">
        <w:rPr>
          <w:noProof/>
          <w:lang w:eastAsia="en-AU"/>
        </w:rPr>
        <w:drawing>
          <wp:inline distT="0" distB="0" distL="0" distR="0" wp14:anchorId="034B2869" wp14:editId="755A01F5">
            <wp:extent cx="5731510" cy="2107462"/>
            <wp:effectExtent l="0" t="0" r="2540" b="7620"/>
            <wp:docPr id="2" name="Picture 2" descr="Figure 3 shows the daily price of gas in the mandatory gas markets and voluntary gas supply hubs (GSH). The weighted average daily imbalance price applies for Victoria. The prices shown for the GSH in Wallumbilla and Moomba are volume weighted average prices for all commodity products traded on each day for each hub. The price shown for South East Queensland is the volume weighted average price for all commodity products traded on each day for that specific product location." title="Daily gas market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107462"/>
                    </a:xfrm>
                    <a:prstGeom prst="rect">
                      <a:avLst/>
                    </a:prstGeom>
                    <a:noFill/>
                    <a:ln>
                      <a:noFill/>
                    </a:ln>
                  </pic:spPr>
                </pic:pic>
              </a:graphicData>
            </a:graphic>
          </wp:inline>
        </w:drawing>
      </w:r>
    </w:p>
    <w:p w:rsidR="001521CB" w:rsidRPr="008D4DAB" w:rsidRDefault="00674600" w:rsidP="00F26128">
      <w:pPr>
        <w:pStyle w:val="AERbodytext"/>
      </w:pPr>
      <w:r>
        <w:lastRenderedPageBreak/>
        <w:t>Figure 4</w:t>
      </w:r>
      <w:r w:rsidR="001521CB" w:rsidRPr="00EC137F">
        <w:t xml:space="preserve"> compares average ancillary market payments </w:t>
      </w:r>
      <w:r w:rsidR="006621AB" w:rsidRPr="00EC137F">
        <w:t xml:space="preserve">(VGM) </w:t>
      </w:r>
      <w:r w:rsidR="001521CB" w:rsidRPr="00EC137F">
        <w:t xml:space="preserve">and </w:t>
      </w:r>
      <w:r w:rsidR="006621AB" w:rsidRPr="00EC137F">
        <w:t xml:space="preserve">balancing gas service payments (STTM) </w:t>
      </w:r>
      <w:r w:rsidR="001521CB" w:rsidRPr="00EC137F">
        <w:t>against historical averages.</w:t>
      </w:r>
    </w:p>
    <w:p w:rsidR="001521CB" w:rsidRPr="001521CB" w:rsidRDefault="001521CB" w:rsidP="001521CB">
      <w:pPr>
        <w:pStyle w:val="Caption"/>
      </w:pPr>
      <w:r w:rsidRPr="001521CB">
        <w:t xml:space="preserve">Figure </w:t>
      </w:r>
      <w:fldSimple w:instr=" SEQ Figure \* ARABIC ">
        <w:r w:rsidR="00674600">
          <w:rPr>
            <w:noProof/>
          </w:rPr>
          <w:t>4</w:t>
        </w:r>
      </w:fldSimple>
      <w:r w:rsidRPr="001521CB">
        <w:t xml:space="preserve">: </w:t>
      </w:r>
      <w:r w:rsidR="00E95390">
        <w:rPr>
          <w:color w:val="2272A3"/>
          <w:szCs w:val="24"/>
        </w:rPr>
        <w:t xml:space="preserve">Average ancillary </w:t>
      </w:r>
      <w:r w:rsidR="00E7180D">
        <w:rPr>
          <w:color w:val="2272A3"/>
          <w:szCs w:val="24"/>
        </w:rPr>
        <w:t>payments</w:t>
      </w:r>
      <w:r w:rsidR="0092084D">
        <w:rPr>
          <w:color w:val="2272A3"/>
          <w:szCs w:val="24"/>
        </w:rPr>
        <w:t xml:space="preserve"> ($000)</w:t>
      </w:r>
    </w:p>
    <w:tbl>
      <w:tblPr>
        <w:tblStyle w:val="AERTable-Text"/>
        <w:tblW w:w="5000" w:type="pct"/>
        <w:tblLook w:val="04A0" w:firstRow="1" w:lastRow="0" w:firstColumn="1" w:lastColumn="0" w:noHBand="0" w:noVBand="1"/>
      </w:tblPr>
      <w:tblGrid>
        <w:gridCol w:w="2930"/>
        <w:gridCol w:w="1835"/>
        <w:gridCol w:w="1401"/>
        <w:gridCol w:w="1536"/>
        <w:gridCol w:w="1540"/>
      </w:tblGrid>
      <w:tr w:rsidR="00534DD9" w:rsidRPr="00405CDE" w:rsidTr="00534DD9">
        <w:trPr>
          <w:cnfStyle w:val="100000000000" w:firstRow="1" w:lastRow="0" w:firstColumn="0" w:lastColumn="0" w:oddVBand="0" w:evenVBand="0" w:oddHBand="0" w:evenHBand="0" w:firstRowFirstColumn="0" w:firstRowLastColumn="0" w:lastRowFirstColumn="0" w:lastRowLastColumn="0"/>
          <w:tblHeader/>
        </w:trPr>
        <w:tc>
          <w:tcPr>
            <w:tcW w:w="1585" w:type="pct"/>
            <w:tcBorders>
              <w:bottom w:val="nil"/>
            </w:tcBorders>
            <w:vAlign w:val="center"/>
            <w:hideMark/>
          </w:tcPr>
          <w:p w:rsidR="00534DD9" w:rsidRPr="00DC24BF" w:rsidRDefault="001521CB" w:rsidP="00534DD9">
            <w:pPr>
              <w:pStyle w:val="TableHeading"/>
              <w:spacing w:before="120" w:after="120" w:line="240" w:lineRule="auto"/>
              <w:jc w:val="center"/>
              <w:rPr>
                <w:rFonts w:cs="Arial"/>
                <w:sz w:val="20"/>
                <w:szCs w:val="20"/>
              </w:rPr>
            </w:pPr>
            <w:r w:rsidRPr="00D329E0">
              <w:t xml:space="preserve"> </w:t>
            </w:r>
          </w:p>
        </w:tc>
        <w:tc>
          <w:tcPr>
            <w:tcW w:w="993" w:type="pct"/>
            <w:tcBorders>
              <w:bottom w:val="nil"/>
            </w:tcBorders>
            <w:vAlign w:val="center"/>
            <w:hideMark/>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Victoria                                   </w:t>
            </w:r>
            <w:r w:rsidRPr="00534DD9">
              <w:rPr>
                <w:rFonts w:eastAsia="Times New Roman" w:cs="Arial"/>
                <w:b w:val="0"/>
                <w:color w:val="FFFFFF"/>
                <w:sz w:val="16"/>
                <w:szCs w:val="16"/>
                <w:lang w:eastAsia="en-AU"/>
              </w:rPr>
              <w:t>Ancillary Payments</w:t>
            </w:r>
            <w:r>
              <w:rPr>
                <w:rFonts w:eastAsia="Times New Roman" w:cs="Arial"/>
                <w:b w:val="0"/>
                <w:color w:val="FFFFFF"/>
                <w:sz w:val="16"/>
                <w:szCs w:val="16"/>
                <w:lang w:eastAsia="en-AU"/>
              </w:rPr>
              <w:t>*</w:t>
            </w:r>
          </w:p>
        </w:tc>
        <w:tc>
          <w:tcPr>
            <w:tcW w:w="758"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Sydney                                    </w:t>
            </w:r>
            <w:r w:rsidRPr="00534DD9">
              <w:rPr>
                <w:rFonts w:eastAsia="Times New Roman" w:cs="Arial"/>
                <w:b w:val="0"/>
                <w:color w:val="FFFFFF"/>
                <w:sz w:val="16"/>
                <w:szCs w:val="16"/>
                <w:lang w:eastAsia="en-AU"/>
              </w:rPr>
              <w:t>MOS</w:t>
            </w:r>
          </w:p>
        </w:tc>
        <w:tc>
          <w:tcPr>
            <w:tcW w:w="831"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Adelaide                                    </w:t>
            </w:r>
            <w:r w:rsidRPr="00534DD9">
              <w:rPr>
                <w:rFonts w:eastAsia="Times New Roman" w:cs="Arial"/>
                <w:b w:val="0"/>
                <w:color w:val="FFFFFF"/>
                <w:sz w:val="16"/>
                <w:szCs w:val="16"/>
                <w:lang w:eastAsia="en-AU"/>
              </w:rPr>
              <w:t>MOS</w:t>
            </w:r>
          </w:p>
        </w:tc>
        <w:tc>
          <w:tcPr>
            <w:tcW w:w="833" w:type="pct"/>
            <w:tcBorders>
              <w:bottom w:val="nil"/>
            </w:tcBorders>
            <w:vAlign w:val="center"/>
          </w:tcPr>
          <w:p w:rsidR="00534DD9" w:rsidRPr="00534DD9" w:rsidRDefault="00534DD9" w:rsidP="00534DD9">
            <w:pPr>
              <w:spacing w:before="120" w:line="240" w:lineRule="auto"/>
              <w:jc w:val="center"/>
              <w:rPr>
                <w:rFonts w:eastAsia="Times New Roman" w:cs="Arial"/>
                <w:bCs/>
                <w:color w:val="FFFFFF"/>
                <w:sz w:val="20"/>
                <w:szCs w:val="20"/>
                <w:lang w:eastAsia="en-AU"/>
              </w:rPr>
            </w:pPr>
            <w:r w:rsidRPr="00534DD9">
              <w:rPr>
                <w:rFonts w:eastAsia="Times New Roman" w:cs="Arial"/>
                <w:bCs/>
                <w:color w:val="FFFFFF"/>
                <w:sz w:val="20"/>
                <w:szCs w:val="20"/>
                <w:lang w:eastAsia="en-AU"/>
              </w:rPr>
              <w:t xml:space="preserve">Brisbane                                    </w:t>
            </w:r>
            <w:r w:rsidRPr="00534DD9">
              <w:rPr>
                <w:rFonts w:eastAsia="Times New Roman" w:cs="Arial"/>
                <w:b w:val="0"/>
                <w:color w:val="FFFFFF"/>
                <w:sz w:val="16"/>
                <w:szCs w:val="16"/>
                <w:lang w:eastAsia="en-AU"/>
              </w:rPr>
              <w:t>MOS</w:t>
            </w:r>
          </w:p>
        </w:tc>
      </w:tr>
      <w:tr w:rsidR="00C524B8" w:rsidRPr="00405CDE" w:rsidTr="00534DD9">
        <w:trPr>
          <w:trHeight w:val="510"/>
        </w:trPr>
        <w:tc>
          <w:tcPr>
            <w:tcW w:w="1585" w:type="pct"/>
            <w:tcBorders>
              <w:top w:val="nil"/>
              <w:bottom w:val="nil"/>
            </w:tcBorders>
            <w:vAlign w:val="center"/>
          </w:tcPr>
          <w:p w:rsidR="00C524B8" w:rsidRDefault="00C524B8">
            <w:pPr>
              <w:rPr>
                <w:rFonts w:cs="Arial"/>
                <w:sz w:val="16"/>
                <w:szCs w:val="16"/>
              </w:rPr>
            </w:pPr>
            <w:r>
              <w:rPr>
                <w:rFonts w:cs="Arial"/>
                <w:sz w:val="16"/>
                <w:szCs w:val="16"/>
              </w:rPr>
              <w:t>04 Jun - 10 Jun 2017</w:t>
            </w:r>
          </w:p>
        </w:tc>
        <w:tc>
          <w:tcPr>
            <w:tcW w:w="993"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758" w:type="pct"/>
            <w:tcBorders>
              <w:top w:val="nil"/>
              <w:bottom w:val="nil"/>
            </w:tcBorders>
            <w:vAlign w:val="center"/>
          </w:tcPr>
          <w:p w:rsidR="00C524B8" w:rsidRDefault="00C524B8">
            <w:pPr>
              <w:jc w:val="center"/>
              <w:rPr>
                <w:rFonts w:cs="Arial"/>
                <w:sz w:val="20"/>
                <w:szCs w:val="20"/>
              </w:rPr>
            </w:pPr>
            <w:r>
              <w:rPr>
                <w:rFonts w:cs="Arial"/>
                <w:sz w:val="20"/>
                <w:szCs w:val="20"/>
              </w:rPr>
              <w:t>58.13</w:t>
            </w:r>
          </w:p>
        </w:tc>
        <w:tc>
          <w:tcPr>
            <w:tcW w:w="831" w:type="pct"/>
            <w:tcBorders>
              <w:top w:val="nil"/>
              <w:bottom w:val="nil"/>
            </w:tcBorders>
            <w:vAlign w:val="center"/>
          </w:tcPr>
          <w:p w:rsidR="00C524B8" w:rsidRDefault="00C524B8">
            <w:pPr>
              <w:jc w:val="center"/>
              <w:rPr>
                <w:rFonts w:cs="Arial"/>
                <w:sz w:val="20"/>
                <w:szCs w:val="20"/>
              </w:rPr>
            </w:pPr>
            <w:r>
              <w:rPr>
                <w:rFonts w:cs="Arial"/>
                <w:sz w:val="20"/>
                <w:szCs w:val="20"/>
              </w:rPr>
              <w:t>7.16</w:t>
            </w:r>
          </w:p>
        </w:tc>
        <w:tc>
          <w:tcPr>
            <w:tcW w:w="833" w:type="pct"/>
            <w:tcBorders>
              <w:top w:val="nil"/>
              <w:bottom w:val="nil"/>
            </w:tcBorders>
            <w:vAlign w:val="center"/>
          </w:tcPr>
          <w:p w:rsidR="00C524B8" w:rsidRDefault="00C524B8">
            <w:pPr>
              <w:jc w:val="center"/>
              <w:rPr>
                <w:rFonts w:cs="Arial"/>
                <w:sz w:val="20"/>
                <w:szCs w:val="20"/>
              </w:rPr>
            </w:pPr>
            <w:r>
              <w:rPr>
                <w:rFonts w:cs="Arial"/>
                <w:sz w:val="20"/>
                <w:szCs w:val="20"/>
              </w:rPr>
              <w:t>2.57</w:t>
            </w:r>
          </w:p>
        </w:tc>
      </w:tr>
      <w:tr w:rsidR="00C524B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nil"/>
            </w:tcBorders>
            <w:vAlign w:val="center"/>
          </w:tcPr>
          <w:p w:rsidR="00C524B8" w:rsidRDefault="00C524B8">
            <w:pPr>
              <w:rPr>
                <w:rFonts w:cs="Arial"/>
                <w:sz w:val="16"/>
                <w:szCs w:val="16"/>
              </w:rPr>
            </w:pPr>
            <w:r>
              <w:rPr>
                <w:rFonts w:cs="Arial"/>
                <w:sz w:val="16"/>
                <w:szCs w:val="16"/>
              </w:rPr>
              <w:t>% change from previous week</w:t>
            </w:r>
          </w:p>
        </w:tc>
        <w:tc>
          <w:tcPr>
            <w:tcW w:w="993" w:type="pct"/>
            <w:tcBorders>
              <w:top w:val="nil"/>
              <w:bottom w:val="nil"/>
            </w:tcBorders>
            <w:vAlign w:val="center"/>
          </w:tcPr>
          <w:p w:rsidR="00C524B8" w:rsidRDefault="00C524B8">
            <w:pPr>
              <w:jc w:val="center"/>
              <w:rPr>
                <w:rFonts w:cs="Arial"/>
                <w:szCs w:val="20"/>
              </w:rPr>
            </w:pPr>
            <w:r>
              <w:rPr>
                <w:rFonts w:cs="Arial"/>
                <w:szCs w:val="20"/>
              </w:rPr>
              <w:t>-</w:t>
            </w:r>
          </w:p>
        </w:tc>
        <w:tc>
          <w:tcPr>
            <w:tcW w:w="758" w:type="pct"/>
            <w:tcBorders>
              <w:top w:val="nil"/>
              <w:bottom w:val="nil"/>
            </w:tcBorders>
            <w:vAlign w:val="center"/>
          </w:tcPr>
          <w:p w:rsidR="00C524B8" w:rsidRDefault="00C524B8">
            <w:pPr>
              <w:jc w:val="center"/>
              <w:rPr>
                <w:rFonts w:cs="Arial"/>
                <w:szCs w:val="20"/>
              </w:rPr>
            </w:pPr>
            <w:r>
              <w:rPr>
                <w:rFonts w:cs="Arial"/>
                <w:szCs w:val="20"/>
              </w:rPr>
              <w:t>52</w:t>
            </w:r>
          </w:p>
        </w:tc>
        <w:tc>
          <w:tcPr>
            <w:tcW w:w="831" w:type="pct"/>
            <w:tcBorders>
              <w:top w:val="nil"/>
              <w:bottom w:val="nil"/>
            </w:tcBorders>
            <w:vAlign w:val="center"/>
          </w:tcPr>
          <w:p w:rsidR="00C524B8" w:rsidRDefault="00C524B8">
            <w:pPr>
              <w:jc w:val="center"/>
              <w:rPr>
                <w:rFonts w:cs="Arial"/>
                <w:szCs w:val="20"/>
              </w:rPr>
            </w:pPr>
            <w:r>
              <w:rPr>
                <w:rFonts w:cs="Arial"/>
                <w:szCs w:val="20"/>
              </w:rPr>
              <w:t>-27</w:t>
            </w:r>
          </w:p>
        </w:tc>
        <w:tc>
          <w:tcPr>
            <w:tcW w:w="833" w:type="pct"/>
            <w:tcBorders>
              <w:top w:val="nil"/>
              <w:bottom w:val="nil"/>
            </w:tcBorders>
            <w:vAlign w:val="center"/>
          </w:tcPr>
          <w:p w:rsidR="00C524B8" w:rsidRDefault="00C524B8">
            <w:pPr>
              <w:jc w:val="center"/>
              <w:rPr>
                <w:rFonts w:cs="Arial"/>
                <w:szCs w:val="20"/>
              </w:rPr>
            </w:pPr>
            <w:r>
              <w:rPr>
                <w:rFonts w:cs="Arial"/>
                <w:szCs w:val="20"/>
              </w:rPr>
              <w:t>119</w:t>
            </w:r>
          </w:p>
        </w:tc>
      </w:tr>
      <w:tr w:rsidR="00C524B8" w:rsidRPr="00405CDE" w:rsidTr="00534DD9">
        <w:trPr>
          <w:trHeight w:val="510"/>
        </w:trPr>
        <w:tc>
          <w:tcPr>
            <w:tcW w:w="1585" w:type="pct"/>
            <w:tcBorders>
              <w:top w:val="nil"/>
              <w:bottom w:val="nil"/>
            </w:tcBorders>
            <w:vAlign w:val="center"/>
          </w:tcPr>
          <w:p w:rsidR="00C524B8" w:rsidRDefault="00C524B8">
            <w:pPr>
              <w:rPr>
                <w:rFonts w:cs="Arial"/>
                <w:sz w:val="16"/>
                <w:szCs w:val="16"/>
              </w:rPr>
            </w:pPr>
            <w:r>
              <w:rPr>
                <w:rFonts w:cs="Arial"/>
                <w:sz w:val="16"/>
                <w:szCs w:val="16"/>
              </w:rPr>
              <w:t>16-17 financial YTD</w:t>
            </w:r>
          </w:p>
        </w:tc>
        <w:tc>
          <w:tcPr>
            <w:tcW w:w="993" w:type="pct"/>
            <w:tcBorders>
              <w:top w:val="nil"/>
              <w:bottom w:val="nil"/>
            </w:tcBorders>
            <w:vAlign w:val="center"/>
          </w:tcPr>
          <w:p w:rsidR="00C524B8" w:rsidRDefault="00C524B8">
            <w:pPr>
              <w:jc w:val="center"/>
              <w:rPr>
                <w:rFonts w:cs="Arial"/>
                <w:sz w:val="20"/>
                <w:szCs w:val="20"/>
              </w:rPr>
            </w:pPr>
            <w:r>
              <w:rPr>
                <w:rFonts w:cs="Arial"/>
                <w:sz w:val="20"/>
                <w:szCs w:val="20"/>
              </w:rPr>
              <w:t> </w:t>
            </w:r>
          </w:p>
        </w:tc>
        <w:tc>
          <w:tcPr>
            <w:tcW w:w="758" w:type="pct"/>
            <w:tcBorders>
              <w:top w:val="nil"/>
              <w:bottom w:val="nil"/>
            </w:tcBorders>
            <w:vAlign w:val="center"/>
          </w:tcPr>
          <w:p w:rsidR="00C524B8" w:rsidRDefault="00C524B8">
            <w:pPr>
              <w:jc w:val="center"/>
              <w:rPr>
                <w:rFonts w:cs="Arial"/>
                <w:sz w:val="20"/>
                <w:szCs w:val="20"/>
              </w:rPr>
            </w:pPr>
            <w:r>
              <w:rPr>
                <w:rFonts w:cs="Arial"/>
                <w:sz w:val="20"/>
                <w:szCs w:val="20"/>
              </w:rPr>
              <w:t>50.25</w:t>
            </w:r>
          </w:p>
        </w:tc>
        <w:tc>
          <w:tcPr>
            <w:tcW w:w="831" w:type="pct"/>
            <w:tcBorders>
              <w:top w:val="nil"/>
              <w:bottom w:val="nil"/>
            </w:tcBorders>
            <w:vAlign w:val="center"/>
          </w:tcPr>
          <w:p w:rsidR="00C524B8" w:rsidRDefault="00C524B8">
            <w:pPr>
              <w:jc w:val="center"/>
              <w:rPr>
                <w:rFonts w:cs="Arial"/>
                <w:sz w:val="20"/>
                <w:szCs w:val="20"/>
              </w:rPr>
            </w:pPr>
            <w:r>
              <w:rPr>
                <w:rFonts w:cs="Arial"/>
                <w:sz w:val="20"/>
                <w:szCs w:val="20"/>
              </w:rPr>
              <w:t>17.93</w:t>
            </w:r>
          </w:p>
        </w:tc>
        <w:tc>
          <w:tcPr>
            <w:tcW w:w="833" w:type="pct"/>
            <w:tcBorders>
              <w:top w:val="nil"/>
              <w:bottom w:val="nil"/>
            </w:tcBorders>
            <w:vAlign w:val="center"/>
          </w:tcPr>
          <w:p w:rsidR="00C524B8" w:rsidRDefault="00C524B8">
            <w:pPr>
              <w:jc w:val="center"/>
              <w:rPr>
                <w:rFonts w:cs="Arial"/>
                <w:sz w:val="20"/>
                <w:szCs w:val="20"/>
              </w:rPr>
            </w:pPr>
            <w:r>
              <w:rPr>
                <w:rFonts w:cs="Arial"/>
                <w:sz w:val="20"/>
                <w:szCs w:val="20"/>
              </w:rPr>
              <w:t>1.68</w:t>
            </w:r>
          </w:p>
        </w:tc>
      </w:tr>
      <w:tr w:rsidR="00C524B8" w:rsidRPr="00405CDE" w:rsidTr="00534DD9">
        <w:trPr>
          <w:cnfStyle w:val="000000010000" w:firstRow="0" w:lastRow="0" w:firstColumn="0" w:lastColumn="0" w:oddVBand="0" w:evenVBand="0" w:oddHBand="0" w:evenHBand="1" w:firstRowFirstColumn="0" w:firstRowLastColumn="0" w:lastRowFirstColumn="0" w:lastRowLastColumn="0"/>
          <w:trHeight w:val="510"/>
        </w:trPr>
        <w:tc>
          <w:tcPr>
            <w:tcW w:w="1585" w:type="pct"/>
            <w:tcBorders>
              <w:top w:val="nil"/>
              <w:bottom w:val="single" w:sz="4" w:space="0" w:color="auto"/>
            </w:tcBorders>
            <w:vAlign w:val="center"/>
          </w:tcPr>
          <w:p w:rsidR="00C524B8" w:rsidRDefault="00C524B8">
            <w:pPr>
              <w:rPr>
                <w:rFonts w:cs="Arial"/>
                <w:sz w:val="16"/>
                <w:szCs w:val="16"/>
              </w:rPr>
            </w:pPr>
            <w:r>
              <w:rPr>
                <w:rFonts w:cs="Arial"/>
                <w:sz w:val="16"/>
                <w:szCs w:val="16"/>
              </w:rPr>
              <w:t xml:space="preserve">% change from previous financial YTD </w:t>
            </w:r>
          </w:p>
        </w:tc>
        <w:tc>
          <w:tcPr>
            <w:tcW w:w="993" w:type="pct"/>
            <w:tcBorders>
              <w:top w:val="nil"/>
              <w:bottom w:val="single" w:sz="4" w:space="0" w:color="auto"/>
            </w:tcBorders>
            <w:vAlign w:val="center"/>
          </w:tcPr>
          <w:p w:rsidR="00C524B8" w:rsidRDefault="00C524B8">
            <w:pPr>
              <w:jc w:val="center"/>
              <w:rPr>
                <w:rFonts w:cs="Arial"/>
                <w:szCs w:val="20"/>
              </w:rPr>
            </w:pPr>
            <w:r>
              <w:rPr>
                <w:rFonts w:cs="Arial"/>
                <w:szCs w:val="20"/>
              </w:rPr>
              <w:t> </w:t>
            </w:r>
          </w:p>
        </w:tc>
        <w:tc>
          <w:tcPr>
            <w:tcW w:w="758" w:type="pct"/>
            <w:tcBorders>
              <w:top w:val="nil"/>
              <w:bottom w:val="single" w:sz="4" w:space="0" w:color="auto"/>
            </w:tcBorders>
            <w:vAlign w:val="center"/>
          </w:tcPr>
          <w:p w:rsidR="00C524B8" w:rsidRDefault="00C524B8">
            <w:pPr>
              <w:jc w:val="center"/>
              <w:rPr>
                <w:rFonts w:cs="Arial"/>
                <w:szCs w:val="20"/>
              </w:rPr>
            </w:pPr>
            <w:r>
              <w:rPr>
                <w:rFonts w:cs="Arial"/>
                <w:szCs w:val="20"/>
              </w:rPr>
              <w:t>82</w:t>
            </w:r>
          </w:p>
        </w:tc>
        <w:tc>
          <w:tcPr>
            <w:tcW w:w="831" w:type="pct"/>
            <w:tcBorders>
              <w:top w:val="nil"/>
              <w:bottom w:val="single" w:sz="4" w:space="0" w:color="auto"/>
            </w:tcBorders>
            <w:vAlign w:val="center"/>
          </w:tcPr>
          <w:p w:rsidR="00C524B8" w:rsidRDefault="00C524B8">
            <w:pPr>
              <w:jc w:val="center"/>
              <w:rPr>
                <w:rFonts w:cs="Arial"/>
                <w:szCs w:val="20"/>
              </w:rPr>
            </w:pPr>
            <w:r>
              <w:rPr>
                <w:rFonts w:cs="Arial"/>
                <w:szCs w:val="20"/>
              </w:rPr>
              <w:t>86</w:t>
            </w:r>
          </w:p>
        </w:tc>
        <w:tc>
          <w:tcPr>
            <w:tcW w:w="833" w:type="pct"/>
            <w:tcBorders>
              <w:top w:val="nil"/>
              <w:bottom w:val="single" w:sz="4" w:space="0" w:color="auto"/>
            </w:tcBorders>
            <w:vAlign w:val="center"/>
          </w:tcPr>
          <w:p w:rsidR="00C524B8" w:rsidRDefault="00C524B8">
            <w:pPr>
              <w:jc w:val="center"/>
              <w:rPr>
                <w:rFonts w:cs="Arial"/>
                <w:szCs w:val="20"/>
              </w:rPr>
            </w:pPr>
            <w:r>
              <w:rPr>
                <w:rFonts w:cs="Arial"/>
                <w:szCs w:val="20"/>
              </w:rPr>
              <w:t>7</w:t>
            </w:r>
          </w:p>
        </w:tc>
      </w:tr>
    </w:tbl>
    <w:p w:rsidR="00534DD9" w:rsidRPr="001521CB" w:rsidRDefault="00534DD9" w:rsidP="00534DD9">
      <w:pPr>
        <w:pStyle w:val="AERbodytext"/>
        <w:rPr>
          <w:sz w:val="16"/>
        </w:rPr>
      </w:pPr>
      <w:r w:rsidRPr="00EC137F">
        <w:rPr>
          <w:sz w:val="16"/>
        </w:rPr>
        <w:t xml:space="preserve">* </w:t>
      </w:r>
      <w:r w:rsidR="00A16975" w:rsidRPr="00EC137F">
        <w:rPr>
          <w:sz w:val="16"/>
        </w:rPr>
        <w:t xml:space="preserve">Ancillary payments reflect </w:t>
      </w:r>
      <w:r w:rsidR="00963914" w:rsidRPr="00EC137F">
        <w:rPr>
          <w:sz w:val="16"/>
        </w:rPr>
        <w:t xml:space="preserve">the compensation costs for any </w:t>
      </w:r>
      <w:r w:rsidR="00A16975" w:rsidRPr="00EC137F">
        <w:rPr>
          <w:sz w:val="16"/>
        </w:rPr>
        <w:t>additional injections offered at a price higher than the market price.</w:t>
      </w:r>
      <w:r w:rsidR="00963914">
        <w:rPr>
          <w:sz w:val="16"/>
        </w:rPr>
        <w:t xml:space="preserve"> </w:t>
      </w:r>
      <w:r w:rsidRPr="001521CB">
        <w:rPr>
          <w:sz w:val="16"/>
        </w:rPr>
        <w:t>Note: only positive ancillary payments, reflecting system constraints will be shown here.</w:t>
      </w:r>
    </w:p>
    <w:p w:rsidR="00F26128" w:rsidRDefault="00534DD9" w:rsidP="00534DD9">
      <w:pPr>
        <w:pStyle w:val="AERbodytext"/>
      </w:pPr>
      <w:r>
        <w:t>More</w:t>
      </w:r>
      <w:r w:rsidRPr="00D329E0">
        <w:t xml:space="preserve"> </w:t>
      </w:r>
      <w:r>
        <w:t xml:space="preserve">detailed </w:t>
      </w:r>
      <w:r w:rsidRPr="00D329E0">
        <w:t xml:space="preserve">analysis on the </w:t>
      </w:r>
      <w:r>
        <w:t>VGM is provided in section 1</w:t>
      </w:r>
      <w:r w:rsidRPr="00D329E0">
        <w:t>.</w:t>
      </w:r>
    </w:p>
    <w:p w:rsidR="004C571B" w:rsidRPr="00552F68" w:rsidRDefault="00674600" w:rsidP="008D7D94">
      <w:pPr>
        <w:keepNext/>
        <w:jc w:val="both"/>
      </w:pPr>
      <w:r>
        <w:t>Figure 5</w:t>
      </w:r>
      <w:r w:rsidR="004C571B" w:rsidRPr="00552F68">
        <w:t xml:space="preserve"> shows</w:t>
      </w:r>
      <w:r w:rsidR="001934E9" w:rsidRPr="00552F68">
        <w:t xml:space="preserve"> the quantity and v</w:t>
      </w:r>
      <w:r w:rsidR="00A226E9" w:rsidRPr="00552F68">
        <w:t>o</w:t>
      </w:r>
      <w:r w:rsidR="001934E9" w:rsidRPr="00552F68">
        <w:t>lume weighted pr</w:t>
      </w:r>
      <w:r w:rsidR="00A226E9" w:rsidRPr="00552F68">
        <w:t>ices of products traded in the Gas Supply Hub locations at Moomba</w:t>
      </w:r>
      <w:r w:rsidR="00C370D1">
        <w:t>, South East Queensland and Wallumbilla</w:t>
      </w:r>
      <w:r w:rsidR="00A226E9" w:rsidRPr="00552F68">
        <w:t>.</w:t>
      </w:r>
    </w:p>
    <w:p w:rsidR="001521CB" w:rsidRDefault="001521CB" w:rsidP="001521CB">
      <w:pPr>
        <w:pStyle w:val="Caption"/>
        <w:rPr>
          <w:color w:val="2272A3"/>
          <w:szCs w:val="24"/>
        </w:rPr>
      </w:pPr>
      <w:r w:rsidRPr="00552F68">
        <w:t xml:space="preserve">Figure </w:t>
      </w:r>
      <w:fldSimple w:instr=" SEQ Figure \* ARABIC ">
        <w:r w:rsidR="00C370D1">
          <w:rPr>
            <w:noProof/>
          </w:rPr>
          <w:t>5</w:t>
        </w:r>
      </w:fldSimple>
      <w:r w:rsidRPr="00552F68">
        <w:t xml:space="preserve">: </w:t>
      </w:r>
      <w:r w:rsidR="004C571B" w:rsidRPr="00552F68">
        <w:rPr>
          <w:color w:val="2272A3"/>
          <w:szCs w:val="24"/>
        </w:rPr>
        <w:t>Gas supply hub products traded</w:t>
      </w:r>
      <w:r w:rsidR="00C5766F" w:rsidRPr="00552F68">
        <w:rPr>
          <w:color w:val="2272A3"/>
          <w:szCs w:val="24"/>
        </w:rPr>
        <w:t xml:space="preserve"> for the current week</w:t>
      </w:r>
      <w:r w:rsidR="004C690D" w:rsidRPr="00552F68">
        <w:rPr>
          <w:color w:val="2272A3"/>
          <w:szCs w:val="24"/>
        </w:rPr>
        <w:t xml:space="preserve"> </w:t>
      </w:r>
      <w:r w:rsidR="00B302BF" w:rsidRPr="00552F68">
        <w:rPr>
          <w:color w:val="2272A3"/>
          <w:szCs w:val="24"/>
        </w:rPr>
        <w:t>(</w:t>
      </w:r>
      <w:r w:rsidR="004C690D" w:rsidRPr="00552F68">
        <w:rPr>
          <w:color w:val="2272A3"/>
          <w:szCs w:val="24"/>
        </w:rPr>
        <w:t>$/GJ</w:t>
      </w:r>
      <w:r w:rsidR="00B302BF" w:rsidRPr="00552F68">
        <w:rPr>
          <w:color w:val="2272A3"/>
          <w:szCs w:val="24"/>
        </w:rPr>
        <w:t>, TJ</w:t>
      </w:r>
      <w:r w:rsidR="004C690D" w:rsidRPr="00552F68">
        <w:rPr>
          <w:color w:val="2272A3"/>
          <w:szCs w:val="24"/>
        </w:rPr>
        <w:t>)</w:t>
      </w:r>
    </w:p>
    <w:tbl>
      <w:tblPr>
        <w:tblStyle w:val="AERTable-Text"/>
        <w:tblW w:w="4890" w:type="pct"/>
        <w:tblLayout w:type="fixed"/>
        <w:tblLook w:val="04A0" w:firstRow="1" w:lastRow="0" w:firstColumn="1" w:lastColumn="0" w:noHBand="0" w:noVBand="1"/>
      </w:tblPr>
      <w:tblGrid>
        <w:gridCol w:w="1655"/>
        <w:gridCol w:w="1265"/>
        <w:gridCol w:w="1159"/>
        <w:gridCol w:w="1314"/>
        <w:gridCol w:w="1264"/>
        <w:gridCol w:w="1124"/>
        <w:gridCol w:w="1258"/>
      </w:tblGrid>
      <w:tr w:rsidR="00FA5B9C" w:rsidRPr="002861A9" w:rsidTr="00EA6F25">
        <w:trPr>
          <w:cnfStyle w:val="100000000000" w:firstRow="1" w:lastRow="0" w:firstColumn="0" w:lastColumn="0" w:oddVBand="0" w:evenVBand="0" w:oddHBand="0" w:evenHBand="0" w:firstRowFirstColumn="0" w:firstRowLastColumn="0" w:lastRowFirstColumn="0" w:lastRowLastColumn="0"/>
          <w:trHeight w:val="404"/>
          <w:tblHeader/>
        </w:trPr>
        <w:tc>
          <w:tcPr>
            <w:tcW w:w="915" w:type="pct"/>
            <w:tcBorders>
              <w:bottom w:val="nil"/>
            </w:tcBorders>
            <w:vAlign w:val="center"/>
          </w:tcPr>
          <w:p w:rsidR="008D7D94" w:rsidRPr="00E16EDC" w:rsidRDefault="008D7D94" w:rsidP="006F1BC3">
            <w:pPr>
              <w:pStyle w:val="TableHeading"/>
              <w:spacing w:before="120" w:after="0" w:line="240" w:lineRule="auto"/>
              <w:jc w:val="center"/>
              <w:rPr>
                <w:rFonts w:cs="Arial"/>
                <w:sz w:val="20"/>
                <w:szCs w:val="20"/>
              </w:rPr>
            </w:pPr>
          </w:p>
        </w:tc>
        <w:tc>
          <w:tcPr>
            <w:tcW w:w="1341" w:type="pct"/>
            <w:gridSpan w:val="2"/>
            <w:tcBorders>
              <w:bottom w:val="nil"/>
            </w:tcBorders>
            <w:vAlign w:val="center"/>
          </w:tcPr>
          <w:p w:rsidR="008D7D94" w:rsidRPr="00E16EDC" w:rsidRDefault="008D7D94" w:rsidP="006F1BC3">
            <w:pPr>
              <w:spacing w:before="120" w:after="0" w:line="240" w:lineRule="auto"/>
              <w:jc w:val="center"/>
              <w:rPr>
                <w:rFonts w:cs="Arial"/>
                <w:bCs/>
                <w:color w:val="FFFFFF"/>
                <w:sz w:val="20"/>
                <w:szCs w:val="20"/>
              </w:rPr>
            </w:pPr>
            <w:r>
              <w:rPr>
                <w:rFonts w:cs="Arial"/>
                <w:bCs/>
                <w:color w:val="FFFFFF"/>
                <w:sz w:val="20"/>
                <w:szCs w:val="20"/>
              </w:rPr>
              <w:t>Moomba</w:t>
            </w:r>
          </w:p>
        </w:tc>
        <w:tc>
          <w:tcPr>
            <w:tcW w:w="1426" w:type="pct"/>
            <w:gridSpan w:val="2"/>
            <w:tcBorders>
              <w:bottom w:val="nil"/>
            </w:tcBorders>
            <w:vAlign w:val="center"/>
          </w:tcPr>
          <w:p w:rsidR="008D7D94" w:rsidRPr="00E16EDC" w:rsidRDefault="008D7D94" w:rsidP="006F1BC3">
            <w:pPr>
              <w:spacing w:before="120" w:after="0" w:line="240" w:lineRule="auto"/>
              <w:jc w:val="center"/>
              <w:rPr>
                <w:rFonts w:cs="Arial"/>
                <w:bCs/>
                <w:color w:val="FFFFFF"/>
                <w:sz w:val="20"/>
                <w:szCs w:val="20"/>
              </w:rPr>
            </w:pPr>
            <w:r>
              <w:rPr>
                <w:rFonts w:cs="Arial"/>
                <w:bCs/>
                <w:color w:val="FFFFFF"/>
                <w:sz w:val="20"/>
                <w:szCs w:val="20"/>
              </w:rPr>
              <w:t>South East Queensland</w:t>
            </w:r>
          </w:p>
        </w:tc>
        <w:tc>
          <w:tcPr>
            <w:tcW w:w="1318" w:type="pct"/>
            <w:gridSpan w:val="2"/>
            <w:tcBorders>
              <w:bottom w:val="nil"/>
            </w:tcBorders>
            <w:vAlign w:val="center"/>
          </w:tcPr>
          <w:p w:rsidR="008D7D94" w:rsidRPr="00E16EDC" w:rsidRDefault="008D7D94" w:rsidP="006F1BC3">
            <w:pPr>
              <w:spacing w:before="120" w:after="0" w:line="240" w:lineRule="auto"/>
              <w:jc w:val="center"/>
              <w:rPr>
                <w:rFonts w:cs="Arial"/>
                <w:bCs/>
                <w:color w:val="FFFFFF"/>
                <w:sz w:val="20"/>
                <w:szCs w:val="20"/>
              </w:rPr>
            </w:pPr>
            <w:r>
              <w:rPr>
                <w:rFonts w:cs="Arial"/>
                <w:bCs/>
                <w:color w:val="FFFFFF"/>
                <w:sz w:val="20"/>
                <w:szCs w:val="20"/>
              </w:rPr>
              <w:t>Wallumbilla</w:t>
            </w:r>
            <w:r w:rsidR="00C370D1">
              <w:rPr>
                <w:rFonts w:cs="Arial"/>
                <w:bCs/>
                <w:color w:val="FFFFFF"/>
                <w:sz w:val="20"/>
                <w:szCs w:val="20"/>
              </w:rPr>
              <w:t>*</w:t>
            </w:r>
          </w:p>
        </w:tc>
      </w:tr>
      <w:tr w:rsidR="008D7D94" w:rsidRPr="002861A9" w:rsidTr="00EA6F25">
        <w:trPr>
          <w:cnfStyle w:val="100000000000" w:firstRow="1" w:lastRow="0" w:firstColumn="0" w:lastColumn="0" w:oddVBand="0" w:evenVBand="0" w:oddHBand="0" w:evenHBand="0" w:firstRowFirstColumn="0" w:firstRowLastColumn="0" w:lastRowFirstColumn="0" w:lastRowLastColumn="0"/>
          <w:tblHeader/>
        </w:trPr>
        <w:tc>
          <w:tcPr>
            <w:tcW w:w="915" w:type="pct"/>
            <w:tcBorders>
              <w:bottom w:val="nil"/>
            </w:tcBorders>
            <w:vAlign w:val="center"/>
          </w:tcPr>
          <w:p w:rsidR="008D7D94" w:rsidRPr="00587CFB" w:rsidRDefault="008D7D94" w:rsidP="006F1BC3">
            <w:pPr>
              <w:pStyle w:val="TableHeading"/>
              <w:jc w:val="center"/>
              <w:rPr>
                <w:rFonts w:cs="Arial"/>
                <w:sz w:val="20"/>
                <w:szCs w:val="20"/>
              </w:rPr>
            </w:pPr>
          </w:p>
        </w:tc>
        <w:tc>
          <w:tcPr>
            <w:tcW w:w="700" w:type="pct"/>
            <w:tcBorders>
              <w:bottom w:val="nil"/>
            </w:tcBorders>
            <w:vAlign w:val="center"/>
            <w:hideMark/>
          </w:tcPr>
          <w:p w:rsidR="008D7D94" w:rsidRPr="00587CFB" w:rsidRDefault="008D7D94" w:rsidP="006F1BC3">
            <w:pPr>
              <w:jc w:val="center"/>
              <w:rPr>
                <w:rFonts w:cs="Arial"/>
                <w:bCs/>
                <w:color w:val="FFFFFF"/>
                <w:sz w:val="14"/>
                <w:szCs w:val="20"/>
                <w:highlight w:val="cyan"/>
              </w:rPr>
            </w:pPr>
            <w:r w:rsidRPr="00587CFB">
              <w:rPr>
                <w:rFonts w:cs="Arial"/>
                <w:bCs/>
                <w:color w:val="FFFFFF"/>
                <w:sz w:val="14"/>
                <w:szCs w:val="20"/>
              </w:rPr>
              <w:t>VWA price</w:t>
            </w:r>
          </w:p>
        </w:tc>
        <w:tc>
          <w:tcPr>
            <w:tcW w:w="641" w:type="pct"/>
            <w:tcBorders>
              <w:bottom w:val="nil"/>
            </w:tcBorders>
            <w:vAlign w:val="center"/>
            <w:hideMark/>
          </w:tcPr>
          <w:p w:rsidR="008D7D94" w:rsidRPr="00587CFB" w:rsidRDefault="008D7D94" w:rsidP="006F1BC3">
            <w:pPr>
              <w:jc w:val="center"/>
              <w:rPr>
                <w:rFonts w:cs="Arial"/>
                <w:bCs/>
                <w:color w:val="FFFFFF"/>
                <w:sz w:val="14"/>
                <w:szCs w:val="20"/>
                <w:highlight w:val="cyan"/>
              </w:rPr>
            </w:pPr>
            <w:r>
              <w:rPr>
                <w:rFonts w:cs="Arial"/>
                <w:bCs/>
                <w:color w:val="FFFFFF"/>
                <w:sz w:val="14"/>
                <w:szCs w:val="20"/>
              </w:rPr>
              <w:t>Quantity</w:t>
            </w:r>
          </w:p>
        </w:tc>
        <w:tc>
          <w:tcPr>
            <w:tcW w:w="727" w:type="pct"/>
            <w:tcBorders>
              <w:bottom w:val="nil"/>
            </w:tcBorders>
            <w:vAlign w:val="center"/>
            <w:hideMark/>
          </w:tcPr>
          <w:p w:rsidR="008D7D94" w:rsidRPr="00587CFB" w:rsidRDefault="008D7D94" w:rsidP="006F1BC3">
            <w:pPr>
              <w:jc w:val="center"/>
              <w:rPr>
                <w:rFonts w:cs="Arial"/>
                <w:bCs/>
                <w:color w:val="FFFFFF"/>
                <w:sz w:val="14"/>
                <w:szCs w:val="20"/>
                <w:highlight w:val="cyan"/>
              </w:rPr>
            </w:pPr>
            <w:r w:rsidRPr="00587CFB">
              <w:rPr>
                <w:rFonts w:cs="Arial"/>
                <w:bCs/>
                <w:color w:val="FFFFFF"/>
                <w:sz w:val="14"/>
                <w:szCs w:val="20"/>
              </w:rPr>
              <w:t>VWA price</w:t>
            </w:r>
          </w:p>
        </w:tc>
        <w:tc>
          <w:tcPr>
            <w:tcW w:w="699" w:type="pct"/>
            <w:tcBorders>
              <w:bottom w:val="nil"/>
            </w:tcBorders>
            <w:vAlign w:val="center"/>
          </w:tcPr>
          <w:p w:rsidR="008D7D94" w:rsidRPr="00587CFB" w:rsidRDefault="008D7D94" w:rsidP="006F1BC3">
            <w:pPr>
              <w:jc w:val="center"/>
              <w:rPr>
                <w:rFonts w:cs="Arial"/>
                <w:bCs/>
                <w:color w:val="FFFFFF"/>
                <w:sz w:val="14"/>
                <w:szCs w:val="20"/>
                <w:highlight w:val="cyan"/>
              </w:rPr>
            </w:pPr>
            <w:r>
              <w:rPr>
                <w:rFonts w:cs="Arial"/>
                <w:bCs/>
                <w:color w:val="FFFFFF"/>
                <w:sz w:val="14"/>
                <w:szCs w:val="20"/>
              </w:rPr>
              <w:t>Quantity</w:t>
            </w:r>
          </w:p>
        </w:tc>
        <w:tc>
          <w:tcPr>
            <w:tcW w:w="622" w:type="pct"/>
            <w:tcBorders>
              <w:bottom w:val="nil"/>
            </w:tcBorders>
            <w:vAlign w:val="center"/>
          </w:tcPr>
          <w:p w:rsidR="008D7D94" w:rsidRPr="00587CFB" w:rsidRDefault="008D7D94" w:rsidP="006F1BC3">
            <w:pPr>
              <w:jc w:val="center"/>
              <w:rPr>
                <w:rFonts w:cs="Arial"/>
                <w:bCs/>
                <w:color w:val="FFFFFF"/>
                <w:sz w:val="14"/>
                <w:szCs w:val="20"/>
                <w:highlight w:val="cyan"/>
              </w:rPr>
            </w:pPr>
            <w:r w:rsidRPr="00587CFB">
              <w:rPr>
                <w:rFonts w:cs="Arial"/>
                <w:bCs/>
                <w:color w:val="FFFFFF"/>
                <w:sz w:val="14"/>
                <w:szCs w:val="20"/>
              </w:rPr>
              <w:t>VWA price</w:t>
            </w:r>
          </w:p>
        </w:tc>
        <w:tc>
          <w:tcPr>
            <w:tcW w:w="696" w:type="pct"/>
            <w:tcBorders>
              <w:bottom w:val="nil"/>
            </w:tcBorders>
            <w:vAlign w:val="center"/>
          </w:tcPr>
          <w:p w:rsidR="008D7D94" w:rsidRPr="00587CFB" w:rsidRDefault="008D7D94" w:rsidP="006F1BC3">
            <w:pPr>
              <w:jc w:val="center"/>
              <w:rPr>
                <w:rFonts w:cs="Arial"/>
                <w:bCs/>
                <w:color w:val="FFFFFF"/>
                <w:sz w:val="14"/>
                <w:szCs w:val="20"/>
                <w:highlight w:val="cyan"/>
              </w:rPr>
            </w:pPr>
            <w:r>
              <w:rPr>
                <w:rFonts w:cs="Arial"/>
                <w:bCs/>
                <w:color w:val="FFFFFF"/>
                <w:sz w:val="14"/>
                <w:szCs w:val="20"/>
              </w:rPr>
              <w:t>Quantity</w:t>
            </w:r>
          </w:p>
        </w:tc>
      </w:tr>
      <w:tr w:rsidR="00C524B8" w:rsidRPr="006A7228" w:rsidTr="00EA6F25">
        <w:trPr>
          <w:trHeight w:val="510"/>
        </w:trPr>
        <w:tc>
          <w:tcPr>
            <w:tcW w:w="915" w:type="pct"/>
            <w:tcBorders>
              <w:top w:val="nil"/>
              <w:bottom w:val="nil"/>
            </w:tcBorders>
            <w:vAlign w:val="center"/>
          </w:tcPr>
          <w:p w:rsidR="00C524B8" w:rsidRDefault="00C524B8">
            <w:pPr>
              <w:rPr>
                <w:rFonts w:cs="Arial"/>
                <w:b/>
                <w:bCs/>
                <w:sz w:val="20"/>
                <w:szCs w:val="20"/>
              </w:rPr>
            </w:pPr>
            <w:r>
              <w:rPr>
                <w:rFonts w:cs="Arial"/>
                <w:b/>
                <w:bCs/>
                <w:sz w:val="20"/>
                <w:szCs w:val="20"/>
              </w:rPr>
              <w:t>Balance of day</w:t>
            </w:r>
          </w:p>
        </w:tc>
        <w:tc>
          <w:tcPr>
            <w:tcW w:w="700"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641"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727" w:type="pct"/>
            <w:tcBorders>
              <w:top w:val="nil"/>
              <w:bottom w:val="nil"/>
            </w:tcBorders>
            <w:vAlign w:val="center"/>
          </w:tcPr>
          <w:p w:rsidR="00C524B8" w:rsidRDefault="00C524B8">
            <w:pPr>
              <w:jc w:val="center"/>
              <w:rPr>
                <w:rFonts w:cs="Arial"/>
                <w:sz w:val="20"/>
                <w:szCs w:val="20"/>
              </w:rPr>
            </w:pPr>
            <w:r>
              <w:rPr>
                <w:rFonts w:cs="Arial"/>
                <w:sz w:val="20"/>
                <w:szCs w:val="20"/>
              </w:rPr>
              <w:t>7.40</w:t>
            </w:r>
          </w:p>
        </w:tc>
        <w:tc>
          <w:tcPr>
            <w:tcW w:w="699" w:type="pct"/>
            <w:tcBorders>
              <w:top w:val="nil"/>
              <w:bottom w:val="nil"/>
            </w:tcBorders>
            <w:vAlign w:val="center"/>
          </w:tcPr>
          <w:p w:rsidR="00C524B8" w:rsidRDefault="00C524B8">
            <w:pPr>
              <w:jc w:val="center"/>
              <w:rPr>
                <w:rFonts w:cs="Arial"/>
                <w:sz w:val="20"/>
                <w:szCs w:val="20"/>
              </w:rPr>
            </w:pPr>
            <w:r>
              <w:rPr>
                <w:rFonts w:cs="Arial"/>
                <w:sz w:val="20"/>
                <w:szCs w:val="20"/>
              </w:rPr>
              <w:t>14.0</w:t>
            </w:r>
          </w:p>
        </w:tc>
        <w:tc>
          <w:tcPr>
            <w:tcW w:w="622" w:type="pct"/>
            <w:tcBorders>
              <w:top w:val="nil"/>
              <w:bottom w:val="nil"/>
            </w:tcBorders>
            <w:vAlign w:val="center"/>
          </w:tcPr>
          <w:p w:rsidR="00C524B8" w:rsidRDefault="00C524B8">
            <w:pPr>
              <w:jc w:val="center"/>
              <w:rPr>
                <w:rFonts w:cs="Arial"/>
                <w:sz w:val="20"/>
                <w:szCs w:val="20"/>
              </w:rPr>
            </w:pPr>
            <w:r>
              <w:rPr>
                <w:rFonts w:cs="Arial"/>
                <w:sz w:val="20"/>
                <w:szCs w:val="20"/>
              </w:rPr>
              <w:t>7.88</w:t>
            </w:r>
          </w:p>
        </w:tc>
        <w:tc>
          <w:tcPr>
            <w:tcW w:w="696" w:type="pct"/>
            <w:tcBorders>
              <w:top w:val="nil"/>
              <w:bottom w:val="nil"/>
            </w:tcBorders>
            <w:vAlign w:val="center"/>
          </w:tcPr>
          <w:p w:rsidR="00C524B8" w:rsidRDefault="00C524B8">
            <w:pPr>
              <w:jc w:val="center"/>
              <w:rPr>
                <w:rFonts w:cs="Arial"/>
                <w:sz w:val="20"/>
                <w:szCs w:val="20"/>
              </w:rPr>
            </w:pPr>
            <w:r>
              <w:rPr>
                <w:rFonts w:cs="Arial"/>
                <w:sz w:val="20"/>
                <w:szCs w:val="20"/>
              </w:rPr>
              <w:t>20.0</w:t>
            </w:r>
          </w:p>
        </w:tc>
      </w:tr>
      <w:tr w:rsidR="00C524B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C524B8" w:rsidRDefault="00C524B8">
            <w:pPr>
              <w:rPr>
                <w:rFonts w:cs="Arial"/>
                <w:b/>
                <w:bCs/>
                <w:szCs w:val="20"/>
              </w:rPr>
            </w:pPr>
            <w:r>
              <w:rPr>
                <w:rFonts w:cs="Arial"/>
                <w:b/>
                <w:bCs/>
                <w:szCs w:val="20"/>
              </w:rPr>
              <w:t>Daily</w:t>
            </w:r>
          </w:p>
        </w:tc>
        <w:tc>
          <w:tcPr>
            <w:tcW w:w="700" w:type="pct"/>
            <w:tcBorders>
              <w:top w:val="nil"/>
              <w:bottom w:val="nil"/>
            </w:tcBorders>
            <w:vAlign w:val="center"/>
          </w:tcPr>
          <w:p w:rsidR="00C524B8" w:rsidRDefault="00C524B8">
            <w:pPr>
              <w:jc w:val="center"/>
              <w:rPr>
                <w:rFonts w:cs="Arial"/>
                <w:szCs w:val="20"/>
              </w:rPr>
            </w:pPr>
            <w:r>
              <w:rPr>
                <w:rFonts w:cs="Arial"/>
                <w:szCs w:val="20"/>
              </w:rPr>
              <w:t>-</w:t>
            </w:r>
          </w:p>
        </w:tc>
        <w:tc>
          <w:tcPr>
            <w:tcW w:w="641" w:type="pct"/>
            <w:tcBorders>
              <w:top w:val="nil"/>
              <w:bottom w:val="nil"/>
            </w:tcBorders>
            <w:vAlign w:val="center"/>
          </w:tcPr>
          <w:p w:rsidR="00C524B8" w:rsidRDefault="00C524B8">
            <w:pPr>
              <w:jc w:val="center"/>
              <w:rPr>
                <w:rFonts w:cs="Arial"/>
                <w:szCs w:val="20"/>
              </w:rPr>
            </w:pPr>
            <w:r>
              <w:rPr>
                <w:rFonts w:cs="Arial"/>
                <w:szCs w:val="20"/>
              </w:rPr>
              <w:t>-</w:t>
            </w:r>
          </w:p>
        </w:tc>
        <w:tc>
          <w:tcPr>
            <w:tcW w:w="727" w:type="pct"/>
            <w:tcBorders>
              <w:top w:val="nil"/>
              <w:bottom w:val="nil"/>
            </w:tcBorders>
            <w:vAlign w:val="center"/>
          </w:tcPr>
          <w:p w:rsidR="00C524B8" w:rsidRDefault="00C524B8">
            <w:pPr>
              <w:jc w:val="center"/>
              <w:rPr>
                <w:rFonts w:cs="Arial"/>
                <w:szCs w:val="20"/>
              </w:rPr>
            </w:pPr>
            <w:r>
              <w:rPr>
                <w:rFonts w:cs="Arial"/>
                <w:szCs w:val="20"/>
              </w:rPr>
              <w:t>7.55</w:t>
            </w:r>
          </w:p>
        </w:tc>
        <w:tc>
          <w:tcPr>
            <w:tcW w:w="699" w:type="pct"/>
            <w:tcBorders>
              <w:top w:val="nil"/>
              <w:bottom w:val="nil"/>
            </w:tcBorders>
            <w:vAlign w:val="center"/>
          </w:tcPr>
          <w:p w:rsidR="00C524B8" w:rsidRDefault="00C524B8">
            <w:pPr>
              <w:jc w:val="center"/>
              <w:rPr>
                <w:rFonts w:cs="Arial"/>
                <w:szCs w:val="20"/>
              </w:rPr>
            </w:pPr>
            <w:r>
              <w:rPr>
                <w:rFonts w:cs="Arial"/>
                <w:szCs w:val="20"/>
              </w:rPr>
              <w:t>24.0</w:t>
            </w:r>
          </w:p>
        </w:tc>
        <w:tc>
          <w:tcPr>
            <w:tcW w:w="622" w:type="pct"/>
            <w:tcBorders>
              <w:top w:val="nil"/>
              <w:bottom w:val="nil"/>
            </w:tcBorders>
            <w:vAlign w:val="center"/>
          </w:tcPr>
          <w:p w:rsidR="00C524B8" w:rsidRDefault="00C524B8">
            <w:pPr>
              <w:jc w:val="center"/>
              <w:rPr>
                <w:rFonts w:cs="Arial"/>
                <w:szCs w:val="20"/>
              </w:rPr>
            </w:pPr>
            <w:r>
              <w:rPr>
                <w:rFonts w:cs="Arial"/>
                <w:szCs w:val="20"/>
              </w:rPr>
              <w:t>8.03</w:t>
            </w:r>
          </w:p>
        </w:tc>
        <w:tc>
          <w:tcPr>
            <w:tcW w:w="696" w:type="pct"/>
            <w:tcBorders>
              <w:top w:val="nil"/>
              <w:bottom w:val="nil"/>
            </w:tcBorders>
            <w:vAlign w:val="center"/>
          </w:tcPr>
          <w:p w:rsidR="00C524B8" w:rsidRDefault="00C524B8">
            <w:pPr>
              <w:jc w:val="center"/>
              <w:rPr>
                <w:rFonts w:cs="Arial"/>
                <w:szCs w:val="20"/>
              </w:rPr>
            </w:pPr>
            <w:r>
              <w:rPr>
                <w:rFonts w:cs="Arial"/>
                <w:szCs w:val="20"/>
              </w:rPr>
              <w:t>250.0</w:t>
            </w:r>
          </w:p>
        </w:tc>
      </w:tr>
      <w:tr w:rsidR="00C524B8" w:rsidRPr="006A7228" w:rsidTr="00EA6F25">
        <w:trPr>
          <w:trHeight w:val="510"/>
        </w:trPr>
        <w:tc>
          <w:tcPr>
            <w:tcW w:w="915" w:type="pct"/>
            <w:tcBorders>
              <w:top w:val="nil"/>
              <w:bottom w:val="nil"/>
            </w:tcBorders>
            <w:vAlign w:val="center"/>
          </w:tcPr>
          <w:p w:rsidR="00C524B8" w:rsidRDefault="00C524B8">
            <w:pPr>
              <w:rPr>
                <w:rFonts w:cs="Arial"/>
                <w:b/>
                <w:bCs/>
                <w:sz w:val="20"/>
                <w:szCs w:val="20"/>
              </w:rPr>
            </w:pPr>
            <w:r>
              <w:rPr>
                <w:rFonts w:cs="Arial"/>
                <w:b/>
                <w:bCs/>
                <w:sz w:val="20"/>
                <w:szCs w:val="20"/>
              </w:rPr>
              <w:t>Day ahead</w:t>
            </w:r>
          </w:p>
        </w:tc>
        <w:tc>
          <w:tcPr>
            <w:tcW w:w="700"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641"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727" w:type="pct"/>
            <w:tcBorders>
              <w:top w:val="nil"/>
              <w:bottom w:val="nil"/>
            </w:tcBorders>
            <w:vAlign w:val="center"/>
          </w:tcPr>
          <w:p w:rsidR="00C524B8" w:rsidRDefault="00C524B8">
            <w:pPr>
              <w:jc w:val="center"/>
              <w:rPr>
                <w:rFonts w:cs="Arial"/>
                <w:sz w:val="20"/>
                <w:szCs w:val="20"/>
              </w:rPr>
            </w:pPr>
            <w:r>
              <w:rPr>
                <w:rFonts w:cs="Arial"/>
                <w:sz w:val="20"/>
                <w:szCs w:val="20"/>
              </w:rPr>
              <w:t>7.39</w:t>
            </w:r>
          </w:p>
        </w:tc>
        <w:tc>
          <w:tcPr>
            <w:tcW w:w="699" w:type="pct"/>
            <w:tcBorders>
              <w:top w:val="nil"/>
              <w:bottom w:val="nil"/>
            </w:tcBorders>
            <w:vAlign w:val="center"/>
          </w:tcPr>
          <w:p w:rsidR="00C524B8" w:rsidRDefault="00C524B8">
            <w:pPr>
              <w:jc w:val="center"/>
              <w:rPr>
                <w:rFonts w:cs="Arial"/>
                <w:sz w:val="20"/>
                <w:szCs w:val="20"/>
              </w:rPr>
            </w:pPr>
            <w:r>
              <w:rPr>
                <w:rFonts w:cs="Arial"/>
                <w:sz w:val="20"/>
                <w:szCs w:val="20"/>
              </w:rPr>
              <w:t>44.0</w:t>
            </w:r>
          </w:p>
        </w:tc>
        <w:tc>
          <w:tcPr>
            <w:tcW w:w="622" w:type="pct"/>
            <w:tcBorders>
              <w:top w:val="nil"/>
              <w:bottom w:val="nil"/>
            </w:tcBorders>
            <w:vAlign w:val="center"/>
          </w:tcPr>
          <w:p w:rsidR="00C524B8" w:rsidRDefault="00C524B8">
            <w:pPr>
              <w:jc w:val="center"/>
              <w:rPr>
                <w:rFonts w:cs="Arial"/>
                <w:sz w:val="20"/>
                <w:szCs w:val="20"/>
              </w:rPr>
            </w:pPr>
            <w:r>
              <w:rPr>
                <w:rFonts w:cs="Arial"/>
                <w:sz w:val="20"/>
                <w:szCs w:val="20"/>
              </w:rPr>
              <w:t>7.92</w:t>
            </w:r>
          </w:p>
        </w:tc>
        <w:tc>
          <w:tcPr>
            <w:tcW w:w="696" w:type="pct"/>
            <w:tcBorders>
              <w:top w:val="nil"/>
              <w:bottom w:val="nil"/>
            </w:tcBorders>
            <w:vAlign w:val="center"/>
          </w:tcPr>
          <w:p w:rsidR="00C524B8" w:rsidRDefault="00C524B8">
            <w:pPr>
              <w:jc w:val="center"/>
              <w:rPr>
                <w:rFonts w:cs="Arial"/>
                <w:sz w:val="20"/>
                <w:szCs w:val="20"/>
              </w:rPr>
            </w:pPr>
            <w:r>
              <w:rPr>
                <w:rFonts w:cs="Arial"/>
                <w:sz w:val="20"/>
                <w:szCs w:val="20"/>
              </w:rPr>
              <w:t>44.0</w:t>
            </w:r>
          </w:p>
        </w:tc>
      </w:tr>
      <w:tr w:rsidR="00C524B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nil"/>
            </w:tcBorders>
            <w:vAlign w:val="center"/>
          </w:tcPr>
          <w:p w:rsidR="00C524B8" w:rsidRDefault="00C524B8">
            <w:pPr>
              <w:rPr>
                <w:rFonts w:cs="Arial"/>
                <w:b/>
                <w:bCs/>
                <w:szCs w:val="20"/>
              </w:rPr>
            </w:pPr>
            <w:r>
              <w:rPr>
                <w:rFonts w:cs="Arial"/>
                <w:b/>
                <w:bCs/>
                <w:szCs w:val="20"/>
              </w:rPr>
              <w:t>Weekly</w:t>
            </w:r>
          </w:p>
        </w:tc>
        <w:tc>
          <w:tcPr>
            <w:tcW w:w="700" w:type="pct"/>
            <w:tcBorders>
              <w:top w:val="nil"/>
              <w:bottom w:val="nil"/>
            </w:tcBorders>
            <w:vAlign w:val="center"/>
          </w:tcPr>
          <w:p w:rsidR="00C524B8" w:rsidRDefault="00C524B8">
            <w:pPr>
              <w:jc w:val="center"/>
              <w:rPr>
                <w:rFonts w:cs="Arial"/>
                <w:szCs w:val="20"/>
              </w:rPr>
            </w:pPr>
            <w:r>
              <w:rPr>
                <w:rFonts w:cs="Arial"/>
                <w:szCs w:val="20"/>
              </w:rPr>
              <w:t>-</w:t>
            </w:r>
          </w:p>
        </w:tc>
        <w:tc>
          <w:tcPr>
            <w:tcW w:w="641" w:type="pct"/>
            <w:tcBorders>
              <w:top w:val="nil"/>
              <w:bottom w:val="nil"/>
            </w:tcBorders>
            <w:vAlign w:val="center"/>
          </w:tcPr>
          <w:p w:rsidR="00C524B8" w:rsidRDefault="00C524B8">
            <w:pPr>
              <w:jc w:val="center"/>
              <w:rPr>
                <w:rFonts w:cs="Arial"/>
                <w:szCs w:val="20"/>
              </w:rPr>
            </w:pPr>
            <w:r>
              <w:rPr>
                <w:rFonts w:cs="Arial"/>
                <w:szCs w:val="20"/>
              </w:rPr>
              <w:t>-</w:t>
            </w:r>
          </w:p>
        </w:tc>
        <w:tc>
          <w:tcPr>
            <w:tcW w:w="727" w:type="pct"/>
            <w:tcBorders>
              <w:top w:val="nil"/>
              <w:bottom w:val="nil"/>
            </w:tcBorders>
            <w:vAlign w:val="center"/>
          </w:tcPr>
          <w:p w:rsidR="00C524B8" w:rsidRDefault="00C524B8">
            <w:pPr>
              <w:jc w:val="center"/>
              <w:rPr>
                <w:rFonts w:cs="Arial"/>
                <w:szCs w:val="20"/>
              </w:rPr>
            </w:pPr>
            <w:r>
              <w:rPr>
                <w:rFonts w:cs="Arial"/>
                <w:szCs w:val="20"/>
              </w:rPr>
              <w:t>-</w:t>
            </w:r>
          </w:p>
        </w:tc>
        <w:tc>
          <w:tcPr>
            <w:tcW w:w="699" w:type="pct"/>
            <w:tcBorders>
              <w:top w:val="nil"/>
              <w:bottom w:val="nil"/>
            </w:tcBorders>
            <w:vAlign w:val="center"/>
          </w:tcPr>
          <w:p w:rsidR="00C524B8" w:rsidRDefault="00C524B8">
            <w:pPr>
              <w:jc w:val="center"/>
              <w:rPr>
                <w:rFonts w:cs="Arial"/>
                <w:szCs w:val="20"/>
              </w:rPr>
            </w:pPr>
            <w:r>
              <w:rPr>
                <w:rFonts w:cs="Arial"/>
                <w:szCs w:val="20"/>
              </w:rPr>
              <w:t>-</w:t>
            </w:r>
          </w:p>
        </w:tc>
        <w:tc>
          <w:tcPr>
            <w:tcW w:w="622" w:type="pct"/>
            <w:tcBorders>
              <w:top w:val="nil"/>
              <w:bottom w:val="nil"/>
            </w:tcBorders>
            <w:vAlign w:val="center"/>
          </w:tcPr>
          <w:p w:rsidR="00C524B8" w:rsidRDefault="00C524B8">
            <w:pPr>
              <w:jc w:val="center"/>
              <w:rPr>
                <w:rFonts w:cs="Arial"/>
                <w:szCs w:val="20"/>
              </w:rPr>
            </w:pPr>
            <w:r>
              <w:rPr>
                <w:rFonts w:cs="Arial"/>
                <w:szCs w:val="20"/>
              </w:rPr>
              <w:t>-</w:t>
            </w:r>
          </w:p>
        </w:tc>
        <w:tc>
          <w:tcPr>
            <w:tcW w:w="696" w:type="pct"/>
            <w:tcBorders>
              <w:top w:val="nil"/>
              <w:bottom w:val="nil"/>
            </w:tcBorders>
            <w:vAlign w:val="center"/>
          </w:tcPr>
          <w:p w:rsidR="00C524B8" w:rsidRDefault="00C524B8">
            <w:pPr>
              <w:jc w:val="center"/>
              <w:rPr>
                <w:rFonts w:cs="Arial"/>
                <w:szCs w:val="20"/>
              </w:rPr>
            </w:pPr>
            <w:r>
              <w:rPr>
                <w:rFonts w:cs="Arial"/>
                <w:szCs w:val="20"/>
              </w:rPr>
              <w:t>-</w:t>
            </w:r>
          </w:p>
        </w:tc>
      </w:tr>
      <w:tr w:rsidR="00C524B8" w:rsidRPr="006A7228" w:rsidTr="00EA6F25">
        <w:trPr>
          <w:trHeight w:val="510"/>
        </w:trPr>
        <w:tc>
          <w:tcPr>
            <w:tcW w:w="915" w:type="pct"/>
            <w:tcBorders>
              <w:top w:val="nil"/>
              <w:bottom w:val="nil"/>
            </w:tcBorders>
            <w:vAlign w:val="center"/>
          </w:tcPr>
          <w:p w:rsidR="00C524B8" w:rsidRDefault="00C524B8">
            <w:pPr>
              <w:rPr>
                <w:rFonts w:cs="Arial"/>
                <w:b/>
                <w:bCs/>
                <w:sz w:val="20"/>
                <w:szCs w:val="20"/>
              </w:rPr>
            </w:pPr>
            <w:r>
              <w:rPr>
                <w:rFonts w:cs="Arial"/>
                <w:b/>
                <w:bCs/>
                <w:sz w:val="20"/>
                <w:szCs w:val="20"/>
              </w:rPr>
              <w:t>Monthly</w:t>
            </w:r>
          </w:p>
        </w:tc>
        <w:tc>
          <w:tcPr>
            <w:tcW w:w="700"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641"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727"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699"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622" w:type="pct"/>
            <w:tcBorders>
              <w:top w:val="nil"/>
              <w:bottom w:val="nil"/>
            </w:tcBorders>
            <w:vAlign w:val="center"/>
          </w:tcPr>
          <w:p w:rsidR="00C524B8" w:rsidRDefault="00C524B8">
            <w:pPr>
              <w:jc w:val="center"/>
              <w:rPr>
                <w:rFonts w:cs="Arial"/>
                <w:sz w:val="20"/>
                <w:szCs w:val="20"/>
              </w:rPr>
            </w:pPr>
            <w:r>
              <w:rPr>
                <w:rFonts w:cs="Arial"/>
                <w:sz w:val="20"/>
                <w:szCs w:val="20"/>
              </w:rPr>
              <w:t>-</w:t>
            </w:r>
          </w:p>
        </w:tc>
        <w:tc>
          <w:tcPr>
            <w:tcW w:w="696" w:type="pct"/>
            <w:tcBorders>
              <w:top w:val="nil"/>
              <w:bottom w:val="nil"/>
            </w:tcBorders>
            <w:vAlign w:val="center"/>
          </w:tcPr>
          <w:p w:rsidR="00C524B8" w:rsidRDefault="00C524B8">
            <w:pPr>
              <w:jc w:val="center"/>
              <w:rPr>
                <w:rFonts w:cs="Arial"/>
                <w:sz w:val="20"/>
                <w:szCs w:val="20"/>
              </w:rPr>
            </w:pPr>
            <w:r>
              <w:rPr>
                <w:rFonts w:cs="Arial"/>
                <w:sz w:val="20"/>
                <w:szCs w:val="20"/>
              </w:rPr>
              <w:t>-</w:t>
            </w:r>
          </w:p>
        </w:tc>
      </w:tr>
      <w:tr w:rsidR="00C524B8" w:rsidRPr="006A7228" w:rsidTr="00EA6F25">
        <w:trPr>
          <w:cnfStyle w:val="000000010000" w:firstRow="0" w:lastRow="0" w:firstColumn="0" w:lastColumn="0" w:oddVBand="0" w:evenVBand="0" w:oddHBand="0" w:evenHBand="1" w:firstRowFirstColumn="0" w:firstRowLastColumn="0" w:lastRowFirstColumn="0" w:lastRowLastColumn="0"/>
          <w:trHeight w:val="510"/>
        </w:trPr>
        <w:tc>
          <w:tcPr>
            <w:tcW w:w="915" w:type="pct"/>
            <w:tcBorders>
              <w:top w:val="nil"/>
              <w:bottom w:val="single" w:sz="4" w:space="0" w:color="auto"/>
            </w:tcBorders>
            <w:vAlign w:val="center"/>
          </w:tcPr>
          <w:p w:rsidR="00C524B8" w:rsidRDefault="00C524B8">
            <w:pPr>
              <w:rPr>
                <w:rFonts w:cs="Arial"/>
                <w:b/>
                <w:bCs/>
                <w:szCs w:val="20"/>
              </w:rPr>
            </w:pPr>
            <w:r>
              <w:rPr>
                <w:rFonts w:cs="Arial"/>
                <w:b/>
                <w:bCs/>
                <w:szCs w:val="20"/>
              </w:rPr>
              <w:t>Total</w:t>
            </w:r>
          </w:p>
        </w:tc>
        <w:tc>
          <w:tcPr>
            <w:tcW w:w="700" w:type="pct"/>
            <w:tcBorders>
              <w:top w:val="nil"/>
              <w:bottom w:val="single" w:sz="4" w:space="0" w:color="auto"/>
            </w:tcBorders>
            <w:vAlign w:val="center"/>
          </w:tcPr>
          <w:p w:rsidR="00C524B8" w:rsidRDefault="00C524B8">
            <w:pPr>
              <w:jc w:val="center"/>
              <w:rPr>
                <w:rFonts w:cs="Arial"/>
                <w:b/>
                <w:bCs/>
                <w:szCs w:val="20"/>
              </w:rPr>
            </w:pPr>
            <w:r>
              <w:rPr>
                <w:rFonts w:cs="Arial"/>
                <w:b/>
                <w:bCs/>
                <w:szCs w:val="20"/>
              </w:rPr>
              <w:t>-</w:t>
            </w:r>
          </w:p>
        </w:tc>
        <w:tc>
          <w:tcPr>
            <w:tcW w:w="641" w:type="pct"/>
            <w:tcBorders>
              <w:top w:val="nil"/>
              <w:bottom w:val="single" w:sz="4" w:space="0" w:color="auto"/>
            </w:tcBorders>
            <w:vAlign w:val="center"/>
          </w:tcPr>
          <w:p w:rsidR="00C524B8" w:rsidRDefault="00C524B8">
            <w:pPr>
              <w:jc w:val="center"/>
              <w:rPr>
                <w:rFonts w:cs="Arial"/>
                <w:b/>
                <w:bCs/>
                <w:szCs w:val="20"/>
              </w:rPr>
            </w:pPr>
            <w:r>
              <w:rPr>
                <w:rFonts w:cs="Arial"/>
                <w:b/>
                <w:bCs/>
                <w:szCs w:val="20"/>
              </w:rPr>
              <w:t>-</w:t>
            </w:r>
          </w:p>
        </w:tc>
        <w:tc>
          <w:tcPr>
            <w:tcW w:w="727" w:type="pct"/>
            <w:tcBorders>
              <w:top w:val="nil"/>
              <w:bottom w:val="single" w:sz="4" w:space="0" w:color="auto"/>
            </w:tcBorders>
            <w:vAlign w:val="center"/>
          </w:tcPr>
          <w:p w:rsidR="00C524B8" w:rsidRDefault="00C524B8">
            <w:pPr>
              <w:jc w:val="center"/>
              <w:rPr>
                <w:rFonts w:cs="Arial"/>
                <w:b/>
                <w:bCs/>
                <w:szCs w:val="20"/>
              </w:rPr>
            </w:pPr>
            <w:r>
              <w:rPr>
                <w:rFonts w:cs="Arial"/>
                <w:b/>
                <w:bCs/>
                <w:szCs w:val="20"/>
              </w:rPr>
              <w:t>7.44</w:t>
            </w:r>
          </w:p>
        </w:tc>
        <w:tc>
          <w:tcPr>
            <w:tcW w:w="699" w:type="pct"/>
            <w:tcBorders>
              <w:top w:val="nil"/>
              <w:bottom w:val="single" w:sz="4" w:space="0" w:color="auto"/>
            </w:tcBorders>
            <w:vAlign w:val="center"/>
          </w:tcPr>
          <w:p w:rsidR="00C524B8" w:rsidRDefault="00C524B8">
            <w:pPr>
              <w:jc w:val="center"/>
              <w:rPr>
                <w:rFonts w:cs="Arial"/>
                <w:b/>
                <w:bCs/>
                <w:szCs w:val="20"/>
              </w:rPr>
            </w:pPr>
            <w:r>
              <w:rPr>
                <w:rFonts w:cs="Arial"/>
                <w:b/>
                <w:bCs/>
                <w:szCs w:val="20"/>
              </w:rPr>
              <w:t>82.0</w:t>
            </w:r>
          </w:p>
        </w:tc>
        <w:tc>
          <w:tcPr>
            <w:tcW w:w="622" w:type="pct"/>
            <w:tcBorders>
              <w:top w:val="nil"/>
              <w:bottom w:val="single" w:sz="4" w:space="0" w:color="auto"/>
            </w:tcBorders>
            <w:vAlign w:val="center"/>
          </w:tcPr>
          <w:p w:rsidR="00C524B8" w:rsidRDefault="00C524B8">
            <w:pPr>
              <w:jc w:val="center"/>
              <w:rPr>
                <w:rFonts w:cs="Arial"/>
                <w:b/>
                <w:bCs/>
                <w:szCs w:val="20"/>
              </w:rPr>
            </w:pPr>
            <w:r>
              <w:rPr>
                <w:rFonts w:cs="Arial"/>
                <w:b/>
                <w:bCs/>
                <w:szCs w:val="20"/>
              </w:rPr>
              <w:t>8.00</w:t>
            </w:r>
          </w:p>
        </w:tc>
        <w:tc>
          <w:tcPr>
            <w:tcW w:w="696" w:type="pct"/>
            <w:tcBorders>
              <w:top w:val="nil"/>
              <w:bottom w:val="single" w:sz="4" w:space="0" w:color="auto"/>
            </w:tcBorders>
            <w:vAlign w:val="center"/>
          </w:tcPr>
          <w:p w:rsidR="00C524B8" w:rsidRDefault="00C524B8">
            <w:pPr>
              <w:jc w:val="center"/>
              <w:rPr>
                <w:rFonts w:cs="Arial"/>
                <w:b/>
                <w:bCs/>
                <w:szCs w:val="20"/>
              </w:rPr>
            </w:pPr>
            <w:r>
              <w:rPr>
                <w:rFonts w:cs="Arial"/>
                <w:b/>
                <w:bCs/>
                <w:szCs w:val="20"/>
              </w:rPr>
              <w:t>314.0</w:t>
            </w:r>
          </w:p>
        </w:tc>
      </w:tr>
    </w:tbl>
    <w:p w:rsidR="00410584" w:rsidRPr="00552F68" w:rsidRDefault="00410584" w:rsidP="00410584">
      <w:pPr>
        <w:pStyle w:val="AERbodytext"/>
        <w:rPr>
          <w:sz w:val="16"/>
        </w:rPr>
      </w:pPr>
      <w:r w:rsidRPr="00552F68">
        <w:rPr>
          <w:sz w:val="16"/>
        </w:rPr>
        <w:t xml:space="preserve">* </w:t>
      </w:r>
      <w:r w:rsidR="008D7D94">
        <w:rPr>
          <w:sz w:val="16"/>
        </w:rPr>
        <w:t>includes n</w:t>
      </w:r>
      <w:r w:rsidRPr="00552F68">
        <w:rPr>
          <w:sz w:val="16"/>
        </w:rPr>
        <w:t xml:space="preserve">on-netted </w:t>
      </w:r>
      <w:r w:rsidR="008D7D94">
        <w:rPr>
          <w:sz w:val="16"/>
        </w:rPr>
        <w:t>(off-market) trades</w:t>
      </w:r>
      <w:r w:rsidRPr="00552F68">
        <w:rPr>
          <w:sz w:val="16"/>
        </w:rPr>
        <w:t>.</w:t>
      </w:r>
    </w:p>
    <w:p w:rsidR="001934E9" w:rsidRDefault="00C370D1" w:rsidP="0059001F">
      <w:r>
        <w:t>Figure 6</w:t>
      </w:r>
      <w:r w:rsidR="001934E9" w:rsidRPr="00552F68">
        <w:t xml:space="preserve"> shows Bulletin Board pipeline flows for the three LNG export pipeline facilities and the production output at related production facilities in the Roma region.</w:t>
      </w:r>
    </w:p>
    <w:p w:rsidR="001934E9" w:rsidRDefault="001934E9" w:rsidP="001934E9">
      <w:pPr>
        <w:pStyle w:val="Caption"/>
        <w:rPr>
          <w:color w:val="2272A3"/>
          <w:szCs w:val="24"/>
        </w:rPr>
      </w:pPr>
      <w:r w:rsidRPr="001521CB">
        <w:lastRenderedPageBreak/>
        <w:t xml:space="preserve">Figure </w:t>
      </w:r>
      <w:fldSimple w:instr=" SEQ Figure \* ARABIC ">
        <w:r w:rsidR="00C370D1">
          <w:rPr>
            <w:noProof/>
          </w:rPr>
          <w:t>6</w:t>
        </w:r>
      </w:fldSimple>
      <w:r w:rsidRPr="001521CB">
        <w:t xml:space="preserve">: </w:t>
      </w:r>
      <w:r w:rsidR="00A226E9">
        <w:rPr>
          <w:color w:val="2272A3"/>
          <w:szCs w:val="24"/>
        </w:rPr>
        <w:t>LNG export pipeline and production flows</w:t>
      </w:r>
      <w:r w:rsidR="00587CFB">
        <w:rPr>
          <w:color w:val="2272A3"/>
          <w:szCs w:val="24"/>
        </w:rPr>
        <w:t xml:space="preserve"> (TJ)</w:t>
      </w:r>
      <w:r w:rsidR="000C52E2">
        <w:rPr>
          <w:color w:val="2272A3"/>
          <w:szCs w:val="24"/>
        </w:rPr>
        <w:t>*</w:t>
      </w:r>
    </w:p>
    <w:p w:rsidR="001934E9" w:rsidRPr="00E16EDC" w:rsidRDefault="00C524B8" w:rsidP="00E33530">
      <w:pPr>
        <w:keepNext/>
      </w:pPr>
      <w:r w:rsidRPr="00C524B8">
        <w:rPr>
          <w:noProof/>
          <w:lang w:eastAsia="en-AU"/>
        </w:rPr>
        <w:drawing>
          <wp:inline distT="0" distB="0" distL="0" distR="0" wp14:anchorId="190A0E97" wp14:editId="31DE878E">
            <wp:extent cx="5731510" cy="3179062"/>
            <wp:effectExtent l="0" t="0" r="2540" b="2540"/>
            <wp:docPr id="7" name="Picture 7" descr="Figure 6 shows the daily quantity of gas flowed on each of the three Queensland LNG export pipelines. Quantities of gas supplied by production facilities in the Roma region owned by these pipelines are also shown, grouped for each participant (APLNG, GLNG/Santos and QCLNG/QCG)." title="LNG export pipeline and production fl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179062"/>
                    </a:xfrm>
                    <a:prstGeom prst="rect">
                      <a:avLst/>
                    </a:prstGeom>
                    <a:noFill/>
                    <a:ln>
                      <a:noFill/>
                    </a:ln>
                  </pic:spPr>
                </pic:pic>
              </a:graphicData>
            </a:graphic>
          </wp:inline>
        </w:drawing>
      </w:r>
    </w:p>
    <w:p w:rsidR="009C4C5E" w:rsidRPr="00AB478D" w:rsidRDefault="009C4C5E" w:rsidP="009C4C5E">
      <w:pPr>
        <w:jc w:val="both"/>
        <w:rPr>
          <w:sz w:val="16"/>
          <w:szCs w:val="16"/>
        </w:rPr>
      </w:pPr>
      <w:r w:rsidRPr="00973B9F">
        <w:rPr>
          <w:sz w:val="16"/>
          <w:szCs w:val="16"/>
        </w:rPr>
        <w:t xml:space="preserve">* Production quantities represent flows from facilities operated by APLNG, Santos </w:t>
      </w:r>
      <w:r>
        <w:rPr>
          <w:sz w:val="16"/>
          <w:szCs w:val="16"/>
        </w:rPr>
        <w:t xml:space="preserve">and </w:t>
      </w:r>
      <w:r w:rsidRPr="00973B9F">
        <w:rPr>
          <w:sz w:val="16"/>
          <w:szCs w:val="16"/>
        </w:rPr>
        <w:t>QGC in the Roma region. Gas from individual facilities may also supply the domestic market, other LNG projects or storage facilities.</w:t>
      </w:r>
    </w:p>
    <w:p w:rsidR="001521CB" w:rsidRDefault="001521CB" w:rsidP="001521CB">
      <w:pPr>
        <w:pStyle w:val="Heading3"/>
        <w:rPr>
          <w:rFonts w:eastAsia="Times New Roman" w:cs="Times New Roman"/>
          <w:color w:val="2272A3" w:themeColor="accent4" w:themeShade="80"/>
          <w:sz w:val="32"/>
          <w:szCs w:val="20"/>
        </w:rPr>
      </w:pPr>
      <w:r w:rsidRPr="001521CB">
        <w:rPr>
          <w:rFonts w:eastAsia="Times New Roman" w:cs="Times New Roman"/>
          <w:color w:val="2272A3" w:themeColor="accent4" w:themeShade="80"/>
          <w:sz w:val="32"/>
          <w:szCs w:val="20"/>
        </w:rPr>
        <w:t>Detailed market analysis</w:t>
      </w:r>
    </w:p>
    <w:p w:rsidR="00C33BB5" w:rsidRPr="00C43C7F" w:rsidRDefault="00C33BB5" w:rsidP="00475F8E">
      <w:pPr>
        <w:jc w:val="both"/>
        <w:rPr>
          <w:b/>
          <w:i/>
        </w:rPr>
      </w:pPr>
      <w:r w:rsidRPr="00C43C7F">
        <w:rPr>
          <w:b/>
          <w:i/>
        </w:rPr>
        <w:t>Victoria</w:t>
      </w:r>
      <w:r w:rsidR="00B6579C" w:rsidRPr="00C43C7F">
        <w:rPr>
          <w:b/>
          <w:i/>
        </w:rPr>
        <w:t xml:space="preserve"> and South Australia</w:t>
      </w:r>
    </w:p>
    <w:p w:rsidR="00154EBC" w:rsidRPr="00C43C7F" w:rsidRDefault="0069047F" w:rsidP="00475F8E">
      <w:pPr>
        <w:jc w:val="both"/>
      </w:pPr>
      <w:r w:rsidRPr="00C43C7F">
        <w:t>Wi</w:t>
      </w:r>
      <w:r w:rsidR="00B6579C" w:rsidRPr="00C43C7F">
        <w:t>th the start of</w:t>
      </w:r>
      <w:r w:rsidRPr="00C43C7F">
        <w:t xml:space="preserve"> winter, gas demand </w:t>
      </w:r>
      <w:r w:rsidR="00B6579C" w:rsidRPr="00C43C7F">
        <w:t xml:space="preserve">in Victoria </w:t>
      </w:r>
      <w:r w:rsidRPr="00C43C7F">
        <w:t xml:space="preserve">is now approaching 1000 TJ on high demand days (corresponding with cold temperatures and gas heating demand).  </w:t>
      </w:r>
      <w:r w:rsidR="00C33BB5" w:rsidRPr="00C43C7F">
        <w:t xml:space="preserve">Across the two highest demand days for the week (7-8 June), the average demand exceeded 950 TJ.  </w:t>
      </w:r>
      <w:r w:rsidR="006F254F">
        <w:t>Supply</w:t>
      </w:r>
      <w:r w:rsidR="00C33BB5" w:rsidRPr="00C43C7F">
        <w:t xml:space="preserve"> from the Iona Underground Gas Storage facility totalled </w:t>
      </w:r>
      <w:r w:rsidR="006F254F">
        <w:t>more than 350 </w:t>
      </w:r>
      <w:r w:rsidR="00C33BB5" w:rsidRPr="00C43C7F">
        <w:t xml:space="preserve">TJ </w:t>
      </w:r>
      <w:r w:rsidR="006F254F">
        <w:t>over</w:t>
      </w:r>
      <w:r w:rsidR="00C33BB5" w:rsidRPr="00C43C7F">
        <w:t xml:space="preserve"> these two days.</w:t>
      </w:r>
      <w:r w:rsidR="00C43C7F" w:rsidRPr="00C43C7F">
        <w:rPr>
          <w:rStyle w:val="FootnoteReference"/>
        </w:rPr>
        <w:footnoteReference w:id="4"/>
      </w:r>
      <w:r w:rsidR="00C33BB5" w:rsidRPr="00C43C7F">
        <w:t xml:space="preserve">  </w:t>
      </w:r>
    </w:p>
    <w:p w:rsidR="003C089E" w:rsidRPr="00C43C7F" w:rsidRDefault="00B6579C" w:rsidP="00475F8E">
      <w:pPr>
        <w:jc w:val="both"/>
      </w:pPr>
      <w:r w:rsidRPr="00C43C7F">
        <w:t xml:space="preserve">The gas used for electricity generation in southern markets increased for a second consecutive week.  </w:t>
      </w:r>
      <w:r w:rsidR="003C089E" w:rsidRPr="00C43C7F">
        <w:t xml:space="preserve">The average daily gas usage for electricity generation in Victoria was 105 TJ.  In South Australia, the daily average was 251 TJ.  This compares to daily averages of </w:t>
      </w:r>
      <w:r w:rsidRPr="00C43C7F">
        <w:t>49 TJ (Victoria) and 148</w:t>
      </w:r>
      <w:r w:rsidR="003C089E" w:rsidRPr="00C43C7F">
        <w:t xml:space="preserve"> TJ (South Australia) for 2016/17 </w:t>
      </w:r>
      <w:r w:rsidRPr="00C43C7F">
        <w:t>financial year to 10 June.</w:t>
      </w:r>
    </w:p>
    <w:p w:rsidR="00435F7C" w:rsidRPr="00C43C7F" w:rsidRDefault="00435F7C" w:rsidP="00435F7C">
      <w:pPr>
        <w:jc w:val="both"/>
        <w:rPr>
          <w:b/>
          <w:i/>
        </w:rPr>
      </w:pPr>
      <w:r w:rsidRPr="00C43C7F">
        <w:rPr>
          <w:b/>
          <w:i/>
        </w:rPr>
        <w:t>Queensland LNG</w:t>
      </w:r>
    </w:p>
    <w:p w:rsidR="00435F7C" w:rsidRPr="00C43C7F" w:rsidRDefault="00965C31" w:rsidP="00435F7C">
      <w:pPr>
        <w:jc w:val="both"/>
      </w:pPr>
      <w:r w:rsidRPr="00C43C7F">
        <w:t xml:space="preserve">Santos GLNG commenced its extended shutdown of one export train on 5 June. </w:t>
      </w:r>
      <w:r w:rsidR="00F331A5">
        <w:t>Planned single train maintenance outages are scheduled for 5 June – 2 July and 10 July – 6 August 2017.</w:t>
      </w:r>
    </w:p>
    <w:p w:rsidR="00435F7C" w:rsidRPr="00C43C7F" w:rsidRDefault="00F331A5" w:rsidP="00475F8E">
      <w:pPr>
        <w:jc w:val="both"/>
      </w:pPr>
      <w:r>
        <w:t xml:space="preserve">There has been no significant change to production levels and GLNG Pipeline levels have remained relatively stable </w:t>
      </w:r>
      <w:r w:rsidR="00486549">
        <w:t xml:space="preserve">(see figure 5.1) </w:t>
      </w:r>
      <w:r>
        <w:t xml:space="preserve">following a gradual reduction in export pipeline flows </w:t>
      </w:r>
      <w:r w:rsidR="00486549">
        <w:t xml:space="preserve">(from mid-March) </w:t>
      </w:r>
      <w:r>
        <w:t>ahead of the maintenance period.</w:t>
      </w:r>
    </w:p>
    <w:p w:rsidR="001521CB" w:rsidRDefault="001521CB" w:rsidP="001521CB"/>
    <w:p w:rsidR="001521CB" w:rsidRDefault="001521CB">
      <w:pPr>
        <w:spacing w:line="240" w:lineRule="auto"/>
        <w:rPr>
          <w:rFonts w:eastAsiaTheme="majorEastAsia" w:cstheme="majorBidi"/>
          <w:b/>
          <w:bCs/>
          <w:color w:val="51626F"/>
          <w:sz w:val="28"/>
          <w:szCs w:val="26"/>
        </w:rPr>
      </w:pPr>
      <w:r>
        <w:br w:type="page"/>
      </w:r>
    </w:p>
    <w:p w:rsidR="001521CB" w:rsidRPr="003171C6" w:rsidRDefault="001521CB" w:rsidP="003171C6">
      <w:pPr>
        <w:pStyle w:val="Heading2"/>
        <w:ind w:left="142"/>
        <w:rPr>
          <w:sz w:val="36"/>
          <w:szCs w:val="36"/>
        </w:rPr>
      </w:pPr>
      <w:r w:rsidRPr="003171C6">
        <w:rPr>
          <w:noProof/>
          <w:color w:val="FFFFFF" w:themeColor="background1"/>
          <w:sz w:val="36"/>
          <w:szCs w:val="36"/>
          <w:lang w:eastAsia="en-AU"/>
        </w:rPr>
        <w:lastRenderedPageBreak/>
        <w:drawing>
          <wp:anchor distT="0" distB="0" distL="114300" distR="114300" simplePos="0" relativeHeight="251667456" behindDoc="1" locked="0" layoutInCell="1" allowOverlap="1" wp14:anchorId="4C2E1EDE" wp14:editId="2063175F">
            <wp:simplePos x="0" y="0"/>
            <wp:positionH relativeFrom="column">
              <wp:posOffset>0</wp:posOffset>
            </wp:positionH>
            <wp:positionV relativeFrom="paragraph">
              <wp:posOffset>-13970</wp:posOffset>
            </wp:positionV>
            <wp:extent cx="6048375" cy="981075"/>
            <wp:effectExtent l="0" t="0" r="9525" b="9525"/>
            <wp:wrapNone/>
            <wp:docPr id="4" name="Picture 4" descr="Australian Energy Regula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 Energy Regulator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48375" cy="981075"/>
                    </a:xfrm>
                    <a:prstGeom prst="rect">
                      <a:avLst/>
                    </a:prstGeom>
                    <a:noFill/>
                  </pic:spPr>
                </pic:pic>
              </a:graphicData>
            </a:graphic>
            <wp14:sizeRelH relativeFrom="page">
              <wp14:pctWidth>0</wp14:pctWidth>
            </wp14:sizeRelH>
            <wp14:sizeRelV relativeFrom="page">
              <wp14:pctHeight>0</wp14:pctHeight>
            </wp14:sizeRelV>
          </wp:anchor>
        </w:drawing>
      </w:r>
      <w:r w:rsidRPr="003171C6">
        <w:rPr>
          <w:color w:val="FFFFFF" w:themeColor="background1"/>
          <w:sz w:val="36"/>
          <w:szCs w:val="36"/>
        </w:rPr>
        <w:t xml:space="preserve">Detailed </w:t>
      </w:r>
      <w:r w:rsidR="003171C6">
        <w:rPr>
          <w:color w:val="FFFFFF" w:themeColor="background1"/>
          <w:sz w:val="36"/>
          <w:szCs w:val="36"/>
        </w:rPr>
        <w:t>M</w:t>
      </w:r>
      <w:r w:rsidRPr="003171C6">
        <w:rPr>
          <w:color w:val="FFFFFF" w:themeColor="background1"/>
          <w:sz w:val="36"/>
          <w:szCs w:val="36"/>
        </w:rPr>
        <w:t xml:space="preserve">arket </w:t>
      </w:r>
      <w:r w:rsidR="003171C6">
        <w:rPr>
          <w:color w:val="FFFFFF" w:themeColor="background1"/>
          <w:sz w:val="36"/>
          <w:szCs w:val="36"/>
        </w:rPr>
        <w:t>F</w:t>
      </w:r>
      <w:r w:rsidRPr="003171C6">
        <w:rPr>
          <w:color w:val="FFFFFF" w:themeColor="background1"/>
          <w:sz w:val="36"/>
          <w:szCs w:val="36"/>
        </w:rPr>
        <w:t>igures</w:t>
      </w:r>
    </w:p>
    <w:p w:rsidR="001521CB" w:rsidRPr="00A16975" w:rsidRDefault="001521CB" w:rsidP="001521CB">
      <w:pPr>
        <w:rPr>
          <w:sz w:val="28"/>
        </w:rPr>
      </w:pPr>
    </w:p>
    <w:p w:rsidR="001521CB" w:rsidRPr="00A16975" w:rsidRDefault="001521CB" w:rsidP="001521CB">
      <w:pPr>
        <w:rPr>
          <w:sz w:val="28"/>
        </w:rPr>
      </w:pPr>
    </w:p>
    <w:p w:rsidR="003171C6" w:rsidRDefault="003171C6" w:rsidP="003171C6">
      <w:pPr>
        <w:pStyle w:val="Heading3"/>
        <w:rPr>
          <w:rFonts w:eastAsia="Times New Roman" w:cs="Times New Roman"/>
          <w:color w:val="2272A3" w:themeColor="accent4" w:themeShade="80"/>
          <w:sz w:val="32"/>
          <w:szCs w:val="20"/>
        </w:rPr>
      </w:pPr>
      <w:r w:rsidRPr="003171C6">
        <w:rPr>
          <w:rFonts w:eastAsia="Times New Roman" w:cs="Times New Roman"/>
          <w:color w:val="2272A3" w:themeColor="accent4" w:themeShade="80"/>
          <w:sz w:val="32"/>
          <w:szCs w:val="20"/>
        </w:rPr>
        <w:t>1. Victorian Declared Wholesale Market</w:t>
      </w:r>
    </w:p>
    <w:p w:rsidR="00EC2CB1" w:rsidRPr="00EF58A8" w:rsidRDefault="00EC2CB1" w:rsidP="00551D6B">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5"/>
      </w:r>
      <w:r w:rsidRPr="00EF58A8">
        <w:t xml:space="preserve"> which is the schedule at which most gas is traded. </w:t>
      </w:r>
    </w:p>
    <w:p w:rsidR="003171C6" w:rsidRDefault="00EC2CB1" w:rsidP="00551D6B">
      <w:pPr>
        <w:jc w:val="both"/>
      </w:pPr>
      <w:r w:rsidRPr="00EF58A8">
        <w:t>The main drivers</w:t>
      </w:r>
      <w:r w:rsidRPr="00EF58A8">
        <w:rPr>
          <w:rStyle w:val="FootnoteReference"/>
        </w:rPr>
        <w:footnoteReference w:id="6"/>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7"/>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A16975" w:rsidRDefault="00A16975" w:rsidP="00551D6B">
      <w:pPr>
        <w:jc w:val="both"/>
      </w:pPr>
      <w:r w:rsidRPr="00552F68">
        <w:t>Ancillary payments for gas injected above the market price are shown above in figure 3.</w:t>
      </w:r>
    </w:p>
    <w:p w:rsidR="003171C6" w:rsidRDefault="00EC2CB1" w:rsidP="003171C6">
      <w:pPr>
        <w:pStyle w:val="Caption"/>
        <w:numPr>
          <w:ilvl w:val="0"/>
          <w:numId w:val="29"/>
        </w:numPr>
        <w:ind w:left="709" w:hanging="709"/>
        <w:rPr>
          <w:color w:val="2272A3"/>
          <w:szCs w:val="24"/>
        </w:rPr>
      </w:pPr>
      <w:r w:rsidRPr="00DD0358">
        <w:rPr>
          <w:color w:val="2272A3"/>
        </w:rPr>
        <w:t>Prices by schedule</w:t>
      </w:r>
      <w:r w:rsidR="00817724">
        <w:rPr>
          <w:color w:val="2272A3"/>
        </w:rPr>
        <w:t xml:space="preserve"> </w:t>
      </w:r>
      <w:r w:rsidR="00817724" w:rsidRPr="00552F68">
        <w:rPr>
          <w:color w:val="2272A3"/>
          <w:szCs w:val="24"/>
        </w:rPr>
        <w:t>($/GJ)</w:t>
      </w:r>
    </w:p>
    <w:p w:rsidR="003171C6" w:rsidRPr="004C571B" w:rsidRDefault="00C524B8" w:rsidP="003171C6">
      <w:r w:rsidRPr="00C524B8">
        <w:rPr>
          <w:noProof/>
          <w:lang w:eastAsia="en-AU"/>
        </w:rPr>
        <w:drawing>
          <wp:inline distT="0" distB="0" distL="0" distR="0" wp14:anchorId="3EF1666F" wp14:editId="4DF38A9D">
            <wp:extent cx="5731510" cy="1650203"/>
            <wp:effectExtent l="0" t="0" r="2540" b="7620"/>
            <wp:docPr id="13" name="Picture 13" descr="Figure 1.1 shows the five Victorian schedule prices for each day this week. The marker indicates the daily imbalance weighted average price for each day. For a more detailed description of this figure, please refer to the user guide." title="Prices by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1650203"/>
                    </a:xfrm>
                    <a:prstGeom prst="rect">
                      <a:avLst/>
                    </a:prstGeom>
                    <a:noFill/>
                    <a:ln>
                      <a:noFill/>
                    </a:ln>
                  </pic:spPr>
                </pic:pic>
              </a:graphicData>
            </a:graphic>
          </wp:inline>
        </w:drawing>
      </w:r>
    </w:p>
    <w:p w:rsidR="003171C6" w:rsidRPr="001521CB" w:rsidRDefault="00EC2CB1" w:rsidP="003171C6">
      <w:pPr>
        <w:pStyle w:val="Caption"/>
        <w:numPr>
          <w:ilvl w:val="0"/>
          <w:numId w:val="29"/>
        </w:numPr>
        <w:ind w:left="709" w:hanging="709"/>
      </w:pPr>
      <w:r w:rsidRPr="00DD0358">
        <w:rPr>
          <w:color w:val="2272A3"/>
        </w:rPr>
        <w:t>Demand forecasts</w:t>
      </w:r>
      <w:r w:rsidR="00817724">
        <w:rPr>
          <w:color w:val="2272A3"/>
        </w:rPr>
        <w:t xml:space="preserve"> </w:t>
      </w:r>
      <w:r w:rsidR="00817724" w:rsidRPr="00552F68">
        <w:rPr>
          <w:color w:val="2272A3"/>
          <w:szCs w:val="24"/>
        </w:rPr>
        <w:t>(TJ)</w:t>
      </w:r>
    </w:p>
    <w:p w:rsidR="003171C6" w:rsidRDefault="00C524B8" w:rsidP="003171C6">
      <w:r w:rsidRPr="00C524B8">
        <w:rPr>
          <w:noProof/>
          <w:lang w:eastAsia="en-AU"/>
        </w:rPr>
        <w:drawing>
          <wp:inline distT="0" distB="0" distL="0" distR="0" wp14:anchorId="5D9CD0B8" wp14:editId="63FFFBA2">
            <wp:extent cx="5731510" cy="2132322"/>
            <wp:effectExtent l="0" t="0" r="2540" b="1905"/>
            <wp:docPr id="14" name="Picture 14" descr="Figure 1.2 shows the demand forecast used to calculate the five daily schedule prices for this week. For a more detailed description of this figure, please refer to the user guide." title="Demand forec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13232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lastRenderedPageBreak/>
        <w:t>Injection bids by price bands</w:t>
      </w:r>
      <w:r w:rsidR="00817724">
        <w:rPr>
          <w:color w:val="2272A3"/>
        </w:rPr>
        <w:t xml:space="preserve"> </w:t>
      </w:r>
      <w:r w:rsidR="00817724">
        <w:rPr>
          <w:color w:val="2272A3"/>
          <w:szCs w:val="24"/>
        </w:rPr>
        <w:t>(</w:t>
      </w:r>
      <w:r w:rsidR="00817724" w:rsidRPr="00552F68">
        <w:rPr>
          <w:color w:val="2272A3"/>
          <w:szCs w:val="24"/>
        </w:rPr>
        <w:t>TJ)</w:t>
      </w:r>
    </w:p>
    <w:p w:rsidR="00EC2CB1" w:rsidRDefault="00C524B8" w:rsidP="003171C6">
      <w:r w:rsidRPr="00C524B8">
        <w:rPr>
          <w:noProof/>
          <w:lang w:eastAsia="en-AU"/>
        </w:rPr>
        <w:drawing>
          <wp:inline distT="0" distB="0" distL="0" distR="0" wp14:anchorId="7509A777" wp14:editId="0E6A80E3">
            <wp:extent cx="5731510" cy="2486687"/>
            <wp:effectExtent l="0" t="0" r="2540" b="8890"/>
            <wp:docPr id="15" name="Picture 15" descr="Figure 1.3 shows the injection bids within certain price bands for each trading interval in Victoria this week. For a more detailed description of this figure, please refer to the user guide." title="Injection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86687"/>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Withdrawal bids by price bands</w:t>
      </w:r>
      <w:r w:rsidR="00817724">
        <w:rPr>
          <w:color w:val="2272A3"/>
        </w:rPr>
        <w:t xml:space="preserve"> </w:t>
      </w:r>
      <w:r w:rsidR="00817724" w:rsidRPr="00552F68">
        <w:rPr>
          <w:color w:val="2272A3"/>
          <w:szCs w:val="24"/>
        </w:rPr>
        <w:t>(TJ)</w:t>
      </w:r>
    </w:p>
    <w:p w:rsidR="00EC2CB1" w:rsidRDefault="00C524B8" w:rsidP="003171C6">
      <w:r w:rsidRPr="00C524B8">
        <w:rPr>
          <w:noProof/>
          <w:lang w:eastAsia="en-AU"/>
        </w:rPr>
        <w:drawing>
          <wp:inline distT="0" distB="0" distL="0" distR="0" wp14:anchorId="7BD42D8A" wp14:editId="15E40AEF">
            <wp:extent cx="5731510" cy="1958582"/>
            <wp:effectExtent l="0" t="0" r="2540" b="3810"/>
            <wp:docPr id="16" name="Picture 16" descr="Figure 1.4 shows the withdrawal bids within certain price bands for each trading interval in Victoria this week. For a more detailed description of this figure, please refer to the user guide." title="Withdrawal bids by price b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58582"/>
                    </a:xfrm>
                    <a:prstGeom prst="rect">
                      <a:avLst/>
                    </a:prstGeom>
                    <a:noFill/>
                    <a:ln>
                      <a:noFill/>
                    </a:ln>
                  </pic:spPr>
                </pic:pic>
              </a:graphicData>
            </a:graphic>
          </wp:inline>
        </w:drawing>
      </w:r>
    </w:p>
    <w:p w:rsidR="00EC2CB1" w:rsidRPr="001521CB" w:rsidRDefault="00EC2CB1" w:rsidP="00EC2CB1">
      <w:pPr>
        <w:pStyle w:val="Caption"/>
        <w:numPr>
          <w:ilvl w:val="0"/>
          <w:numId w:val="29"/>
        </w:numPr>
        <w:ind w:left="709" w:hanging="709"/>
      </w:pPr>
      <w:r w:rsidRPr="00DD0358">
        <w:rPr>
          <w:color w:val="2272A3"/>
        </w:rPr>
        <w:t>Metered Injections by System Injection Point</w:t>
      </w:r>
      <w:r w:rsidR="00817724">
        <w:rPr>
          <w:color w:val="2272A3"/>
        </w:rPr>
        <w:t xml:space="preserve"> </w:t>
      </w:r>
      <w:r w:rsidR="00817724" w:rsidRPr="00552F68">
        <w:rPr>
          <w:color w:val="2272A3"/>
          <w:szCs w:val="24"/>
        </w:rPr>
        <w:t>(TJ)</w:t>
      </w:r>
    </w:p>
    <w:p w:rsidR="00EC2CB1" w:rsidRDefault="0059001F" w:rsidP="003171C6">
      <w:r w:rsidRPr="0059001F">
        <w:rPr>
          <w:noProof/>
          <w:lang w:eastAsia="en-AU"/>
        </w:rPr>
        <w:drawing>
          <wp:inline distT="0" distB="0" distL="0" distR="0" wp14:anchorId="23E599C3" wp14:editId="3A4891E0">
            <wp:extent cx="5731510" cy="2142691"/>
            <wp:effectExtent l="0" t="0" r="2540" b="0"/>
            <wp:docPr id="3" name="Picture 3" descr="Figure 1.5 shows the metered injections sorted by facility for each 4 hour interval in Victoria this week. For a more detailed description of this figure, please refer to the user guide." title="Injections by injection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142691"/>
                    </a:xfrm>
                    <a:prstGeom prst="rect">
                      <a:avLst/>
                    </a:prstGeom>
                    <a:noFill/>
                    <a:ln>
                      <a:noFill/>
                    </a:ln>
                  </pic:spPr>
                </pic:pic>
              </a:graphicData>
            </a:graphic>
          </wp:inline>
        </w:drawing>
      </w:r>
    </w:p>
    <w:p w:rsidR="00EC2CB1" w:rsidRPr="00EF58A8" w:rsidRDefault="00EC2CB1" w:rsidP="00EC2CB1">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EC2CB1" w:rsidRPr="003171C6" w:rsidRDefault="00EC2CB1" w:rsidP="003171C6"/>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2</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Sydney STTM</w:t>
      </w:r>
    </w:p>
    <w:p w:rsidR="00EC2CB1" w:rsidRPr="00EF58A8" w:rsidRDefault="00EC2CB1" w:rsidP="00EC2CB1">
      <w:pPr>
        <w:jc w:val="both"/>
      </w:pPr>
      <w:r>
        <w:t xml:space="preserve">In each </w:t>
      </w:r>
      <w:r w:rsidRPr="00EF58A8">
        <w:t>STTM hub, a daily gas price is calculated before the gas day (the ex ante price) and after the gas day (the ex post price). The main drivers of these prices are participant demand forecasts, and offers to inject or bids to withdraw gas traded at the hub.</w:t>
      </w:r>
      <w:r w:rsidRPr="00EF58A8">
        <w:rPr>
          <w:rStyle w:val="FootnoteReference"/>
        </w:rPr>
        <w:footnoteReference w:id="8"/>
      </w:r>
      <w:r w:rsidRPr="00EF58A8">
        <w:t xml:space="preserve"> Divergences in ex ante and ex post prices for a gas day may occur due to differences in scheduled (forecast) and allocated (actual) quantities.</w:t>
      </w:r>
      <w:r>
        <w:t xml:space="preserve"> Pipeline acronyms are defined in the </w:t>
      </w:r>
      <w:hyperlink r:id="rId21" w:history="1">
        <w:r>
          <w:rPr>
            <w:rStyle w:val="Hyperlink"/>
          </w:rPr>
          <w:t>user guide</w:t>
        </w:r>
      </w:hyperlink>
      <w:r>
        <w:t>.</w:t>
      </w:r>
    </w:p>
    <w:p w:rsidR="00EC2CB1" w:rsidRPr="00EF58A8" w:rsidRDefault="00EC2CB1" w:rsidP="00EC2CB1">
      <w:pPr>
        <w:pStyle w:val="AERbodytext"/>
        <w:spacing w:line="240" w:lineRule="auto"/>
      </w:pPr>
      <w:r w:rsidRPr="00EF58A8">
        <w:t>Market Operator Service balancing gas (MOS)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9"/>
      </w:r>
      <w:r w:rsidRPr="00EF58A8">
        <w:t xml:space="preserve"> </w:t>
      </w:r>
    </w:p>
    <w:p w:rsidR="004C571B" w:rsidRDefault="00EC2CB1" w:rsidP="00551D6B">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4C571B" w:rsidRDefault="00EC2CB1" w:rsidP="004C571B">
      <w:pPr>
        <w:pStyle w:val="Caption"/>
        <w:numPr>
          <w:ilvl w:val="0"/>
          <w:numId w:val="30"/>
        </w:numPr>
        <w:ind w:left="709" w:hanging="709"/>
        <w:rPr>
          <w:color w:val="2272A3"/>
          <w:szCs w:val="24"/>
        </w:rPr>
      </w:pPr>
      <w:r w:rsidRPr="00362B9A">
        <w:rPr>
          <w:color w:val="2272A3"/>
          <w:szCs w:val="24"/>
        </w:rPr>
        <w:t>SYD STTM daily ex ante and ex post prices and quantities</w:t>
      </w:r>
    </w:p>
    <w:tbl>
      <w:tblPr>
        <w:tblStyle w:val="AERTable-Text"/>
        <w:tblW w:w="4994" w:type="pct"/>
        <w:tblLook w:val="04A0" w:firstRow="1" w:lastRow="0" w:firstColumn="1" w:lastColumn="0" w:noHBand="0" w:noVBand="1"/>
      </w:tblPr>
      <w:tblGrid>
        <w:gridCol w:w="2236"/>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211"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0"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0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89"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17"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0"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0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78"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14DCF" w:rsidRPr="00405CDE" w:rsidTr="00A226E9">
        <w:trPr>
          <w:trHeight w:val="510"/>
        </w:trPr>
        <w:tc>
          <w:tcPr>
            <w:tcW w:w="1211" w:type="pct"/>
            <w:tcBorders>
              <w:top w:val="nil"/>
              <w:bottom w:val="nil"/>
            </w:tcBorders>
            <w:vAlign w:val="center"/>
          </w:tcPr>
          <w:p w:rsidR="00914DCF" w:rsidRDefault="00914DCF">
            <w:pPr>
              <w:rPr>
                <w:rFonts w:cs="Arial"/>
                <w:sz w:val="20"/>
                <w:szCs w:val="20"/>
              </w:rPr>
            </w:pPr>
            <w:r>
              <w:rPr>
                <w:rFonts w:cs="Arial"/>
                <w:sz w:val="20"/>
                <w:szCs w:val="20"/>
              </w:rPr>
              <w:t>Ex ante price ($/GJ)</w:t>
            </w:r>
          </w:p>
        </w:tc>
        <w:tc>
          <w:tcPr>
            <w:tcW w:w="580" w:type="pct"/>
            <w:tcBorders>
              <w:top w:val="nil"/>
              <w:bottom w:val="nil"/>
            </w:tcBorders>
            <w:vAlign w:val="center"/>
          </w:tcPr>
          <w:p w:rsidR="00914DCF" w:rsidRDefault="00914DCF">
            <w:pPr>
              <w:jc w:val="center"/>
              <w:rPr>
                <w:rFonts w:cs="Arial"/>
                <w:sz w:val="20"/>
                <w:szCs w:val="20"/>
              </w:rPr>
            </w:pPr>
            <w:r>
              <w:rPr>
                <w:rFonts w:cs="Arial"/>
                <w:sz w:val="20"/>
                <w:szCs w:val="20"/>
              </w:rPr>
              <w:t>12.89</w:t>
            </w:r>
          </w:p>
        </w:tc>
        <w:tc>
          <w:tcPr>
            <w:tcW w:w="508" w:type="pct"/>
            <w:tcBorders>
              <w:top w:val="nil"/>
              <w:bottom w:val="nil"/>
            </w:tcBorders>
            <w:vAlign w:val="center"/>
          </w:tcPr>
          <w:p w:rsidR="00914DCF" w:rsidRDefault="00914DCF">
            <w:pPr>
              <w:jc w:val="center"/>
              <w:rPr>
                <w:rFonts w:cs="Arial"/>
                <w:sz w:val="20"/>
                <w:szCs w:val="20"/>
              </w:rPr>
            </w:pPr>
            <w:r>
              <w:rPr>
                <w:rFonts w:cs="Arial"/>
                <w:sz w:val="20"/>
                <w:szCs w:val="20"/>
              </w:rPr>
              <w:t>13.00</w:t>
            </w:r>
          </w:p>
        </w:tc>
        <w:tc>
          <w:tcPr>
            <w:tcW w:w="589" w:type="pct"/>
            <w:tcBorders>
              <w:top w:val="nil"/>
              <w:bottom w:val="nil"/>
            </w:tcBorders>
            <w:vAlign w:val="center"/>
          </w:tcPr>
          <w:p w:rsidR="00914DCF" w:rsidRDefault="00914DCF">
            <w:pPr>
              <w:jc w:val="center"/>
              <w:rPr>
                <w:rFonts w:cs="Arial"/>
                <w:sz w:val="20"/>
                <w:szCs w:val="20"/>
              </w:rPr>
            </w:pPr>
            <w:r>
              <w:rPr>
                <w:rFonts w:cs="Arial"/>
                <w:sz w:val="20"/>
                <w:szCs w:val="20"/>
              </w:rPr>
              <w:t>12.99</w:t>
            </w:r>
          </w:p>
        </w:tc>
        <w:tc>
          <w:tcPr>
            <w:tcW w:w="517" w:type="pct"/>
            <w:tcBorders>
              <w:top w:val="nil"/>
              <w:bottom w:val="nil"/>
            </w:tcBorders>
            <w:vAlign w:val="center"/>
          </w:tcPr>
          <w:p w:rsidR="00914DCF" w:rsidRDefault="00914DCF">
            <w:pPr>
              <w:jc w:val="center"/>
              <w:rPr>
                <w:rFonts w:cs="Arial"/>
                <w:sz w:val="20"/>
                <w:szCs w:val="20"/>
              </w:rPr>
            </w:pPr>
            <w:r>
              <w:rPr>
                <w:rFonts w:cs="Arial"/>
                <w:sz w:val="20"/>
                <w:szCs w:val="20"/>
              </w:rPr>
              <w:t>12.51</w:t>
            </w:r>
          </w:p>
        </w:tc>
        <w:tc>
          <w:tcPr>
            <w:tcW w:w="510" w:type="pct"/>
            <w:tcBorders>
              <w:top w:val="nil"/>
              <w:bottom w:val="nil"/>
            </w:tcBorders>
            <w:vAlign w:val="center"/>
          </w:tcPr>
          <w:p w:rsidR="00914DCF" w:rsidRDefault="00914DCF">
            <w:pPr>
              <w:jc w:val="center"/>
              <w:rPr>
                <w:rFonts w:cs="Arial"/>
                <w:sz w:val="20"/>
                <w:szCs w:val="20"/>
              </w:rPr>
            </w:pPr>
            <w:r>
              <w:rPr>
                <w:rFonts w:cs="Arial"/>
                <w:sz w:val="20"/>
                <w:szCs w:val="20"/>
              </w:rPr>
              <w:t>12.51</w:t>
            </w:r>
          </w:p>
        </w:tc>
        <w:tc>
          <w:tcPr>
            <w:tcW w:w="507" w:type="pct"/>
            <w:tcBorders>
              <w:top w:val="nil"/>
              <w:bottom w:val="nil"/>
            </w:tcBorders>
            <w:vAlign w:val="center"/>
          </w:tcPr>
          <w:p w:rsidR="00914DCF" w:rsidRDefault="00914DCF">
            <w:pPr>
              <w:jc w:val="center"/>
              <w:rPr>
                <w:rFonts w:cs="Arial"/>
                <w:sz w:val="20"/>
                <w:szCs w:val="20"/>
              </w:rPr>
            </w:pPr>
            <w:r>
              <w:rPr>
                <w:rFonts w:cs="Arial"/>
                <w:sz w:val="20"/>
                <w:szCs w:val="20"/>
              </w:rPr>
              <w:t>12.49</w:t>
            </w:r>
          </w:p>
        </w:tc>
        <w:tc>
          <w:tcPr>
            <w:tcW w:w="578" w:type="pct"/>
            <w:tcBorders>
              <w:top w:val="nil"/>
              <w:bottom w:val="nil"/>
            </w:tcBorders>
            <w:vAlign w:val="center"/>
          </w:tcPr>
          <w:p w:rsidR="00914DCF" w:rsidRDefault="00914DCF">
            <w:pPr>
              <w:jc w:val="center"/>
              <w:rPr>
                <w:rFonts w:cs="Arial"/>
                <w:sz w:val="20"/>
                <w:szCs w:val="20"/>
              </w:rPr>
            </w:pPr>
            <w:r>
              <w:rPr>
                <w:rFonts w:cs="Arial"/>
                <w:sz w:val="20"/>
                <w:szCs w:val="20"/>
              </w:rPr>
              <w:t>10.74</w:t>
            </w:r>
          </w:p>
        </w:tc>
      </w:tr>
      <w:tr w:rsidR="00914DC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nil"/>
            </w:tcBorders>
            <w:vAlign w:val="center"/>
          </w:tcPr>
          <w:p w:rsidR="00914DCF" w:rsidRDefault="00914DCF">
            <w:pPr>
              <w:rPr>
                <w:rFonts w:cs="Arial"/>
                <w:szCs w:val="20"/>
              </w:rPr>
            </w:pPr>
            <w:r>
              <w:rPr>
                <w:rFonts w:cs="Arial"/>
                <w:szCs w:val="20"/>
              </w:rPr>
              <w:t>Ex ante quantity (TJ)</w:t>
            </w:r>
          </w:p>
        </w:tc>
        <w:tc>
          <w:tcPr>
            <w:tcW w:w="580" w:type="pct"/>
            <w:tcBorders>
              <w:top w:val="nil"/>
              <w:bottom w:val="nil"/>
            </w:tcBorders>
            <w:vAlign w:val="center"/>
          </w:tcPr>
          <w:p w:rsidR="00914DCF" w:rsidRDefault="00914DCF">
            <w:pPr>
              <w:jc w:val="center"/>
              <w:rPr>
                <w:rFonts w:cs="Arial"/>
                <w:szCs w:val="20"/>
              </w:rPr>
            </w:pPr>
            <w:r>
              <w:rPr>
                <w:rFonts w:cs="Arial"/>
                <w:szCs w:val="20"/>
              </w:rPr>
              <w:t>275</w:t>
            </w:r>
          </w:p>
        </w:tc>
        <w:tc>
          <w:tcPr>
            <w:tcW w:w="508" w:type="pct"/>
            <w:tcBorders>
              <w:top w:val="nil"/>
              <w:bottom w:val="nil"/>
            </w:tcBorders>
            <w:vAlign w:val="center"/>
          </w:tcPr>
          <w:p w:rsidR="00914DCF" w:rsidRDefault="00914DCF">
            <w:pPr>
              <w:jc w:val="center"/>
              <w:rPr>
                <w:rFonts w:cs="Arial"/>
                <w:szCs w:val="20"/>
              </w:rPr>
            </w:pPr>
            <w:r>
              <w:rPr>
                <w:rFonts w:cs="Arial"/>
                <w:szCs w:val="20"/>
              </w:rPr>
              <w:t>313</w:t>
            </w:r>
          </w:p>
        </w:tc>
        <w:tc>
          <w:tcPr>
            <w:tcW w:w="589" w:type="pct"/>
            <w:tcBorders>
              <w:top w:val="nil"/>
              <w:bottom w:val="nil"/>
            </w:tcBorders>
            <w:vAlign w:val="center"/>
          </w:tcPr>
          <w:p w:rsidR="00914DCF" w:rsidRDefault="00914DCF">
            <w:pPr>
              <w:jc w:val="center"/>
              <w:rPr>
                <w:rFonts w:cs="Arial"/>
                <w:szCs w:val="20"/>
              </w:rPr>
            </w:pPr>
            <w:r>
              <w:rPr>
                <w:rFonts w:cs="Arial"/>
                <w:szCs w:val="20"/>
              </w:rPr>
              <w:t>331</w:t>
            </w:r>
          </w:p>
        </w:tc>
        <w:tc>
          <w:tcPr>
            <w:tcW w:w="517" w:type="pct"/>
            <w:tcBorders>
              <w:top w:val="nil"/>
              <w:bottom w:val="nil"/>
            </w:tcBorders>
            <w:vAlign w:val="center"/>
          </w:tcPr>
          <w:p w:rsidR="00914DCF" w:rsidRDefault="00914DCF">
            <w:pPr>
              <w:jc w:val="center"/>
              <w:rPr>
                <w:rFonts w:cs="Arial"/>
                <w:szCs w:val="20"/>
              </w:rPr>
            </w:pPr>
            <w:r>
              <w:rPr>
                <w:rFonts w:cs="Arial"/>
                <w:szCs w:val="20"/>
              </w:rPr>
              <w:t>334</w:t>
            </w:r>
          </w:p>
        </w:tc>
        <w:tc>
          <w:tcPr>
            <w:tcW w:w="510" w:type="pct"/>
            <w:tcBorders>
              <w:top w:val="nil"/>
              <w:bottom w:val="nil"/>
            </w:tcBorders>
            <w:vAlign w:val="center"/>
          </w:tcPr>
          <w:p w:rsidR="00914DCF" w:rsidRDefault="00914DCF">
            <w:pPr>
              <w:jc w:val="center"/>
              <w:rPr>
                <w:rFonts w:cs="Arial"/>
                <w:szCs w:val="20"/>
              </w:rPr>
            </w:pPr>
            <w:r>
              <w:rPr>
                <w:rFonts w:cs="Arial"/>
                <w:szCs w:val="20"/>
              </w:rPr>
              <w:t>311</w:t>
            </w:r>
          </w:p>
        </w:tc>
        <w:tc>
          <w:tcPr>
            <w:tcW w:w="507" w:type="pct"/>
            <w:tcBorders>
              <w:top w:val="nil"/>
              <w:bottom w:val="nil"/>
            </w:tcBorders>
            <w:vAlign w:val="center"/>
          </w:tcPr>
          <w:p w:rsidR="00914DCF" w:rsidRDefault="00914DCF">
            <w:pPr>
              <w:jc w:val="center"/>
              <w:rPr>
                <w:rFonts w:cs="Arial"/>
                <w:szCs w:val="20"/>
              </w:rPr>
            </w:pPr>
            <w:r>
              <w:rPr>
                <w:rFonts w:cs="Arial"/>
                <w:szCs w:val="20"/>
              </w:rPr>
              <w:t>307</w:t>
            </w:r>
          </w:p>
        </w:tc>
        <w:tc>
          <w:tcPr>
            <w:tcW w:w="578" w:type="pct"/>
            <w:tcBorders>
              <w:top w:val="nil"/>
              <w:bottom w:val="nil"/>
            </w:tcBorders>
            <w:vAlign w:val="center"/>
          </w:tcPr>
          <w:p w:rsidR="00914DCF" w:rsidRDefault="00914DCF">
            <w:pPr>
              <w:jc w:val="center"/>
              <w:rPr>
                <w:rFonts w:cs="Arial"/>
                <w:szCs w:val="20"/>
              </w:rPr>
            </w:pPr>
            <w:r>
              <w:rPr>
                <w:rFonts w:cs="Arial"/>
                <w:szCs w:val="20"/>
              </w:rPr>
              <w:t>253</w:t>
            </w:r>
          </w:p>
        </w:tc>
      </w:tr>
      <w:tr w:rsidR="00914DCF" w:rsidRPr="00405CDE" w:rsidTr="00A226E9">
        <w:trPr>
          <w:trHeight w:val="510"/>
        </w:trPr>
        <w:tc>
          <w:tcPr>
            <w:tcW w:w="1211" w:type="pct"/>
            <w:tcBorders>
              <w:top w:val="nil"/>
              <w:bottom w:val="nil"/>
            </w:tcBorders>
            <w:vAlign w:val="center"/>
          </w:tcPr>
          <w:p w:rsidR="00914DCF" w:rsidRDefault="00914DCF">
            <w:pPr>
              <w:rPr>
                <w:rFonts w:cs="Arial"/>
                <w:sz w:val="20"/>
                <w:szCs w:val="20"/>
              </w:rPr>
            </w:pPr>
            <w:r>
              <w:rPr>
                <w:rFonts w:cs="Arial"/>
                <w:sz w:val="20"/>
                <w:szCs w:val="20"/>
              </w:rPr>
              <w:t>Ex post price ($/GJ)</w:t>
            </w:r>
          </w:p>
        </w:tc>
        <w:tc>
          <w:tcPr>
            <w:tcW w:w="580" w:type="pct"/>
            <w:tcBorders>
              <w:top w:val="nil"/>
              <w:bottom w:val="nil"/>
            </w:tcBorders>
            <w:vAlign w:val="center"/>
          </w:tcPr>
          <w:p w:rsidR="00914DCF" w:rsidRDefault="00914DCF">
            <w:pPr>
              <w:jc w:val="center"/>
              <w:rPr>
                <w:rFonts w:cs="Arial"/>
                <w:sz w:val="20"/>
                <w:szCs w:val="20"/>
              </w:rPr>
            </w:pPr>
            <w:r>
              <w:rPr>
                <w:rFonts w:cs="Arial"/>
                <w:sz w:val="20"/>
                <w:szCs w:val="20"/>
              </w:rPr>
              <w:t>12.54</w:t>
            </w:r>
          </w:p>
        </w:tc>
        <w:tc>
          <w:tcPr>
            <w:tcW w:w="508" w:type="pct"/>
            <w:tcBorders>
              <w:top w:val="nil"/>
              <w:bottom w:val="nil"/>
            </w:tcBorders>
            <w:vAlign w:val="center"/>
          </w:tcPr>
          <w:p w:rsidR="00914DCF" w:rsidRDefault="00914DCF">
            <w:pPr>
              <w:jc w:val="center"/>
              <w:rPr>
                <w:rFonts w:cs="Arial"/>
                <w:sz w:val="20"/>
                <w:szCs w:val="20"/>
              </w:rPr>
            </w:pPr>
            <w:r>
              <w:rPr>
                <w:rFonts w:cs="Arial"/>
                <w:sz w:val="20"/>
                <w:szCs w:val="20"/>
              </w:rPr>
              <w:t>12.87</w:t>
            </w:r>
          </w:p>
        </w:tc>
        <w:tc>
          <w:tcPr>
            <w:tcW w:w="589" w:type="pct"/>
            <w:tcBorders>
              <w:top w:val="nil"/>
              <w:bottom w:val="nil"/>
            </w:tcBorders>
            <w:vAlign w:val="center"/>
          </w:tcPr>
          <w:p w:rsidR="00914DCF" w:rsidRDefault="00914DCF">
            <w:pPr>
              <w:jc w:val="center"/>
              <w:rPr>
                <w:rFonts w:cs="Arial"/>
                <w:sz w:val="20"/>
                <w:szCs w:val="20"/>
              </w:rPr>
            </w:pPr>
            <w:r>
              <w:rPr>
                <w:rFonts w:cs="Arial"/>
                <w:sz w:val="20"/>
                <w:szCs w:val="20"/>
              </w:rPr>
              <w:t>13.00</w:t>
            </w:r>
          </w:p>
        </w:tc>
        <w:tc>
          <w:tcPr>
            <w:tcW w:w="517" w:type="pct"/>
            <w:tcBorders>
              <w:top w:val="nil"/>
              <w:bottom w:val="nil"/>
            </w:tcBorders>
            <w:vAlign w:val="center"/>
          </w:tcPr>
          <w:p w:rsidR="00914DCF" w:rsidRDefault="00914DCF">
            <w:pPr>
              <w:jc w:val="center"/>
              <w:rPr>
                <w:rFonts w:cs="Arial"/>
                <w:sz w:val="20"/>
                <w:szCs w:val="20"/>
              </w:rPr>
            </w:pPr>
            <w:r>
              <w:rPr>
                <w:rFonts w:cs="Arial"/>
                <w:sz w:val="20"/>
                <w:szCs w:val="20"/>
              </w:rPr>
              <w:t>12.72</w:t>
            </w:r>
          </w:p>
        </w:tc>
        <w:tc>
          <w:tcPr>
            <w:tcW w:w="510" w:type="pct"/>
            <w:tcBorders>
              <w:top w:val="nil"/>
              <w:bottom w:val="nil"/>
            </w:tcBorders>
            <w:vAlign w:val="center"/>
          </w:tcPr>
          <w:p w:rsidR="00914DCF" w:rsidRDefault="00914DCF">
            <w:pPr>
              <w:jc w:val="center"/>
              <w:rPr>
                <w:rFonts w:cs="Arial"/>
                <w:sz w:val="20"/>
                <w:szCs w:val="20"/>
              </w:rPr>
            </w:pPr>
            <w:r>
              <w:rPr>
                <w:rFonts w:cs="Arial"/>
                <w:sz w:val="20"/>
                <w:szCs w:val="20"/>
              </w:rPr>
              <w:t>12.49</w:t>
            </w:r>
          </w:p>
        </w:tc>
        <w:tc>
          <w:tcPr>
            <w:tcW w:w="507" w:type="pct"/>
            <w:tcBorders>
              <w:top w:val="nil"/>
              <w:bottom w:val="nil"/>
            </w:tcBorders>
            <w:vAlign w:val="center"/>
          </w:tcPr>
          <w:p w:rsidR="00914DCF" w:rsidRDefault="00914DCF">
            <w:pPr>
              <w:jc w:val="center"/>
              <w:rPr>
                <w:rFonts w:cs="Arial"/>
                <w:sz w:val="20"/>
                <w:szCs w:val="20"/>
              </w:rPr>
            </w:pPr>
            <w:r>
              <w:rPr>
                <w:rFonts w:cs="Arial"/>
                <w:sz w:val="20"/>
                <w:szCs w:val="20"/>
              </w:rPr>
              <w:t>11.76</w:t>
            </w:r>
          </w:p>
        </w:tc>
        <w:tc>
          <w:tcPr>
            <w:tcW w:w="578" w:type="pct"/>
            <w:tcBorders>
              <w:top w:val="nil"/>
              <w:bottom w:val="nil"/>
            </w:tcBorders>
            <w:vAlign w:val="center"/>
          </w:tcPr>
          <w:p w:rsidR="00914DCF" w:rsidRDefault="00914DCF">
            <w:pPr>
              <w:jc w:val="center"/>
              <w:rPr>
                <w:rFonts w:cs="Arial"/>
                <w:sz w:val="20"/>
                <w:szCs w:val="20"/>
              </w:rPr>
            </w:pPr>
            <w:r>
              <w:rPr>
                <w:rFonts w:cs="Arial"/>
                <w:sz w:val="20"/>
                <w:szCs w:val="20"/>
              </w:rPr>
              <w:t>10.74</w:t>
            </w:r>
          </w:p>
        </w:tc>
      </w:tr>
      <w:tr w:rsidR="00914DC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211" w:type="pct"/>
            <w:tcBorders>
              <w:top w:val="nil"/>
              <w:bottom w:val="single" w:sz="4" w:space="0" w:color="auto"/>
            </w:tcBorders>
            <w:vAlign w:val="center"/>
          </w:tcPr>
          <w:p w:rsidR="00914DCF" w:rsidRDefault="00914DCF">
            <w:pPr>
              <w:rPr>
                <w:rFonts w:cs="Arial"/>
                <w:szCs w:val="20"/>
              </w:rPr>
            </w:pPr>
            <w:r>
              <w:rPr>
                <w:rFonts w:cs="Arial"/>
                <w:szCs w:val="20"/>
              </w:rPr>
              <w:t>Ex post quantity (TJ)</w:t>
            </w:r>
          </w:p>
        </w:tc>
        <w:tc>
          <w:tcPr>
            <w:tcW w:w="580" w:type="pct"/>
            <w:tcBorders>
              <w:top w:val="nil"/>
              <w:bottom w:val="single" w:sz="4" w:space="0" w:color="auto"/>
            </w:tcBorders>
            <w:vAlign w:val="center"/>
          </w:tcPr>
          <w:p w:rsidR="00914DCF" w:rsidRDefault="00914DCF">
            <w:pPr>
              <w:jc w:val="center"/>
              <w:rPr>
                <w:rFonts w:cs="Arial"/>
                <w:szCs w:val="20"/>
              </w:rPr>
            </w:pPr>
            <w:r>
              <w:rPr>
                <w:rFonts w:cs="Arial"/>
                <w:szCs w:val="20"/>
              </w:rPr>
              <w:t>272</w:t>
            </w:r>
          </w:p>
        </w:tc>
        <w:tc>
          <w:tcPr>
            <w:tcW w:w="508" w:type="pct"/>
            <w:tcBorders>
              <w:top w:val="nil"/>
              <w:bottom w:val="single" w:sz="4" w:space="0" w:color="auto"/>
            </w:tcBorders>
            <w:vAlign w:val="center"/>
          </w:tcPr>
          <w:p w:rsidR="00914DCF" w:rsidRDefault="00914DCF">
            <w:pPr>
              <w:jc w:val="center"/>
              <w:rPr>
                <w:rFonts w:cs="Arial"/>
                <w:szCs w:val="20"/>
              </w:rPr>
            </w:pPr>
            <w:r>
              <w:rPr>
                <w:rFonts w:cs="Arial"/>
                <w:szCs w:val="20"/>
              </w:rPr>
              <w:t>309</w:t>
            </w:r>
          </w:p>
        </w:tc>
        <w:tc>
          <w:tcPr>
            <w:tcW w:w="589" w:type="pct"/>
            <w:tcBorders>
              <w:top w:val="nil"/>
              <w:bottom w:val="single" w:sz="4" w:space="0" w:color="auto"/>
            </w:tcBorders>
            <w:vAlign w:val="center"/>
          </w:tcPr>
          <w:p w:rsidR="00914DCF" w:rsidRDefault="00914DCF">
            <w:pPr>
              <w:jc w:val="center"/>
              <w:rPr>
                <w:rFonts w:cs="Arial"/>
                <w:szCs w:val="20"/>
              </w:rPr>
            </w:pPr>
            <w:r>
              <w:rPr>
                <w:rFonts w:cs="Arial"/>
                <w:szCs w:val="20"/>
              </w:rPr>
              <w:t>332</w:t>
            </w:r>
          </w:p>
        </w:tc>
        <w:tc>
          <w:tcPr>
            <w:tcW w:w="517" w:type="pct"/>
            <w:tcBorders>
              <w:top w:val="nil"/>
              <w:bottom w:val="single" w:sz="4" w:space="0" w:color="auto"/>
            </w:tcBorders>
            <w:vAlign w:val="center"/>
          </w:tcPr>
          <w:p w:rsidR="00914DCF" w:rsidRDefault="00914DCF">
            <w:pPr>
              <w:jc w:val="center"/>
              <w:rPr>
                <w:rFonts w:cs="Arial"/>
                <w:szCs w:val="20"/>
              </w:rPr>
            </w:pPr>
            <w:r>
              <w:rPr>
                <w:rFonts w:cs="Arial"/>
                <w:szCs w:val="20"/>
              </w:rPr>
              <w:t>341</w:t>
            </w:r>
          </w:p>
        </w:tc>
        <w:tc>
          <w:tcPr>
            <w:tcW w:w="510" w:type="pct"/>
            <w:tcBorders>
              <w:top w:val="nil"/>
              <w:bottom w:val="single" w:sz="4" w:space="0" w:color="auto"/>
            </w:tcBorders>
            <w:vAlign w:val="center"/>
          </w:tcPr>
          <w:p w:rsidR="00914DCF" w:rsidRDefault="00914DCF">
            <w:pPr>
              <w:jc w:val="center"/>
              <w:rPr>
                <w:rFonts w:cs="Arial"/>
                <w:szCs w:val="20"/>
              </w:rPr>
            </w:pPr>
            <w:r>
              <w:rPr>
                <w:rFonts w:cs="Arial"/>
                <w:szCs w:val="20"/>
              </w:rPr>
              <w:t>304</w:t>
            </w:r>
          </w:p>
        </w:tc>
        <w:tc>
          <w:tcPr>
            <w:tcW w:w="507" w:type="pct"/>
            <w:tcBorders>
              <w:top w:val="nil"/>
              <w:bottom w:val="single" w:sz="4" w:space="0" w:color="auto"/>
            </w:tcBorders>
            <w:vAlign w:val="center"/>
          </w:tcPr>
          <w:p w:rsidR="00914DCF" w:rsidRDefault="00914DCF">
            <w:pPr>
              <w:jc w:val="center"/>
              <w:rPr>
                <w:rFonts w:cs="Arial"/>
                <w:szCs w:val="20"/>
              </w:rPr>
            </w:pPr>
            <w:r>
              <w:rPr>
                <w:rFonts w:cs="Arial"/>
                <w:szCs w:val="20"/>
              </w:rPr>
              <w:t>292</w:t>
            </w:r>
          </w:p>
        </w:tc>
        <w:tc>
          <w:tcPr>
            <w:tcW w:w="578" w:type="pct"/>
            <w:tcBorders>
              <w:top w:val="nil"/>
              <w:bottom w:val="single" w:sz="4" w:space="0" w:color="auto"/>
            </w:tcBorders>
            <w:vAlign w:val="center"/>
          </w:tcPr>
          <w:p w:rsidR="00914DCF" w:rsidRDefault="00914DCF">
            <w:pPr>
              <w:jc w:val="center"/>
              <w:rPr>
                <w:rFonts w:cs="Arial"/>
                <w:szCs w:val="20"/>
              </w:rPr>
            </w:pPr>
            <w:r>
              <w:rPr>
                <w:rFonts w:cs="Arial"/>
                <w:szCs w:val="20"/>
              </w:rPr>
              <w:t>256</w:t>
            </w:r>
          </w:p>
        </w:tc>
      </w:tr>
    </w:tbl>
    <w:p w:rsidR="00EC2CB1" w:rsidRPr="001521CB" w:rsidRDefault="00EC2CB1" w:rsidP="00EC2CB1">
      <w:pPr>
        <w:pStyle w:val="Caption"/>
        <w:numPr>
          <w:ilvl w:val="0"/>
          <w:numId w:val="30"/>
        </w:numPr>
        <w:ind w:left="709" w:hanging="709"/>
      </w:pPr>
      <w:r w:rsidRPr="00DD0358">
        <w:rPr>
          <w:color w:val="2272A3"/>
          <w:szCs w:val="24"/>
        </w:rPr>
        <w:t>SYD daily hub offers and daily hub bids in price bands ($/GJ)</w:t>
      </w:r>
    </w:p>
    <w:p w:rsidR="00EC2CB1" w:rsidRDefault="00914DCF" w:rsidP="00EC2CB1">
      <w:r w:rsidRPr="00914DCF">
        <w:rPr>
          <w:noProof/>
          <w:lang w:eastAsia="en-AU"/>
        </w:rPr>
        <w:drawing>
          <wp:inline distT="0" distB="0" distL="0" distR="0" wp14:anchorId="07565FA7" wp14:editId="17A047F0">
            <wp:extent cx="5731510" cy="2046203"/>
            <wp:effectExtent l="0" t="0" r="0" b="0"/>
            <wp:docPr id="18" name="Picture 18" descr="Figure 2.2 shows the daily hub offers and bid in within certain price bands in Sydney this week. The line indicates the scheduled quantity for each day. For a more detailed description of this figure, please refer to the user guide." title="Sydney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2046203"/>
                    </a:xfrm>
                    <a:prstGeom prst="rect">
                      <a:avLst/>
                    </a:prstGeom>
                    <a:noFill/>
                    <a:ln>
                      <a:noFill/>
                    </a:ln>
                  </pic:spPr>
                </pic:pic>
              </a:graphicData>
            </a:graphic>
          </wp:inline>
        </w:drawing>
      </w:r>
    </w:p>
    <w:p w:rsidR="00EC2CB1" w:rsidRDefault="00EC2CB1" w:rsidP="00EC2CB1"/>
    <w:p w:rsidR="00EC2CB1" w:rsidRPr="001521CB" w:rsidRDefault="00EC2CB1" w:rsidP="00EC2CB1">
      <w:pPr>
        <w:pStyle w:val="Caption"/>
        <w:numPr>
          <w:ilvl w:val="0"/>
          <w:numId w:val="30"/>
        </w:numPr>
        <w:ind w:left="709" w:hanging="709"/>
      </w:pPr>
      <w:r w:rsidRPr="00DD0358">
        <w:rPr>
          <w:color w:val="2272A3"/>
          <w:szCs w:val="24"/>
        </w:rPr>
        <w:lastRenderedPageBreak/>
        <w:t>SYD net scheduled and allocated gas hub supply (excluding MOS)</w:t>
      </w:r>
    </w:p>
    <w:p w:rsidR="00EC2CB1" w:rsidRDefault="00914DCF" w:rsidP="00EC2CB1">
      <w:r w:rsidRPr="00914DCF">
        <w:rPr>
          <w:noProof/>
          <w:lang w:eastAsia="en-AU"/>
        </w:rPr>
        <w:drawing>
          <wp:inline distT="0" distB="0" distL="0" distR="0" wp14:anchorId="72643FFF" wp14:editId="0AF81BDE">
            <wp:extent cx="5731510" cy="2555336"/>
            <wp:effectExtent l="0" t="0" r="2540" b="0"/>
            <wp:docPr id="20" name="Picture 20" descr="Figure 2.3 shows the daily scheduled and allocated quantities sorted by facility for Sydney this week. For a more detailed description of this figure, please refer to the user guide." title="Sydney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555336"/>
                    </a:xfrm>
                    <a:prstGeom prst="rect">
                      <a:avLst/>
                    </a:prstGeom>
                    <a:noFill/>
                    <a:ln>
                      <a:noFill/>
                    </a:ln>
                  </pic:spPr>
                </pic:pic>
              </a:graphicData>
            </a:graphic>
          </wp:inline>
        </w:drawing>
      </w:r>
    </w:p>
    <w:p w:rsidR="00EC2CB1" w:rsidRPr="00552F68" w:rsidRDefault="00EC2CB1" w:rsidP="00EC2CB1">
      <w:pPr>
        <w:pStyle w:val="Caption"/>
        <w:numPr>
          <w:ilvl w:val="0"/>
          <w:numId w:val="30"/>
        </w:numPr>
        <w:ind w:left="1418" w:hanging="1418"/>
      </w:pPr>
      <w:r w:rsidRPr="00DD0358">
        <w:rPr>
          <w:color w:val="2272A3"/>
          <w:szCs w:val="24"/>
        </w:rPr>
        <w:t>SYD MOS allocations (TJ), service payments and commodity payments/charges ($</w:t>
      </w:r>
      <w:r w:rsidRPr="00552F68">
        <w:rPr>
          <w:color w:val="2272A3"/>
          <w:szCs w:val="24"/>
        </w:rPr>
        <w:t>000)</w:t>
      </w:r>
      <w:r w:rsidR="00914872" w:rsidRPr="00552F68">
        <w:rPr>
          <w:rStyle w:val="FootnoteReference"/>
          <w:color w:val="2272A3"/>
          <w:szCs w:val="24"/>
        </w:rPr>
        <w:footnoteReference w:id="10"/>
      </w:r>
    </w:p>
    <w:p w:rsidR="00EC2CB1" w:rsidRDefault="00914DCF" w:rsidP="00EC2CB1">
      <w:r w:rsidRPr="00914DCF">
        <w:rPr>
          <w:noProof/>
          <w:lang w:eastAsia="en-AU"/>
        </w:rPr>
        <w:drawing>
          <wp:inline distT="0" distB="0" distL="0" distR="0" wp14:anchorId="21F8456B" wp14:editId="4C8BD750">
            <wp:extent cx="5731510" cy="2175613"/>
            <wp:effectExtent l="0" t="0" r="2540" b="0"/>
            <wp:docPr id="25" name="Picture 25" descr="Figure 2.4 shows the daily MOS allocations sorted by facility for each facility in Sydney this week. The figure also shows the daily breakdown of costs associated with the MOS provided. For a more detailed description of this figure, please refer to the user guide." title="Sydney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175613"/>
                    </a:xfrm>
                    <a:prstGeom prst="rect">
                      <a:avLst/>
                    </a:prstGeom>
                    <a:noFill/>
                    <a:ln>
                      <a:noFill/>
                    </a:ln>
                  </pic:spPr>
                </pic:pic>
              </a:graphicData>
            </a:graphic>
          </wp:inline>
        </w:drawing>
      </w:r>
    </w:p>
    <w:p w:rsidR="00EC2CB1" w:rsidRDefault="00EC2CB1">
      <w:pPr>
        <w:spacing w:line="240" w:lineRule="auto"/>
        <w:rPr>
          <w:rFonts w:eastAsia="Times New Roman" w:cs="Times New Roman"/>
          <w:b/>
          <w:bCs/>
          <w:color w:val="2272A3" w:themeColor="accent4" w:themeShade="80"/>
          <w:sz w:val="32"/>
          <w:szCs w:val="20"/>
        </w:rPr>
      </w:pPr>
      <w:r>
        <w:rPr>
          <w:rFonts w:eastAsia="Times New Roman" w:cs="Times New Roman"/>
          <w:color w:val="2272A3" w:themeColor="accent4" w:themeShade="80"/>
          <w:sz w:val="32"/>
          <w:szCs w:val="20"/>
        </w:rPr>
        <w:br w:type="page"/>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3</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Adelaide STTM</w:t>
      </w:r>
    </w:p>
    <w:p w:rsidR="00EC2CB1" w:rsidRPr="003625A6" w:rsidRDefault="00EC2CB1" w:rsidP="00EC2CB1">
      <w:pPr>
        <w:jc w:val="both"/>
      </w:pPr>
      <w:r>
        <w:t>The Adelaide STTM hub functions in the same way as the Sydney STTM hub.  The same data that was presented for the Sydney hub is presented for the Adelaide hub in the figures below.</w:t>
      </w:r>
    </w:p>
    <w:p w:rsidR="004C571B" w:rsidRDefault="00EC2CB1" w:rsidP="004C571B">
      <w:pPr>
        <w:pStyle w:val="Caption"/>
        <w:numPr>
          <w:ilvl w:val="0"/>
          <w:numId w:val="31"/>
        </w:numPr>
        <w:ind w:left="709" w:hanging="709"/>
        <w:rPr>
          <w:color w:val="2272A3"/>
          <w:szCs w:val="24"/>
        </w:rPr>
      </w:pPr>
      <w:r>
        <w:rPr>
          <w:color w:val="2272A3"/>
          <w:szCs w:val="24"/>
        </w:rPr>
        <w:t>ADL</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14DCF" w:rsidRPr="00405CDE" w:rsidTr="00A226E9">
        <w:trPr>
          <w:trHeight w:val="389"/>
        </w:trPr>
        <w:tc>
          <w:tcPr>
            <w:tcW w:w="1152" w:type="pct"/>
            <w:tcBorders>
              <w:top w:val="nil"/>
              <w:bottom w:val="nil"/>
            </w:tcBorders>
            <w:vAlign w:val="center"/>
          </w:tcPr>
          <w:p w:rsidR="00914DCF" w:rsidRDefault="00914DCF">
            <w:pPr>
              <w:rPr>
                <w:rFonts w:cs="Arial"/>
                <w:sz w:val="20"/>
                <w:szCs w:val="20"/>
              </w:rPr>
            </w:pPr>
            <w:r>
              <w:rPr>
                <w:rFonts w:cs="Arial"/>
                <w:sz w:val="20"/>
                <w:szCs w:val="20"/>
              </w:rPr>
              <w:t>Ex ante price ($/GJ)</w:t>
            </w:r>
          </w:p>
        </w:tc>
        <w:tc>
          <w:tcPr>
            <w:tcW w:w="589" w:type="pct"/>
            <w:tcBorders>
              <w:top w:val="nil"/>
              <w:bottom w:val="nil"/>
            </w:tcBorders>
            <w:vAlign w:val="center"/>
          </w:tcPr>
          <w:p w:rsidR="00914DCF" w:rsidRDefault="00914DCF">
            <w:pPr>
              <w:jc w:val="center"/>
              <w:rPr>
                <w:rFonts w:cs="Arial"/>
                <w:sz w:val="20"/>
                <w:szCs w:val="20"/>
              </w:rPr>
            </w:pPr>
            <w:r>
              <w:rPr>
                <w:rFonts w:cs="Arial"/>
                <w:sz w:val="20"/>
                <w:szCs w:val="20"/>
              </w:rPr>
              <w:t>9.54</w:t>
            </w:r>
          </w:p>
        </w:tc>
        <w:tc>
          <w:tcPr>
            <w:tcW w:w="516" w:type="pct"/>
            <w:tcBorders>
              <w:top w:val="nil"/>
              <w:bottom w:val="nil"/>
            </w:tcBorders>
            <w:vAlign w:val="center"/>
          </w:tcPr>
          <w:p w:rsidR="00914DCF" w:rsidRDefault="00914DCF">
            <w:pPr>
              <w:jc w:val="center"/>
              <w:rPr>
                <w:rFonts w:cs="Arial"/>
                <w:sz w:val="20"/>
                <w:szCs w:val="20"/>
              </w:rPr>
            </w:pPr>
            <w:r>
              <w:rPr>
                <w:rFonts w:cs="Arial"/>
                <w:sz w:val="20"/>
                <w:szCs w:val="20"/>
              </w:rPr>
              <w:t>9.75</w:t>
            </w:r>
          </w:p>
        </w:tc>
        <w:tc>
          <w:tcPr>
            <w:tcW w:w="598" w:type="pct"/>
            <w:tcBorders>
              <w:top w:val="nil"/>
              <w:bottom w:val="nil"/>
            </w:tcBorders>
            <w:vAlign w:val="center"/>
          </w:tcPr>
          <w:p w:rsidR="00914DCF" w:rsidRDefault="00914DCF">
            <w:pPr>
              <w:jc w:val="center"/>
              <w:rPr>
                <w:rFonts w:cs="Arial"/>
                <w:sz w:val="20"/>
                <w:szCs w:val="20"/>
              </w:rPr>
            </w:pPr>
            <w:r>
              <w:rPr>
                <w:rFonts w:cs="Arial"/>
                <w:sz w:val="20"/>
                <w:szCs w:val="20"/>
              </w:rPr>
              <w:t>9.05</w:t>
            </w:r>
          </w:p>
        </w:tc>
        <w:tc>
          <w:tcPr>
            <w:tcW w:w="525" w:type="pct"/>
            <w:tcBorders>
              <w:top w:val="nil"/>
              <w:bottom w:val="nil"/>
            </w:tcBorders>
            <w:vAlign w:val="center"/>
          </w:tcPr>
          <w:p w:rsidR="00914DCF" w:rsidRDefault="00914DCF">
            <w:pPr>
              <w:jc w:val="center"/>
              <w:rPr>
                <w:rFonts w:cs="Arial"/>
                <w:sz w:val="20"/>
                <w:szCs w:val="20"/>
              </w:rPr>
            </w:pPr>
            <w:r>
              <w:rPr>
                <w:rFonts w:cs="Arial"/>
                <w:sz w:val="20"/>
                <w:szCs w:val="20"/>
              </w:rPr>
              <w:t>9.66</w:t>
            </w:r>
          </w:p>
        </w:tc>
        <w:tc>
          <w:tcPr>
            <w:tcW w:w="518" w:type="pct"/>
            <w:tcBorders>
              <w:top w:val="nil"/>
              <w:bottom w:val="nil"/>
            </w:tcBorders>
            <w:vAlign w:val="center"/>
          </w:tcPr>
          <w:p w:rsidR="00914DCF" w:rsidRDefault="00914DCF">
            <w:pPr>
              <w:jc w:val="center"/>
              <w:rPr>
                <w:rFonts w:cs="Arial"/>
                <w:sz w:val="20"/>
                <w:szCs w:val="20"/>
              </w:rPr>
            </w:pPr>
            <w:r>
              <w:rPr>
                <w:rFonts w:cs="Arial"/>
                <w:sz w:val="20"/>
                <w:szCs w:val="20"/>
              </w:rPr>
              <w:t>9.51</w:t>
            </w:r>
          </w:p>
        </w:tc>
        <w:tc>
          <w:tcPr>
            <w:tcW w:w="515" w:type="pct"/>
            <w:tcBorders>
              <w:top w:val="nil"/>
              <w:bottom w:val="nil"/>
            </w:tcBorders>
            <w:vAlign w:val="center"/>
          </w:tcPr>
          <w:p w:rsidR="00914DCF" w:rsidRDefault="00914DCF">
            <w:pPr>
              <w:jc w:val="center"/>
              <w:rPr>
                <w:rFonts w:cs="Arial"/>
                <w:sz w:val="20"/>
                <w:szCs w:val="20"/>
              </w:rPr>
            </w:pPr>
            <w:r>
              <w:rPr>
                <w:rFonts w:cs="Arial"/>
                <w:sz w:val="20"/>
                <w:szCs w:val="20"/>
              </w:rPr>
              <w:t>9.75</w:t>
            </w:r>
          </w:p>
        </w:tc>
        <w:tc>
          <w:tcPr>
            <w:tcW w:w="587" w:type="pct"/>
            <w:tcBorders>
              <w:top w:val="nil"/>
              <w:bottom w:val="nil"/>
            </w:tcBorders>
            <w:vAlign w:val="center"/>
          </w:tcPr>
          <w:p w:rsidR="00914DCF" w:rsidRDefault="00914DCF">
            <w:pPr>
              <w:jc w:val="center"/>
              <w:rPr>
                <w:rFonts w:cs="Arial"/>
                <w:sz w:val="20"/>
                <w:szCs w:val="20"/>
              </w:rPr>
            </w:pPr>
            <w:r>
              <w:rPr>
                <w:rFonts w:cs="Arial"/>
                <w:sz w:val="20"/>
                <w:szCs w:val="20"/>
              </w:rPr>
              <w:t>9.75</w:t>
            </w:r>
          </w:p>
        </w:tc>
      </w:tr>
      <w:tr w:rsidR="00914DCF" w:rsidRPr="00405CDE" w:rsidTr="00A226E9">
        <w:trPr>
          <w:cnfStyle w:val="000000010000" w:firstRow="0" w:lastRow="0" w:firstColumn="0" w:lastColumn="0" w:oddVBand="0" w:evenVBand="0" w:oddHBand="0" w:evenHBand="1" w:firstRowFirstColumn="0" w:firstRowLastColumn="0" w:lastRowFirstColumn="0" w:lastRowLastColumn="0"/>
          <w:trHeight w:val="325"/>
        </w:trPr>
        <w:tc>
          <w:tcPr>
            <w:tcW w:w="1152" w:type="pct"/>
            <w:tcBorders>
              <w:top w:val="nil"/>
              <w:bottom w:val="nil"/>
            </w:tcBorders>
            <w:vAlign w:val="center"/>
          </w:tcPr>
          <w:p w:rsidR="00914DCF" w:rsidRDefault="00914DCF">
            <w:pPr>
              <w:rPr>
                <w:rFonts w:cs="Arial"/>
                <w:szCs w:val="20"/>
              </w:rPr>
            </w:pPr>
            <w:r>
              <w:rPr>
                <w:rFonts w:cs="Arial"/>
                <w:szCs w:val="20"/>
              </w:rPr>
              <w:t>Ex ante quantity (TJ)</w:t>
            </w:r>
          </w:p>
        </w:tc>
        <w:tc>
          <w:tcPr>
            <w:tcW w:w="589" w:type="pct"/>
            <w:tcBorders>
              <w:top w:val="nil"/>
              <w:bottom w:val="nil"/>
            </w:tcBorders>
            <w:vAlign w:val="center"/>
          </w:tcPr>
          <w:p w:rsidR="00914DCF" w:rsidRDefault="00914DCF">
            <w:pPr>
              <w:jc w:val="center"/>
              <w:rPr>
                <w:rFonts w:cs="Arial"/>
                <w:szCs w:val="20"/>
              </w:rPr>
            </w:pPr>
            <w:r>
              <w:rPr>
                <w:rFonts w:cs="Arial"/>
                <w:szCs w:val="20"/>
              </w:rPr>
              <w:t>77</w:t>
            </w:r>
          </w:p>
        </w:tc>
        <w:tc>
          <w:tcPr>
            <w:tcW w:w="516" w:type="pct"/>
            <w:tcBorders>
              <w:top w:val="nil"/>
              <w:bottom w:val="nil"/>
            </w:tcBorders>
            <w:vAlign w:val="center"/>
          </w:tcPr>
          <w:p w:rsidR="00914DCF" w:rsidRDefault="00914DCF">
            <w:pPr>
              <w:jc w:val="center"/>
              <w:rPr>
                <w:rFonts w:cs="Arial"/>
                <w:szCs w:val="20"/>
              </w:rPr>
            </w:pPr>
            <w:r>
              <w:rPr>
                <w:rFonts w:cs="Arial"/>
                <w:szCs w:val="20"/>
              </w:rPr>
              <w:t>88</w:t>
            </w:r>
          </w:p>
        </w:tc>
        <w:tc>
          <w:tcPr>
            <w:tcW w:w="598" w:type="pct"/>
            <w:tcBorders>
              <w:top w:val="nil"/>
              <w:bottom w:val="nil"/>
            </w:tcBorders>
            <w:vAlign w:val="center"/>
          </w:tcPr>
          <w:p w:rsidR="00914DCF" w:rsidRDefault="00914DCF">
            <w:pPr>
              <w:jc w:val="center"/>
              <w:rPr>
                <w:rFonts w:cs="Arial"/>
                <w:szCs w:val="20"/>
              </w:rPr>
            </w:pPr>
            <w:r>
              <w:rPr>
                <w:rFonts w:cs="Arial"/>
                <w:szCs w:val="20"/>
              </w:rPr>
              <w:t>88</w:t>
            </w:r>
          </w:p>
        </w:tc>
        <w:tc>
          <w:tcPr>
            <w:tcW w:w="525" w:type="pct"/>
            <w:tcBorders>
              <w:top w:val="nil"/>
              <w:bottom w:val="nil"/>
            </w:tcBorders>
            <w:vAlign w:val="center"/>
          </w:tcPr>
          <w:p w:rsidR="00914DCF" w:rsidRDefault="00914DCF">
            <w:pPr>
              <w:jc w:val="center"/>
              <w:rPr>
                <w:rFonts w:cs="Arial"/>
                <w:szCs w:val="20"/>
              </w:rPr>
            </w:pPr>
            <w:r>
              <w:rPr>
                <w:rFonts w:cs="Arial"/>
                <w:szCs w:val="20"/>
              </w:rPr>
              <w:t>93</w:t>
            </w:r>
          </w:p>
        </w:tc>
        <w:tc>
          <w:tcPr>
            <w:tcW w:w="518" w:type="pct"/>
            <w:tcBorders>
              <w:top w:val="nil"/>
              <w:bottom w:val="nil"/>
            </w:tcBorders>
            <w:vAlign w:val="center"/>
          </w:tcPr>
          <w:p w:rsidR="00914DCF" w:rsidRDefault="00914DCF">
            <w:pPr>
              <w:jc w:val="center"/>
              <w:rPr>
                <w:rFonts w:cs="Arial"/>
                <w:szCs w:val="20"/>
              </w:rPr>
            </w:pPr>
            <w:r>
              <w:rPr>
                <w:rFonts w:cs="Arial"/>
                <w:szCs w:val="20"/>
              </w:rPr>
              <w:t>92</w:t>
            </w:r>
          </w:p>
        </w:tc>
        <w:tc>
          <w:tcPr>
            <w:tcW w:w="515" w:type="pct"/>
            <w:tcBorders>
              <w:top w:val="nil"/>
              <w:bottom w:val="nil"/>
            </w:tcBorders>
            <w:vAlign w:val="center"/>
          </w:tcPr>
          <w:p w:rsidR="00914DCF" w:rsidRDefault="00914DCF">
            <w:pPr>
              <w:jc w:val="center"/>
              <w:rPr>
                <w:rFonts w:cs="Arial"/>
                <w:szCs w:val="20"/>
              </w:rPr>
            </w:pPr>
            <w:r>
              <w:rPr>
                <w:rFonts w:cs="Arial"/>
                <w:szCs w:val="20"/>
              </w:rPr>
              <w:t>91</w:t>
            </w:r>
          </w:p>
        </w:tc>
        <w:tc>
          <w:tcPr>
            <w:tcW w:w="587" w:type="pct"/>
            <w:tcBorders>
              <w:top w:val="nil"/>
              <w:bottom w:val="nil"/>
            </w:tcBorders>
            <w:vAlign w:val="center"/>
          </w:tcPr>
          <w:p w:rsidR="00914DCF" w:rsidRDefault="00914DCF">
            <w:pPr>
              <w:jc w:val="center"/>
              <w:rPr>
                <w:rFonts w:cs="Arial"/>
                <w:szCs w:val="20"/>
              </w:rPr>
            </w:pPr>
            <w:r>
              <w:rPr>
                <w:rFonts w:cs="Arial"/>
                <w:szCs w:val="20"/>
              </w:rPr>
              <w:t>78</w:t>
            </w:r>
          </w:p>
        </w:tc>
      </w:tr>
      <w:tr w:rsidR="00914DCF" w:rsidRPr="00405CDE" w:rsidTr="00A226E9">
        <w:trPr>
          <w:trHeight w:val="87"/>
        </w:trPr>
        <w:tc>
          <w:tcPr>
            <w:tcW w:w="1152" w:type="pct"/>
            <w:tcBorders>
              <w:top w:val="nil"/>
              <w:bottom w:val="nil"/>
            </w:tcBorders>
            <w:vAlign w:val="center"/>
          </w:tcPr>
          <w:p w:rsidR="00914DCF" w:rsidRDefault="00914DCF">
            <w:pPr>
              <w:rPr>
                <w:rFonts w:cs="Arial"/>
                <w:sz w:val="20"/>
                <w:szCs w:val="20"/>
              </w:rPr>
            </w:pPr>
            <w:r>
              <w:rPr>
                <w:rFonts w:cs="Arial"/>
                <w:sz w:val="20"/>
                <w:szCs w:val="20"/>
              </w:rPr>
              <w:t>Ex post price ($/GJ)</w:t>
            </w:r>
          </w:p>
        </w:tc>
        <w:tc>
          <w:tcPr>
            <w:tcW w:w="589" w:type="pct"/>
            <w:tcBorders>
              <w:top w:val="nil"/>
              <w:bottom w:val="nil"/>
            </w:tcBorders>
            <w:vAlign w:val="center"/>
          </w:tcPr>
          <w:p w:rsidR="00914DCF" w:rsidRDefault="00914DCF">
            <w:pPr>
              <w:jc w:val="center"/>
              <w:rPr>
                <w:rFonts w:cs="Arial"/>
                <w:sz w:val="20"/>
                <w:szCs w:val="20"/>
              </w:rPr>
            </w:pPr>
            <w:r>
              <w:rPr>
                <w:rFonts w:cs="Arial"/>
                <w:sz w:val="20"/>
                <w:szCs w:val="20"/>
              </w:rPr>
              <w:t>8.99</w:t>
            </w:r>
          </w:p>
        </w:tc>
        <w:tc>
          <w:tcPr>
            <w:tcW w:w="516" w:type="pct"/>
            <w:tcBorders>
              <w:top w:val="nil"/>
              <w:bottom w:val="nil"/>
            </w:tcBorders>
            <w:vAlign w:val="center"/>
          </w:tcPr>
          <w:p w:rsidR="00914DCF" w:rsidRDefault="00914DCF">
            <w:pPr>
              <w:jc w:val="center"/>
              <w:rPr>
                <w:rFonts w:cs="Arial"/>
                <w:sz w:val="20"/>
                <w:szCs w:val="20"/>
              </w:rPr>
            </w:pPr>
            <w:r>
              <w:rPr>
                <w:rFonts w:cs="Arial"/>
                <w:sz w:val="20"/>
                <w:szCs w:val="20"/>
              </w:rPr>
              <w:t>9.05</w:t>
            </w:r>
          </w:p>
        </w:tc>
        <w:tc>
          <w:tcPr>
            <w:tcW w:w="598" w:type="pct"/>
            <w:tcBorders>
              <w:top w:val="nil"/>
              <w:bottom w:val="nil"/>
            </w:tcBorders>
            <w:vAlign w:val="center"/>
          </w:tcPr>
          <w:p w:rsidR="00914DCF" w:rsidRDefault="00914DCF">
            <w:pPr>
              <w:jc w:val="center"/>
              <w:rPr>
                <w:rFonts w:cs="Arial"/>
                <w:sz w:val="20"/>
                <w:szCs w:val="20"/>
              </w:rPr>
            </w:pPr>
            <w:r>
              <w:rPr>
                <w:rFonts w:cs="Arial"/>
                <w:sz w:val="20"/>
                <w:szCs w:val="20"/>
              </w:rPr>
              <w:t>9.44</w:t>
            </w:r>
          </w:p>
        </w:tc>
        <w:tc>
          <w:tcPr>
            <w:tcW w:w="525" w:type="pct"/>
            <w:tcBorders>
              <w:top w:val="nil"/>
              <w:bottom w:val="nil"/>
            </w:tcBorders>
            <w:vAlign w:val="center"/>
          </w:tcPr>
          <w:p w:rsidR="00914DCF" w:rsidRDefault="00914DCF">
            <w:pPr>
              <w:jc w:val="center"/>
              <w:rPr>
                <w:rFonts w:cs="Arial"/>
                <w:sz w:val="20"/>
                <w:szCs w:val="20"/>
              </w:rPr>
            </w:pPr>
            <w:r>
              <w:rPr>
                <w:rFonts w:cs="Arial"/>
                <w:sz w:val="20"/>
                <w:szCs w:val="20"/>
              </w:rPr>
              <w:t>9.75</w:t>
            </w:r>
          </w:p>
        </w:tc>
        <w:tc>
          <w:tcPr>
            <w:tcW w:w="518" w:type="pct"/>
            <w:tcBorders>
              <w:top w:val="nil"/>
              <w:bottom w:val="nil"/>
            </w:tcBorders>
            <w:vAlign w:val="center"/>
          </w:tcPr>
          <w:p w:rsidR="00914DCF" w:rsidRDefault="00914DCF">
            <w:pPr>
              <w:jc w:val="center"/>
              <w:rPr>
                <w:rFonts w:cs="Arial"/>
                <w:sz w:val="20"/>
                <w:szCs w:val="20"/>
              </w:rPr>
            </w:pPr>
            <w:r>
              <w:rPr>
                <w:rFonts w:cs="Arial"/>
                <w:sz w:val="20"/>
                <w:szCs w:val="20"/>
              </w:rPr>
              <w:t>9.51</w:t>
            </w:r>
          </w:p>
        </w:tc>
        <w:tc>
          <w:tcPr>
            <w:tcW w:w="515" w:type="pct"/>
            <w:tcBorders>
              <w:top w:val="nil"/>
              <w:bottom w:val="nil"/>
            </w:tcBorders>
            <w:vAlign w:val="center"/>
          </w:tcPr>
          <w:p w:rsidR="00914DCF" w:rsidRDefault="00914DCF">
            <w:pPr>
              <w:jc w:val="center"/>
              <w:rPr>
                <w:rFonts w:cs="Arial"/>
                <w:sz w:val="20"/>
                <w:szCs w:val="20"/>
              </w:rPr>
            </w:pPr>
            <w:r>
              <w:rPr>
                <w:rFonts w:cs="Arial"/>
                <w:sz w:val="20"/>
                <w:szCs w:val="20"/>
              </w:rPr>
              <w:t>9.44</w:t>
            </w:r>
          </w:p>
        </w:tc>
        <w:tc>
          <w:tcPr>
            <w:tcW w:w="587" w:type="pct"/>
            <w:tcBorders>
              <w:top w:val="nil"/>
              <w:bottom w:val="nil"/>
            </w:tcBorders>
            <w:vAlign w:val="center"/>
          </w:tcPr>
          <w:p w:rsidR="00914DCF" w:rsidRDefault="00914DCF">
            <w:pPr>
              <w:jc w:val="center"/>
              <w:rPr>
                <w:rFonts w:cs="Arial"/>
                <w:sz w:val="20"/>
                <w:szCs w:val="20"/>
              </w:rPr>
            </w:pPr>
            <w:r>
              <w:rPr>
                <w:rFonts w:cs="Arial"/>
                <w:sz w:val="20"/>
                <w:szCs w:val="20"/>
              </w:rPr>
              <w:t>9.37</w:t>
            </w:r>
          </w:p>
        </w:tc>
      </w:tr>
      <w:tr w:rsidR="00914DCF" w:rsidRPr="00405CDE" w:rsidTr="00A226E9">
        <w:trPr>
          <w:cnfStyle w:val="000000010000" w:firstRow="0" w:lastRow="0" w:firstColumn="0" w:lastColumn="0" w:oddVBand="0" w:evenVBand="0" w:oddHBand="0" w:evenHBand="1" w:firstRowFirstColumn="0" w:firstRowLastColumn="0" w:lastRowFirstColumn="0" w:lastRowLastColumn="0"/>
          <w:trHeight w:val="87"/>
        </w:trPr>
        <w:tc>
          <w:tcPr>
            <w:tcW w:w="1152" w:type="pct"/>
            <w:tcBorders>
              <w:top w:val="nil"/>
              <w:bottom w:val="single" w:sz="4" w:space="0" w:color="auto"/>
            </w:tcBorders>
            <w:vAlign w:val="center"/>
          </w:tcPr>
          <w:p w:rsidR="00914DCF" w:rsidRDefault="00914DCF">
            <w:pPr>
              <w:rPr>
                <w:rFonts w:cs="Arial"/>
                <w:szCs w:val="20"/>
              </w:rPr>
            </w:pPr>
            <w:r>
              <w:rPr>
                <w:rFonts w:cs="Arial"/>
                <w:szCs w:val="20"/>
              </w:rPr>
              <w:t>Ex post quantity (TJ)</w:t>
            </w:r>
          </w:p>
        </w:tc>
        <w:tc>
          <w:tcPr>
            <w:tcW w:w="589" w:type="pct"/>
            <w:tcBorders>
              <w:top w:val="nil"/>
              <w:bottom w:val="single" w:sz="4" w:space="0" w:color="auto"/>
            </w:tcBorders>
            <w:vAlign w:val="center"/>
          </w:tcPr>
          <w:p w:rsidR="00914DCF" w:rsidRDefault="00914DCF">
            <w:pPr>
              <w:jc w:val="center"/>
              <w:rPr>
                <w:rFonts w:cs="Arial"/>
                <w:szCs w:val="20"/>
              </w:rPr>
            </w:pPr>
            <w:r>
              <w:rPr>
                <w:rFonts w:cs="Arial"/>
                <w:szCs w:val="20"/>
              </w:rPr>
              <w:t>70</w:t>
            </w:r>
          </w:p>
        </w:tc>
        <w:tc>
          <w:tcPr>
            <w:tcW w:w="516" w:type="pct"/>
            <w:tcBorders>
              <w:top w:val="nil"/>
              <w:bottom w:val="single" w:sz="4" w:space="0" w:color="auto"/>
            </w:tcBorders>
            <w:vAlign w:val="center"/>
          </w:tcPr>
          <w:p w:rsidR="00914DCF" w:rsidRDefault="00914DCF">
            <w:pPr>
              <w:jc w:val="center"/>
              <w:rPr>
                <w:rFonts w:cs="Arial"/>
                <w:szCs w:val="20"/>
              </w:rPr>
            </w:pPr>
            <w:r>
              <w:rPr>
                <w:rFonts w:cs="Arial"/>
                <w:szCs w:val="20"/>
              </w:rPr>
              <w:t>76</w:t>
            </w:r>
          </w:p>
        </w:tc>
        <w:tc>
          <w:tcPr>
            <w:tcW w:w="598" w:type="pct"/>
            <w:tcBorders>
              <w:top w:val="nil"/>
              <w:bottom w:val="single" w:sz="4" w:space="0" w:color="auto"/>
            </w:tcBorders>
            <w:vAlign w:val="center"/>
          </w:tcPr>
          <w:p w:rsidR="00914DCF" w:rsidRDefault="00914DCF">
            <w:pPr>
              <w:jc w:val="center"/>
              <w:rPr>
                <w:rFonts w:cs="Arial"/>
                <w:szCs w:val="20"/>
              </w:rPr>
            </w:pPr>
            <w:r>
              <w:rPr>
                <w:rFonts w:cs="Arial"/>
                <w:szCs w:val="20"/>
              </w:rPr>
              <w:t>89</w:t>
            </w:r>
          </w:p>
        </w:tc>
        <w:tc>
          <w:tcPr>
            <w:tcW w:w="525" w:type="pct"/>
            <w:tcBorders>
              <w:top w:val="nil"/>
              <w:bottom w:val="single" w:sz="4" w:space="0" w:color="auto"/>
            </w:tcBorders>
            <w:vAlign w:val="center"/>
          </w:tcPr>
          <w:p w:rsidR="00914DCF" w:rsidRDefault="00914DCF">
            <w:pPr>
              <w:jc w:val="center"/>
              <w:rPr>
                <w:rFonts w:cs="Arial"/>
                <w:szCs w:val="20"/>
              </w:rPr>
            </w:pPr>
            <w:r>
              <w:rPr>
                <w:rFonts w:cs="Arial"/>
                <w:szCs w:val="20"/>
              </w:rPr>
              <w:t>95</w:t>
            </w:r>
          </w:p>
        </w:tc>
        <w:tc>
          <w:tcPr>
            <w:tcW w:w="518" w:type="pct"/>
            <w:tcBorders>
              <w:top w:val="nil"/>
              <w:bottom w:val="single" w:sz="4" w:space="0" w:color="auto"/>
            </w:tcBorders>
            <w:vAlign w:val="center"/>
          </w:tcPr>
          <w:p w:rsidR="00914DCF" w:rsidRDefault="00914DCF">
            <w:pPr>
              <w:jc w:val="center"/>
              <w:rPr>
                <w:rFonts w:cs="Arial"/>
                <w:szCs w:val="20"/>
              </w:rPr>
            </w:pPr>
            <w:r>
              <w:rPr>
                <w:rFonts w:cs="Arial"/>
                <w:szCs w:val="20"/>
              </w:rPr>
              <w:t>92</w:t>
            </w:r>
          </w:p>
        </w:tc>
        <w:tc>
          <w:tcPr>
            <w:tcW w:w="515" w:type="pct"/>
            <w:tcBorders>
              <w:top w:val="nil"/>
              <w:bottom w:val="single" w:sz="4" w:space="0" w:color="auto"/>
            </w:tcBorders>
            <w:vAlign w:val="center"/>
          </w:tcPr>
          <w:p w:rsidR="00914DCF" w:rsidRDefault="00914DCF">
            <w:pPr>
              <w:jc w:val="center"/>
              <w:rPr>
                <w:rFonts w:cs="Arial"/>
                <w:szCs w:val="20"/>
              </w:rPr>
            </w:pPr>
            <w:r>
              <w:rPr>
                <w:rFonts w:cs="Arial"/>
                <w:szCs w:val="20"/>
              </w:rPr>
              <w:t>88</w:t>
            </w:r>
          </w:p>
        </w:tc>
        <w:tc>
          <w:tcPr>
            <w:tcW w:w="587" w:type="pct"/>
            <w:tcBorders>
              <w:top w:val="nil"/>
              <w:bottom w:val="single" w:sz="4" w:space="0" w:color="auto"/>
            </w:tcBorders>
            <w:vAlign w:val="center"/>
          </w:tcPr>
          <w:p w:rsidR="00914DCF" w:rsidRDefault="00914DCF">
            <w:pPr>
              <w:jc w:val="center"/>
              <w:rPr>
                <w:rFonts w:cs="Arial"/>
                <w:szCs w:val="20"/>
              </w:rPr>
            </w:pPr>
            <w:r>
              <w:rPr>
                <w:rFonts w:cs="Arial"/>
                <w:szCs w:val="20"/>
              </w:rPr>
              <w:t>73</w:t>
            </w:r>
          </w:p>
        </w:tc>
      </w:tr>
    </w:tbl>
    <w:p w:rsidR="00EC2CB1" w:rsidRPr="001521CB" w:rsidRDefault="00EC2CB1" w:rsidP="00EC2CB1">
      <w:pPr>
        <w:pStyle w:val="Caption"/>
        <w:numPr>
          <w:ilvl w:val="0"/>
          <w:numId w:val="31"/>
        </w:numPr>
        <w:ind w:left="709" w:hanging="709"/>
      </w:pPr>
      <w:r w:rsidRPr="00DD0358">
        <w:rPr>
          <w:color w:val="2272A3"/>
          <w:szCs w:val="24"/>
        </w:rPr>
        <w:t>ADL daily hub offers and daily hub bids in price bands ($/GJ)</w:t>
      </w:r>
    </w:p>
    <w:p w:rsidR="00EC2CB1" w:rsidRDefault="00914DCF" w:rsidP="00EC2CB1">
      <w:r w:rsidRPr="00914DCF">
        <w:rPr>
          <w:noProof/>
          <w:lang w:eastAsia="en-AU"/>
        </w:rPr>
        <w:drawing>
          <wp:inline distT="0" distB="0" distL="0" distR="0" wp14:anchorId="6BDF6DFD" wp14:editId="758B6B6F">
            <wp:extent cx="5731510" cy="1739923"/>
            <wp:effectExtent l="0" t="0" r="2540" b="0"/>
            <wp:docPr id="26" name="Picture 26" descr="Figure 3.2 shows the daily hub offers and bid in within certain price bands in Adelaide this week. The line indicates the scheduled quantity for each day. For a more detailed description of this figure, please refer to the user guide." title="Adelaide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739923"/>
                    </a:xfrm>
                    <a:prstGeom prst="rect">
                      <a:avLst/>
                    </a:prstGeom>
                    <a:noFill/>
                    <a:ln>
                      <a:noFill/>
                    </a:ln>
                  </pic:spPr>
                </pic:pic>
              </a:graphicData>
            </a:graphic>
          </wp:inline>
        </w:drawing>
      </w:r>
    </w:p>
    <w:p w:rsidR="00EC2CB1" w:rsidRPr="001521CB" w:rsidRDefault="00EC2CB1" w:rsidP="00EC2CB1">
      <w:pPr>
        <w:pStyle w:val="Caption"/>
        <w:numPr>
          <w:ilvl w:val="0"/>
          <w:numId w:val="31"/>
        </w:numPr>
        <w:ind w:left="709" w:hanging="709"/>
      </w:pPr>
      <w:r w:rsidRPr="00DD0358">
        <w:rPr>
          <w:color w:val="2272A3"/>
          <w:szCs w:val="24"/>
        </w:rPr>
        <w:t>ADL net scheduled and allocated gas hub supply (excluding MOS)</w:t>
      </w:r>
    </w:p>
    <w:p w:rsidR="00EC2CB1" w:rsidRDefault="00914DCF" w:rsidP="00EC2CB1">
      <w:r w:rsidRPr="00914DCF">
        <w:rPr>
          <w:noProof/>
          <w:lang w:eastAsia="en-AU"/>
        </w:rPr>
        <w:drawing>
          <wp:inline distT="0" distB="0" distL="0" distR="0" wp14:anchorId="33EBDED8" wp14:editId="7AD0D610">
            <wp:extent cx="5731510" cy="1511607"/>
            <wp:effectExtent l="0" t="0" r="2540" b="0"/>
            <wp:docPr id="27" name="Picture 27" descr="Figure 3.3 shows the daily scheduled and allocated quantities sorted by facility for Adelaide this week. For a more detailed description of this figure, please refer to the user guide." title="Adelaid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511607"/>
                    </a:xfrm>
                    <a:prstGeom prst="rect">
                      <a:avLst/>
                    </a:prstGeom>
                    <a:noFill/>
                    <a:ln>
                      <a:noFill/>
                    </a:ln>
                  </pic:spPr>
                </pic:pic>
              </a:graphicData>
            </a:graphic>
          </wp:inline>
        </w:drawing>
      </w:r>
    </w:p>
    <w:p w:rsidR="00EC2CB1" w:rsidRPr="001521CB" w:rsidRDefault="00EC2CB1" w:rsidP="00EC2CB1">
      <w:pPr>
        <w:pStyle w:val="Caption"/>
        <w:numPr>
          <w:ilvl w:val="0"/>
          <w:numId w:val="31"/>
        </w:numPr>
        <w:ind w:left="1418" w:hanging="1418"/>
      </w:pPr>
      <w:r w:rsidRPr="00DD0358">
        <w:rPr>
          <w:color w:val="2272A3"/>
          <w:szCs w:val="24"/>
        </w:rPr>
        <w:t>ADL MOS allocations (TJ), service payments and commodity payments/charges ($000)</w:t>
      </w:r>
    </w:p>
    <w:p w:rsidR="00EC2CB1" w:rsidRPr="00A226E9" w:rsidRDefault="00914DCF" w:rsidP="00A226E9">
      <w:r w:rsidRPr="00914DCF">
        <w:rPr>
          <w:noProof/>
          <w:lang w:eastAsia="en-AU"/>
        </w:rPr>
        <w:drawing>
          <wp:inline distT="0" distB="0" distL="0" distR="0" wp14:anchorId="045E548D" wp14:editId="31DE504F">
            <wp:extent cx="5731510" cy="1802652"/>
            <wp:effectExtent l="0" t="0" r="2540" b="7620"/>
            <wp:docPr id="32" name="Picture 32" descr="Figure 4.4 shows the daily MOS allocations sorted by facility for each facility in Brisbane this week. The figure also shows the daily breakdown of costs associated with the MOS provided. For a more detailed description of this figure, please refer to the user guide." title="Adelaid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1802652"/>
                    </a:xfrm>
                    <a:prstGeom prst="rect">
                      <a:avLst/>
                    </a:prstGeom>
                    <a:noFill/>
                    <a:ln>
                      <a:noFill/>
                    </a:ln>
                  </pic:spPr>
                </pic:pic>
              </a:graphicData>
            </a:graphic>
          </wp:inline>
        </w:drawing>
      </w:r>
    </w:p>
    <w:p w:rsidR="003171C6" w:rsidRDefault="003171C6" w:rsidP="003171C6">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4</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Brisbane STTM</w:t>
      </w:r>
    </w:p>
    <w:p w:rsidR="00EC2CB1" w:rsidRPr="003625A6" w:rsidRDefault="00EC2CB1" w:rsidP="00551D6B">
      <w:pPr>
        <w:jc w:val="both"/>
      </w:pPr>
      <w:r>
        <w:t>The Brisbane STTM hub functions in the same way as the Sydney STTM hub.  The same data that was presented for the Sydney hub is presented for the Brisbane hub in the figures below.</w:t>
      </w:r>
    </w:p>
    <w:p w:rsidR="004C571B" w:rsidRDefault="00EC2CB1" w:rsidP="00E16EDC">
      <w:pPr>
        <w:pStyle w:val="Caption"/>
        <w:numPr>
          <w:ilvl w:val="0"/>
          <w:numId w:val="32"/>
        </w:numPr>
        <w:ind w:left="709" w:hanging="709"/>
        <w:rPr>
          <w:color w:val="2272A3"/>
          <w:szCs w:val="24"/>
        </w:rPr>
      </w:pPr>
      <w:r>
        <w:rPr>
          <w:color w:val="2272A3"/>
          <w:szCs w:val="24"/>
        </w:rPr>
        <w:t>BRI</w:t>
      </w:r>
      <w:r w:rsidRPr="00362B9A">
        <w:rPr>
          <w:color w:val="2272A3"/>
          <w:szCs w:val="24"/>
        </w:rPr>
        <w:t xml:space="preserve"> STTM daily ex ante and ex post prices and quantities</w:t>
      </w:r>
    </w:p>
    <w:tbl>
      <w:tblPr>
        <w:tblStyle w:val="AERTable-Text"/>
        <w:tblW w:w="4917" w:type="pct"/>
        <w:tblLook w:val="04A0" w:firstRow="1" w:lastRow="0" w:firstColumn="1" w:lastColumn="0" w:noHBand="0" w:noVBand="1"/>
      </w:tblPr>
      <w:tblGrid>
        <w:gridCol w:w="2094"/>
        <w:gridCol w:w="1071"/>
        <w:gridCol w:w="938"/>
        <w:gridCol w:w="1087"/>
        <w:gridCol w:w="954"/>
        <w:gridCol w:w="942"/>
        <w:gridCol w:w="936"/>
        <w:gridCol w:w="1067"/>
      </w:tblGrid>
      <w:tr w:rsidR="00EC2CB1" w:rsidRPr="00405CDE" w:rsidTr="00A226E9">
        <w:trPr>
          <w:cnfStyle w:val="100000000000" w:firstRow="1" w:lastRow="0" w:firstColumn="0" w:lastColumn="0" w:oddVBand="0" w:evenVBand="0" w:oddHBand="0" w:evenHBand="0" w:firstRowFirstColumn="0" w:firstRowLastColumn="0" w:lastRowFirstColumn="0" w:lastRowLastColumn="0"/>
          <w:tblHeader/>
        </w:trPr>
        <w:tc>
          <w:tcPr>
            <w:tcW w:w="1152" w:type="pct"/>
            <w:tcBorders>
              <w:bottom w:val="nil"/>
            </w:tcBorders>
            <w:hideMark/>
          </w:tcPr>
          <w:p w:rsidR="00EC2CB1" w:rsidRPr="00DC24BF" w:rsidRDefault="00EC2CB1" w:rsidP="00EC2CB1">
            <w:pPr>
              <w:pStyle w:val="TableHeading"/>
              <w:spacing w:before="0" w:after="0"/>
              <w:jc w:val="center"/>
              <w:rPr>
                <w:rFonts w:cs="Arial"/>
                <w:sz w:val="20"/>
                <w:szCs w:val="20"/>
              </w:rPr>
            </w:pPr>
          </w:p>
        </w:tc>
        <w:tc>
          <w:tcPr>
            <w:tcW w:w="589"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Sun</w:t>
            </w:r>
          </w:p>
        </w:tc>
        <w:tc>
          <w:tcPr>
            <w:tcW w:w="516"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Mon</w:t>
            </w:r>
          </w:p>
        </w:tc>
        <w:tc>
          <w:tcPr>
            <w:tcW w:w="59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Tue</w:t>
            </w:r>
          </w:p>
        </w:tc>
        <w:tc>
          <w:tcPr>
            <w:tcW w:w="525"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Wed</w:t>
            </w:r>
          </w:p>
        </w:tc>
        <w:tc>
          <w:tcPr>
            <w:tcW w:w="518" w:type="pct"/>
            <w:tcBorders>
              <w:bottom w:val="nil"/>
            </w:tcBorders>
          </w:tcPr>
          <w:p w:rsidR="00EC2CB1" w:rsidRPr="00442756" w:rsidRDefault="00EC2CB1" w:rsidP="00EC2CB1">
            <w:pPr>
              <w:spacing w:before="0" w:after="0"/>
              <w:jc w:val="center"/>
              <w:rPr>
                <w:rFonts w:cs="Arial"/>
                <w:b w:val="0"/>
                <w:bCs/>
                <w:sz w:val="20"/>
                <w:szCs w:val="20"/>
              </w:rPr>
            </w:pPr>
            <w:r w:rsidRPr="00442756">
              <w:rPr>
                <w:rFonts w:cs="Arial"/>
                <w:bCs/>
                <w:sz w:val="20"/>
                <w:szCs w:val="20"/>
              </w:rPr>
              <w:t>Thu</w:t>
            </w:r>
          </w:p>
        </w:tc>
        <w:tc>
          <w:tcPr>
            <w:tcW w:w="515"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Fri</w:t>
            </w:r>
          </w:p>
        </w:tc>
        <w:tc>
          <w:tcPr>
            <w:tcW w:w="587" w:type="pct"/>
            <w:tcBorders>
              <w:bottom w:val="nil"/>
            </w:tcBorders>
            <w:hideMark/>
          </w:tcPr>
          <w:p w:rsidR="00EC2CB1" w:rsidRPr="00442756" w:rsidRDefault="00EC2CB1" w:rsidP="00EC2CB1">
            <w:pPr>
              <w:spacing w:before="0" w:after="0"/>
              <w:jc w:val="center"/>
              <w:rPr>
                <w:rFonts w:cs="Arial"/>
                <w:b w:val="0"/>
                <w:bCs/>
                <w:sz w:val="20"/>
                <w:szCs w:val="20"/>
              </w:rPr>
            </w:pPr>
            <w:r w:rsidRPr="00442756">
              <w:rPr>
                <w:rFonts w:cs="Arial"/>
                <w:bCs/>
                <w:sz w:val="20"/>
                <w:szCs w:val="20"/>
              </w:rPr>
              <w:t>Sat</w:t>
            </w:r>
          </w:p>
        </w:tc>
      </w:tr>
      <w:tr w:rsidR="00914DCF" w:rsidRPr="00405CDE" w:rsidTr="00A226E9">
        <w:trPr>
          <w:trHeight w:val="510"/>
        </w:trPr>
        <w:tc>
          <w:tcPr>
            <w:tcW w:w="1152" w:type="pct"/>
            <w:tcBorders>
              <w:top w:val="nil"/>
              <w:bottom w:val="nil"/>
            </w:tcBorders>
            <w:vAlign w:val="center"/>
          </w:tcPr>
          <w:p w:rsidR="00914DCF" w:rsidRDefault="00914DCF">
            <w:pPr>
              <w:rPr>
                <w:rFonts w:cs="Arial"/>
                <w:sz w:val="20"/>
                <w:szCs w:val="20"/>
              </w:rPr>
            </w:pPr>
            <w:r>
              <w:rPr>
                <w:rFonts w:cs="Arial"/>
                <w:sz w:val="20"/>
                <w:szCs w:val="20"/>
              </w:rPr>
              <w:t>Ex ante price ($/GJ)</w:t>
            </w:r>
          </w:p>
        </w:tc>
        <w:tc>
          <w:tcPr>
            <w:tcW w:w="589" w:type="pct"/>
            <w:tcBorders>
              <w:top w:val="nil"/>
              <w:bottom w:val="nil"/>
            </w:tcBorders>
            <w:vAlign w:val="center"/>
          </w:tcPr>
          <w:p w:rsidR="00914DCF" w:rsidRDefault="00914DCF">
            <w:pPr>
              <w:jc w:val="center"/>
              <w:rPr>
                <w:rFonts w:cs="Arial"/>
                <w:sz w:val="20"/>
                <w:szCs w:val="20"/>
              </w:rPr>
            </w:pPr>
            <w:r>
              <w:rPr>
                <w:rFonts w:cs="Arial"/>
                <w:sz w:val="20"/>
                <w:szCs w:val="20"/>
              </w:rPr>
              <w:t>7.31</w:t>
            </w:r>
          </w:p>
        </w:tc>
        <w:tc>
          <w:tcPr>
            <w:tcW w:w="516" w:type="pct"/>
            <w:tcBorders>
              <w:top w:val="nil"/>
              <w:bottom w:val="nil"/>
            </w:tcBorders>
            <w:vAlign w:val="center"/>
          </w:tcPr>
          <w:p w:rsidR="00914DCF" w:rsidRDefault="00914DCF">
            <w:pPr>
              <w:jc w:val="center"/>
              <w:rPr>
                <w:rFonts w:cs="Arial"/>
                <w:sz w:val="20"/>
                <w:szCs w:val="20"/>
              </w:rPr>
            </w:pPr>
            <w:r>
              <w:rPr>
                <w:rFonts w:cs="Arial"/>
                <w:sz w:val="20"/>
                <w:szCs w:val="20"/>
              </w:rPr>
              <w:t>7.96</w:t>
            </w:r>
          </w:p>
        </w:tc>
        <w:tc>
          <w:tcPr>
            <w:tcW w:w="598" w:type="pct"/>
            <w:tcBorders>
              <w:top w:val="nil"/>
              <w:bottom w:val="nil"/>
            </w:tcBorders>
            <w:vAlign w:val="center"/>
          </w:tcPr>
          <w:p w:rsidR="00914DCF" w:rsidRDefault="00914DCF">
            <w:pPr>
              <w:jc w:val="center"/>
              <w:rPr>
                <w:rFonts w:cs="Arial"/>
                <w:sz w:val="20"/>
                <w:szCs w:val="20"/>
              </w:rPr>
            </w:pPr>
            <w:r>
              <w:rPr>
                <w:rFonts w:cs="Arial"/>
                <w:sz w:val="20"/>
                <w:szCs w:val="20"/>
              </w:rPr>
              <w:t>7.96</w:t>
            </w:r>
          </w:p>
        </w:tc>
        <w:tc>
          <w:tcPr>
            <w:tcW w:w="525" w:type="pct"/>
            <w:tcBorders>
              <w:top w:val="nil"/>
              <w:bottom w:val="nil"/>
            </w:tcBorders>
            <w:vAlign w:val="center"/>
          </w:tcPr>
          <w:p w:rsidR="00914DCF" w:rsidRDefault="00914DCF">
            <w:pPr>
              <w:jc w:val="center"/>
              <w:rPr>
                <w:rFonts w:cs="Arial"/>
                <w:sz w:val="20"/>
                <w:szCs w:val="20"/>
              </w:rPr>
            </w:pPr>
            <w:r>
              <w:rPr>
                <w:rFonts w:cs="Arial"/>
                <w:sz w:val="20"/>
                <w:szCs w:val="20"/>
              </w:rPr>
              <w:t>7.70</w:t>
            </w:r>
          </w:p>
        </w:tc>
        <w:tc>
          <w:tcPr>
            <w:tcW w:w="518" w:type="pct"/>
            <w:tcBorders>
              <w:top w:val="nil"/>
              <w:bottom w:val="nil"/>
            </w:tcBorders>
            <w:vAlign w:val="center"/>
          </w:tcPr>
          <w:p w:rsidR="00914DCF" w:rsidRDefault="00914DCF">
            <w:pPr>
              <w:jc w:val="center"/>
              <w:rPr>
                <w:rFonts w:cs="Arial"/>
                <w:sz w:val="20"/>
                <w:szCs w:val="20"/>
              </w:rPr>
            </w:pPr>
            <w:r>
              <w:rPr>
                <w:rFonts w:cs="Arial"/>
                <w:sz w:val="20"/>
                <w:szCs w:val="20"/>
              </w:rPr>
              <w:t>7.75</w:t>
            </w:r>
          </w:p>
        </w:tc>
        <w:tc>
          <w:tcPr>
            <w:tcW w:w="515" w:type="pct"/>
            <w:tcBorders>
              <w:top w:val="nil"/>
              <w:bottom w:val="nil"/>
            </w:tcBorders>
            <w:vAlign w:val="center"/>
          </w:tcPr>
          <w:p w:rsidR="00914DCF" w:rsidRDefault="00914DCF">
            <w:pPr>
              <w:jc w:val="center"/>
              <w:rPr>
                <w:rFonts w:cs="Arial"/>
                <w:sz w:val="20"/>
                <w:szCs w:val="20"/>
              </w:rPr>
            </w:pPr>
            <w:r>
              <w:rPr>
                <w:rFonts w:cs="Arial"/>
                <w:sz w:val="20"/>
                <w:szCs w:val="20"/>
              </w:rPr>
              <w:t>7.95</w:t>
            </w:r>
          </w:p>
        </w:tc>
        <w:tc>
          <w:tcPr>
            <w:tcW w:w="587" w:type="pct"/>
            <w:tcBorders>
              <w:top w:val="nil"/>
              <w:bottom w:val="nil"/>
            </w:tcBorders>
            <w:vAlign w:val="center"/>
          </w:tcPr>
          <w:p w:rsidR="00914DCF" w:rsidRDefault="00914DCF">
            <w:pPr>
              <w:jc w:val="center"/>
              <w:rPr>
                <w:rFonts w:cs="Arial"/>
                <w:sz w:val="20"/>
                <w:szCs w:val="20"/>
              </w:rPr>
            </w:pPr>
            <w:r>
              <w:rPr>
                <w:rFonts w:cs="Arial"/>
                <w:sz w:val="20"/>
                <w:szCs w:val="20"/>
              </w:rPr>
              <w:t>7.69</w:t>
            </w:r>
          </w:p>
        </w:tc>
      </w:tr>
      <w:tr w:rsidR="00914DC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nil"/>
            </w:tcBorders>
            <w:vAlign w:val="center"/>
          </w:tcPr>
          <w:p w:rsidR="00914DCF" w:rsidRDefault="00914DCF">
            <w:pPr>
              <w:rPr>
                <w:rFonts w:cs="Arial"/>
                <w:szCs w:val="20"/>
              </w:rPr>
            </w:pPr>
            <w:r>
              <w:rPr>
                <w:rFonts w:cs="Arial"/>
                <w:szCs w:val="20"/>
              </w:rPr>
              <w:t>Ex ante quantity (TJ)</w:t>
            </w:r>
          </w:p>
        </w:tc>
        <w:tc>
          <w:tcPr>
            <w:tcW w:w="589" w:type="pct"/>
            <w:tcBorders>
              <w:top w:val="nil"/>
              <w:bottom w:val="nil"/>
            </w:tcBorders>
            <w:vAlign w:val="center"/>
          </w:tcPr>
          <w:p w:rsidR="00914DCF" w:rsidRDefault="00914DCF">
            <w:pPr>
              <w:jc w:val="center"/>
              <w:rPr>
                <w:rFonts w:cs="Arial"/>
                <w:szCs w:val="20"/>
              </w:rPr>
            </w:pPr>
            <w:r>
              <w:rPr>
                <w:rFonts w:cs="Arial"/>
                <w:szCs w:val="20"/>
              </w:rPr>
              <w:t>79</w:t>
            </w:r>
          </w:p>
        </w:tc>
        <w:tc>
          <w:tcPr>
            <w:tcW w:w="516" w:type="pct"/>
            <w:tcBorders>
              <w:top w:val="nil"/>
              <w:bottom w:val="nil"/>
            </w:tcBorders>
            <w:vAlign w:val="center"/>
          </w:tcPr>
          <w:p w:rsidR="00914DCF" w:rsidRDefault="00914DCF">
            <w:pPr>
              <w:jc w:val="center"/>
              <w:rPr>
                <w:rFonts w:cs="Arial"/>
                <w:szCs w:val="20"/>
              </w:rPr>
            </w:pPr>
            <w:r>
              <w:rPr>
                <w:rFonts w:cs="Arial"/>
                <w:szCs w:val="20"/>
              </w:rPr>
              <w:t>96</w:t>
            </w:r>
          </w:p>
        </w:tc>
        <w:tc>
          <w:tcPr>
            <w:tcW w:w="598" w:type="pct"/>
            <w:tcBorders>
              <w:top w:val="nil"/>
              <w:bottom w:val="nil"/>
            </w:tcBorders>
            <w:vAlign w:val="center"/>
          </w:tcPr>
          <w:p w:rsidR="00914DCF" w:rsidRDefault="00914DCF">
            <w:pPr>
              <w:jc w:val="center"/>
              <w:rPr>
                <w:rFonts w:cs="Arial"/>
                <w:szCs w:val="20"/>
              </w:rPr>
            </w:pPr>
            <w:r>
              <w:rPr>
                <w:rFonts w:cs="Arial"/>
                <w:szCs w:val="20"/>
              </w:rPr>
              <w:t>97</w:t>
            </w:r>
          </w:p>
        </w:tc>
        <w:tc>
          <w:tcPr>
            <w:tcW w:w="525" w:type="pct"/>
            <w:tcBorders>
              <w:top w:val="nil"/>
              <w:bottom w:val="nil"/>
            </w:tcBorders>
            <w:vAlign w:val="center"/>
          </w:tcPr>
          <w:p w:rsidR="00914DCF" w:rsidRDefault="00914DCF">
            <w:pPr>
              <w:jc w:val="center"/>
              <w:rPr>
                <w:rFonts w:cs="Arial"/>
                <w:szCs w:val="20"/>
              </w:rPr>
            </w:pPr>
            <w:r>
              <w:rPr>
                <w:rFonts w:cs="Arial"/>
                <w:szCs w:val="20"/>
              </w:rPr>
              <w:t>97</w:t>
            </w:r>
          </w:p>
        </w:tc>
        <w:tc>
          <w:tcPr>
            <w:tcW w:w="518" w:type="pct"/>
            <w:tcBorders>
              <w:top w:val="nil"/>
              <w:bottom w:val="nil"/>
            </w:tcBorders>
            <w:vAlign w:val="center"/>
          </w:tcPr>
          <w:p w:rsidR="00914DCF" w:rsidRDefault="00914DCF">
            <w:pPr>
              <w:jc w:val="center"/>
              <w:rPr>
                <w:rFonts w:cs="Arial"/>
                <w:szCs w:val="20"/>
              </w:rPr>
            </w:pPr>
            <w:r>
              <w:rPr>
                <w:rFonts w:cs="Arial"/>
                <w:szCs w:val="20"/>
              </w:rPr>
              <w:t>96</w:t>
            </w:r>
          </w:p>
        </w:tc>
        <w:tc>
          <w:tcPr>
            <w:tcW w:w="515" w:type="pct"/>
            <w:tcBorders>
              <w:top w:val="nil"/>
              <w:bottom w:val="nil"/>
            </w:tcBorders>
            <w:vAlign w:val="center"/>
          </w:tcPr>
          <w:p w:rsidR="00914DCF" w:rsidRDefault="00914DCF">
            <w:pPr>
              <w:jc w:val="center"/>
              <w:rPr>
                <w:rFonts w:cs="Arial"/>
                <w:szCs w:val="20"/>
              </w:rPr>
            </w:pPr>
            <w:r>
              <w:rPr>
                <w:rFonts w:cs="Arial"/>
                <w:szCs w:val="20"/>
              </w:rPr>
              <w:t>93</w:t>
            </w:r>
          </w:p>
        </w:tc>
        <w:tc>
          <w:tcPr>
            <w:tcW w:w="587" w:type="pct"/>
            <w:tcBorders>
              <w:top w:val="nil"/>
              <w:bottom w:val="nil"/>
            </w:tcBorders>
            <w:vAlign w:val="center"/>
          </w:tcPr>
          <w:p w:rsidR="00914DCF" w:rsidRDefault="00914DCF">
            <w:pPr>
              <w:jc w:val="center"/>
              <w:rPr>
                <w:rFonts w:cs="Arial"/>
                <w:szCs w:val="20"/>
              </w:rPr>
            </w:pPr>
            <w:r>
              <w:rPr>
                <w:rFonts w:cs="Arial"/>
                <w:szCs w:val="20"/>
              </w:rPr>
              <w:t>75</w:t>
            </w:r>
          </w:p>
        </w:tc>
      </w:tr>
      <w:tr w:rsidR="00914DCF" w:rsidRPr="00405CDE" w:rsidTr="00A226E9">
        <w:trPr>
          <w:trHeight w:val="510"/>
        </w:trPr>
        <w:tc>
          <w:tcPr>
            <w:tcW w:w="1152" w:type="pct"/>
            <w:tcBorders>
              <w:top w:val="nil"/>
              <w:bottom w:val="nil"/>
            </w:tcBorders>
            <w:vAlign w:val="center"/>
          </w:tcPr>
          <w:p w:rsidR="00914DCF" w:rsidRDefault="00914DCF">
            <w:pPr>
              <w:rPr>
                <w:rFonts w:cs="Arial"/>
                <w:sz w:val="20"/>
                <w:szCs w:val="20"/>
              </w:rPr>
            </w:pPr>
            <w:r>
              <w:rPr>
                <w:rFonts w:cs="Arial"/>
                <w:sz w:val="20"/>
                <w:szCs w:val="20"/>
              </w:rPr>
              <w:t>Ex post price ($/GJ)</w:t>
            </w:r>
          </w:p>
        </w:tc>
        <w:tc>
          <w:tcPr>
            <w:tcW w:w="589" w:type="pct"/>
            <w:tcBorders>
              <w:top w:val="nil"/>
              <w:bottom w:val="nil"/>
            </w:tcBorders>
            <w:vAlign w:val="center"/>
          </w:tcPr>
          <w:p w:rsidR="00914DCF" w:rsidRDefault="00914DCF">
            <w:pPr>
              <w:jc w:val="center"/>
              <w:rPr>
                <w:rFonts w:cs="Arial"/>
                <w:sz w:val="20"/>
                <w:szCs w:val="20"/>
              </w:rPr>
            </w:pPr>
            <w:r>
              <w:rPr>
                <w:rFonts w:cs="Arial"/>
                <w:sz w:val="20"/>
                <w:szCs w:val="20"/>
              </w:rPr>
              <w:t>7.49</w:t>
            </w:r>
          </w:p>
        </w:tc>
        <w:tc>
          <w:tcPr>
            <w:tcW w:w="516" w:type="pct"/>
            <w:tcBorders>
              <w:top w:val="nil"/>
              <w:bottom w:val="nil"/>
            </w:tcBorders>
            <w:vAlign w:val="center"/>
          </w:tcPr>
          <w:p w:rsidR="00914DCF" w:rsidRDefault="00914DCF">
            <w:pPr>
              <w:jc w:val="center"/>
              <w:rPr>
                <w:rFonts w:cs="Arial"/>
                <w:sz w:val="20"/>
                <w:szCs w:val="20"/>
              </w:rPr>
            </w:pPr>
            <w:r>
              <w:rPr>
                <w:rFonts w:cs="Arial"/>
                <w:sz w:val="20"/>
                <w:szCs w:val="20"/>
              </w:rPr>
              <w:t>7.48</w:t>
            </w:r>
          </w:p>
        </w:tc>
        <w:tc>
          <w:tcPr>
            <w:tcW w:w="598" w:type="pct"/>
            <w:tcBorders>
              <w:top w:val="nil"/>
              <w:bottom w:val="nil"/>
            </w:tcBorders>
            <w:vAlign w:val="center"/>
          </w:tcPr>
          <w:p w:rsidR="00914DCF" w:rsidRDefault="00914DCF">
            <w:pPr>
              <w:jc w:val="center"/>
              <w:rPr>
                <w:rFonts w:cs="Arial"/>
                <w:sz w:val="20"/>
                <w:szCs w:val="20"/>
              </w:rPr>
            </w:pPr>
            <w:r>
              <w:rPr>
                <w:rFonts w:cs="Arial"/>
                <w:sz w:val="20"/>
                <w:szCs w:val="20"/>
              </w:rPr>
              <w:t>7.62</w:t>
            </w:r>
          </w:p>
        </w:tc>
        <w:tc>
          <w:tcPr>
            <w:tcW w:w="525" w:type="pct"/>
            <w:tcBorders>
              <w:top w:val="nil"/>
              <w:bottom w:val="nil"/>
            </w:tcBorders>
            <w:vAlign w:val="center"/>
          </w:tcPr>
          <w:p w:rsidR="00914DCF" w:rsidRDefault="00914DCF">
            <w:pPr>
              <w:jc w:val="center"/>
              <w:rPr>
                <w:rFonts w:cs="Arial"/>
                <w:sz w:val="20"/>
                <w:szCs w:val="20"/>
              </w:rPr>
            </w:pPr>
            <w:r>
              <w:rPr>
                <w:rFonts w:cs="Arial"/>
                <w:sz w:val="20"/>
                <w:szCs w:val="20"/>
              </w:rPr>
              <w:t>7.45</w:t>
            </w:r>
          </w:p>
        </w:tc>
        <w:tc>
          <w:tcPr>
            <w:tcW w:w="518" w:type="pct"/>
            <w:tcBorders>
              <w:top w:val="nil"/>
              <w:bottom w:val="nil"/>
            </w:tcBorders>
            <w:vAlign w:val="center"/>
          </w:tcPr>
          <w:p w:rsidR="00914DCF" w:rsidRDefault="00914DCF">
            <w:pPr>
              <w:jc w:val="center"/>
              <w:rPr>
                <w:rFonts w:cs="Arial"/>
                <w:sz w:val="20"/>
                <w:szCs w:val="20"/>
              </w:rPr>
            </w:pPr>
            <w:r>
              <w:rPr>
                <w:rFonts w:cs="Arial"/>
                <w:sz w:val="20"/>
                <w:szCs w:val="20"/>
              </w:rPr>
              <w:t>7.49</w:t>
            </w:r>
          </w:p>
        </w:tc>
        <w:tc>
          <w:tcPr>
            <w:tcW w:w="515" w:type="pct"/>
            <w:tcBorders>
              <w:top w:val="nil"/>
              <w:bottom w:val="nil"/>
            </w:tcBorders>
            <w:vAlign w:val="center"/>
          </w:tcPr>
          <w:p w:rsidR="00914DCF" w:rsidRDefault="00914DCF">
            <w:pPr>
              <w:jc w:val="center"/>
              <w:rPr>
                <w:rFonts w:cs="Arial"/>
                <w:sz w:val="20"/>
                <w:szCs w:val="20"/>
              </w:rPr>
            </w:pPr>
            <w:r>
              <w:rPr>
                <w:rFonts w:cs="Arial"/>
                <w:sz w:val="20"/>
                <w:szCs w:val="20"/>
              </w:rPr>
              <w:t>7.60</w:t>
            </w:r>
          </w:p>
        </w:tc>
        <w:tc>
          <w:tcPr>
            <w:tcW w:w="587" w:type="pct"/>
            <w:tcBorders>
              <w:top w:val="nil"/>
              <w:bottom w:val="nil"/>
            </w:tcBorders>
            <w:vAlign w:val="center"/>
          </w:tcPr>
          <w:p w:rsidR="00914DCF" w:rsidRDefault="00914DCF">
            <w:pPr>
              <w:jc w:val="center"/>
              <w:rPr>
                <w:rFonts w:cs="Arial"/>
                <w:sz w:val="20"/>
                <w:szCs w:val="20"/>
              </w:rPr>
            </w:pPr>
            <w:r>
              <w:rPr>
                <w:rFonts w:cs="Arial"/>
                <w:sz w:val="20"/>
                <w:szCs w:val="20"/>
              </w:rPr>
              <w:t>7.77</w:t>
            </w:r>
          </w:p>
        </w:tc>
      </w:tr>
      <w:tr w:rsidR="00914DCF" w:rsidRPr="00405CDE" w:rsidTr="00A226E9">
        <w:trPr>
          <w:cnfStyle w:val="000000010000" w:firstRow="0" w:lastRow="0" w:firstColumn="0" w:lastColumn="0" w:oddVBand="0" w:evenVBand="0" w:oddHBand="0" w:evenHBand="1" w:firstRowFirstColumn="0" w:firstRowLastColumn="0" w:lastRowFirstColumn="0" w:lastRowLastColumn="0"/>
          <w:trHeight w:val="510"/>
        </w:trPr>
        <w:tc>
          <w:tcPr>
            <w:tcW w:w="1152" w:type="pct"/>
            <w:tcBorders>
              <w:top w:val="nil"/>
              <w:bottom w:val="single" w:sz="4" w:space="0" w:color="auto"/>
            </w:tcBorders>
            <w:vAlign w:val="center"/>
          </w:tcPr>
          <w:p w:rsidR="00914DCF" w:rsidRDefault="00914DCF">
            <w:pPr>
              <w:rPr>
                <w:rFonts w:cs="Arial"/>
                <w:szCs w:val="20"/>
              </w:rPr>
            </w:pPr>
            <w:r>
              <w:rPr>
                <w:rFonts w:cs="Arial"/>
                <w:szCs w:val="20"/>
              </w:rPr>
              <w:t>Ex post quantity (TJ)</w:t>
            </w:r>
          </w:p>
        </w:tc>
        <w:tc>
          <w:tcPr>
            <w:tcW w:w="589" w:type="pct"/>
            <w:tcBorders>
              <w:top w:val="nil"/>
              <w:bottom w:val="single" w:sz="4" w:space="0" w:color="auto"/>
            </w:tcBorders>
            <w:vAlign w:val="center"/>
          </w:tcPr>
          <w:p w:rsidR="00914DCF" w:rsidRDefault="00914DCF">
            <w:pPr>
              <w:jc w:val="center"/>
              <w:rPr>
                <w:rFonts w:cs="Arial"/>
                <w:szCs w:val="20"/>
              </w:rPr>
            </w:pPr>
            <w:r>
              <w:rPr>
                <w:rFonts w:cs="Arial"/>
                <w:szCs w:val="20"/>
              </w:rPr>
              <w:t>80</w:t>
            </w:r>
          </w:p>
        </w:tc>
        <w:tc>
          <w:tcPr>
            <w:tcW w:w="516" w:type="pct"/>
            <w:tcBorders>
              <w:top w:val="nil"/>
              <w:bottom w:val="single" w:sz="4" w:space="0" w:color="auto"/>
            </w:tcBorders>
            <w:vAlign w:val="center"/>
          </w:tcPr>
          <w:p w:rsidR="00914DCF" w:rsidRDefault="00914DCF">
            <w:pPr>
              <w:jc w:val="center"/>
              <w:rPr>
                <w:rFonts w:cs="Arial"/>
                <w:szCs w:val="20"/>
              </w:rPr>
            </w:pPr>
            <w:r>
              <w:rPr>
                <w:rFonts w:cs="Arial"/>
                <w:szCs w:val="20"/>
              </w:rPr>
              <w:t>95</w:t>
            </w:r>
          </w:p>
        </w:tc>
        <w:tc>
          <w:tcPr>
            <w:tcW w:w="598" w:type="pct"/>
            <w:tcBorders>
              <w:top w:val="nil"/>
              <w:bottom w:val="single" w:sz="4" w:space="0" w:color="auto"/>
            </w:tcBorders>
            <w:vAlign w:val="center"/>
          </w:tcPr>
          <w:p w:rsidR="00914DCF" w:rsidRDefault="00914DCF">
            <w:pPr>
              <w:jc w:val="center"/>
              <w:rPr>
                <w:rFonts w:cs="Arial"/>
                <w:szCs w:val="20"/>
              </w:rPr>
            </w:pPr>
            <w:r>
              <w:rPr>
                <w:rFonts w:cs="Arial"/>
                <w:szCs w:val="20"/>
              </w:rPr>
              <w:t>96</w:t>
            </w:r>
          </w:p>
        </w:tc>
        <w:tc>
          <w:tcPr>
            <w:tcW w:w="525" w:type="pct"/>
            <w:tcBorders>
              <w:top w:val="nil"/>
              <w:bottom w:val="single" w:sz="4" w:space="0" w:color="auto"/>
            </w:tcBorders>
            <w:vAlign w:val="center"/>
          </w:tcPr>
          <w:p w:rsidR="00914DCF" w:rsidRDefault="00914DCF">
            <w:pPr>
              <w:jc w:val="center"/>
              <w:rPr>
                <w:rFonts w:cs="Arial"/>
                <w:szCs w:val="20"/>
              </w:rPr>
            </w:pPr>
            <w:r>
              <w:rPr>
                <w:rFonts w:cs="Arial"/>
                <w:szCs w:val="20"/>
              </w:rPr>
              <w:t>96</w:t>
            </w:r>
          </w:p>
        </w:tc>
        <w:tc>
          <w:tcPr>
            <w:tcW w:w="518" w:type="pct"/>
            <w:tcBorders>
              <w:top w:val="nil"/>
              <w:bottom w:val="single" w:sz="4" w:space="0" w:color="auto"/>
            </w:tcBorders>
            <w:vAlign w:val="center"/>
          </w:tcPr>
          <w:p w:rsidR="00914DCF" w:rsidRDefault="00914DCF">
            <w:pPr>
              <w:jc w:val="center"/>
              <w:rPr>
                <w:rFonts w:cs="Arial"/>
                <w:szCs w:val="20"/>
              </w:rPr>
            </w:pPr>
            <w:r>
              <w:rPr>
                <w:rFonts w:cs="Arial"/>
                <w:szCs w:val="20"/>
              </w:rPr>
              <w:t>95</w:t>
            </w:r>
          </w:p>
        </w:tc>
        <w:tc>
          <w:tcPr>
            <w:tcW w:w="515" w:type="pct"/>
            <w:tcBorders>
              <w:top w:val="nil"/>
              <w:bottom w:val="single" w:sz="4" w:space="0" w:color="auto"/>
            </w:tcBorders>
            <w:vAlign w:val="center"/>
          </w:tcPr>
          <w:p w:rsidR="00914DCF" w:rsidRDefault="00914DCF">
            <w:pPr>
              <w:jc w:val="center"/>
              <w:rPr>
                <w:rFonts w:cs="Arial"/>
                <w:szCs w:val="20"/>
              </w:rPr>
            </w:pPr>
            <w:r>
              <w:rPr>
                <w:rFonts w:cs="Arial"/>
                <w:szCs w:val="20"/>
              </w:rPr>
              <w:t>85</w:t>
            </w:r>
          </w:p>
        </w:tc>
        <w:tc>
          <w:tcPr>
            <w:tcW w:w="587" w:type="pct"/>
            <w:tcBorders>
              <w:top w:val="nil"/>
              <w:bottom w:val="single" w:sz="4" w:space="0" w:color="auto"/>
            </w:tcBorders>
            <w:vAlign w:val="center"/>
          </w:tcPr>
          <w:p w:rsidR="00914DCF" w:rsidRDefault="00914DCF">
            <w:pPr>
              <w:jc w:val="center"/>
              <w:rPr>
                <w:rFonts w:cs="Arial"/>
                <w:szCs w:val="20"/>
              </w:rPr>
            </w:pPr>
            <w:r>
              <w:rPr>
                <w:rFonts w:cs="Arial"/>
                <w:szCs w:val="20"/>
              </w:rPr>
              <w:t>77</w:t>
            </w:r>
          </w:p>
        </w:tc>
      </w:tr>
    </w:tbl>
    <w:p w:rsidR="004C571B" w:rsidRDefault="00EC2CB1" w:rsidP="00E16EDC">
      <w:pPr>
        <w:pStyle w:val="Caption"/>
        <w:numPr>
          <w:ilvl w:val="0"/>
          <w:numId w:val="32"/>
        </w:numPr>
        <w:ind w:left="709" w:hanging="709"/>
        <w:rPr>
          <w:color w:val="2272A3"/>
          <w:szCs w:val="24"/>
        </w:rPr>
      </w:pPr>
      <w:r w:rsidRPr="00DD0358">
        <w:rPr>
          <w:color w:val="2272A3"/>
          <w:szCs w:val="24"/>
        </w:rPr>
        <w:t>BRI daily hub offers and daily hub bids in price bands ($/GJ)</w:t>
      </w:r>
    </w:p>
    <w:p w:rsidR="00EC2CB1" w:rsidRPr="00EC2CB1" w:rsidRDefault="00914DCF" w:rsidP="00EC2CB1">
      <w:r w:rsidRPr="00914DCF">
        <w:rPr>
          <w:noProof/>
          <w:lang w:eastAsia="en-AU"/>
        </w:rPr>
        <w:drawing>
          <wp:inline distT="0" distB="0" distL="0" distR="0" wp14:anchorId="40526D6D" wp14:editId="353CC032">
            <wp:extent cx="5731510" cy="1725905"/>
            <wp:effectExtent l="0" t="0" r="2540" b="0"/>
            <wp:docPr id="34" name="Picture 34" descr="Figure 4.2 shows the daily hub offers and bid in within certain price bands in Brisbane this week. The line indicates the scheduled quantity for each day. For a more detailed description of this figure, please refer to the user guide." title="Brisbane daily offers and b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725905"/>
                    </a:xfrm>
                    <a:prstGeom prst="rect">
                      <a:avLst/>
                    </a:prstGeom>
                    <a:noFill/>
                    <a:ln>
                      <a:noFill/>
                    </a:ln>
                  </pic:spPr>
                </pic:pic>
              </a:graphicData>
            </a:graphic>
          </wp:inline>
        </w:drawing>
      </w:r>
    </w:p>
    <w:p w:rsidR="00EC2CB1" w:rsidRDefault="00EC2CB1" w:rsidP="00EC2CB1">
      <w:pPr>
        <w:pStyle w:val="Caption"/>
        <w:numPr>
          <w:ilvl w:val="0"/>
          <w:numId w:val="32"/>
        </w:numPr>
        <w:ind w:left="709" w:hanging="709"/>
        <w:rPr>
          <w:color w:val="2272A3"/>
          <w:szCs w:val="24"/>
        </w:rPr>
      </w:pPr>
      <w:r w:rsidRPr="00DD0358">
        <w:rPr>
          <w:color w:val="2272A3"/>
          <w:szCs w:val="24"/>
        </w:rPr>
        <w:t>BRI net scheduled and allocated gas hub supply (excluding MOS)</w:t>
      </w:r>
    </w:p>
    <w:p w:rsidR="00EC2CB1" w:rsidRPr="00EC2CB1" w:rsidRDefault="00C43C7F" w:rsidP="00EC2CB1">
      <w:r w:rsidRPr="00C43C7F">
        <w:rPr>
          <w:noProof/>
          <w:lang w:eastAsia="en-AU"/>
        </w:rPr>
        <w:drawing>
          <wp:inline distT="0" distB="0" distL="0" distR="0" wp14:anchorId="29325C17" wp14:editId="0C03A504">
            <wp:extent cx="5731510" cy="1475616"/>
            <wp:effectExtent l="0" t="0" r="2540" b="0"/>
            <wp:docPr id="5" name="Picture 5" descr="Figure 4.3 shows the daily scheduled and allocated quantities sorted by facility for Brisbane this week. For a more detailed description of this figure, please refer to the user guide." title="Brisbane scheduled and allocated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1475616"/>
                    </a:xfrm>
                    <a:prstGeom prst="rect">
                      <a:avLst/>
                    </a:prstGeom>
                    <a:noFill/>
                    <a:ln>
                      <a:noFill/>
                    </a:ln>
                  </pic:spPr>
                </pic:pic>
              </a:graphicData>
            </a:graphic>
          </wp:inline>
        </w:drawing>
      </w:r>
    </w:p>
    <w:p w:rsidR="00EC2CB1" w:rsidRPr="001521CB" w:rsidRDefault="00EC2CB1" w:rsidP="00551D6B">
      <w:pPr>
        <w:pStyle w:val="Caption"/>
        <w:numPr>
          <w:ilvl w:val="0"/>
          <w:numId w:val="32"/>
        </w:numPr>
        <w:ind w:left="1418" w:hanging="1418"/>
      </w:pPr>
      <w:r w:rsidRPr="00DD0358">
        <w:rPr>
          <w:color w:val="2272A3"/>
          <w:szCs w:val="24"/>
        </w:rPr>
        <w:t>BRI MOS allocations (TJ), service payments and commodity payments/charges ($000)</w:t>
      </w:r>
    </w:p>
    <w:p w:rsidR="00551D6B" w:rsidRPr="00A226E9" w:rsidRDefault="00914DCF" w:rsidP="00A226E9">
      <w:r w:rsidRPr="00914DCF">
        <w:rPr>
          <w:noProof/>
          <w:lang w:eastAsia="en-AU"/>
        </w:rPr>
        <w:drawing>
          <wp:inline distT="0" distB="0" distL="0" distR="0" wp14:anchorId="0CBF5621" wp14:editId="2357F958">
            <wp:extent cx="5731510" cy="1883137"/>
            <wp:effectExtent l="0" t="0" r="2540" b="3175"/>
            <wp:docPr id="36" name="Picture 36" descr="Figure 4.4 shows the daily MOS allocations sorted by facility for each facility in Brisbane this week. The figure also shows the daily breakdown of costs associated with the MOS provided. For a more detailed description of this figure, please refer to the user guide." title="Brisbane MOS al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1883137"/>
                    </a:xfrm>
                    <a:prstGeom prst="rect">
                      <a:avLst/>
                    </a:prstGeom>
                    <a:noFill/>
                    <a:ln>
                      <a:noFill/>
                    </a:ln>
                  </pic:spPr>
                </pic:pic>
              </a:graphicData>
            </a:graphic>
          </wp:inline>
        </w:drawing>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5</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National Gas Bulletin Board</w:t>
      </w:r>
    </w:p>
    <w:p w:rsidR="00596DE3" w:rsidRDefault="00596DE3" w:rsidP="00596DE3">
      <w:pPr>
        <w:jc w:val="both"/>
      </w:pPr>
      <w:r w:rsidRPr="00A475A2">
        <w:t xml:space="preserve">Figure </w:t>
      </w:r>
      <w:r>
        <w:t>5</w:t>
      </w:r>
      <w:r w:rsidRPr="00A475A2">
        <w:t xml:space="preserve">.1 shows average daily </w:t>
      </w:r>
      <w:r>
        <w:t xml:space="preserve">actual </w:t>
      </w:r>
      <w:r w:rsidRPr="00A475A2">
        <w:t>flows for the current week</w:t>
      </w:r>
      <w:r>
        <w:rPr>
          <w:rStyle w:val="FootnoteReference"/>
        </w:rPr>
        <w:footnoteReference w:id="11"/>
      </w:r>
      <w:r>
        <w:t xml:space="preserve"> from </w:t>
      </w:r>
      <w:r w:rsidRPr="00A475A2">
        <w:t xml:space="preserve">the Bulletin Board (changes from the </w:t>
      </w:r>
      <w:r>
        <w:t>previous week’s</w:t>
      </w:r>
      <w:r w:rsidRPr="00A475A2">
        <w:t xml:space="preserve"> average are shown in brackets).</w:t>
      </w:r>
      <w:r w:rsidRPr="00DF25FF">
        <w:t xml:space="preserve"> </w:t>
      </w:r>
      <w:r>
        <w:t>Average daily prices</w:t>
      </w:r>
      <w:r>
        <w:rPr>
          <w:rStyle w:val="FootnoteReference"/>
        </w:rPr>
        <w:footnoteReference w:id="12"/>
      </w:r>
      <w:r>
        <w:t xml:space="preserve"> are provided for gas markets and gas supply hubs. Average daily quantities are provided for gas powered generation for each region.</w:t>
      </w:r>
    </w:p>
    <w:p w:rsidR="00596DE3" w:rsidRDefault="00596DE3" w:rsidP="00596DE3">
      <w:pPr>
        <w:pStyle w:val="Caption"/>
        <w:numPr>
          <w:ilvl w:val="0"/>
          <w:numId w:val="33"/>
        </w:numPr>
        <w:ind w:left="1418" w:hanging="1418"/>
        <w:rPr>
          <w:color w:val="2272A3"/>
          <w:szCs w:val="24"/>
        </w:rPr>
      </w:pPr>
      <w:r w:rsidRPr="00DD0358">
        <w:rPr>
          <w:color w:val="2272A3"/>
          <w:szCs w:val="24"/>
        </w:rPr>
        <w:t xml:space="preserve">Gas market data ($/GJ, TJ); </w:t>
      </w:r>
      <w:r>
        <w:rPr>
          <w:color w:val="2272A3"/>
          <w:szCs w:val="24"/>
        </w:rPr>
        <w:t>Bulletin Board</w:t>
      </w:r>
      <w:r w:rsidRPr="00DD0358">
        <w:rPr>
          <w:color w:val="2272A3"/>
          <w:szCs w:val="24"/>
        </w:rPr>
        <w:t xml:space="preserve"> flows (TJ)</w:t>
      </w:r>
      <w:r>
        <w:rPr>
          <w:rStyle w:val="FootnoteReference"/>
          <w:color w:val="2272A3"/>
          <w:szCs w:val="24"/>
        </w:rPr>
        <w:footnoteReference w:id="13"/>
      </w:r>
    </w:p>
    <w:p w:rsidR="00665C0C" w:rsidRDefault="00914DCF" w:rsidP="00596DE3">
      <w:pPr>
        <w:spacing w:line="240" w:lineRule="auto"/>
      </w:pPr>
      <w:r w:rsidRPr="00914DCF">
        <w:rPr>
          <w:noProof/>
          <w:lang w:eastAsia="en-AU"/>
        </w:rPr>
        <w:drawing>
          <wp:inline distT="0" distB="0" distL="0" distR="0" wp14:anchorId="6CDC18E5" wp14:editId="52B3F144">
            <wp:extent cx="5731510" cy="6276637"/>
            <wp:effectExtent l="0" t="0" r="2540" b="0"/>
            <wp:docPr id="37" name="Picture 37" descr="Figure 5.1 shows the average daily Bulletin Board flows for this week compared to the previous week. It includes price data for gas markets across the east coast of Australia and gas powered generation usage estimates for each state. For a more detailed description of this figure, please refer to the user guide." title="Gas bulletin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6276637"/>
                    </a:xfrm>
                    <a:prstGeom prst="rect">
                      <a:avLst/>
                    </a:prstGeom>
                    <a:noFill/>
                    <a:ln>
                      <a:noFill/>
                    </a:ln>
                  </pic:spPr>
                </pic:pic>
              </a:graphicData>
            </a:graphic>
          </wp:inline>
        </w:drawing>
      </w:r>
      <w:r w:rsidR="00665C0C">
        <w:rPr>
          <w:b/>
          <w:bCs/>
        </w:rPr>
        <w:br w:type="page"/>
      </w:r>
    </w:p>
    <w:p w:rsidR="00EC2CB1" w:rsidRDefault="00EC2CB1" w:rsidP="00EC2CB1">
      <w:pPr>
        <w:pStyle w:val="Heading3"/>
        <w:rPr>
          <w:rFonts w:eastAsia="Times New Roman" w:cs="Times New Roman"/>
          <w:color w:val="2272A3" w:themeColor="accent4" w:themeShade="80"/>
          <w:sz w:val="32"/>
          <w:szCs w:val="20"/>
        </w:rPr>
      </w:pPr>
      <w:r>
        <w:rPr>
          <w:rFonts w:eastAsia="Times New Roman" w:cs="Times New Roman"/>
          <w:color w:val="2272A3" w:themeColor="accent4" w:themeShade="80"/>
          <w:sz w:val="32"/>
          <w:szCs w:val="20"/>
        </w:rPr>
        <w:lastRenderedPageBreak/>
        <w:t>6</w:t>
      </w:r>
      <w:r w:rsidRPr="003171C6">
        <w:rPr>
          <w:rFonts w:eastAsia="Times New Roman" w:cs="Times New Roman"/>
          <w:color w:val="2272A3" w:themeColor="accent4" w:themeShade="80"/>
          <w:sz w:val="32"/>
          <w:szCs w:val="20"/>
        </w:rPr>
        <w:t xml:space="preserve">. </w:t>
      </w:r>
      <w:r>
        <w:rPr>
          <w:rFonts w:eastAsia="Times New Roman" w:cs="Times New Roman"/>
          <w:color w:val="2272A3" w:themeColor="accent4" w:themeShade="80"/>
          <w:sz w:val="32"/>
          <w:szCs w:val="20"/>
        </w:rPr>
        <w:t>Gas Supply Hub</w:t>
      </w:r>
    </w:p>
    <w:p w:rsidR="00596DE3" w:rsidRDefault="00596DE3" w:rsidP="00596DE3">
      <w:pPr>
        <w:jc w:val="both"/>
        <w:rPr>
          <w:color w:val="FF0000"/>
        </w:rPr>
      </w:pPr>
      <w:r w:rsidRPr="00DD0DBA">
        <w:t xml:space="preserve">The gas supply hub was established at Wallumbilla in March 2014 to facilitate the voluntary trading of gas between participants, with products listed for sale and purchase at delivery points on three major connecting pipelines at. </w:t>
      </w:r>
      <w:r w:rsidRPr="00552F68">
        <w:t xml:space="preserve">There are separate products for each </w:t>
      </w:r>
      <w:r>
        <w:t>trading location</w:t>
      </w:r>
      <w:r w:rsidRPr="00552F68">
        <w:t xml:space="preserve"> and delivery period (daily, day-ahead, balance-of-day, weekly and monthly products).</w:t>
      </w:r>
      <w:r>
        <w:rPr>
          <w:rStyle w:val="FootnoteReference"/>
        </w:rPr>
        <w:footnoteReference w:id="14"/>
      </w:r>
      <w:r w:rsidRPr="00552F68">
        <w:rPr>
          <w:color w:val="FF0000"/>
        </w:rPr>
        <w:t xml:space="preserve"> </w:t>
      </w:r>
    </w:p>
    <w:p w:rsidR="009E5613" w:rsidRPr="00965C31" w:rsidRDefault="00596DE3" w:rsidP="00551D6B">
      <w:pPr>
        <w:jc w:val="both"/>
      </w:pPr>
      <w:r w:rsidRPr="00DD0DBA">
        <w:t xml:space="preserve">The Moomba hub commenced operation from June 2016 to further facilitate trading on the </w:t>
      </w:r>
      <w:r w:rsidRPr="00DD0DBA">
        <w:rPr>
          <w:b/>
        </w:rPr>
        <w:t>MAP</w:t>
      </w:r>
      <w:r w:rsidRPr="00DD0DBA">
        <w:t xml:space="preserve"> and </w:t>
      </w:r>
      <w:r w:rsidRPr="00DD0DBA">
        <w:rPr>
          <w:b/>
        </w:rPr>
        <w:t>MSP</w:t>
      </w:r>
      <w:r w:rsidRPr="00DD0DBA">
        <w:t xml:space="preserve">, with trading between the two hubs </w:t>
      </w:r>
      <w:r>
        <w:t xml:space="preserve">on </w:t>
      </w:r>
      <w:r w:rsidRPr="00DD0DBA">
        <w:t>the SWQP</w:t>
      </w:r>
      <w:r>
        <w:t xml:space="preserve"> via a spread product (representing the price differential between the hubs). From October 2016, the addition of a Wallumbilla Compression Product was introduced to facilitate</w:t>
      </w:r>
      <w:r w:rsidRPr="003804B2">
        <w:t xml:space="preserve"> </w:t>
      </w:r>
      <w:r>
        <w:t xml:space="preserve">the supply </w:t>
      </w:r>
      <w:r w:rsidRPr="004A7BD7">
        <w:t>hub’s transition from three different trading locations into one</w:t>
      </w:r>
      <w:r>
        <w:t xml:space="preserve">. </w:t>
      </w:r>
      <w:r w:rsidR="00760B4D">
        <w:t>From March 2017, Wallumbilla transitioned into an optional hub services model, replacing the three trading locations (QGP, SWQP and RB</w:t>
      </w:r>
      <w:r w:rsidR="00B050A6">
        <w:t>P</w:t>
      </w:r>
      <w:r w:rsidR="00760B4D">
        <w:t xml:space="preserve">) with a single product at Wallumbilla </w:t>
      </w:r>
      <w:r w:rsidR="00760B4D">
        <w:rPr>
          <w:b/>
        </w:rPr>
        <w:t>(WAL)</w:t>
      </w:r>
      <w:r w:rsidR="00760B4D">
        <w:t xml:space="preserve"> and an in-pipe RBP trading location at South East Queensland </w:t>
      </w:r>
      <w:r w:rsidR="00760B4D">
        <w:rPr>
          <w:b/>
        </w:rPr>
        <w:t>(SEQ)</w:t>
      </w:r>
      <w:r w:rsidR="00760B4D">
        <w:t>.</w:t>
      </w:r>
    </w:p>
    <w:p w:rsidR="00AC4BF5" w:rsidRPr="002A4FBE" w:rsidRDefault="00AA5C9D" w:rsidP="00551D6B">
      <w:pPr>
        <w:jc w:val="both"/>
      </w:pPr>
      <w:r w:rsidRPr="002A4FBE">
        <w:t>This week (in contrast to the previous week)</w:t>
      </w:r>
      <w:r w:rsidR="009E5613" w:rsidRPr="002A4FBE">
        <w:t xml:space="preserve"> </w:t>
      </w:r>
      <w:r w:rsidRPr="002A4FBE">
        <w:t xml:space="preserve">most gas was traded on-market. </w:t>
      </w:r>
      <w:r w:rsidR="00965C31" w:rsidRPr="002A4FBE">
        <w:t xml:space="preserve">In total, </w:t>
      </w:r>
      <w:r w:rsidR="009E5613" w:rsidRPr="002A4FBE">
        <w:t>there were 49 trades for 396</w:t>
      </w:r>
      <w:r w:rsidR="00366910" w:rsidRPr="002A4FBE">
        <w:t> TJ of gas at</w:t>
      </w:r>
      <w:r w:rsidR="009E5613" w:rsidRPr="002A4FBE">
        <w:t xml:space="preserve"> a volume weighted price of $</w:t>
      </w:r>
      <w:r w:rsidR="00366910" w:rsidRPr="002A4FBE">
        <w:t>7</w:t>
      </w:r>
      <w:r w:rsidR="009E5613" w:rsidRPr="002A4FBE">
        <w:t>.</w:t>
      </w:r>
      <w:r w:rsidR="002A4FBE" w:rsidRPr="002A4FBE">
        <w:t>89</w:t>
      </w:r>
      <w:r w:rsidR="009E5613" w:rsidRPr="002A4FBE">
        <w:t>/GJ. These consisted of 32</w:t>
      </w:r>
      <w:r w:rsidR="00366910" w:rsidRPr="002A4FBE">
        <w:t xml:space="preserve"> trades </w:t>
      </w:r>
      <w:r w:rsidR="009E5613" w:rsidRPr="002A4FBE">
        <w:t>at WAL (314</w:t>
      </w:r>
      <w:r w:rsidRPr="002A4FBE">
        <w:t> TJ at $</w:t>
      </w:r>
      <w:r w:rsidR="002A4FBE" w:rsidRPr="002A4FBE">
        <w:t>8</w:t>
      </w:r>
      <w:r w:rsidR="009E5613" w:rsidRPr="002A4FBE">
        <w:t>/GJ) and 17 trades at SEQ (82</w:t>
      </w:r>
      <w:r w:rsidR="00366910" w:rsidRPr="002A4FBE">
        <w:t> </w:t>
      </w:r>
      <w:r w:rsidRPr="002A4FBE">
        <w:t>TJ at $</w:t>
      </w:r>
      <w:r w:rsidR="002A4FBE" w:rsidRPr="002A4FBE">
        <w:t>7.44</w:t>
      </w:r>
      <w:r w:rsidR="00366910" w:rsidRPr="002A4FBE">
        <w:t>/GJ).</w:t>
      </w:r>
    </w:p>
    <w:p w:rsidR="000C1A94" w:rsidRPr="00E06937" w:rsidRDefault="00596DE3" w:rsidP="00551D6B">
      <w:pPr>
        <w:jc w:val="both"/>
      </w:pPr>
      <w:r w:rsidRPr="00552F68">
        <w:t>Figure 6.1 shows the quantity of gas traded by product type for each trading day on pipeline trading locations in the Wallumbilla and Moomba Gas Supply Hubs.</w:t>
      </w:r>
      <w:r>
        <w:rPr>
          <w:rStyle w:val="FootnoteReference"/>
        </w:rPr>
        <w:footnoteReference w:id="15"/>
      </w:r>
    </w:p>
    <w:p w:rsidR="00E16EDC" w:rsidRDefault="00F65699" w:rsidP="00E16EDC">
      <w:pPr>
        <w:pStyle w:val="Caption"/>
        <w:numPr>
          <w:ilvl w:val="0"/>
          <w:numId w:val="34"/>
        </w:numPr>
        <w:ind w:left="709" w:hanging="709"/>
        <w:rPr>
          <w:color w:val="2272A3"/>
          <w:szCs w:val="24"/>
        </w:rPr>
      </w:pPr>
      <w:r>
        <w:rPr>
          <w:color w:val="2272A3"/>
          <w:szCs w:val="24"/>
        </w:rPr>
        <w:t>GSH traded quantities</w:t>
      </w:r>
    </w:p>
    <w:p w:rsidR="00E16EDC" w:rsidRDefault="00914DCF" w:rsidP="00E16EDC">
      <w:r w:rsidRPr="00914DCF">
        <w:rPr>
          <w:noProof/>
          <w:lang w:eastAsia="en-AU"/>
        </w:rPr>
        <w:drawing>
          <wp:inline distT="0" distB="0" distL="0" distR="0" wp14:anchorId="29191539" wp14:editId="424FF2E4">
            <wp:extent cx="5731510" cy="3126794"/>
            <wp:effectExtent l="0" t="0" r="2540" b="0"/>
            <wp:docPr id="38" name="Picture 38" descr="Figure 6.1 shows the daily quantity of gas traded during the week at each trading location. In the Moomba hub, trading locations include registered facilities at MSP and MAP. Trades at the Wallumbilla trading location (WAL*) include netted and non-netted trades." title="Gas supply hub traded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3126794"/>
                    </a:xfrm>
                    <a:prstGeom prst="rect">
                      <a:avLst/>
                    </a:prstGeom>
                    <a:noFill/>
                    <a:ln>
                      <a:noFill/>
                    </a:ln>
                  </pic:spPr>
                </pic:pic>
              </a:graphicData>
            </a:graphic>
          </wp:inline>
        </w:drawing>
      </w:r>
    </w:p>
    <w:bookmarkEnd w:id="0"/>
    <w:bookmarkEnd w:id="1"/>
    <w:bookmarkEnd w:id="2"/>
    <w:bookmarkEnd w:id="3"/>
    <w:bookmarkEnd w:id="4"/>
    <w:bookmarkEnd w:id="5"/>
    <w:p w:rsidR="00275002" w:rsidRPr="009F2CAC" w:rsidRDefault="00275002" w:rsidP="00783D4E">
      <w:pPr>
        <w:pStyle w:val="Heading4notnumbered"/>
      </w:pPr>
      <w:r w:rsidRPr="00D92E07">
        <w:t>Australian Energy Regulator</w:t>
      </w:r>
      <w:r w:rsidR="005B0EF5" w:rsidRPr="00D92E07">
        <w:br/>
      </w:r>
      <w:r w:rsidR="002A4FBE">
        <w:t>June</w:t>
      </w:r>
      <w:r w:rsidR="004D5447" w:rsidRPr="00090F47">
        <w:t xml:space="preserve"> </w:t>
      </w:r>
      <w:r w:rsidR="00C4712A" w:rsidRPr="00090F47">
        <w:t>20</w:t>
      </w:r>
      <w:r w:rsidR="00280CAF" w:rsidRPr="00090F47">
        <w:t>17</w:t>
      </w:r>
    </w:p>
    <w:sectPr w:rsidR="00275002" w:rsidRPr="009F2CAC" w:rsidSect="00A226E9">
      <w:footerReference w:type="even" r:id="rId33"/>
      <w:footerReference w:type="default" r:id="rId34"/>
      <w:footerReference w:type="first" r:id="rId35"/>
      <w:pgSz w:w="11906" w:h="16838"/>
      <w:pgMar w:top="709" w:right="1440" w:bottom="851" w:left="1440" w:header="708" w:footer="8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1BC3" w:rsidRDefault="006F1BC3" w:rsidP="004B4412">
      <w:pPr>
        <w:spacing w:before="0"/>
      </w:pPr>
      <w:r>
        <w:separator/>
      </w:r>
    </w:p>
  </w:endnote>
  <w:endnote w:type="continuationSeparator" w:id="0">
    <w:p w:rsidR="006F1BC3" w:rsidRDefault="006F1BC3" w:rsidP="004B441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BC3" w:rsidRPr="00A91A9E" w:rsidRDefault="006F1BC3" w:rsidP="00275002">
    <w:pPr>
      <w:pBdr>
        <w:top w:val="single" w:sz="2" w:space="1" w:color="auto"/>
      </w:pBdr>
      <w:tabs>
        <w:tab w:val="right" w:pos="8448"/>
      </w:tabs>
      <w:rPr>
        <w:rStyle w:val="PageNumber"/>
      </w:rPr>
    </w:pPr>
    <w:r w:rsidRPr="00A91A9E">
      <w:rPr>
        <w:rStyle w:val="PageNumber"/>
      </w:rPr>
      <w:fldChar w:fldCharType="begin"/>
    </w:r>
    <w:r w:rsidRPr="00A91A9E">
      <w:rPr>
        <w:rStyle w:val="PageNumber"/>
      </w:rPr>
      <w:instrText xml:space="preserve"> PAGE   \* MERGEFORMAT </w:instrText>
    </w:r>
    <w:r w:rsidRPr="00A91A9E">
      <w:rPr>
        <w:rStyle w:val="PageNumber"/>
      </w:rPr>
      <w:fldChar w:fldCharType="separate"/>
    </w:r>
    <w:r>
      <w:rPr>
        <w:rStyle w:val="PageNumber"/>
        <w:noProof/>
      </w:rPr>
      <w:t>2</w:t>
    </w:r>
    <w:r w:rsidRPr="00A91A9E">
      <w:rPr>
        <w:rStyle w:val="PageNumber"/>
      </w:rPr>
      <w:fldChar w:fldCharType="end"/>
    </w:r>
    <w:r w:rsidRPr="00A91A9E">
      <w:rPr>
        <w:rStyle w:val="PageNumber"/>
      </w:rPr>
      <w:tab/>
      <w:t>Xxx report—month/year</w:t>
    </w:r>
  </w:p>
  <w:p w:rsidR="006F1BC3" w:rsidRDefault="006F1BC3"/>
  <w:p w:rsidR="006F1BC3" w:rsidRDefault="006F1B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BC3" w:rsidRPr="00A94D89" w:rsidRDefault="006F1BC3" w:rsidP="00A94D89">
    <w:pPr>
      <w:pStyle w:val="Footer"/>
      <w:pBdr>
        <w:top w:val="single" w:sz="4" w:space="1" w:color="auto"/>
      </w:pBdr>
      <w:rPr>
        <w:rFonts w:cs="Arial"/>
        <w:i/>
      </w:rPr>
    </w:pP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C45A0B">
      <w:rPr>
        <w:rFonts w:cs="Arial"/>
        <w:i/>
        <w:noProof/>
      </w:rPr>
      <w:t>10</w:t>
    </w:r>
    <w:r w:rsidRPr="001F1B78">
      <w:rPr>
        <w:rFonts w:cs="Arial"/>
        <w:i/>
        <w:noProof/>
      </w:rPr>
      <w:fldChar w:fldCharType="end"/>
    </w:r>
    <w:r w:rsidRPr="00F52F00">
      <w:rPr>
        <w:rFonts w:cs="Arial"/>
        <w:i/>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1BC3" w:rsidRPr="00A94D89" w:rsidRDefault="006F1BC3" w:rsidP="00A94D89">
    <w:pPr>
      <w:pStyle w:val="Footer"/>
      <w:pBdr>
        <w:top w:val="single" w:sz="4" w:space="1" w:color="auto"/>
      </w:pBdr>
      <w:rPr>
        <w:rFonts w:cs="Arial"/>
        <w:i/>
      </w:rPr>
    </w:pPr>
    <w:r w:rsidRPr="00F52F00">
      <w:rPr>
        <w:rFonts w:cs="Arial"/>
        <w:i/>
      </w:rPr>
      <w:t>© Commonwealth of Australia</w:t>
    </w:r>
    <w:r w:rsidRPr="00F52F00">
      <w:rPr>
        <w:rFonts w:cs="Arial"/>
        <w:i/>
      </w:rPr>
      <w:tab/>
    </w:r>
    <w:r w:rsidRPr="001F1B78">
      <w:rPr>
        <w:rFonts w:cs="Arial"/>
        <w:i/>
      </w:rPr>
      <w:fldChar w:fldCharType="begin"/>
    </w:r>
    <w:r w:rsidRPr="001F1B78">
      <w:rPr>
        <w:rFonts w:cs="Arial"/>
        <w:i/>
      </w:rPr>
      <w:instrText xml:space="preserve"> PAGE   \* MERGEFORMAT </w:instrText>
    </w:r>
    <w:r w:rsidRPr="001F1B78">
      <w:rPr>
        <w:rFonts w:cs="Arial"/>
        <w:i/>
      </w:rPr>
      <w:fldChar w:fldCharType="separate"/>
    </w:r>
    <w:r w:rsidR="00C45A0B">
      <w:rPr>
        <w:rFonts w:cs="Arial"/>
        <w:i/>
        <w:noProof/>
      </w:rPr>
      <w:t>1</w:t>
    </w:r>
    <w:r w:rsidRPr="001F1B78">
      <w:rPr>
        <w:rFonts w:cs="Arial"/>
        <w:i/>
        <w:noProof/>
      </w:rPr>
      <w:fldChar w:fldCharType="end"/>
    </w:r>
    <w:r w:rsidRPr="00F52F00">
      <w:rPr>
        <w:rFonts w:cs="Arial"/>
        <w:i/>
      </w:rPr>
      <w:tab/>
      <w:t>AER reference: 392</w:t>
    </w:r>
    <w:r>
      <w:rPr>
        <w:rFonts w:cs="Arial"/>
        <w:i/>
      </w:rPr>
      <w:t>7</w:t>
    </w:r>
    <w:r w:rsidRPr="00F52F00">
      <w:rPr>
        <w:rFonts w:cs="Arial"/>
        <w:i/>
      </w:rPr>
      <w:t xml:space="preserve">0 – </w:t>
    </w:r>
    <w:r w:rsidRPr="007F43CB">
      <w:rPr>
        <w:rFonts w:cs="Arial"/>
        <w:i/>
        <w:szCs w:val="18"/>
      </w:rPr>
      <w:t>D1</w:t>
    </w:r>
    <w:r>
      <w:rPr>
        <w:rFonts w:cs="Arial"/>
        <w:i/>
        <w:szCs w:val="18"/>
      </w:rPr>
      <w:t>7</w:t>
    </w:r>
    <w:r w:rsidRPr="007F43CB">
      <w:rPr>
        <w:rFonts w:cs="Arial"/>
        <w:i/>
        <w:szCs w:val="18"/>
      </w:rPr>
      <w:t>/</w:t>
    </w:r>
    <w:r w:rsidR="003F0D66">
      <w:rPr>
        <w:rFonts w:cs="Arial"/>
        <w:i/>
        <w:szCs w:val="18"/>
      </w:rPr>
      <w:t>81103</w:t>
    </w:r>
  </w:p>
  <w:p w:rsidR="006F1BC3" w:rsidRDefault="006F1B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1BC3" w:rsidRDefault="006F1BC3" w:rsidP="004B4412">
      <w:pPr>
        <w:spacing w:before="0"/>
      </w:pPr>
      <w:r>
        <w:separator/>
      </w:r>
    </w:p>
  </w:footnote>
  <w:footnote w:type="continuationSeparator" w:id="0">
    <w:p w:rsidR="006F1BC3" w:rsidRDefault="006F1BC3" w:rsidP="004B4412">
      <w:pPr>
        <w:spacing w:before="0"/>
      </w:pPr>
      <w:r>
        <w:continuationSeparator/>
      </w:r>
    </w:p>
  </w:footnote>
  <w:footnote w:id="1">
    <w:p w:rsidR="001C2995" w:rsidRDefault="001C2995" w:rsidP="001C2995">
      <w:pPr>
        <w:pStyle w:val="FootnoteText"/>
        <w:ind w:left="709" w:hanging="709"/>
        <w:jc w:val="both"/>
      </w:pPr>
      <w:r>
        <w:rPr>
          <w:rStyle w:val="FootnoteReference"/>
        </w:rPr>
        <w:footnoteRef/>
      </w:r>
      <w:r>
        <w:t xml:space="preserve"> </w:t>
      </w:r>
      <w:r>
        <w:tab/>
        <w:t>Increase MOS allocations on the EGP coinciding with decrease allocations on the MSP. Net MOS requirements balancing hub demand errors did not exceed 7 TJ.</w:t>
      </w:r>
    </w:p>
  </w:footnote>
  <w:footnote w:id="2">
    <w:p w:rsidR="006F1BC3" w:rsidRPr="000835F4" w:rsidRDefault="006F1BC3" w:rsidP="000835F4">
      <w:pPr>
        <w:pStyle w:val="FootnoteText"/>
        <w:spacing w:before="0"/>
        <w:ind w:left="709" w:hanging="709"/>
        <w:jc w:val="both"/>
        <w:rPr>
          <w:szCs w:val="16"/>
        </w:rPr>
      </w:pPr>
      <w:r w:rsidRPr="00EC137F">
        <w:rPr>
          <w:rStyle w:val="FootnoteReference"/>
        </w:rPr>
        <w:footnoteRef/>
      </w:r>
      <w:r w:rsidRPr="00EC137F">
        <w:t xml:space="preserve"> </w:t>
      </w:r>
      <w:r w:rsidRPr="00EC137F">
        <w:tab/>
        <w:t xml:space="preserve">Average daily quantities are displayed for each region. </w:t>
      </w:r>
      <w:r w:rsidRPr="00EC137F">
        <w:rPr>
          <w:szCs w:val="16"/>
        </w:rPr>
        <w:t xml:space="preserve">The weighted average daily imbalance price applies for Victoria. </w:t>
      </w:r>
    </w:p>
  </w:footnote>
  <w:footnote w:id="3">
    <w:p w:rsidR="006F1BC3" w:rsidRPr="000835F4" w:rsidRDefault="006F1BC3" w:rsidP="00674600">
      <w:pPr>
        <w:pStyle w:val="FootnoteText"/>
        <w:spacing w:before="0"/>
        <w:ind w:left="709" w:hanging="709"/>
        <w:jc w:val="both"/>
        <w:rPr>
          <w:szCs w:val="16"/>
        </w:rPr>
      </w:pPr>
      <w:r w:rsidRPr="00EC137F">
        <w:rPr>
          <w:rStyle w:val="FootnoteReference"/>
        </w:rPr>
        <w:footnoteRef/>
      </w:r>
      <w:r w:rsidRPr="00EC137F">
        <w:t xml:space="preserve"> </w:t>
      </w:r>
      <w:r w:rsidRPr="00EC137F">
        <w:tab/>
      </w:r>
      <w:r w:rsidRPr="00EC137F">
        <w:rPr>
          <w:szCs w:val="16"/>
        </w:rPr>
        <w:t>The prices shown for the GSH in Moomba</w:t>
      </w:r>
      <w:r>
        <w:rPr>
          <w:szCs w:val="16"/>
        </w:rPr>
        <w:t>, South East Queensland and Wallumbilla</w:t>
      </w:r>
      <w:r w:rsidRPr="00EC137F">
        <w:rPr>
          <w:szCs w:val="16"/>
        </w:rPr>
        <w:t xml:space="preserve"> are volume weighted average </w:t>
      </w:r>
      <w:r>
        <w:rPr>
          <w:szCs w:val="16"/>
        </w:rPr>
        <w:t xml:space="preserve">(VWA) </w:t>
      </w:r>
      <w:r w:rsidRPr="00EC137F">
        <w:rPr>
          <w:szCs w:val="16"/>
        </w:rPr>
        <w:t>prices for all products traded across the period. The total quantity contributing to the weighted price is displayed for these GSH.</w:t>
      </w:r>
      <w:r>
        <w:rPr>
          <w:szCs w:val="16"/>
        </w:rPr>
        <w:t xml:space="preserve"> Reported values for Moomba are the aggregate of trades on the Moomba to Adelaide Pipeline (MAP) and the Moomba to Sydney Pipeline (MSP). Historic trades for RBP and SWQP are grouped under WAL, (including in-pipe trades on the RBP).</w:t>
      </w:r>
    </w:p>
  </w:footnote>
  <w:footnote w:id="4">
    <w:p w:rsidR="00C43C7F" w:rsidRDefault="00C43C7F" w:rsidP="00C43C7F">
      <w:pPr>
        <w:pStyle w:val="FootnoteText"/>
        <w:ind w:left="709" w:hanging="709"/>
        <w:jc w:val="both"/>
      </w:pPr>
      <w:r w:rsidRPr="00F331A5">
        <w:rPr>
          <w:rStyle w:val="FootnoteReference"/>
        </w:rPr>
        <w:footnoteRef/>
      </w:r>
      <w:r w:rsidRPr="00F331A5">
        <w:t xml:space="preserve"> </w:t>
      </w:r>
      <w:r w:rsidRPr="00F331A5">
        <w:tab/>
        <w:t xml:space="preserve">Across the week, Iona’s storage level declined by </w:t>
      </w:r>
      <w:r w:rsidR="006F254F" w:rsidRPr="00F331A5">
        <w:t>9</w:t>
      </w:r>
      <w:r w:rsidR="006F254F">
        <w:t>92</w:t>
      </w:r>
      <w:r w:rsidR="006F254F" w:rsidRPr="00F331A5">
        <w:t xml:space="preserve"> </w:t>
      </w:r>
      <w:r w:rsidRPr="00F331A5">
        <w:t>TJ to 19,</w:t>
      </w:r>
      <w:r w:rsidR="006F254F">
        <w:t>225</w:t>
      </w:r>
      <w:r w:rsidRPr="00F331A5">
        <w:t> TJ</w:t>
      </w:r>
      <w:r w:rsidR="006F254F">
        <w:t xml:space="preserve"> (as at 10 June)</w:t>
      </w:r>
      <w:r w:rsidRPr="00F331A5">
        <w:t>.</w:t>
      </w:r>
    </w:p>
  </w:footnote>
  <w:footnote w:id="5">
    <w:p w:rsidR="006F1BC3" w:rsidRPr="00EC2CB1" w:rsidRDefault="006F1BC3"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Prices for subsequent schedules are applied only to the differences in scheduled quantities (imbalances) to calculate the weighted price. The 6 am price applies to the entire scheduled quantity in the initial schedule.</w:t>
      </w:r>
    </w:p>
  </w:footnote>
  <w:footnote w:id="6">
    <w:p w:rsidR="006F1BC3" w:rsidRPr="00EC2CB1" w:rsidRDefault="006F1BC3"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 price might also be affected by transmission or production (contractual) constraints limiting how much gas can be delivered from a locale or System Injection Point (SIP) from time to time.</w:t>
      </w:r>
    </w:p>
  </w:footnote>
  <w:footnote w:id="7">
    <w:p w:rsidR="006F1BC3" w:rsidRPr="00EC2CB1" w:rsidRDefault="006F1BC3" w:rsidP="00EC2CB1">
      <w:pPr>
        <w:pStyle w:val="FootnoteText"/>
        <w:spacing w:before="0"/>
        <w:ind w:left="709" w:hanging="709"/>
        <w:jc w:val="both"/>
        <w:rPr>
          <w:szCs w:val="16"/>
        </w:rPr>
      </w:pPr>
      <w:r w:rsidRPr="00EC2CB1">
        <w:rPr>
          <w:rStyle w:val="FootnoteReference"/>
          <w:szCs w:val="16"/>
        </w:rPr>
        <w:footnoteRef/>
      </w:r>
      <w:r w:rsidRPr="00EC2CB1">
        <w:rPr>
          <w:szCs w:val="16"/>
        </w:rPr>
        <w:t xml:space="preserve">  </w:t>
      </w:r>
      <w:r w:rsidRPr="00EC2CB1">
        <w:rPr>
          <w:szCs w:val="16"/>
        </w:rPr>
        <w:tab/>
        <w:t>These are Market Participants’ aggregate demand forecasts adjusted for any override as applied by AEMO from time to time. These forecasts must be scheduled and cannot respond to price like withdrawal bids.</w:t>
      </w:r>
    </w:p>
  </w:footnote>
  <w:footnote w:id="8">
    <w:p w:rsidR="006F1BC3" w:rsidRPr="00551D6B" w:rsidRDefault="006F1BC3" w:rsidP="00551D6B">
      <w:pPr>
        <w:pStyle w:val="FootnoteText"/>
        <w:spacing w:before="0"/>
        <w:ind w:left="709" w:hanging="709"/>
        <w:jc w:val="both"/>
        <w:rPr>
          <w:szCs w:val="16"/>
        </w:rPr>
      </w:pPr>
      <w:r w:rsidRPr="00551D6B">
        <w:rPr>
          <w:rStyle w:val="FootnoteReference"/>
          <w:szCs w:val="16"/>
        </w:rPr>
        <w:footnoteRef/>
      </w:r>
      <w:r w:rsidRPr="00551D6B">
        <w:rPr>
          <w:szCs w:val="16"/>
        </w:rPr>
        <w:t xml:space="preserve"> </w:t>
      </w:r>
      <w:r w:rsidRPr="00551D6B">
        <w:rPr>
          <w:szCs w:val="16"/>
        </w:rPr>
        <w:tab/>
        <w:t>The main driver of the amount of gas scheduled on a gas day is the ‘price-taker’ bid, which is forecast hub demand that cannot respond to price and which must be delivered, regardless of the price.</w:t>
      </w:r>
    </w:p>
  </w:footnote>
  <w:footnote w:id="9">
    <w:p w:rsidR="006F1BC3" w:rsidRPr="00551D6B" w:rsidRDefault="006F1BC3" w:rsidP="00551D6B">
      <w:pPr>
        <w:pStyle w:val="AERbodytext"/>
        <w:spacing w:before="0" w:line="240" w:lineRule="auto"/>
        <w:ind w:left="709" w:hanging="709"/>
        <w:rPr>
          <w:sz w:val="16"/>
          <w:szCs w:val="16"/>
        </w:rPr>
      </w:pPr>
      <w:r w:rsidRPr="00551D6B">
        <w:rPr>
          <w:rStyle w:val="FootnoteReference"/>
          <w:sz w:val="16"/>
          <w:szCs w:val="16"/>
        </w:rPr>
        <w:footnoteRef/>
      </w:r>
      <w:r w:rsidRPr="00551D6B">
        <w:rPr>
          <w:sz w:val="16"/>
          <w:szCs w:val="16"/>
        </w:rPr>
        <w:t xml:space="preserve"> </w:t>
      </w:r>
      <w:r w:rsidRPr="00551D6B">
        <w:rPr>
          <w:sz w:val="16"/>
          <w:szCs w:val="16"/>
        </w:rPr>
        <w:tab/>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10">
    <w:p w:rsidR="006F1BC3" w:rsidRPr="00552F68" w:rsidRDefault="006F1BC3" w:rsidP="00914872">
      <w:pPr>
        <w:pStyle w:val="FootnoteText"/>
        <w:ind w:left="709" w:hanging="709"/>
        <w:jc w:val="both"/>
      </w:pPr>
      <w:r w:rsidRPr="00552F68">
        <w:rPr>
          <w:rStyle w:val="FootnoteReference"/>
        </w:rPr>
        <w:footnoteRef/>
      </w:r>
      <w:r w:rsidRPr="00552F68">
        <w:t xml:space="preserve"> </w:t>
      </w:r>
      <w:r w:rsidRPr="00552F68">
        <w:tab/>
        <w:t>The commodity cost of MOS illustrated on the right of the figure represents the commodity quantity at the D+2 ex ante price. Commodity payments and charges for a given gas day relate to quantities traded two days earlier. That is, the commodity cost for services provided on Sunday will appear in the chart for Tuesday, when the D+2 price is set. In contrast, service payments are shown alongside the day they occurred.</w:t>
      </w:r>
    </w:p>
  </w:footnote>
  <w:footnote w:id="11">
    <w:p w:rsidR="006F1BC3" w:rsidRPr="0087350F" w:rsidRDefault="006F1BC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b/>
          <w:szCs w:val="16"/>
        </w:rPr>
        <w:t>Domestic gas flows</w:t>
      </w:r>
      <w:r w:rsidRPr="0087350F">
        <w:rPr>
          <w:szCs w:val="16"/>
        </w:rPr>
        <w:t xml:space="preserve"> are calculated as the total of:  </w:t>
      </w:r>
      <w:r w:rsidRPr="0087350F">
        <w:rPr>
          <w:b/>
          <w:szCs w:val="16"/>
        </w:rPr>
        <w:t>SA</w:t>
      </w:r>
      <w:r w:rsidRPr="0087350F">
        <w:rPr>
          <w:szCs w:val="16"/>
        </w:rPr>
        <w:t xml:space="preserve"> = MAP + SEAGAS; </w:t>
      </w:r>
      <w:r w:rsidRPr="0087350F">
        <w:rPr>
          <w:b/>
          <w:szCs w:val="16"/>
        </w:rPr>
        <w:t>VIC</w:t>
      </w:r>
      <w:r w:rsidRPr="0087350F">
        <w:rPr>
          <w:szCs w:val="16"/>
        </w:rPr>
        <w:t xml:space="preserve"> = SWP + LMP + (absolute quantity of negative flows only on the ‘NSW-VIC interconnect’); </w:t>
      </w:r>
      <w:r w:rsidRPr="0087350F">
        <w:rPr>
          <w:b/>
          <w:szCs w:val="16"/>
        </w:rPr>
        <w:t>NSW/ACT</w:t>
      </w:r>
      <w:r w:rsidRPr="0087350F">
        <w:rPr>
          <w:szCs w:val="16"/>
        </w:rPr>
        <w:t xml:space="preserve"> = EGP + MSP; </w:t>
      </w:r>
      <w:r w:rsidRPr="0087350F">
        <w:rPr>
          <w:b/>
          <w:szCs w:val="16"/>
        </w:rPr>
        <w:t>TAS</w:t>
      </w:r>
      <w:r w:rsidRPr="0087350F">
        <w:rPr>
          <w:szCs w:val="16"/>
        </w:rPr>
        <w:t xml:space="preserve"> = TGP; </w:t>
      </w:r>
      <w:r w:rsidRPr="0087350F">
        <w:rPr>
          <w:b/>
          <w:szCs w:val="16"/>
        </w:rPr>
        <w:t>QLD (Brisbane)</w:t>
      </w:r>
      <w:r w:rsidRPr="0087350F">
        <w:rPr>
          <w:szCs w:val="16"/>
        </w:rPr>
        <w:t xml:space="preserve"> = RBP; </w:t>
      </w:r>
      <w:r w:rsidRPr="0087350F">
        <w:rPr>
          <w:b/>
          <w:szCs w:val="16"/>
        </w:rPr>
        <w:t>QLD (Mt Isa)</w:t>
      </w:r>
      <w:r w:rsidRPr="0087350F">
        <w:rPr>
          <w:szCs w:val="16"/>
        </w:rPr>
        <w:t xml:space="preserve"> = CGP; and </w:t>
      </w:r>
      <w:r w:rsidRPr="0087350F">
        <w:rPr>
          <w:b/>
          <w:szCs w:val="16"/>
        </w:rPr>
        <w:t>QLD (Gladstone)</w:t>
      </w:r>
      <w:r w:rsidRPr="0087350F">
        <w:rPr>
          <w:szCs w:val="16"/>
        </w:rPr>
        <w:t xml:space="preserve"> = QGP. </w:t>
      </w:r>
    </w:p>
    <w:p w:rsidR="006F1BC3" w:rsidRPr="0087350F" w:rsidRDefault="006F1BC3" w:rsidP="00596DE3">
      <w:pPr>
        <w:pStyle w:val="FootnoteText"/>
        <w:spacing w:before="0"/>
        <w:ind w:left="709"/>
        <w:jc w:val="both"/>
        <w:rPr>
          <w:szCs w:val="16"/>
        </w:rPr>
      </w:pPr>
      <w:r w:rsidRPr="0087350F">
        <w:rPr>
          <w:b/>
          <w:szCs w:val="16"/>
        </w:rPr>
        <w:t xml:space="preserve">Export gas flows </w:t>
      </w:r>
      <w:r w:rsidRPr="0087350F">
        <w:rPr>
          <w:szCs w:val="16"/>
        </w:rPr>
        <w:t>are calculated as the total of: the APLNG pipeline; the GLNG pipeline; and the Wallumbilla to Gladstone pipeline.</w:t>
      </w:r>
    </w:p>
    <w:p w:rsidR="006F1BC3" w:rsidRPr="0087350F" w:rsidRDefault="006F1BC3" w:rsidP="00596DE3">
      <w:pPr>
        <w:pStyle w:val="FootnoteText"/>
        <w:spacing w:before="0"/>
        <w:ind w:left="709"/>
        <w:jc w:val="both"/>
        <w:rPr>
          <w:szCs w:val="16"/>
        </w:rPr>
      </w:pPr>
      <w:r w:rsidRPr="0087350F">
        <w:rPr>
          <w:b/>
          <w:szCs w:val="16"/>
        </w:rPr>
        <w:t>GPG volumes</w:t>
      </w:r>
      <w:r w:rsidRPr="0087350F">
        <w:rPr>
          <w:szCs w:val="16"/>
        </w:rPr>
        <w:t xml:space="preserve"> may include gas usage that does not show up on Bulletin Board pipeline flows.</w:t>
      </w:r>
    </w:p>
  </w:footnote>
  <w:footnote w:id="12">
    <w:p w:rsidR="006F1BC3" w:rsidRPr="0087350F" w:rsidRDefault="006F1BC3" w:rsidP="00596DE3">
      <w:pPr>
        <w:pStyle w:val="FootnoteText"/>
        <w:spacing w:before="0"/>
        <w:ind w:left="709" w:hanging="709"/>
        <w:jc w:val="both"/>
        <w:rPr>
          <w:szCs w:val="16"/>
        </w:rPr>
      </w:pPr>
      <w:r w:rsidRPr="00552F68">
        <w:rPr>
          <w:rStyle w:val="FootnoteReference"/>
          <w:sz w:val="20"/>
          <w:szCs w:val="16"/>
        </w:rPr>
        <w:footnoteRef/>
      </w:r>
      <w:r w:rsidRPr="00552F68">
        <w:rPr>
          <w:sz w:val="20"/>
          <w:szCs w:val="16"/>
        </w:rPr>
        <w:t xml:space="preserve"> </w:t>
      </w:r>
      <w:r w:rsidRPr="00552F68">
        <w:rPr>
          <w:sz w:val="20"/>
          <w:szCs w:val="16"/>
        </w:rPr>
        <w:tab/>
      </w:r>
      <w:r w:rsidRPr="0087350F">
        <w:rPr>
          <w:szCs w:val="16"/>
        </w:rPr>
        <w:t>GSH supply is the average daily volume of gas ‘traded’, while price is a volume weighted average.</w:t>
      </w:r>
      <w:r>
        <w:rPr>
          <w:szCs w:val="16"/>
        </w:rPr>
        <w:t xml:space="preserve"> Optional hub services (for compression and redirection) are shown separately from commodity trades.</w:t>
      </w:r>
    </w:p>
  </w:footnote>
  <w:footnote w:id="13">
    <w:p w:rsidR="006F1BC3" w:rsidRDefault="006F1BC3" w:rsidP="00596DE3">
      <w:pPr>
        <w:pStyle w:val="FootnoteText"/>
      </w:pPr>
      <w:r w:rsidRPr="00596DE3">
        <w:rPr>
          <w:rStyle w:val="FootnoteReference"/>
          <w:sz w:val="20"/>
        </w:rPr>
        <w:footnoteRef/>
      </w:r>
      <w:r w:rsidRPr="00596DE3">
        <w:rPr>
          <w:sz w:val="20"/>
        </w:rPr>
        <w:t xml:space="preserve"> </w:t>
      </w:r>
      <w:r w:rsidRPr="00596DE3">
        <w:rPr>
          <w:sz w:val="20"/>
        </w:rPr>
        <w:tab/>
      </w:r>
      <w:r>
        <w:t xml:space="preserve">Net flows are shown for Bulletin Board facilities, as outlined in the </w:t>
      </w:r>
      <w:hyperlink r:id="rId1" w:history="1">
        <w:r w:rsidRPr="00A952AA">
          <w:rPr>
            <w:rStyle w:val="Hyperlink"/>
            <w:sz w:val="16"/>
          </w:rPr>
          <w:t>user guide</w:t>
        </w:r>
      </w:hyperlink>
      <w:r>
        <w:t>.</w:t>
      </w:r>
    </w:p>
  </w:footnote>
  <w:footnote w:id="14">
    <w:p w:rsidR="006F1BC3" w:rsidRDefault="006F1BC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 xml:space="preserve">Additional information on trading locations and available products is detailed in the </w:t>
      </w:r>
      <w:hyperlink r:id="rId2" w:history="1">
        <w:r w:rsidRPr="00A952AA">
          <w:rPr>
            <w:rStyle w:val="Hyperlink"/>
            <w:sz w:val="16"/>
          </w:rPr>
          <w:t>user guide</w:t>
        </w:r>
      </w:hyperlink>
      <w:r>
        <w:t>.</w:t>
      </w:r>
    </w:p>
  </w:footnote>
  <w:footnote w:id="15">
    <w:p w:rsidR="006F1BC3" w:rsidRDefault="006F1BC3" w:rsidP="00596DE3">
      <w:pPr>
        <w:pStyle w:val="FootnoteText"/>
        <w:ind w:left="709" w:hanging="709"/>
        <w:jc w:val="both"/>
      </w:pPr>
      <w:r w:rsidRPr="00F978C8">
        <w:rPr>
          <w:rStyle w:val="FootnoteReference"/>
          <w:sz w:val="20"/>
        </w:rPr>
        <w:footnoteRef/>
      </w:r>
      <w:r w:rsidRPr="00F978C8">
        <w:rPr>
          <w:sz w:val="20"/>
        </w:rPr>
        <w:t xml:space="preserve"> </w:t>
      </w:r>
      <w:r w:rsidRPr="00F978C8">
        <w:rPr>
          <w:sz w:val="20"/>
        </w:rPr>
        <w:tab/>
      </w:r>
      <w:r>
        <w:t>Non-netted (off-market) trades, allowing the selection of specific delivery point at a trading location, are included with other Wallumbilla trades (WAL*).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C0CCD3AE"/>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741816"/>
    <w:lvl w:ilvl="0">
      <w:start w:val="1"/>
      <w:numFmt w:val="lowerLetter"/>
      <w:pStyle w:val="ListNumber2"/>
      <w:lvlText w:val="%1)"/>
      <w:lvlJc w:val="left"/>
      <w:pPr>
        <w:ind w:left="36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46A7D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E26273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C004CC0"/>
    <w:lvl w:ilvl="0">
      <w:start w:val="1"/>
      <w:numFmt w:val="decimal"/>
      <w:pStyle w:val="ListNumber"/>
      <w:lvlText w:val="%1."/>
      <w:lvlJc w:val="left"/>
      <w:pPr>
        <w:tabs>
          <w:tab w:val="num" w:pos="360"/>
        </w:tabs>
        <w:ind w:left="360" w:hanging="360"/>
      </w:pPr>
    </w:lvl>
  </w:abstractNum>
  <w:abstractNum w:abstractNumId="9">
    <w:nsid w:val="025F1CAC"/>
    <w:multiLevelType w:val="hybridMultilevel"/>
    <w:tmpl w:val="62FA8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4E03282"/>
    <w:multiLevelType w:val="hybridMultilevel"/>
    <w:tmpl w:val="B7C2FE76"/>
    <w:lvl w:ilvl="0" w:tplc="F41A51E2">
      <w:start w:val="1"/>
      <w:numFmt w:val="decimal"/>
      <w:lvlText w:val="Figure 6.%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281AC6"/>
    <w:multiLevelType w:val="hybridMultilevel"/>
    <w:tmpl w:val="83BAD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3E73B6"/>
    <w:multiLevelType w:val="hybridMultilevel"/>
    <w:tmpl w:val="80220B84"/>
    <w:lvl w:ilvl="0" w:tplc="F5987420">
      <w:start w:val="1"/>
      <w:numFmt w:val="decimal"/>
      <w:pStyle w:val="Numberedlist"/>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4">
    <w:nsid w:val="16991208"/>
    <w:multiLevelType w:val="hybridMultilevel"/>
    <w:tmpl w:val="55284E2C"/>
    <w:lvl w:ilvl="0" w:tplc="F07A3D8A">
      <w:start w:val="1"/>
      <w:numFmt w:val="decimal"/>
      <w:lvlText w:val="Figure 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8E65396"/>
    <w:multiLevelType w:val="hybridMultilevel"/>
    <w:tmpl w:val="07384C54"/>
    <w:lvl w:ilvl="0" w:tplc="8530271E">
      <w:start w:val="1"/>
      <w:numFmt w:val="decimal"/>
      <w:pStyle w:val="NumberedChapterTitl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CF519CE"/>
    <w:multiLevelType w:val="multilevel"/>
    <w:tmpl w:val="3AD8CB48"/>
    <w:lvl w:ilvl="0">
      <w:start w:val="1"/>
      <w:numFmt w:val="decimal"/>
      <w:pStyle w:val="Numbered1"/>
      <w:lvlText w:val="%1."/>
      <w:lvlJc w:val="left"/>
      <w:pPr>
        <w:ind w:left="360" w:hanging="360"/>
      </w:pPr>
    </w:lvl>
    <w:lvl w:ilvl="1">
      <w:start w:val="1"/>
      <w:numFmt w:val="decimal"/>
      <w:pStyle w:val="Numbered11"/>
      <w:lvlText w:val="%1.%2."/>
      <w:lvlJc w:val="left"/>
      <w:pPr>
        <w:ind w:left="792" w:hanging="432"/>
      </w:pPr>
    </w:lvl>
    <w:lvl w:ilvl="2">
      <w:start w:val="1"/>
      <w:numFmt w:val="decimal"/>
      <w:pStyle w:val="Numbered111"/>
      <w:lvlText w:val="%1.%2.%3."/>
      <w:lvlJc w:val="left"/>
      <w:pPr>
        <w:ind w:left="1224" w:hanging="504"/>
      </w:pPr>
    </w:lvl>
    <w:lvl w:ilvl="3">
      <w:start w:val="1"/>
      <w:numFmt w:val="decimal"/>
      <w:pStyle w:val="Numbered1111"/>
      <w:lvlText w:val="%1.%2.%3.%4."/>
      <w:lvlJc w:val="left"/>
      <w:pPr>
        <w:ind w:left="1728" w:hanging="648"/>
      </w:pPr>
    </w:lvl>
    <w:lvl w:ilvl="4">
      <w:start w:val="1"/>
      <w:numFmt w:val="decimal"/>
      <w:pStyle w:val="Numbered11111"/>
      <w:lvlText w:val="%1.%2.%3.%4.%5."/>
      <w:lvlJc w:val="left"/>
      <w:pPr>
        <w:ind w:left="2232" w:hanging="792"/>
      </w:pPr>
    </w:lvl>
    <w:lvl w:ilvl="5">
      <w:start w:val="1"/>
      <w:numFmt w:val="decimal"/>
      <w:pStyle w:val="Numbered111111"/>
      <w:lvlText w:val="%1.%2.%3.%4.%5.%6."/>
      <w:lvlJc w:val="left"/>
      <w:pPr>
        <w:ind w:left="2736" w:hanging="936"/>
      </w:pPr>
    </w:lvl>
    <w:lvl w:ilvl="6">
      <w:start w:val="1"/>
      <w:numFmt w:val="decimal"/>
      <w:pStyle w:val="Numbered1111111"/>
      <w:lvlText w:val="%1.%2.%3.%4.%5.%6.%7."/>
      <w:lvlJc w:val="left"/>
      <w:pPr>
        <w:ind w:left="3240" w:hanging="1080"/>
      </w:pPr>
    </w:lvl>
    <w:lvl w:ilvl="7">
      <w:start w:val="1"/>
      <w:numFmt w:val="decimal"/>
      <w:pStyle w:val="Numbered11111111"/>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7">
    <w:nsid w:val="1F844A98"/>
    <w:multiLevelType w:val="hybridMultilevel"/>
    <w:tmpl w:val="9A46145E"/>
    <w:lvl w:ilvl="0" w:tplc="AB546016">
      <w:start w:val="10"/>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nsid w:val="25C95382"/>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865DF8"/>
    <w:multiLevelType w:val="hybridMultilevel"/>
    <w:tmpl w:val="EC0E5568"/>
    <w:lvl w:ilvl="0" w:tplc="D90E7D7A">
      <w:start w:val="1"/>
      <w:numFmt w:val="lowerLetter"/>
      <w:pStyle w:val="Listalphabet2"/>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8F75099"/>
    <w:multiLevelType w:val="hybridMultilevel"/>
    <w:tmpl w:val="2E1E9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23347D"/>
    <w:multiLevelType w:val="hybridMultilevel"/>
    <w:tmpl w:val="D45C48E2"/>
    <w:lvl w:ilvl="0" w:tplc="D66A534E">
      <w:start w:val="1"/>
      <w:numFmt w:val="bullet"/>
      <w:pStyle w:val="List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8CB5BD0"/>
    <w:multiLevelType w:val="hybridMultilevel"/>
    <w:tmpl w:val="0E2C1E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720"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3396CE6"/>
    <w:multiLevelType w:val="hybridMultilevel"/>
    <w:tmpl w:val="6AF2555A"/>
    <w:lvl w:ilvl="0" w:tplc="D03C4C38">
      <w:start w:val="1"/>
      <w:numFmt w:val="decimal"/>
      <w:lvlText w:val="Figure 4.%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7">
    <w:nsid w:val="6726588A"/>
    <w:multiLevelType w:val="hybridMultilevel"/>
    <w:tmpl w:val="CC927964"/>
    <w:lvl w:ilvl="0" w:tplc="0C09000F">
      <w:start w:val="1"/>
      <w:numFmt w:val="bullet"/>
      <w:pStyle w:val="Bulletpoint2"/>
      <w:lvlText w:val="o"/>
      <w:lvlJc w:val="left"/>
      <w:pPr>
        <w:ind w:left="1003" w:hanging="360"/>
      </w:pPr>
      <w:rPr>
        <w:rFonts w:ascii="Courier New" w:hAnsi="Courier New" w:cs="Courier New" w:hint="default"/>
      </w:rPr>
    </w:lvl>
    <w:lvl w:ilvl="1" w:tplc="0C090019" w:tentative="1">
      <w:start w:val="1"/>
      <w:numFmt w:val="bullet"/>
      <w:lvlText w:val="o"/>
      <w:lvlJc w:val="left"/>
      <w:pPr>
        <w:ind w:left="1723" w:hanging="360"/>
      </w:pPr>
      <w:rPr>
        <w:rFonts w:ascii="Courier New" w:hAnsi="Courier New" w:cs="Courier New" w:hint="default"/>
      </w:rPr>
    </w:lvl>
    <w:lvl w:ilvl="2" w:tplc="0C09001B" w:tentative="1">
      <w:start w:val="1"/>
      <w:numFmt w:val="bullet"/>
      <w:lvlText w:val=""/>
      <w:lvlJc w:val="left"/>
      <w:pPr>
        <w:ind w:left="2443" w:hanging="360"/>
      </w:pPr>
      <w:rPr>
        <w:rFonts w:ascii="Wingdings" w:hAnsi="Wingdings" w:hint="default"/>
      </w:rPr>
    </w:lvl>
    <w:lvl w:ilvl="3" w:tplc="0C09000F" w:tentative="1">
      <w:start w:val="1"/>
      <w:numFmt w:val="bullet"/>
      <w:lvlText w:val=""/>
      <w:lvlJc w:val="left"/>
      <w:pPr>
        <w:ind w:left="3163" w:hanging="360"/>
      </w:pPr>
      <w:rPr>
        <w:rFonts w:ascii="Symbol" w:hAnsi="Symbol" w:hint="default"/>
      </w:rPr>
    </w:lvl>
    <w:lvl w:ilvl="4" w:tplc="0C090019" w:tentative="1">
      <w:start w:val="1"/>
      <w:numFmt w:val="bullet"/>
      <w:lvlText w:val="o"/>
      <w:lvlJc w:val="left"/>
      <w:pPr>
        <w:ind w:left="3883" w:hanging="360"/>
      </w:pPr>
      <w:rPr>
        <w:rFonts w:ascii="Courier New" w:hAnsi="Courier New" w:cs="Courier New" w:hint="default"/>
      </w:rPr>
    </w:lvl>
    <w:lvl w:ilvl="5" w:tplc="0C09001B" w:tentative="1">
      <w:start w:val="1"/>
      <w:numFmt w:val="bullet"/>
      <w:lvlText w:val=""/>
      <w:lvlJc w:val="left"/>
      <w:pPr>
        <w:ind w:left="4603" w:hanging="360"/>
      </w:pPr>
      <w:rPr>
        <w:rFonts w:ascii="Wingdings" w:hAnsi="Wingdings" w:hint="default"/>
      </w:rPr>
    </w:lvl>
    <w:lvl w:ilvl="6" w:tplc="0C09000F" w:tentative="1">
      <w:start w:val="1"/>
      <w:numFmt w:val="bullet"/>
      <w:lvlText w:val=""/>
      <w:lvlJc w:val="left"/>
      <w:pPr>
        <w:ind w:left="5323" w:hanging="360"/>
      </w:pPr>
      <w:rPr>
        <w:rFonts w:ascii="Symbol" w:hAnsi="Symbol" w:hint="default"/>
      </w:rPr>
    </w:lvl>
    <w:lvl w:ilvl="7" w:tplc="0C090019" w:tentative="1">
      <w:start w:val="1"/>
      <w:numFmt w:val="bullet"/>
      <w:lvlText w:val="o"/>
      <w:lvlJc w:val="left"/>
      <w:pPr>
        <w:ind w:left="6043" w:hanging="360"/>
      </w:pPr>
      <w:rPr>
        <w:rFonts w:ascii="Courier New" w:hAnsi="Courier New" w:cs="Courier New" w:hint="default"/>
      </w:rPr>
    </w:lvl>
    <w:lvl w:ilvl="8" w:tplc="0C09001B" w:tentative="1">
      <w:start w:val="1"/>
      <w:numFmt w:val="bullet"/>
      <w:lvlText w:val=""/>
      <w:lvlJc w:val="left"/>
      <w:pPr>
        <w:ind w:left="6763" w:hanging="360"/>
      </w:pPr>
      <w:rPr>
        <w:rFonts w:ascii="Wingdings" w:hAnsi="Wingdings" w:hint="default"/>
      </w:rPr>
    </w:lvl>
  </w:abstractNum>
  <w:abstractNum w:abstractNumId="28">
    <w:nsid w:val="6C1C3940"/>
    <w:multiLevelType w:val="hybridMultilevel"/>
    <w:tmpl w:val="787CCB50"/>
    <w:lvl w:ilvl="0" w:tplc="4C920FA4">
      <w:start w:val="1"/>
      <w:numFmt w:val="decimal"/>
      <w:lvlText w:val="Figure 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ED40010"/>
    <w:multiLevelType w:val="hybridMultilevel"/>
    <w:tmpl w:val="C89CC66C"/>
    <w:lvl w:ilvl="0" w:tplc="7792B686">
      <w:start w:val="1"/>
      <w:numFmt w:val="decimal"/>
      <w:lvlText w:val="Figure 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705C4980"/>
    <w:multiLevelType w:val="hybridMultilevel"/>
    <w:tmpl w:val="027A3B86"/>
    <w:lvl w:ilvl="0" w:tplc="982A071C">
      <w:start w:val="1"/>
      <w:numFmt w:val="decimal"/>
      <w:lvlText w:val="Figure 5.%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1052EFE"/>
    <w:multiLevelType w:val="hybridMultilevel"/>
    <w:tmpl w:val="52FCFAA8"/>
    <w:lvl w:ilvl="0" w:tplc="C846CA5C">
      <w:start w:val="1"/>
      <w:numFmt w:val="lowerRoman"/>
      <w:pStyle w:val="ListLegal3"/>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7ACB7F6B"/>
    <w:multiLevelType w:val="hybridMultilevel"/>
    <w:tmpl w:val="0F2A3F9A"/>
    <w:lvl w:ilvl="0" w:tplc="1038B32C">
      <w:start w:val="1"/>
      <w:numFmt w:val="lowerRoman"/>
      <w:lvlText w:val="%1."/>
      <w:lvlJc w:val="right"/>
      <w:pPr>
        <w:ind w:left="1021" w:hanging="341"/>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3">
    <w:nsid w:val="7E2819EC"/>
    <w:multiLevelType w:val="multilevel"/>
    <w:tmpl w:val="1250F310"/>
    <w:lvl w:ilvl="0">
      <w:start w:val="1"/>
      <w:numFmt w:val="bullet"/>
      <w:pStyle w:val="Bulletpoin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3"/>
  </w:num>
  <w:num w:numId="2">
    <w:abstractNumId w:val="33"/>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7"/>
  </w:num>
  <w:num w:numId="13">
    <w:abstractNumId w:val="21"/>
  </w:num>
  <w:num w:numId="14">
    <w:abstractNumId w:val="11"/>
  </w:num>
  <w:num w:numId="15">
    <w:abstractNumId w:val="16"/>
  </w:num>
  <w:num w:numId="16">
    <w:abstractNumId w:val="23"/>
  </w:num>
  <w:num w:numId="17">
    <w:abstractNumId w:val="19"/>
  </w:num>
  <w:num w:numId="18">
    <w:abstractNumId w:val="24"/>
  </w:num>
  <w:num w:numId="19">
    <w:abstractNumId w:val="31"/>
  </w:num>
  <w:num w:numId="20">
    <w:abstractNumId w:val="26"/>
  </w:num>
  <w:num w:numId="21">
    <w:abstractNumId w:val="15"/>
  </w:num>
  <w:num w:numId="22">
    <w:abstractNumId w:val="18"/>
  </w:num>
  <w:num w:numId="23">
    <w:abstractNumId w:val="22"/>
  </w:num>
  <w:num w:numId="24">
    <w:abstractNumId w:val="17"/>
  </w:num>
  <w:num w:numId="25">
    <w:abstractNumId w:val="32"/>
  </w:num>
  <w:num w:numId="26">
    <w:abstractNumId w:val="20"/>
  </w:num>
  <w:num w:numId="27">
    <w:abstractNumId w:val="9"/>
  </w:num>
  <w:num w:numId="28">
    <w:abstractNumId w:val="12"/>
  </w:num>
  <w:num w:numId="29">
    <w:abstractNumId w:val="14"/>
  </w:num>
  <w:num w:numId="30">
    <w:abstractNumId w:val="28"/>
  </w:num>
  <w:num w:numId="31">
    <w:abstractNumId w:val="29"/>
  </w:num>
  <w:num w:numId="32">
    <w:abstractNumId w:val="25"/>
  </w:num>
  <w:num w:numId="33">
    <w:abstractNumId w:val="30"/>
  </w:num>
  <w:num w:numId="3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characterSpacingControl w:val="doNotCompress"/>
  <w:hdrShapeDefaults>
    <o:shapedefaults v:ext="edit" spidmax="152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32\D17 81103  20170604 - 20170610 gas weekly report.DOCX"/>
  </w:docVars>
  <w:rsids>
    <w:rsidRoot w:val="00275002"/>
    <w:rsid w:val="00000817"/>
    <w:rsid w:val="00000BFE"/>
    <w:rsid w:val="00000CC3"/>
    <w:rsid w:val="00003169"/>
    <w:rsid w:val="00005D12"/>
    <w:rsid w:val="0000728F"/>
    <w:rsid w:val="00007624"/>
    <w:rsid w:val="000128E1"/>
    <w:rsid w:val="0001415C"/>
    <w:rsid w:val="000147C1"/>
    <w:rsid w:val="00014D5F"/>
    <w:rsid w:val="00017DD0"/>
    <w:rsid w:val="00021202"/>
    <w:rsid w:val="0002123D"/>
    <w:rsid w:val="00022F09"/>
    <w:rsid w:val="00024215"/>
    <w:rsid w:val="000242E7"/>
    <w:rsid w:val="00024369"/>
    <w:rsid w:val="00024C84"/>
    <w:rsid w:val="00026E0A"/>
    <w:rsid w:val="00030794"/>
    <w:rsid w:val="000308B1"/>
    <w:rsid w:val="000312E6"/>
    <w:rsid w:val="000316E7"/>
    <w:rsid w:val="00033902"/>
    <w:rsid w:val="00033BE8"/>
    <w:rsid w:val="00034A40"/>
    <w:rsid w:val="0003564D"/>
    <w:rsid w:val="0003578C"/>
    <w:rsid w:val="00035A9A"/>
    <w:rsid w:val="00037A6F"/>
    <w:rsid w:val="00037EB9"/>
    <w:rsid w:val="00040E4C"/>
    <w:rsid w:val="000415F7"/>
    <w:rsid w:val="00041A89"/>
    <w:rsid w:val="000422AB"/>
    <w:rsid w:val="00043385"/>
    <w:rsid w:val="00043FA7"/>
    <w:rsid w:val="000442BA"/>
    <w:rsid w:val="00044D80"/>
    <w:rsid w:val="000452BA"/>
    <w:rsid w:val="000461E2"/>
    <w:rsid w:val="0005123C"/>
    <w:rsid w:val="00051880"/>
    <w:rsid w:val="000528FD"/>
    <w:rsid w:val="00056949"/>
    <w:rsid w:val="000572DC"/>
    <w:rsid w:val="000576CD"/>
    <w:rsid w:val="00057973"/>
    <w:rsid w:val="00061ABD"/>
    <w:rsid w:val="00061CE2"/>
    <w:rsid w:val="00061E3B"/>
    <w:rsid w:val="00063247"/>
    <w:rsid w:val="00063473"/>
    <w:rsid w:val="00066157"/>
    <w:rsid w:val="000661AF"/>
    <w:rsid w:val="00070EAB"/>
    <w:rsid w:val="00070F9F"/>
    <w:rsid w:val="0007137B"/>
    <w:rsid w:val="000738F4"/>
    <w:rsid w:val="00074A4E"/>
    <w:rsid w:val="000758D3"/>
    <w:rsid w:val="000766E2"/>
    <w:rsid w:val="00077616"/>
    <w:rsid w:val="00077819"/>
    <w:rsid w:val="000835F4"/>
    <w:rsid w:val="00085663"/>
    <w:rsid w:val="00085EBF"/>
    <w:rsid w:val="0008687E"/>
    <w:rsid w:val="00086CF3"/>
    <w:rsid w:val="00087C4A"/>
    <w:rsid w:val="00087CDC"/>
    <w:rsid w:val="00090F47"/>
    <w:rsid w:val="00091FB4"/>
    <w:rsid w:val="0009584C"/>
    <w:rsid w:val="000961FA"/>
    <w:rsid w:val="0009653D"/>
    <w:rsid w:val="000A241B"/>
    <w:rsid w:val="000A29ED"/>
    <w:rsid w:val="000A4529"/>
    <w:rsid w:val="000A62B4"/>
    <w:rsid w:val="000A62D6"/>
    <w:rsid w:val="000A6F14"/>
    <w:rsid w:val="000B0311"/>
    <w:rsid w:val="000B364C"/>
    <w:rsid w:val="000B3C8A"/>
    <w:rsid w:val="000C0472"/>
    <w:rsid w:val="000C1A94"/>
    <w:rsid w:val="000C52E2"/>
    <w:rsid w:val="000D122C"/>
    <w:rsid w:val="000D355E"/>
    <w:rsid w:val="000D3C77"/>
    <w:rsid w:val="000D4350"/>
    <w:rsid w:val="000D4D06"/>
    <w:rsid w:val="000D5ADE"/>
    <w:rsid w:val="000D68C5"/>
    <w:rsid w:val="000E1819"/>
    <w:rsid w:val="000E1A1B"/>
    <w:rsid w:val="000E2946"/>
    <w:rsid w:val="000E4F81"/>
    <w:rsid w:val="000E54D6"/>
    <w:rsid w:val="000E55C7"/>
    <w:rsid w:val="000E5B55"/>
    <w:rsid w:val="000E6C72"/>
    <w:rsid w:val="000E77BB"/>
    <w:rsid w:val="000E7D8C"/>
    <w:rsid w:val="000E7E24"/>
    <w:rsid w:val="000F189E"/>
    <w:rsid w:val="000F1956"/>
    <w:rsid w:val="000F1D61"/>
    <w:rsid w:val="000F56F6"/>
    <w:rsid w:val="000F5855"/>
    <w:rsid w:val="000F6FA7"/>
    <w:rsid w:val="000F77D6"/>
    <w:rsid w:val="00100142"/>
    <w:rsid w:val="00102B64"/>
    <w:rsid w:val="00105281"/>
    <w:rsid w:val="00105AF3"/>
    <w:rsid w:val="001107FF"/>
    <w:rsid w:val="00113430"/>
    <w:rsid w:val="00113AE0"/>
    <w:rsid w:val="001158FE"/>
    <w:rsid w:val="00115CCB"/>
    <w:rsid w:val="00116EB2"/>
    <w:rsid w:val="00117195"/>
    <w:rsid w:val="0012092C"/>
    <w:rsid w:val="00122831"/>
    <w:rsid w:val="001235DD"/>
    <w:rsid w:val="00124609"/>
    <w:rsid w:val="00125F4F"/>
    <w:rsid w:val="001270EB"/>
    <w:rsid w:val="00127CAB"/>
    <w:rsid w:val="00130196"/>
    <w:rsid w:val="0013057E"/>
    <w:rsid w:val="001337EF"/>
    <w:rsid w:val="00133FC8"/>
    <w:rsid w:val="00134BD7"/>
    <w:rsid w:val="00136716"/>
    <w:rsid w:val="00136A08"/>
    <w:rsid w:val="001373F1"/>
    <w:rsid w:val="001435CC"/>
    <w:rsid w:val="001436FC"/>
    <w:rsid w:val="001450FB"/>
    <w:rsid w:val="0014511E"/>
    <w:rsid w:val="00145982"/>
    <w:rsid w:val="00145ACE"/>
    <w:rsid w:val="00146F42"/>
    <w:rsid w:val="00151F61"/>
    <w:rsid w:val="001521CB"/>
    <w:rsid w:val="001539E0"/>
    <w:rsid w:val="0015451B"/>
    <w:rsid w:val="0015496E"/>
    <w:rsid w:val="00154EBC"/>
    <w:rsid w:val="00155113"/>
    <w:rsid w:val="0015602B"/>
    <w:rsid w:val="001566F6"/>
    <w:rsid w:val="001573E4"/>
    <w:rsid w:val="00160390"/>
    <w:rsid w:val="00160756"/>
    <w:rsid w:val="00162584"/>
    <w:rsid w:val="00164658"/>
    <w:rsid w:val="00164FB1"/>
    <w:rsid w:val="00165247"/>
    <w:rsid w:val="001653F3"/>
    <w:rsid w:val="00165C87"/>
    <w:rsid w:val="001666AA"/>
    <w:rsid w:val="00166BD2"/>
    <w:rsid w:val="001711CC"/>
    <w:rsid w:val="0017232E"/>
    <w:rsid w:val="00173AE6"/>
    <w:rsid w:val="00173DC1"/>
    <w:rsid w:val="00174102"/>
    <w:rsid w:val="001756AF"/>
    <w:rsid w:val="001778E3"/>
    <w:rsid w:val="00180157"/>
    <w:rsid w:val="00181C46"/>
    <w:rsid w:val="001832C7"/>
    <w:rsid w:val="00186831"/>
    <w:rsid w:val="00186F77"/>
    <w:rsid w:val="001901A4"/>
    <w:rsid w:val="00190F24"/>
    <w:rsid w:val="00191C6F"/>
    <w:rsid w:val="00192441"/>
    <w:rsid w:val="001926A4"/>
    <w:rsid w:val="001934E9"/>
    <w:rsid w:val="00193ED7"/>
    <w:rsid w:val="001968BD"/>
    <w:rsid w:val="001A2C0A"/>
    <w:rsid w:val="001A3CDA"/>
    <w:rsid w:val="001A6790"/>
    <w:rsid w:val="001B0C3B"/>
    <w:rsid w:val="001B2363"/>
    <w:rsid w:val="001B3ABC"/>
    <w:rsid w:val="001B45A0"/>
    <w:rsid w:val="001B4A7D"/>
    <w:rsid w:val="001B684F"/>
    <w:rsid w:val="001B6C15"/>
    <w:rsid w:val="001C027D"/>
    <w:rsid w:val="001C13CD"/>
    <w:rsid w:val="001C17B3"/>
    <w:rsid w:val="001C1BC0"/>
    <w:rsid w:val="001C2995"/>
    <w:rsid w:val="001C2EE8"/>
    <w:rsid w:val="001C3452"/>
    <w:rsid w:val="001C5079"/>
    <w:rsid w:val="001C5EF2"/>
    <w:rsid w:val="001C5F6B"/>
    <w:rsid w:val="001C6748"/>
    <w:rsid w:val="001D055E"/>
    <w:rsid w:val="001D0C65"/>
    <w:rsid w:val="001D0CE3"/>
    <w:rsid w:val="001D3A5B"/>
    <w:rsid w:val="001D5BEB"/>
    <w:rsid w:val="001D60FF"/>
    <w:rsid w:val="001D7698"/>
    <w:rsid w:val="001D7FB7"/>
    <w:rsid w:val="001E01B4"/>
    <w:rsid w:val="001E14C2"/>
    <w:rsid w:val="001E2F01"/>
    <w:rsid w:val="001E4665"/>
    <w:rsid w:val="001E48B3"/>
    <w:rsid w:val="001E5AEE"/>
    <w:rsid w:val="001E6FDD"/>
    <w:rsid w:val="001F03EF"/>
    <w:rsid w:val="001F0EC9"/>
    <w:rsid w:val="001F1548"/>
    <w:rsid w:val="001F1B78"/>
    <w:rsid w:val="001F22EE"/>
    <w:rsid w:val="001F2577"/>
    <w:rsid w:val="001F3530"/>
    <w:rsid w:val="001F492E"/>
    <w:rsid w:val="001F6DA3"/>
    <w:rsid w:val="001F72C5"/>
    <w:rsid w:val="001F7575"/>
    <w:rsid w:val="00201136"/>
    <w:rsid w:val="0020132A"/>
    <w:rsid w:val="00201C06"/>
    <w:rsid w:val="00203300"/>
    <w:rsid w:val="0020376D"/>
    <w:rsid w:val="0020489F"/>
    <w:rsid w:val="002050F5"/>
    <w:rsid w:val="002062A9"/>
    <w:rsid w:val="002065C6"/>
    <w:rsid w:val="002072A2"/>
    <w:rsid w:val="00207D5B"/>
    <w:rsid w:val="0021027A"/>
    <w:rsid w:val="0021147E"/>
    <w:rsid w:val="00212D2F"/>
    <w:rsid w:val="00213CF6"/>
    <w:rsid w:val="00214FBA"/>
    <w:rsid w:val="0021500B"/>
    <w:rsid w:val="00215E19"/>
    <w:rsid w:val="002164FB"/>
    <w:rsid w:val="00216865"/>
    <w:rsid w:val="00217C29"/>
    <w:rsid w:val="002214D9"/>
    <w:rsid w:val="002216F5"/>
    <w:rsid w:val="00222F04"/>
    <w:rsid w:val="00224DB9"/>
    <w:rsid w:val="00224EE7"/>
    <w:rsid w:val="002276F0"/>
    <w:rsid w:val="00227C97"/>
    <w:rsid w:val="00230D26"/>
    <w:rsid w:val="00231C73"/>
    <w:rsid w:val="00232A71"/>
    <w:rsid w:val="00232FBD"/>
    <w:rsid w:val="002338A0"/>
    <w:rsid w:val="00237048"/>
    <w:rsid w:val="00240AA4"/>
    <w:rsid w:val="002427B3"/>
    <w:rsid w:val="00242C25"/>
    <w:rsid w:val="00243222"/>
    <w:rsid w:val="00243347"/>
    <w:rsid w:val="002438D9"/>
    <w:rsid w:val="00245913"/>
    <w:rsid w:val="00247473"/>
    <w:rsid w:val="00250859"/>
    <w:rsid w:val="002515C3"/>
    <w:rsid w:val="002516A1"/>
    <w:rsid w:val="00251745"/>
    <w:rsid w:val="00251C37"/>
    <w:rsid w:val="00251D74"/>
    <w:rsid w:val="00261C02"/>
    <w:rsid w:val="00262F65"/>
    <w:rsid w:val="00263AC0"/>
    <w:rsid w:val="002649D2"/>
    <w:rsid w:val="002649D8"/>
    <w:rsid w:val="00265486"/>
    <w:rsid w:val="0026772D"/>
    <w:rsid w:val="00270A51"/>
    <w:rsid w:val="00270AF4"/>
    <w:rsid w:val="0027318A"/>
    <w:rsid w:val="00275002"/>
    <w:rsid w:val="00275927"/>
    <w:rsid w:val="002762EA"/>
    <w:rsid w:val="00276A9F"/>
    <w:rsid w:val="00277570"/>
    <w:rsid w:val="00280CAF"/>
    <w:rsid w:val="002817AB"/>
    <w:rsid w:val="002828A0"/>
    <w:rsid w:val="00282AE9"/>
    <w:rsid w:val="00283BF8"/>
    <w:rsid w:val="0028440E"/>
    <w:rsid w:val="0028521F"/>
    <w:rsid w:val="00285B8A"/>
    <w:rsid w:val="00286866"/>
    <w:rsid w:val="00286874"/>
    <w:rsid w:val="00291658"/>
    <w:rsid w:val="0029246F"/>
    <w:rsid w:val="00294653"/>
    <w:rsid w:val="00294D01"/>
    <w:rsid w:val="00296B65"/>
    <w:rsid w:val="00296D07"/>
    <w:rsid w:val="002A0450"/>
    <w:rsid w:val="002A0AF0"/>
    <w:rsid w:val="002A1B5C"/>
    <w:rsid w:val="002A2900"/>
    <w:rsid w:val="002A3CF2"/>
    <w:rsid w:val="002A4EF8"/>
    <w:rsid w:val="002A4FBE"/>
    <w:rsid w:val="002A7439"/>
    <w:rsid w:val="002A7729"/>
    <w:rsid w:val="002A7C78"/>
    <w:rsid w:val="002A7DEF"/>
    <w:rsid w:val="002B0749"/>
    <w:rsid w:val="002B0DAE"/>
    <w:rsid w:val="002B1949"/>
    <w:rsid w:val="002B1B50"/>
    <w:rsid w:val="002B3B2D"/>
    <w:rsid w:val="002B4F04"/>
    <w:rsid w:val="002B6FD1"/>
    <w:rsid w:val="002B720D"/>
    <w:rsid w:val="002C2278"/>
    <w:rsid w:val="002C2A63"/>
    <w:rsid w:val="002C341F"/>
    <w:rsid w:val="002C3E5B"/>
    <w:rsid w:val="002C42B0"/>
    <w:rsid w:val="002C4965"/>
    <w:rsid w:val="002C581B"/>
    <w:rsid w:val="002C621D"/>
    <w:rsid w:val="002C6B96"/>
    <w:rsid w:val="002C6DD3"/>
    <w:rsid w:val="002D1734"/>
    <w:rsid w:val="002D37FB"/>
    <w:rsid w:val="002D484E"/>
    <w:rsid w:val="002D4A1F"/>
    <w:rsid w:val="002E29A0"/>
    <w:rsid w:val="002E5E33"/>
    <w:rsid w:val="002E6254"/>
    <w:rsid w:val="002E64AB"/>
    <w:rsid w:val="002E6AEA"/>
    <w:rsid w:val="002F02A4"/>
    <w:rsid w:val="002F22FD"/>
    <w:rsid w:val="002F2481"/>
    <w:rsid w:val="002F3D02"/>
    <w:rsid w:val="002F4F34"/>
    <w:rsid w:val="002F7986"/>
    <w:rsid w:val="00300C0B"/>
    <w:rsid w:val="00302D83"/>
    <w:rsid w:val="00303DCF"/>
    <w:rsid w:val="003061FA"/>
    <w:rsid w:val="003062C2"/>
    <w:rsid w:val="00306DD8"/>
    <w:rsid w:val="00307F6D"/>
    <w:rsid w:val="003105F5"/>
    <w:rsid w:val="003106BC"/>
    <w:rsid w:val="0031318F"/>
    <w:rsid w:val="003152BD"/>
    <w:rsid w:val="003153EB"/>
    <w:rsid w:val="003171C6"/>
    <w:rsid w:val="003177A2"/>
    <w:rsid w:val="00317A81"/>
    <w:rsid w:val="003208C0"/>
    <w:rsid w:val="00321853"/>
    <w:rsid w:val="00322300"/>
    <w:rsid w:val="00323CE7"/>
    <w:rsid w:val="003243B4"/>
    <w:rsid w:val="003271B5"/>
    <w:rsid w:val="003274A9"/>
    <w:rsid w:val="0032770E"/>
    <w:rsid w:val="00331264"/>
    <w:rsid w:val="00332F5D"/>
    <w:rsid w:val="00334C8D"/>
    <w:rsid w:val="00336D50"/>
    <w:rsid w:val="003375A4"/>
    <w:rsid w:val="00337F4F"/>
    <w:rsid w:val="003401B9"/>
    <w:rsid w:val="00341169"/>
    <w:rsid w:val="00342870"/>
    <w:rsid w:val="00343BF7"/>
    <w:rsid w:val="0034420D"/>
    <w:rsid w:val="00346F05"/>
    <w:rsid w:val="0035089F"/>
    <w:rsid w:val="003518B3"/>
    <w:rsid w:val="00351FDC"/>
    <w:rsid w:val="00352DA8"/>
    <w:rsid w:val="00354887"/>
    <w:rsid w:val="00354A9E"/>
    <w:rsid w:val="0035522A"/>
    <w:rsid w:val="00355CDD"/>
    <w:rsid w:val="00355D1A"/>
    <w:rsid w:val="00355D2F"/>
    <w:rsid w:val="00356706"/>
    <w:rsid w:val="00356E72"/>
    <w:rsid w:val="00361D84"/>
    <w:rsid w:val="00362ABA"/>
    <w:rsid w:val="003642AD"/>
    <w:rsid w:val="00366515"/>
    <w:rsid w:val="00366910"/>
    <w:rsid w:val="003715C8"/>
    <w:rsid w:val="00371F3A"/>
    <w:rsid w:val="003749F7"/>
    <w:rsid w:val="00375E24"/>
    <w:rsid w:val="00376373"/>
    <w:rsid w:val="00383C6B"/>
    <w:rsid w:val="003846F1"/>
    <w:rsid w:val="00384A55"/>
    <w:rsid w:val="00384B54"/>
    <w:rsid w:val="00386C86"/>
    <w:rsid w:val="003874F8"/>
    <w:rsid w:val="003904D2"/>
    <w:rsid w:val="00395B4C"/>
    <w:rsid w:val="00397EB2"/>
    <w:rsid w:val="003A0810"/>
    <w:rsid w:val="003A0CB8"/>
    <w:rsid w:val="003A0E25"/>
    <w:rsid w:val="003A1F17"/>
    <w:rsid w:val="003A3E2D"/>
    <w:rsid w:val="003A41E0"/>
    <w:rsid w:val="003A431D"/>
    <w:rsid w:val="003A4B6B"/>
    <w:rsid w:val="003A7DC0"/>
    <w:rsid w:val="003B0D56"/>
    <w:rsid w:val="003B282E"/>
    <w:rsid w:val="003B40ED"/>
    <w:rsid w:val="003B4804"/>
    <w:rsid w:val="003B4D9B"/>
    <w:rsid w:val="003B6F90"/>
    <w:rsid w:val="003C0710"/>
    <w:rsid w:val="003C089E"/>
    <w:rsid w:val="003C24A9"/>
    <w:rsid w:val="003C2B22"/>
    <w:rsid w:val="003C2BC1"/>
    <w:rsid w:val="003C30E5"/>
    <w:rsid w:val="003C3C98"/>
    <w:rsid w:val="003C3D77"/>
    <w:rsid w:val="003C62E9"/>
    <w:rsid w:val="003C7164"/>
    <w:rsid w:val="003C7B5B"/>
    <w:rsid w:val="003C7EFA"/>
    <w:rsid w:val="003D30EE"/>
    <w:rsid w:val="003D5258"/>
    <w:rsid w:val="003E1341"/>
    <w:rsid w:val="003E3C33"/>
    <w:rsid w:val="003E47DC"/>
    <w:rsid w:val="003E521D"/>
    <w:rsid w:val="003E74FF"/>
    <w:rsid w:val="003E78A9"/>
    <w:rsid w:val="003F004E"/>
    <w:rsid w:val="003F0289"/>
    <w:rsid w:val="003F0D66"/>
    <w:rsid w:val="003F3672"/>
    <w:rsid w:val="003F54CB"/>
    <w:rsid w:val="003F57F1"/>
    <w:rsid w:val="003F5F74"/>
    <w:rsid w:val="003F66C5"/>
    <w:rsid w:val="003F75C8"/>
    <w:rsid w:val="00401B53"/>
    <w:rsid w:val="00402142"/>
    <w:rsid w:val="00403473"/>
    <w:rsid w:val="004034C5"/>
    <w:rsid w:val="00404492"/>
    <w:rsid w:val="00404504"/>
    <w:rsid w:val="00405B42"/>
    <w:rsid w:val="00407337"/>
    <w:rsid w:val="00410584"/>
    <w:rsid w:val="00411897"/>
    <w:rsid w:val="00412176"/>
    <w:rsid w:val="00414488"/>
    <w:rsid w:val="00414EA6"/>
    <w:rsid w:val="00415788"/>
    <w:rsid w:val="004157C0"/>
    <w:rsid w:val="00416641"/>
    <w:rsid w:val="004176E8"/>
    <w:rsid w:val="00421154"/>
    <w:rsid w:val="0042429B"/>
    <w:rsid w:val="00424809"/>
    <w:rsid w:val="004253D6"/>
    <w:rsid w:val="004303EE"/>
    <w:rsid w:val="00435F7C"/>
    <w:rsid w:val="00436F76"/>
    <w:rsid w:val="00440D85"/>
    <w:rsid w:val="00441A99"/>
    <w:rsid w:val="00442767"/>
    <w:rsid w:val="00444A48"/>
    <w:rsid w:val="00450611"/>
    <w:rsid w:val="004507A1"/>
    <w:rsid w:val="0045129B"/>
    <w:rsid w:val="004518EA"/>
    <w:rsid w:val="00453327"/>
    <w:rsid w:val="00456C20"/>
    <w:rsid w:val="00462CFF"/>
    <w:rsid w:val="00465210"/>
    <w:rsid w:val="00470AF4"/>
    <w:rsid w:val="00470EE9"/>
    <w:rsid w:val="0047130B"/>
    <w:rsid w:val="00471992"/>
    <w:rsid w:val="00471E68"/>
    <w:rsid w:val="0047346C"/>
    <w:rsid w:val="00475F8E"/>
    <w:rsid w:val="00477821"/>
    <w:rsid w:val="0048018F"/>
    <w:rsid w:val="00480B4B"/>
    <w:rsid w:val="00480DA9"/>
    <w:rsid w:val="004831F8"/>
    <w:rsid w:val="00485752"/>
    <w:rsid w:val="00485DC4"/>
    <w:rsid w:val="00486549"/>
    <w:rsid w:val="00487C10"/>
    <w:rsid w:val="004923CD"/>
    <w:rsid w:val="00492A06"/>
    <w:rsid w:val="00493B02"/>
    <w:rsid w:val="00494036"/>
    <w:rsid w:val="00495574"/>
    <w:rsid w:val="0049751C"/>
    <w:rsid w:val="004A0AB5"/>
    <w:rsid w:val="004A1061"/>
    <w:rsid w:val="004A1184"/>
    <w:rsid w:val="004A13A6"/>
    <w:rsid w:val="004A2770"/>
    <w:rsid w:val="004A364A"/>
    <w:rsid w:val="004B104F"/>
    <w:rsid w:val="004B1708"/>
    <w:rsid w:val="004B231C"/>
    <w:rsid w:val="004B42A7"/>
    <w:rsid w:val="004B4412"/>
    <w:rsid w:val="004B5B3F"/>
    <w:rsid w:val="004C28B2"/>
    <w:rsid w:val="004C348C"/>
    <w:rsid w:val="004C4E90"/>
    <w:rsid w:val="004C571B"/>
    <w:rsid w:val="004C63B9"/>
    <w:rsid w:val="004C6486"/>
    <w:rsid w:val="004C690D"/>
    <w:rsid w:val="004C6C5B"/>
    <w:rsid w:val="004D1774"/>
    <w:rsid w:val="004D4A76"/>
    <w:rsid w:val="004D5447"/>
    <w:rsid w:val="004D55BA"/>
    <w:rsid w:val="004E1B1C"/>
    <w:rsid w:val="004E1E95"/>
    <w:rsid w:val="004E34E7"/>
    <w:rsid w:val="004E4142"/>
    <w:rsid w:val="004E6AFC"/>
    <w:rsid w:val="004E755C"/>
    <w:rsid w:val="004E7D10"/>
    <w:rsid w:val="004F171D"/>
    <w:rsid w:val="004F18F3"/>
    <w:rsid w:val="004F6D0A"/>
    <w:rsid w:val="004F6ED0"/>
    <w:rsid w:val="00501B85"/>
    <w:rsid w:val="0050244E"/>
    <w:rsid w:val="00502843"/>
    <w:rsid w:val="00502D42"/>
    <w:rsid w:val="005033F6"/>
    <w:rsid w:val="005047F1"/>
    <w:rsid w:val="00505B5E"/>
    <w:rsid w:val="00506624"/>
    <w:rsid w:val="00510A43"/>
    <w:rsid w:val="005154BB"/>
    <w:rsid w:val="005177C0"/>
    <w:rsid w:val="00522360"/>
    <w:rsid w:val="00522486"/>
    <w:rsid w:val="00522668"/>
    <w:rsid w:val="00523AD2"/>
    <w:rsid w:val="00524513"/>
    <w:rsid w:val="00527551"/>
    <w:rsid w:val="005279B6"/>
    <w:rsid w:val="00530128"/>
    <w:rsid w:val="00530657"/>
    <w:rsid w:val="005323B2"/>
    <w:rsid w:val="00532467"/>
    <w:rsid w:val="0053491C"/>
    <w:rsid w:val="00534DD9"/>
    <w:rsid w:val="0053611E"/>
    <w:rsid w:val="0054102B"/>
    <w:rsid w:val="0054173F"/>
    <w:rsid w:val="0054254C"/>
    <w:rsid w:val="00543945"/>
    <w:rsid w:val="00543BEC"/>
    <w:rsid w:val="00544C6F"/>
    <w:rsid w:val="00545EBF"/>
    <w:rsid w:val="00546B16"/>
    <w:rsid w:val="00547DC4"/>
    <w:rsid w:val="005502E7"/>
    <w:rsid w:val="00551739"/>
    <w:rsid w:val="00551D6B"/>
    <w:rsid w:val="00552DA2"/>
    <w:rsid w:val="00552F68"/>
    <w:rsid w:val="00555667"/>
    <w:rsid w:val="005556B9"/>
    <w:rsid w:val="00556B64"/>
    <w:rsid w:val="005575B9"/>
    <w:rsid w:val="00560CE5"/>
    <w:rsid w:val="00562103"/>
    <w:rsid w:val="00562CEE"/>
    <w:rsid w:val="00562EF1"/>
    <w:rsid w:val="00564A4D"/>
    <w:rsid w:val="00565239"/>
    <w:rsid w:val="005656E2"/>
    <w:rsid w:val="00565F50"/>
    <w:rsid w:val="0056783F"/>
    <w:rsid w:val="005703C9"/>
    <w:rsid w:val="005707D4"/>
    <w:rsid w:val="00571680"/>
    <w:rsid w:val="00571B35"/>
    <w:rsid w:val="005722FF"/>
    <w:rsid w:val="00572D20"/>
    <w:rsid w:val="00573042"/>
    <w:rsid w:val="00574241"/>
    <w:rsid w:val="00575C43"/>
    <w:rsid w:val="00577A09"/>
    <w:rsid w:val="00577F68"/>
    <w:rsid w:val="00580E72"/>
    <w:rsid w:val="005810AE"/>
    <w:rsid w:val="005819F3"/>
    <w:rsid w:val="00582446"/>
    <w:rsid w:val="005839B3"/>
    <w:rsid w:val="00584D8F"/>
    <w:rsid w:val="00585D42"/>
    <w:rsid w:val="00587CFB"/>
    <w:rsid w:val="0059001F"/>
    <w:rsid w:val="0059539A"/>
    <w:rsid w:val="00595613"/>
    <w:rsid w:val="00595ED0"/>
    <w:rsid w:val="00596275"/>
    <w:rsid w:val="00596DE3"/>
    <w:rsid w:val="005A1287"/>
    <w:rsid w:val="005A1339"/>
    <w:rsid w:val="005A3B2C"/>
    <w:rsid w:val="005A3F7E"/>
    <w:rsid w:val="005A404D"/>
    <w:rsid w:val="005A42D5"/>
    <w:rsid w:val="005A5657"/>
    <w:rsid w:val="005A6CB0"/>
    <w:rsid w:val="005A6F22"/>
    <w:rsid w:val="005A731B"/>
    <w:rsid w:val="005B0461"/>
    <w:rsid w:val="005B0EF5"/>
    <w:rsid w:val="005B1402"/>
    <w:rsid w:val="005B1E3C"/>
    <w:rsid w:val="005B62AF"/>
    <w:rsid w:val="005B7F8F"/>
    <w:rsid w:val="005C26CC"/>
    <w:rsid w:val="005C3411"/>
    <w:rsid w:val="005C3D54"/>
    <w:rsid w:val="005C3DEC"/>
    <w:rsid w:val="005C4E3D"/>
    <w:rsid w:val="005C4F80"/>
    <w:rsid w:val="005C53C0"/>
    <w:rsid w:val="005C546A"/>
    <w:rsid w:val="005C553B"/>
    <w:rsid w:val="005C592F"/>
    <w:rsid w:val="005C5D2E"/>
    <w:rsid w:val="005C5E72"/>
    <w:rsid w:val="005D24A9"/>
    <w:rsid w:val="005D2FBD"/>
    <w:rsid w:val="005D5ECD"/>
    <w:rsid w:val="005D69AF"/>
    <w:rsid w:val="005E0B7E"/>
    <w:rsid w:val="005E2086"/>
    <w:rsid w:val="005E6FFA"/>
    <w:rsid w:val="005E7718"/>
    <w:rsid w:val="005F0661"/>
    <w:rsid w:val="005F0CD5"/>
    <w:rsid w:val="005F69C4"/>
    <w:rsid w:val="005F6ADE"/>
    <w:rsid w:val="005F702C"/>
    <w:rsid w:val="005F7247"/>
    <w:rsid w:val="005F7FBC"/>
    <w:rsid w:val="00600B2D"/>
    <w:rsid w:val="00602A58"/>
    <w:rsid w:val="0060313E"/>
    <w:rsid w:val="00603914"/>
    <w:rsid w:val="00604DB6"/>
    <w:rsid w:val="006057DD"/>
    <w:rsid w:val="00607BA0"/>
    <w:rsid w:val="00610304"/>
    <w:rsid w:val="00612006"/>
    <w:rsid w:val="00613324"/>
    <w:rsid w:val="00613DEC"/>
    <w:rsid w:val="00615619"/>
    <w:rsid w:val="00615C6B"/>
    <w:rsid w:val="00616CEC"/>
    <w:rsid w:val="00620B1B"/>
    <w:rsid w:val="00621545"/>
    <w:rsid w:val="0062525D"/>
    <w:rsid w:val="00626A3A"/>
    <w:rsid w:val="00626E1A"/>
    <w:rsid w:val="00627B2D"/>
    <w:rsid w:val="0063066D"/>
    <w:rsid w:val="006309A2"/>
    <w:rsid w:val="00630A15"/>
    <w:rsid w:val="00631560"/>
    <w:rsid w:val="006319C1"/>
    <w:rsid w:val="00632D6D"/>
    <w:rsid w:val="00634D01"/>
    <w:rsid w:val="0063567F"/>
    <w:rsid w:val="00636936"/>
    <w:rsid w:val="006411E6"/>
    <w:rsid w:val="00642C3E"/>
    <w:rsid w:val="00644F6E"/>
    <w:rsid w:val="006471D4"/>
    <w:rsid w:val="00647804"/>
    <w:rsid w:val="0065049E"/>
    <w:rsid w:val="00651005"/>
    <w:rsid w:val="0065226B"/>
    <w:rsid w:val="0065567D"/>
    <w:rsid w:val="006556AA"/>
    <w:rsid w:val="00656588"/>
    <w:rsid w:val="0065661E"/>
    <w:rsid w:val="006566B8"/>
    <w:rsid w:val="006569A5"/>
    <w:rsid w:val="006573B5"/>
    <w:rsid w:val="00660F82"/>
    <w:rsid w:val="00661F88"/>
    <w:rsid w:val="006621AB"/>
    <w:rsid w:val="00663DAD"/>
    <w:rsid w:val="00665ACC"/>
    <w:rsid w:val="00665C0C"/>
    <w:rsid w:val="00666226"/>
    <w:rsid w:val="0067180B"/>
    <w:rsid w:val="00673D15"/>
    <w:rsid w:val="006741D4"/>
    <w:rsid w:val="00674600"/>
    <w:rsid w:val="00675E21"/>
    <w:rsid w:val="00676679"/>
    <w:rsid w:val="00677233"/>
    <w:rsid w:val="006777D7"/>
    <w:rsid w:val="00682C3F"/>
    <w:rsid w:val="00686411"/>
    <w:rsid w:val="00687AA8"/>
    <w:rsid w:val="0069047F"/>
    <w:rsid w:val="00694FD6"/>
    <w:rsid w:val="0069547C"/>
    <w:rsid w:val="006956EC"/>
    <w:rsid w:val="006A0411"/>
    <w:rsid w:val="006A1226"/>
    <w:rsid w:val="006A20CE"/>
    <w:rsid w:val="006A21CD"/>
    <w:rsid w:val="006A35B0"/>
    <w:rsid w:val="006A6EDD"/>
    <w:rsid w:val="006A7C64"/>
    <w:rsid w:val="006B0C7B"/>
    <w:rsid w:val="006B245C"/>
    <w:rsid w:val="006B32F3"/>
    <w:rsid w:val="006B4CF9"/>
    <w:rsid w:val="006B6CC3"/>
    <w:rsid w:val="006B77F5"/>
    <w:rsid w:val="006B7AC8"/>
    <w:rsid w:val="006C196C"/>
    <w:rsid w:val="006C1E8B"/>
    <w:rsid w:val="006C2373"/>
    <w:rsid w:val="006C318F"/>
    <w:rsid w:val="006C3620"/>
    <w:rsid w:val="006C41C4"/>
    <w:rsid w:val="006C447D"/>
    <w:rsid w:val="006C5B09"/>
    <w:rsid w:val="006C62B7"/>
    <w:rsid w:val="006D0C1E"/>
    <w:rsid w:val="006D1D94"/>
    <w:rsid w:val="006D3561"/>
    <w:rsid w:val="006D38CE"/>
    <w:rsid w:val="006D550F"/>
    <w:rsid w:val="006D5B9F"/>
    <w:rsid w:val="006D6001"/>
    <w:rsid w:val="006D6AE2"/>
    <w:rsid w:val="006D7923"/>
    <w:rsid w:val="006E0523"/>
    <w:rsid w:val="006E1E7D"/>
    <w:rsid w:val="006E218F"/>
    <w:rsid w:val="006E244A"/>
    <w:rsid w:val="006E5F3E"/>
    <w:rsid w:val="006E78CF"/>
    <w:rsid w:val="006F0601"/>
    <w:rsid w:val="006F0B74"/>
    <w:rsid w:val="006F0D76"/>
    <w:rsid w:val="006F1044"/>
    <w:rsid w:val="006F1BC3"/>
    <w:rsid w:val="006F254F"/>
    <w:rsid w:val="006F3750"/>
    <w:rsid w:val="006F393C"/>
    <w:rsid w:val="006F3FCB"/>
    <w:rsid w:val="006F48AA"/>
    <w:rsid w:val="006F4C38"/>
    <w:rsid w:val="006F6C2D"/>
    <w:rsid w:val="00700DAB"/>
    <w:rsid w:val="00701CAB"/>
    <w:rsid w:val="00702357"/>
    <w:rsid w:val="007037F6"/>
    <w:rsid w:val="00704518"/>
    <w:rsid w:val="00704CA4"/>
    <w:rsid w:val="00707011"/>
    <w:rsid w:val="00707563"/>
    <w:rsid w:val="00711BF6"/>
    <w:rsid w:val="00712D03"/>
    <w:rsid w:val="00716355"/>
    <w:rsid w:val="0071735A"/>
    <w:rsid w:val="0072073C"/>
    <w:rsid w:val="00720AB2"/>
    <w:rsid w:val="007215AA"/>
    <w:rsid w:val="0072348C"/>
    <w:rsid w:val="007241D7"/>
    <w:rsid w:val="007247EC"/>
    <w:rsid w:val="00724827"/>
    <w:rsid w:val="00724A37"/>
    <w:rsid w:val="00724BF3"/>
    <w:rsid w:val="00727D4D"/>
    <w:rsid w:val="007303C3"/>
    <w:rsid w:val="00731F13"/>
    <w:rsid w:val="0073214E"/>
    <w:rsid w:val="0073561F"/>
    <w:rsid w:val="007356A7"/>
    <w:rsid w:val="00741247"/>
    <w:rsid w:val="00741D03"/>
    <w:rsid w:val="007426D5"/>
    <w:rsid w:val="00743223"/>
    <w:rsid w:val="00743977"/>
    <w:rsid w:val="00746063"/>
    <w:rsid w:val="00746E01"/>
    <w:rsid w:val="00747D2F"/>
    <w:rsid w:val="00751821"/>
    <w:rsid w:val="007532DD"/>
    <w:rsid w:val="00753ADA"/>
    <w:rsid w:val="00760B4D"/>
    <w:rsid w:val="00760FD8"/>
    <w:rsid w:val="007618A3"/>
    <w:rsid w:val="00762D41"/>
    <w:rsid w:val="00763E5D"/>
    <w:rsid w:val="00764C7F"/>
    <w:rsid w:val="00767740"/>
    <w:rsid w:val="00771822"/>
    <w:rsid w:val="00772A95"/>
    <w:rsid w:val="00777EE6"/>
    <w:rsid w:val="00780452"/>
    <w:rsid w:val="00781A01"/>
    <w:rsid w:val="00782EEA"/>
    <w:rsid w:val="0078319A"/>
    <w:rsid w:val="00783D4E"/>
    <w:rsid w:val="00783E1A"/>
    <w:rsid w:val="00784059"/>
    <w:rsid w:val="0078423F"/>
    <w:rsid w:val="00784A7E"/>
    <w:rsid w:val="007861E0"/>
    <w:rsid w:val="0079091B"/>
    <w:rsid w:val="0079277A"/>
    <w:rsid w:val="0079310A"/>
    <w:rsid w:val="007959E7"/>
    <w:rsid w:val="00796C78"/>
    <w:rsid w:val="00796D6A"/>
    <w:rsid w:val="007A1135"/>
    <w:rsid w:val="007A1428"/>
    <w:rsid w:val="007A1AB0"/>
    <w:rsid w:val="007A33E8"/>
    <w:rsid w:val="007A48FA"/>
    <w:rsid w:val="007A6656"/>
    <w:rsid w:val="007A7264"/>
    <w:rsid w:val="007B1732"/>
    <w:rsid w:val="007B2C72"/>
    <w:rsid w:val="007B3F68"/>
    <w:rsid w:val="007B497F"/>
    <w:rsid w:val="007B57F8"/>
    <w:rsid w:val="007B742A"/>
    <w:rsid w:val="007B78AB"/>
    <w:rsid w:val="007C1C53"/>
    <w:rsid w:val="007C2EE8"/>
    <w:rsid w:val="007C62FE"/>
    <w:rsid w:val="007C6FE2"/>
    <w:rsid w:val="007D1133"/>
    <w:rsid w:val="007D2028"/>
    <w:rsid w:val="007D47B2"/>
    <w:rsid w:val="007D53A8"/>
    <w:rsid w:val="007D6FC9"/>
    <w:rsid w:val="007E1516"/>
    <w:rsid w:val="007E4904"/>
    <w:rsid w:val="007E4CB5"/>
    <w:rsid w:val="007E5597"/>
    <w:rsid w:val="007E74E0"/>
    <w:rsid w:val="007F066B"/>
    <w:rsid w:val="007F0F77"/>
    <w:rsid w:val="007F2BBD"/>
    <w:rsid w:val="007F2D03"/>
    <w:rsid w:val="007F3B2C"/>
    <w:rsid w:val="007F43CB"/>
    <w:rsid w:val="007F475F"/>
    <w:rsid w:val="007F4AB4"/>
    <w:rsid w:val="007F5457"/>
    <w:rsid w:val="008011F4"/>
    <w:rsid w:val="008033C4"/>
    <w:rsid w:val="00806C88"/>
    <w:rsid w:val="00807112"/>
    <w:rsid w:val="00807A5C"/>
    <w:rsid w:val="0081034E"/>
    <w:rsid w:val="0081253D"/>
    <w:rsid w:val="00812E7B"/>
    <w:rsid w:val="0081351D"/>
    <w:rsid w:val="00813CE4"/>
    <w:rsid w:val="0081592A"/>
    <w:rsid w:val="00817724"/>
    <w:rsid w:val="008238B2"/>
    <w:rsid w:val="008245E2"/>
    <w:rsid w:val="008257CA"/>
    <w:rsid w:val="008301E7"/>
    <w:rsid w:val="00831483"/>
    <w:rsid w:val="008344B4"/>
    <w:rsid w:val="008344F6"/>
    <w:rsid w:val="0083510F"/>
    <w:rsid w:val="00835528"/>
    <w:rsid w:val="008366CD"/>
    <w:rsid w:val="00836890"/>
    <w:rsid w:val="00840C6C"/>
    <w:rsid w:val="00840FCC"/>
    <w:rsid w:val="008445D3"/>
    <w:rsid w:val="00845396"/>
    <w:rsid w:val="00847ED9"/>
    <w:rsid w:val="00851209"/>
    <w:rsid w:val="0085188E"/>
    <w:rsid w:val="00851B46"/>
    <w:rsid w:val="00852B3D"/>
    <w:rsid w:val="008556A5"/>
    <w:rsid w:val="00856965"/>
    <w:rsid w:val="00857917"/>
    <w:rsid w:val="00861AED"/>
    <w:rsid w:val="00864A9F"/>
    <w:rsid w:val="00867506"/>
    <w:rsid w:val="008707C1"/>
    <w:rsid w:val="00870903"/>
    <w:rsid w:val="0087280A"/>
    <w:rsid w:val="0087308C"/>
    <w:rsid w:val="0087350F"/>
    <w:rsid w:val="00873B1F"/>
    <w:rsid w:val="0087479D"/>
    <w:rsid w:val="008837AC"/>
    <w:rsid w:val="00884D30"/>
    <w:rsid w:val="0088604D"/>
    <w:rsid w:val="00886662"/>
    <w:rsid w:val="00886BAB"/>
    <w:rsid w:val="00886CEC"/>
    <w:rsid w:val="00886FA8"/>
    <w:rsid w:val="0088762B"/>
    <w:rsid w:val="00887EBF"/>
    <w:rsid w:val="00887FB8"/>
    <w:rsid w:val="008909FD"/>
    <w:rsid w:val="008934F4"/>
    <w:rsid w:val="00895878"/>
    <w:rsid w:val="00896C79"/>
    <w:rsid w:val="008A147B"/>
    <w:rsid w:val="008A157D"/>
    <w:rsid w:val="008A4DB6"/>
    <w:rsid w:val="008A587D"/>
    <w:rsid w:val="008A59AB"/>
    <w:rsid w:val="008A6198"/>
    <w:rsid w:val="008A7580"/>
    <w:rsid w:val="008A7912"/>
    <w:rsid w:val="008A7E37"/>
    <w:rsid w:val="008B0D4C"/>
    <w:rsid w:val="008B22BE"/>
    <w:rsid w:val="008B416B"/>
    <w:rsid w:val="008B6DA5"/>
    <w:rsid w:val="008C094A"/>
    <w:rsid w:val="008C1D7C"/>
    <w:rsid w:val="008C1FE0"/>
    <w:rsid w:val="008C4E0D"/>
    <w:rsid w:val="008C50F7"/>
    <w:rsid w:val="008C50FB"/>
    <w:rsid w:val="008C5486"/>
    <w:rsid w:val="008C6384"/>
    <w:rsid w:val="008C6B16"/>
    <w:rsid w:val="008D21CB"/>
    <w:rsid w:val="008D2CEE"/>
    <w:rsid w:val="008D4820"/>
    <w:rsid w:val="008D4E23"/>
    <w:rsid w:val="008D6AC3"/>
    <w:rsid w:val="008D7D94"/>
    <w:rsid w:val="008E1E8E"/>
    <w:rsid w:val="008E2C54"/>
    <w:rsid w:val="008E535A"/>
    <w:rsid w:val="008E6CAE"/>
    <w:rsid w:val="008E7031"/>
    <w:rsid w:val="008F05DF"/>
    <w:rsid w:val="008F14C9"/>
    <w:rsid w:val="008F2DE1"/>
    <w:rsid w:val="008F2F48"/>
    <w:rsid w:val="008F4AD5"/>
    <w:rsid w:val="008F4C72"/>
    <w:rsid w:val="008F4DFD"/>
    <w:rsid w:val="008F6E27"/>
    <w:rsid w:val="008F6FC7"/>
    <w:rsid w:val="008F71C7"/>
    <w:rsid w:val="008F7954"/>
    <w:rsid w:val="009004F5"/>
    <w:rsid w:val="0090239D"/>
    <w:rsid w:val="00902445"/>
    <w:rsid w:val="00903A78"/>
    <w:rsid w:val="009057E0"/>
    <w:rsid w:val="009064FC"/>
    <w:rsid w:val="0091130F"/>
    <w:rsid w:val="00913C7D"/>
    <w:rsid w:val="00914872"/>
    <w:rsid w:val="00914975"/>
    <w:rsid w:val="00914A87"/>
    <w:rsid w:val="00914DCF"/>
    <w:rsid w:val="00915BFF"/>
    <w:rsid w:val="0091710E"/>
    <w:rsid w:val="0092084D"/>
    <w:rsid w:val="00921066"/>
    <w:rsid w:val="00921957"/>
    <w:rsid w:val="00922ACF"/>
    <w:rsid w:val="009233EE"/>
    <w:rsid w:val="00924207"/>
    <w:rsid w:val="0092422F"/>
    <w:rsid w:val="00925EDB"/>
    <w:rsid w:val="00932606"/>
    <w:rsid w:val="009335AE"/>
    <w:rsid w:val="00933B55"/>
    <w:rsid w:val="00936740"/>
    <w:rsid w:val="009377D8"/>
    <w:rsid w:val="00940393"/>
    <w:rsid w:val="0094150C"/>
    <w:rsid w:val="00941935"/>
    <w:rsid w:val="00942863"/>
    <w:rsid w:val="00944863"/>
    <w:rsid w:val="009456DC"/>
    <w:rsid w:val="00947919"/>
    <w:rsid w:val="00950B15"/>
    <w:rsid w:val="0095158D"/>
    <w:rsid w:val="00952CF7"/>
    <w:rsid w:val="00953534"/>
    <w:rsid w:val="009540FA"/>
    <w:rsid w:val="00956C19"/>
    <w:rsid w:val="00957591"/>
    <w:rsid w:val="0095772E"/>
    <w:rsid w:val="00960AC5"/>
    <w:rsid w:val="00960C83"/>
    <w:rsid w:val="00963914"/>
    <w:rsid w:val="00963EC7"/>
    <w:rsid w:val="00965C31"/>
    <w:rsid w:val="009661DE"/>
    <w:rsid w:val="00970577"/>
    <w:rsid w:val="009721AF"/>
    <w:rsid w:val="00972A40"/>
    <w:rsid w:val="00974CDB"/>
    <w:rsid w:val="009777E3"/>
    <w:rsid w:val="00981578"/>
    <w:rsid w:val="00981E7F"/>
    <w:rsid w:val="00982FEB"/>
    <w:rsid w:val="009837D1"/>
    <w:rsid w:val="00983EEC"/>
    <w:rsid w:val="009856B7"/>
    <w:rsid w:val="00985A66"/>
    <w:rsid w:val="0098646A"/>
    <w:rsid w:val="009904FF"/>
    <w:rsid w:val="009920D2"/>
    <w:rsid w:val="009928BC"/>
    <w:rsid w:val="009937B4"/>
    <w:rsid w:val="0099572C"/>
    <w:rsid w:val="009A090B"/>
    <w:rsid w:val="009A0A73"/>
    <w:rsid w:val="009A0EDF"/>
    <w:rsid w:val="009A14D0"/>
    <w:rsid w:val="009A3D22"/>
    <w:rsid w:val="009A4B08"/>
    <w:rsid w:val="009A574C"/>
    <w:rsid w:val="009A6D69"/>
    <w:rsid w:val="009B0884"/>
    <w:rsid w:val="009B1174"/>
    <w:rsid w:val="009B21F2"/>
    <w:rsid w:val="009B4E65"/>
    <w:rsid w:val="009B533B"/>
    <w:rsid w:val="009B5478"/>
    <w:rsid w:val="009B5D28"/>
    <w:rsid w:val="009B615C"/>
    <w:rsid w:val="009B69AA"/>
    <w:rsid w:val="009B74B0"/>
    <w:rsid w:val="009C01D7"/>
    <w:rsid w:val="009C05B5"/>
    <w:rsid w:val="009C1BE3"/>
    <w:rsid w:val="009C381D"/>
    <w:rsid w:val="009C4C5E"/>
    <w:rsid w:val="009C4FB9"/>
    <w:rsid w:val="009C6A83"/>
    <w:rsid w:val="009C77CC"/>
    <w:rsid w:val="009C7E88"/>
    <w:rsid w:val="009C7FDF"/>
    <w:rsid w:val="009D0B16"/>
    <w:rsid w:val="009D3016"/>
    <w:rsid w:val="009D30B3"/>
    <w:rsid w:val="009D3902"/>
    <w:rsid w:val="009D47E3"/>
    <w:rsid w:val="009D633E"/>
    <w:rsid w:val="009D6B46"/>
    <w:rsid w:val="009E1209"/>
    <w:rsid w:val="009E1242"/>
    <w:rsid w:val="009E2520"/>
    <w:rsid w:val="009E2B88"/>
    <w:rsid w:val="009E464D"/>
    <w:rsid w:val="009E5613"/>
    <w:rsid w:val="009E6668"/>
    <w:rsid w:val="009E7749"/>
    <w:rsid w:val="009E7AC6"/>
    <w:rsid w:val="009E7D2D"/>
    <w:rsid w:val="009F0A79"/>
    <w:rsid w:val="009F1D03"/>
    <w:rsid w:val="009F1E42"/>
    <w:rsid w:val="009F2CAC"/>
    <w:rsid w:val="009F4806"/>
    <w:rsid w:val="009F4940"/>
    <w:rsid w:val="00A041F4"/>
    <w:rsid w:val="00A04451"/>
    <w:rsid w:val="00A04F9F"/>
    <w:rsid w:val="00A057D1"/>
    <w:rsid w:val="00A05BED"/>
    <w:rsid w:val="00A06AD1"/>
    <w:rsid w:val="00A06E0E"/>
    <w:rsid w:val="00A1210E"/>
    <w:rsid w:val="00A159BF"/>
    <w:rsid w:val="00A15E40"/>
    <w:rsid w:val="00A16975"/>
    <w:rsid w:val="00A16DAF"/>
    <w:rsid w:val="00A16F26"/>
    <w:rsid w:val="00A21F54"/>
    <w:rsid w:val="00A226E9"/>
    <w:rsid w:val="00A2302C"/>
    <w:rsid w:val="00A25353"/>
    <w:rsid w:val="00A26739"/>
    <w:rsid w:val="00A26C2F"/>
    <w:rsid w:val="00A30B76"/>
    <w:rsid w:val="00A3632A"/>
    <w:rsid w:val="00A42006"/>
    <w:rsid w:val="00A432BC"/>
    <w:rsid w:val="00A433FB"/>
    <w:rsid w:val="00A4478A"/>
    <w:rsid w:val="00A44852"/>
    <w:rsid w:val="00A45EAC"/>
    <w:rsid w:val="00A47A03"/>
    <w:rsid w:val="00A52A18"/>
    <w:rsid w:val="00A5631E"/>
    <w:rsid w:val="00A575E8"/>
    <w:rsid w:val="00A57D04"/>
    <w:rsid w:val="00A57D69"/>
    <w:rsid w:val="00A60A26"/>
    <w:rsid w:val="00A61598"/>
    <w:rsid w:val="00A61DCF"/>
    <w:rsid w:val="00A645F9"/>
    <w:rsid w:val="00A64EBB"/>
    <w:rsid w:val="00A672B8"/>
    <w:rsid w:val="00A6730F"/>
    <w:rsid w:val="00A679F2"/>
    <w:rsid w:val="00A70908"/>
    <w:rsid w:val="00A71AA6"/>
    <w:rsid w:val="00A72667"/>
    <w:rsid w:val="00A75AAA"/>
    <w:rsid w:val="00A81710"/>
    <w:rsid w:val="00A81EF8"/>
    <w:rsid w:val="00A8219E"/>
    <w:rsid w:val="00A84149"/>
    <w:rsid w:val="00A84E2D"/>
    <w:rsid w:val="00A84F46"/>
    <w:rsid w:val="00A871F4"/>
    <w:rsid w:val="00A87F90"/>
    <w:rsid w:val="00A912B1"/>
    <w:rsid w:val="00A91A4B"/>
    <w:rsid w:val="00A923DD"/>
    <w:rsid w:val="00A9455D"/>
    <w:rsid w:val="00A94D89"/>
    <w:rsid w:val="00A956AD"/>
    <w:rsid w:val="00A96CE0"/>
    <w:rsid w:val="00A971A0"/>
    <w:rsid w:val="00AA0CEB"/>
    <w:rsid w:val="00AA12D3"/>
    <w:rsid w:val="00AA39C0"/>
    <w:rsid w:val="00AA3A2C"/>
    <w:rsid w:val="00AA476F"/>
    <w:rsid w:val="00AA5C9D"/>
    <w:rsid w:val="00AA649A"/>
    <w:rsid w:val="00AA73F0"/>
    <w:rsid w:val="00AB6478"/>
    <w:rsid w:val="00AB6927"/>
    <w:rsid w:val="00AC0FE9"/>
    <w:rsid w:val="00AC1B2C"/>
    <w:rsid w:val="00AC1CF3"/>
    <w:rsid w:val="00AC242C"/>
    <w:rsid w:val="00AC3264"/>
    <w:rsid w:val="00AC48DA"/>
    <w:rsid w:val="00AC4BF5"/>
    <w:rsid w:val="00AD0424"/>
    <w:rsid w:val="00AD36D0"/>
    <w:rsid w:val="00AD3987"/>
    <w:rsid w:val="00AD3D69"/>
    <w:rsid w:val="00AD592F"/>
    <w:rsid w:val="00AD6D98"/>
    <w:rsid w:val="00AD76AE"/>
    <w:rsid w:val="00AE0399"/>
    <w:rsid w:val="00AE18EA"/>
    <w:rsid w:val="00AE1BF1"/>
    <w:rsid w:val="00AE20B1"/>
    <w:rsid w:val="00AE2792"/>
    <w:rsid w:val="00AE317D"/>
    <w:rsid w:val="00AE33E0"/>
    <w:rsid w:val="00AF0CA1"/>
    <w:rsid w:val="00AF0DD2"/>
    <w:rsid w:val="00AF0ED5"/>
    <w:rsid w:val="00AF164D"/>
    <w:rsid w:val="00AF3A41"/>
    <w:rsid w:val="00AF46F3"/>
    <w:rsid w:val="00AF66A7"/>
    <w:rsid w:val="00AF7058"/>
    <w:rsid w:val="00AF7C0E"/>
    <w:rsid w:val="00B01BD3"/>
    <w:rsid w:val="00B02ED5"/>
    <w:rsid w:val="00B03817"/>
    <w:rsid w:val="00B050A6"/>
    <w:rsid w:val="00B057C8"/>
    <w:rsid w:val="00B06353"/>
    <w:rsid w:val="00B065C9"/>
    <w:rsid w:val="00B0779B"/>
    <w:rsid w:val="00B109DD"/>
    <w:rsid w:val="00B11C09"/>
    <w:rsid w:val="00B1285B"/>
    <w:rsid w:val="00B13048"/>
    <w:rsid w:val="00B135AC"/>
    <w:rsid w:val="00B14CE4"/>
    <w:rsid w:val="00B162BD"/>
    <w:rsid w:val="00B16A28"/>
    <w:rsid w:val="00B1716D"/>
    <w:rsid w:val="00B17A1D"/>
    <w:rsid w:val="00B207A0"/>
    <w:rsid w:val="00B20F61"/>
    <w:rsid w:val="00B211EE"/>
    <w:rsid w:val="00B23484"/>
    <w:rsid w:val="00B251A4"/>
    <w:rsid w:val="00B25887"/>
    <w:rsid w:val="00B26AAA"/>
    <w:rsid w:val="00B276D9"/>
    <w:rsid w:val="00B302BF"/>
    <w:rsid w:val="00B30D82"/>
    <w:rsid w:val="00B31071"/>
    <w:rsid w:val="00B33C7F"/>
    <w:rsid w:val="00B35810"/>
    <w:rsid w:val="00B35937"/>
    <w:rsid w:val="00B3773B"/>
    <w:rsid w:val="00B377D2"/>
    <w:rsid w:val="00B4128D"/>
    <w:rsid w:val="00B41686"/>
    <w:rsid w:val="00B44E99"/>
    <w:rsid w:val="00B474EE"/>
    <w:rsid w:val="00B52EC8"/>
    <w:rsid w:val="00B55C24"/>
    <w:rsid w:val="00B56CF6"/>
    <w:rsid w:val="00B56E03"/>
    <w:rsid w:val="00B6278D"/>
    <w:rsid w:val="00B62BB5"/>
    <w:rsid w:val="00B63E2C"/>
    <w:rsid w:val="00B64331"/>
    <w:rsid w:val="00B64DF7"/>
    <w:rsid w:val="00B652AF"/>
    <w:rsid w:val="00B6579C"/>
    <w:rsid w:val="00B65CAC"/>
    <w:rsid w:val="00B66E74"/>
    <w:rsid w:val="00B673A4"/>
    <w:rsid w:val="00B70A7F"/>
    <w:rsid w:val="00B70CA5"/>
    <w:rsid w:val="00B7397E"/>
    <w:rsid w:val="00B73C3A"/>
    <w:rsid w:val="00B752C5"/>
    <w:rsid w:val="00B8080B"/>
    <w:rsid w:val="00B82845"/>
    <w:rsid w:val="00B85D8A"/>
    <w:rsid w:val="00B87C39"/>
    <w:rsid w:val="00B87DD6"/>
    <w:rsid w:val="00B904FF"/>
    <w:rsid w:val="00B91BE8"/>
    <w:rsid w:val="00B92CD5"/>
    <w:rsid w:val="00B956D7"/>
    <w:rsid w:val="00BA05DD"/>
    <w:rsid w:val="00BA1F27"/>
    <w:rsid w:val="00BA2E61"/>
    <w:rsid w:val="00BA390A"/>
    <w:rsid w:val="00BA3992"/>
    <w:rsid w:val="00BA4665"/>
    <w:rsid w:val="00BB20BA"/>
    <w:rsid w:val="00BB264E"/>
    <w:rsid w:val="00BB2FB2"/>
    <w:rsid w:val="00BB3304"/>
    <w:rsid w:val="00BB4732"/>
    <w:rsid w:val="00BB51C2"/>
    <w:rsid w:val="00BB6815"/>
    <w:rsid w:val="00BB7780"/>
    <w:rsid w:val="00BC03BC"/>
    <w:rsid w:val="00BC1B6B"/>
    <w:rsid w:val="00BC2DFD"/>
    <w:rsid w:val="00BC4CD2"/>
    <w:rsid w:val="00BC614B"/>
    <w:rsid w:val="00BC6398"/>
    <w:rsid w:val="00BC675F"/>
    <w:rsid w:val="00BD0192"/>
    <w:rsid w:val="00BD0BD0"/>
    <w:rsid w:val="00BD10B4"/>
    <w:rsid w:val="00BD1AD7"/>
    <w:rsid w:val="00BD1BCA"/>
    <w:rsid w:val="00BD26AE"/>
    <w:rsid w:val="00BD3446"/>
    <w:rsid w:val="00BD412C"/>
    <w:rsid w:val="00BD4E33"/>
    <w:rsid w:val="00BD545F"/>
    <w:rsid w:val="00BD5467"/>
    <w:rsid w:val="00BD6CD4"/>
    <w:rsid w:val="00BD7176"/>
    <w:rsid w:val="00BD71BD"/>
    <w:rsid w:val="00BE1F1B"/>
    <w:rsid w:val="00BE2075"/>
    <w:rsid w:val="00BE2F8A"/>
    <w:rsid w:val="00BE377D"/>
    <w:rsid w:val="00BE3F55"/>
    <w:rsid w:val="00BE40E3"/>
    <w:rsid w:val="00BE47B5"/>
    <w:rsid w:val="00BE5AC5"/>
    <w:rsid w:val="00BE6087"/>
    <w:rsid w:val="00BE7DBC"/>
    <w:rsid w:val="00BF19CB"/>
    <w:rsid w:val="00BF1BF5"/>
    <w:rsid w:val="00BF1E45"/>
    <w:rsid w:val="00BF295F"/>
    <w:rsid w:val="00BF4639"/>
    <w:rsid w:val="00BF65C1"/>
    <w:rsid w:val="00BF771C"/>
    <w:rsid w:val="00C008E0"/>
    <w:rsid w:val="00C008FE"/>
    <w:rsid w:val="00C01734"/>
    <w:rsid w:val="00C024A5"/>
    <w:rsid w:val="00C030BB"/>
    <w:rsid w:val="00C03C71"/>
    <w:rsid w:val="00C04914"/>
    <w:rsid w:val="00C05C48"/>
    <w:rsid w:val="00C064A7"/>
    <w:rsid w:val="00C075A3"/>
    <w:rsid w:val="00C07A89"/>
    <w:rsid w:val="00C101F2"/>
    <w:rsid w:val="00C11AE0"/>
    <w:rsid w:val="00C12A83"/>
    <w:rsid w:val="00C154C0"/>
    <w:rsid w:val="00C15CB2"/>
    <w:rsid w:val="00C15DA4"/>
    <w:rsid w:val="00C16B2C"/>
    <w:rsid w:val="00C1786D"/>
    <w:rsid w:val="00C17CB8"/>
    <w:rsid w:val="00C17F0D"/>
    <w:rsid w:val="00C17FC7"/>
    <w:rsid w:val="00C21CBD"/>
    <w:rsid w:val="00C238EB"/>
    <w:rsid w:val="00C24398"/>
    <w:rsid w:val="00C248B1"/>
    <w:rsid w:val="00C25A9A"/>
    <w:rsid w:val="00C273A6"/>
    <w:rsid w:val="00C30BBE"/>
    <w:rsid w:val="00C33BB5"/>
    <w:rsid w:val="00C34065"/>
    <w:rsid w:val="00C35876"/>
    <w:rsid w:val="00C361EB"/>
    <w:rsid w:val="00C370D1"/>
    <w:rsid w:val="00C41237"/>
    <w:rsid w:val="00C420D7"/>
    <w:rsid w:val="00C420EB"/>
    <w:rsid w:val="00C43C4F"/>
    <w:rsid w:val="00C43C7F"/>
    <w:rsid w:val="00C452B9"/>
    <w:rsid w:val="00C45A0B"/>
    <w:rsid w:val="00C466B4"/>
    <w:rsid w:val="00C46AB5"/>
    <w:rsid w:val="00C4709E"/>
    <w:rsid w:val="00C4712A"/>
    <w:rsid w:val="00C47DEE"/>
    <w:rsid w:val="00C47EC0"/>
    <w:rsid w:val="00C50EC2"/>
    <w:rsid w:val="00C51484"/>
    <w:rsid w:val="00C51BE7"/>
    <w:rsid w:val="00C524B8"/>
    <w:rsid w:val="00C532EF"/>
    <w:rsid w:val="00C538A9"/>
    <w:rsid w:val="00C53B5A"/>
    <w:rsid w:val="00C54CF3"/>
    <w:rsid w:val="00C54F5A"/>
    <w:rsid w:val="00C55452"/>
    <w:rsid w:val="00C56506"/>
    <w:rsid w:val="00C565C5"/>
    <w:rsid w:val="00C5766F"/>
    <w:rsid w:val="00C601EF"/>
    <w:rsid w:val="00C60452"/>
    <w:rsid w:val="00C6191E"/>
    <w:rsid w:val="00C62797"/>
    <w:rsid w:val="00C6290C"/>
    <w:rsid w:val="00C63A42"/>
    <w:rsid w:val="00C65B88"/>
    <w:rsid w:val="00C672E0"/>
    <w:rsid w:val="00C70205"/>
    <w:rsid w:val="00C729B4"/>
    <w:rsid w:val="00C73A47"/>
    <w:rsid w:val="00C73C83"/>
    <w:rsid w:val="00C74A11"/>
    <w:rsid w:val="00C80612"/>
    <w:rsid w:val="00C81324"/>
    <w:rsid w:val="00C81890"/>
    <w:rsid w:val="00C81A67"/>
    <w:rsid w:val="00C8473D"/>
    <w:rsid w:val="00C86679"/>
    <w:rsid w:val="00C86919"/>
    <w:rsid w:val="00C872DB"/>
    <w:rsid w:val="00C87867"/>
    <w:rsid w:val="00C91830"/>
    <w:rsid w:val="00C9478B"/>
    <w:rsid w:val="00C950AF"/>
    <w:rsid w:val="00C9660A"/>
    <w:rsid w:val="00C96A92"/>
    <w:rsid w:val="00CA04F2"/>
    <w:rsid w:val="00CA0ECB"/>
    <w:rsid w:val="00CA4EE0"/>
    <w:rsid w:val="00CA51FE"/>
    <w:rsid w:val="00CA6B3A"/>
    <w:rsid w:val="00CA771A"/>
    <w:rsid w:val="00CA7D3F"/>
    <w:rsid w:val="00CB0FA5"/>
    <w:rsid w:val="00CB45EC"/>
    <w:rsid w:val="00CB666B"/>
    <w:rsid w:val="00CB695E"/>
    <w:rsid w:val="00CC1AC0"/>
    <w:rsid w:val="00CC1D64"/>
    <w:rsid w:val="00CC2C03"/>
    <w:rsid w:val="00CC2CA1"/>
    <w:rsid w:val="00CC3B19"/>
    <w:rsid w:val="00CC6516"/>
    <w:rsid w:val="00CC656F"/>
    <w:rsid w:val="00CC6738"/>
    <w:rsid w:val="00CD2754"/>
    <w:rsid w:val="00CD40AD"/>
    <w:rsid w:val="00CD4E7F"/>
    <w:rsid w:val="00CE0A5F"/>
    <w:rsid w:val="00CE15A5"/>
    <w:rsid w:val="00CE1831"/>
    <w:rsid w:val="00CE1B68"/>
    <w:rsid w:val="00CE6345"/>
    <w:rsid w:val="00CE661E"/>
    <w:rsid w:val="00CE695E"/>
    <w:rsid w:val="00CE6F6D"/>
    <w:rsid w:val="00CF0B65"/>
    <w:rsid w:val="00CF0E01"/>
    <w:rsid w:val="00CF0E07"/>
    <w:rsid w:val="00CF36F5"/>
    <w:rsid w:val="00CF455C"/>
    <w:rsid w:val="00CF4D2E"/>
    <w:rsid w:val="00CF5382"/>
    <w:rsid w:val="00CF62CA"/>
    <w:rsid w:val="00CF6F3C"/>
    <w:rsid w:val="00CF7D47"/>
    <w:rsid w:val="00D01CF0"/>
    <w:rsid w:val="00D0442A"/>
    <w:rsid w:val="00D05840"/>
    <w:rsid w:val="00D07128"/>
    <w:rsid w:val="00D10120"/>
    <w:rsid w:val="00D10E76"/>
    <w:rsid w:val="00D11721"/>
    <w:rsid w:val="00D11CB3"/>
    <w:rsid w:val="00D1516F"/>
    <w:rsid w:val="00D1614C"/>
    <w:rsid w:val="00D16710"/>
    <w:rsid w:val="00D22BD4"/>
    <w:rsid w:val="00D22E23"/>
    <w:rsid w:val="00D2306D"/>
    <w:rsid w:val="00D250AC"/>
    <w:rsid w:val="00D270E1"/>
    <w:rsid w:val="00D323D0"/>
    <w:rsid w:val="00D32684"/>
    <w:rsid w:val="00D32767"/>
    <w:rsid w:val="00D33489"/>
    <w:rsid w:val="00D352AB"/>
    <w:rsid w:val="00D372FA"/>
    <w:rsid w:val="00D40B44"/>
    <w:rsid w:val="00D43663"/>
    <w:rsid w:val="00D44037"/>
    <w:rsid w:val="00D4594F"/>
    <w:rsid w:val="00D4681D"/>
    <w:rsid w:val="00D5111E"/>
    <w:rsid w:val="00D5124C"/>
    <w:rsid w:val="00D53F55"/>
    <w:rsid w:val="00D61388"/>
    <w:rsid w:val="00D613F3"/>
    <w:rsid w:val="00D615F9"/>
    <w:rsid w:val="00D61A54"/>
    <w:rsid w:val="00D62BAD"/>
    <w:rsid w:val="00D64DEA"/>
    <w:rsid w:val="00D65E49"/>
    <w:rsid w:val="00D67D07"/>
    <w:rsid w:val="00D70F71"/>
    <w:rsid w:val="00D71771"/>
    <w:rsid w:val="00D71E8E"/>
    <w:rsid w:val="00D725C2"/>
    <w:rsid w:val="00D73D17"/>
    <w:rsid w:val="00D74261"/>
    <w:rsid w:val="00D74971"/>
    <w:rsid w:val="00D80893"/>
    <w:rsid w:val="00D839A7"/>
    <w:rsid w:val="00D86899"/>
    <w:rsid w:val="00D87097"/>
    <w:rsid w:val="00D90FB7"/>
    <w:rsid w:val="00D92A31"/>
    <w:rsid w:val="00D92CF1"/>
    <w:rsid w:val="00D92D38"/>
    <w:rsid w:val="00D92E07"/>
    <w:rsid w:val="00D936B6"/>
    <w:rsid w:val="00D950F5"/>
    <w:rsid w:val="00D95177"/>
    <w:rsid w:val="00D96914"/>
    <w:rsid w:val="00D972FC"/>
    <w:rsid w:val="00DA0C4C"/>
    <w:rsid w:val="00DA1CA3"/>
    <w:rsid w:val="00DA289D"/>
    <w:rsid w:val="00DA331C"/>
    <w:rsid w:val="00DA4BC4"/>
    <w:rsid w:val="00DA4E07"/>
    <w:rsid w:val="00DB0F93"/>
    <w:rsid w:val="00DB134D"/>
    <w:rsid w:val="00DB16A7"/>
    <w:rsid w:val="00DB196A"/>
    <w:rsid w:val="00DB20BF"/>
    <w:rsid w:val="00DB2353"/>
    <w:rsid w:val="00DB402D"/>
    <w:rsid w:val="00DB4CC4"/>
    <w:rsid w:val="00DB6861"/>
    <w:rsid w:val="00DB7193"/>
    <w:rsid w:val="00DB7AB9"/>
    <w:rsid w:val="00DB7B59"/>
    <w:rsid w:val="00DB7FD1"/>
    <w:rsid w:val="00DC153A"/>
    <w:rsid w:val="00DC22E3"/>
    <w:rsid w:val="00DC24BF"/>
    <w:rsid w:val="00DC2907"/>
    <w:rsid w:val="00DC395C"/>
    <w:rsid w:val="00DC5E54"/>
    <w:rsid w:val="00DC693A"/>
    <w:rsid w:val="00DC7981"/>
    <w:rsid w:val="00DC7B5A"/>
    <w:rsid w:val="00DD15C2"/>
    <w:rsid w:val="00DD27EA"/>
    <w:rsid w:val="00DD33DE"/>
    <w:rsid w:val="00DD5D65"/>
    <w:rsid w:val="00DD734D"/>
    <w:rsid w:val="00DD79F4"/>
    <w:rsid w:val="00DE45B5"/>
    <w:rsid w:val="00DE4EFA"/>
    <w:rsid w:val="00DE5104"/>
    <w:rsid w:val="00DE5520"/>
    <w:rsid w:val="00DE5AB1"/>
    <w:rsid w:val="00DE6AA6"/>
    <w:rsid w:val="00DE7345"/>
    <w:rsid w:val="00DF02A4"/>
    <w:rsid w:val="00DF0714"/>
    <w:rsid w:val="00DF1C55"/>
    <w:rsid w:val="00DF2298"/>
    <w:rsid w:val="00DF2D42"/>
    <w:rsid w:val="00DF3C7E"/>
    <w:rsid w:val="00DF6E09"/>
    <w:rsid w:val="00DF7793"/>
    <w:rsid w:val="00E00EC9"/>
    <w:rsid w:val="00E03069"/>
    <w:rsid w:val="00E034A6"/>
    <w:rsid w:val="00E03725"/>
    <w:rsid w:val="00E04818"/>
    <w:rsid w:val="00E06442"/>
    <w:rsid w:val="00E06937"/>
    <w:rsid w:val="00E113E2"/>
    <w:rsid w:val="00E115DE"/>
    <w:rsid w:val="00E13056"/>
    <w:rsid w:val="00E135DB"/>
    <w:rsid w:val="00E13C85"/>
    <w:rsid w:val="00E15B15"/>
    <w:rsid w:val="00E15F74"/>
    <w:rsid w:val="00E16EDC"/>
    <w:rsid w:val="00E2257E"/>
    <w:rsid w:val="00E227A4"/>
    <w:rsid w:val="00E2374E"/>
    <w:rsid w:val="00E23993"/>
    <w:rsid w:val="00E24D12"/>
    <w:rsid w:val="00E2504E"/>
    <w:rsid w:val="00E25B8C"/>
    <w:rsid w:val="00E25F40"/>
    <w:rsid w:val="00E3279F"/>
    <w:rsid w:val="00E32A8C"/>
    <w:rsid w:val="00E333EF"/>
    <w:rsid w:val="00E334A4"/>
    <w:rsid w:val="00E33530"/>
    <w:rsid w:val="00E35AE8"/>
    <w:rsid w:val="00E3678B"/>
    <w:rsid w:val="00E3724C"/>
    <w:rsid w:val="00E37F0B"/>
    <w:rsid w:val="00E40426"/>
    <w:rsid w:val="00E40B9C"/>
    <w:rsid w:val="00E42976"/>
    <w:rsid w:val="00E42DF3"/>
    <w:rsid w:val="00E43848"/>
    <w:rsid w:val="00E438D4"/>
    <w:rsid w:val="00E43BBA"/>
    <w:rsid w:val="00E4482C"/>
    <w:rsid w:val="00E4680F"/>
    <w:rsid w:val="00E46D48"/>
    <w:rsid w:val="00E47EAD"/>
    <w:rsid w:val="00E5181B"/>
    <w:rsid w:val="00E52107"/>
    <w:rsid w:val="00E52A27"/>
    <w:rsid w:val="00E54461"/>
    <w:rsid w:val="00E55C3C"/>
    <w:rsid w:val="00E56018"/>
    <w:rsid w:val="00E6018A"/>
    <w:rsid w:val="00E605DA"/>
    <w:rsid w:val="00E65839"/>
    <w:rsid w:val="00E65C85"/>
    <w:rsid w:val="00E65CF4"/>
    <w:rsid w:val="00E66199"/>
    <w:rsid w:val="00E675DF"/>
    <w:rsid w:val="00E715D5"/>
    <w:rsid w:val="00E7180D"/>
    <w:rsid w:val="00E737E3"/>
    <w:rsid w:val="00E74532"/>
    <w:rsid w:val="00E7472E"/>
    <w:rsid w:val="00E755EC"/>
    <w:rsid w:val="00E761D6"/>
    <w:rsid w:val="00E7624D"/>
    <w:rsid w:val="00E8137D"/>
    <w:rsid w:val="00E823D9"/>
    <w:rsid w:val="00E8569F"/>
    <w:rsid w:val="00E86851"/>
    <w:rsid w:val="00E91678"/>
    <w:rsid w:val="00E91BED"/>
    <w:rsid w:val="00E926FC"/>
    <w:rsid w:val="00E95390"/>
    <w:rsid w:val="00E95CA7"/>
    <w:rsid w:val="00E96EFF"/>
    <w:rsid w:val="00EA1DEE"/>
    <w:rsid w:val="00EA3D42"/>
    <w:rsid w:val="00EA4DD9"/>
    <w:rsid w:val="00EA6B1B"/>
    <w:rsid w:val="00EA6F25"/>
    <w:rsid w:val="00EB049F"/>
    <w:rsid w:val="00EB100D"/>
    <w:rsid w:val="00EB456D"/>
    <w:rsid w:val="00EB540F"/>
    <w:rsid w:val="00EB7D7F"/>
    <w:rsid w:val="00EC05BF"/>
    <w:rsid w:val="00EC0D58"/>
    <w:rsid w:val="00EC10A1"/>
    <w:rsid w:val="00EC137F"/>
    <w:rsid w:val="00EC24B0"/>
    <w:rsid w:val="00EC2CB1"/>
    <w:rsid w:val="00EC317E"/>
    <w:rsid w:val="00EC45EA"/>
    <w:rsid w:val="00EC67D4"/>
    <w:rsid w:val="00EC7EB1"/>
    <w:rsid w:val="00ED3C5B"/>
    <w:rsid w:val="00ED4A25"/>
    <w:rsid w:val="00ED6E24"/>
    <w:rsid w:val="00EE164B"/>
    <w:rsid w:val="00EE28F3"/>
    <w:rsid w:val="00EE347F"/>
    <w:rsid w:val="00EE42C2"/>
    <w:rsid w:val="00EE46CE"/>
    <w:rsid w:val="00EE575A"/>
    <w:rsid w:val="00EF013A"/>
    <w:rsid w:val="00EF0E42"/>
    <w:rsid w:val="00EF0FE6"/>
    <w:rsid w:val="00EF1961"/>
    <w:rsid w:val="00EF3FB8"/>
    <w:rsid w:val="00EF5110"/>
    <w:rsid w:val="00EF62CA"/>
    <w:rsid w:val="00EF69CB"/>
    <w:rsid w:val="00F00587"/>
    <w:rsid w:val="00F019C5"/>
    <w:rsid w:val="00F02D9B"/>
    <w:rsid w:val="00F031FE"/>
    <w:rsid w:val="00F05EAD"/>
    <w:rsid w:val="00F06B5B"/>
    <w:rsid w:val="00F072C7"/>
    <w:rsid w:val="00F10CDA"/>
    <w:rsid w:val="00F113FD"/>
    <w:rsid w:val="00F13B99"/>
    <w:rsid w:val="00F13EAA"/>
    <w:rsid w:val="00F1535C"/>
    <w:rsid w:val="00F15882"/>
    <w:rsid w:val="00F15AB9"/>
    <w:rsid w:val="00F167CF"/>
    <w:rsid w:val="00F16858"/>
    <w:rsid w:val="00F1785E"/>
    <w:rsid w:val="00F20BD3"/>
    <w:rsid w:val="00F248D0"/>
    <w:rsid w:val="00F26128"/>
    <w:rsid w:val="00F27967"/>
    <w:rsid w:val="00F32D35"/>
    <w:rsid w:val="00F331A5"/>
    <w:rsid w:val="00F336DF"/>
    <w:rsid w:val="00F3590E"/>
    <w:rsid w:val="00F36430"/>
    <w:rsid w:val="00F373A5"/>
    <w:rsid w:val="00F376D3"/>
    <w:rsid w:val="00F42DB4"/>
    <w:rsid w:val="00F45B2F"/>
    <w:rsid w:val="00F47559"/>
    <w:rsid w:val="00F5112C"/>
    <w:rsid w:val="00F526F5"/>
    <w:rsid w:val="00F55548"/>
    <w:rsid w:val="00F55859"/>
    <w:rsid w:val="00F6043C"/>
    <w:rsid w:val="00F60561"/>
    <w:rsid w:val="00F61055"/>
    <w:rsid w:val="00F61AA8"/>
    <w:rsid w:val="00F61EEA"/>
    <w:rsid w:val="00F64A21"/>
    <w:rsid w:val="00F64C7B"/>
    <w:rsid w:val="00F64F82"/>
    <w:rsid w:val="00F65699"/>
    <w:rsid w:val="00F662F1"/>
    <w:rsid w:val="00F66967"/>
    <w:rsid w:val="00F676DD"/>
    <w:rsid w:val="00F70811"/>
    <w:rsid w:val="00F70D8D"/>
    <w:rsid w:val="00F71486"/>
    <w:rsid w:val="00F724B3"/>
    <w:rsid w:val="00F72F41"/>
    <w:rsid w:val="00F74CBC"/>
    <w:rsid w:val="00F75A26"/>
    <w:rsid w:val="00F766B3"/>
    <w:rsid w:val="00F77D49"/>
    <w:rsid w:val="00F8021A"/>
    <w:rsid w:val="00F805F3"/>
    <w:rsid w:val="00F83FAD"/>
    <w:rsid w:val="00F87EBA"/>
    <w:rsid w:val="00F90A80"/>
    <w:rsid w:val="00F91BC0"/>
    <w:rsid w:val="00F93027"/>
    <w:rsid w:val="00F946BA"/>
    <w:rsid w:val="00F94788"/>
    <w:rsid w:val="00F952A0"/>
    <w:rsid w:val="00F965FC"/>
    <w:rsid w:val="00F978C8"/>
    <w:rsid w:val="00FA25D4"/>
    <w:rsid w:val="00FA3830"/>
    <w:rsid w:val="00FA3C7F"/>
    <w:rsid w:val="00FA5B9C"/>
    <w:rsid w:val="00FA7736"/>
    <w:rsid w:val="00FA7920"/>
    <w:rsid w:val="00FB153F"/>
    <w:rsid w:val="00FB265D"/>
    <w:rsid w:val="00FB2690"/>
    <w:rsid w:val="00FB4068"/>
    <w:rsid w:val="00FB411D"/>
    <w:rsid w:val="00FB41E6"/>
    <w:rsid w:val="00FB45CF"/>
    <w:rsid w:val="00FB6C59"/>
    <w:rsid w:val="00FB74E2"/>
    <w:rsid w:val="00FC0060"/>
    <w:rsid w:val="00FC447B"/>
    <w:rsid w:val="00FC4CF7"/>
    <w:rsid w:val="00FC52AC"/>
    <w:rsid w:val="00FC54E6"/>
    <w:rsid w:val="00FC5EB3"/>
    <w:rsid w:val="00FC5FE0"/>
    <w:rsid w:val="00FC626F"/>
    <w:rsid w:val="00FC656F"/>
    <w:rsid w:val="00FC7B0B"/>
    <w:rsid w:val="00FD0763"/>
    <w:rsid w:val="00FD166D"/>
    <w:rsid w:val="00FD22A2"/>
    <w:rsid w:val="00FD29EE"/>
    <w:rsid w:val="00FD2F97"/>
    <w:rsid w:val="00FD5316"/>
    <w:rsid w:val="00FD5614"/>
    <w:rsid w:val="00FD72DC"/>
    <w:rsid w:val="00FE07CB"/>
    <w:rsid w:val="00FE0BE1"/>
    <w:rsid w:val="00FE12E5"/>
    <w:rsid w:val="00FE1DE9"/>
    <w:rsid w:val="00FE292D"/>
    <w:rsid w:val="00FE39C2"/>
    <w:rsid w:val="00FE3E67"/>
    <w:rsid w:val="00FE4B6D"/>
    <w:rsid w:val="00FE602C"/>
    <w:rsid w:val="00FE64AE"/>
    <w:rsid w:val="00FE6FD3"/>
    <w:rsid w:val="00FE7E62"/>
    <w:rsid w:val="00FF2C56"/>
    <w:rsid w:val="00FF3373"/>
    <w:rsid w:val="00FF3980"/>
    <w:rsid w:val="00FF657C"/>
    <w:rsid w:val="00FF6EE1"/>
    <w:rsid w:val="00FF7A8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2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1" w:unhideWhenUsed="0"/>
    <w:lsdException w:name="footnote text" w:uiPriority="0" w:qFormat="1"/>
    <w:lsdException w:name="header" w:uiPriority="0" w:qFormat="1"/>
    <w:lsdException w:name="footer" w:qFormat="1"/>
    <w:lsdException w:name="caption" w:uiPriority="0" w:qFormat="1"/>
    <w:lsdException w:name="footnote reference" w:uiPriority="0"/>
    <w:lsdException w:name="page number" w:uiPriority="0"/>
    <w:lsdException w:name="endnote reference" w:uiPriority="0"/>
    <w:lsdException w:name="endnote text" w:uiPriority="0"/>
    <w:lsdException w:name="List" w:qFormat="1"/>
    <w:lsdException w:name="List Number" w:qFormat="1"/>
    <w:lsdException w:name="List Number 2" w:qFormat="1"/>
    <w:lsdException w:name="Title" w:semiHidden="0" w:uiPriority="0" w:unhideWhenUsed="0" w:qFormat="1"/>
    <w:lsdException w:name="Default Paragraph Font" w:uiPriority="1"/>
    <w:lsdException w:name="List Continue" w:qFormat="1"/>
    <w:lsdException w:name="Subtitle" w:semiHidden="0" w:uiPriority="11" w:unhideWhenUsed="0" w:qFormat="1"/>
    <w:lsdException w:name="Hyperlink" w:uiPriority="0" w:qFormat="1"/>
    <w:lsdException w:name="FollowedHyperlink" w:uiPriority="0"/>
    <w:lsdException w:name="Strong" w:semiHidden="0" w:uiPriority="22" w:unhideWhenUsed="0" w:qFormat="1"/>
    <w:lsdException w:name="Emphasis" w:semiHidden="0" w:uiPriority="0" w:unhideWhenUsed="0" w:qFormat="1"/>
    <w:lsdException w:name="Document Map" w:uiPriority="0"/>
    <w:lsdException w:name="annotation subject" w:uiPriority="0"/>
    <w:lsdException w:name="Outline List 1" w:uiPriority="0"/>
    <w:lsdException w:name="Table Classic 1" w:uiPriority="0"/>
    <w:lsdException w:name="Table Classic 2" w:uiPriority="0"/>
    <w:lsdException w:name="Table List 3" w:uiPriority="0"/>
    <w:lsdException w:name="Table Contemporary"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qFormat/>
    <w:rsid w:val="00275002"/>
    <w:pPr>
      <w:spacing w:line="276" w:lineRule="auto"/>
    </w:pPr>
    <w:rPr>
      <w:rFonts w:ascii="Arial" w:hAnsi="Arial"/>
    </w:rPr>
  </w:style>
  <w:style w:type="paragraph" w:styleId="Heading1">
    <w:name w:val="heading 1"/>
    <w:basedOn w:val="Normal"/>
    <w:next w:val="Normal"/>
    <w:link w:val="Heading1Char"/>
    <w:qFormat/>
    <w:rsid w:val="009D6B46"/>
    <w:pPr>
      <w:spacing w:before="240"/>
      <w:outlineLvl w:val="0"/>
    </w:pPr>
    <w:rPr>
      <w:rFonts w:ascii="Lucida Fax" w:eastAsiaTheme="majorEastAsia" w:hAnsi="Lucida Fax" w:cstheme="majorBidi"/>
      <w:bCs/>
      <w:color w:val="51626F"/>
      <w:sz w:val="32"/>
      <w:szCs w:val="28"/>
    </w:rPr>
  </w:style>
  <w:style w:type="paragraph" w:styleId="Heading2">
    <w:name w:val="heading 2"/>
    <w:aliases w:val="AER Heading 2 (new)"/>
    <w:next w:val="Normal"/>
    <w:link w:val="Heading2Char"/>
    <w:qFormat/>
    <w:rsid w:val="004F6D0A"/>
    <w:pPr>
      <w:keepNext/>
      <w:spacing w:line="240" w:lineRule="atLeast"/>
      <w:outlineLvl w:val="1"/>
    </w:pPr>
    <w:rPr>
      <w:rFonts w:ascii="Arial" w:eastAsiaTheme="majorEastAsia" w:hAnsi="Arial" w:cstheme="majorBidi"/>
      <w:b/>
      <w:bCs/>
      <w:color w:val="51626F"/>
      <w:sz w:val="28"/>
      <w:szCs w:val="26"/>
    </w:rPr>
  </w:style>
  <w:style w:type="paragraph" w:styleId="Heading3">
    <w:name w:val="heading 3"/>
    <w:basedOn w:val="Normal"/>
    <w:next w:val="Normal"/>
    <w:link w:val="Heading3Char"/>
    <w:qFormat/>
    <w:rsid w:val="009D6B46"/>
    <w:pPr>
      <w:spacing w:before="240"/>
      <w:outlineLvl w:val="2"/>
    </w:pPr>
    <w:rPr>
      <w:rFonts w:eastAsiaTheme="majorEastAsia" w:cstheme="majorBidi"/>
      <w:b/>
      <w:bCs/>
      <w:color w:val="000000" w:themeColor="text1" w:themeShade="BF"/>
      <w:sz w:val="24"/>
    </w:rPr>
  </w:style>
  <w:style w:type="paragraph" w:styleId="Heading4">
    <w:name w:val="heading 4"/>
    <w:basedOn w:val="Normal"/>
    <w:next w:val="Normal"/>
    <w:link w:val="Heading4Char"/>
    <w:qFormat/>
    <w:rsid w:val="009D6B46"/>
    <w:pPr>
      <w:spacing w:before="240"/>
      <w:outlineLvl w:val="3"/>
    </w:pPr>
    <w:rPr>
      <w:rFonts w:eastAsiaTheme="majorEastAsia" w:cstheme="majorBidi"/>
      <w:b/>
      <w:bCs/>
      <w:i/>
      <w:iCs/>
      <w:color w:val="51626F"/>
      <w:sz w:val="24"/>
    </w:rPr>
  </w:style>
  <w:style w:type="paragraph" w:styleId="Heading5">
    <w:name w:val="heading 5"/>
    <w:next w:val="Normal"/>
    <w:link w:val="Heading5Char"/>
    <w:qFormat/>
    <w:rsid w:val="009D6B46"/>
    <w:pPr>
      <w:spacing w:line="240" w:lineRule="atLeast"/>
      <w:outlineLvl w:val="4"/>
    </w:pPr>
    <w:rPr>
      <w:rFonts w:ascii="Arial" w:eastAsiaTheme="majorEastAsia" w:hAnsi="Arial" w:cstheme="majorBidi"/>
      <w:b/>
      <w:color w:val="283037" w:themeColor="accent1" w:themeShade="7F"/>
    </w:rPr>
  </w:style>
  <w:style w:type="paragraph" w:styleId="Heading6">
    <w:name w:val="heading 6"/>
    <w:basedOn w:val="Normal"/>
    <w:next w:val="Normal"/>
    <w:link w:val="Heading6Char"/>
    <w:uiPriority w:val="9"/>
    <w:qFormat/>
    <w:rsid w:val="009D6B46"/>
    <w:pPr>
      <w:spacing w:before="240"/>
      <w:outlineLvl w:val="5"/>
    </w:pPr>
    <w:rPr>
      <w:rFonts w:eastAsiaTheme="majorEastAsia" w:cstheme="majorBidi"/>
      <w:b/>
      <w:i/>
      <w:iCs/>
    </w:rPr>
  </w:style>
  <w:style w:type="paragraph" w:styleId="Heading7">
    <w:name w:val="heading 7"/>
    <w:basedOn w:val="Normal"/>
    <w:next w:val="Normal"/>
    <w:link w:val="Heading7Char"/>
    <w:uiPriority w:val="9"/>
    <w:qFormat/>
    <w:rsid w:val="009D6B46"/>
    <w:pPr>
      <w:spacing w:before="240"/>
      <w:outlineLvl w:val="6"/>
    </w:pPr>
    <w:rPr>
      <w:rFonts w:eastAsiaTheme="majorEastAsia" w:cstheme="majorBidi"/>
      <w:i/>
      <w:iCs/>
      <w:color w:val="404040" w:themeColor="text1" w:themeTint="BF"/>
    </w:rPr>
  </w:style>
  <w:style w:type="paragraph" w:styleId="Heading8">
    <w:name w:val="heading 8"/>
    <w:basedOn w:val="Normal"/>
    <w:next w:val="Normal"/>
    <w:link w:val="Heading8Char"/>
    <w:qFormat/>
    <w:rsid w:val="009D6B46"/>
    <w:pPr>
      <w:spacing w:before="240"/>
      <w:outlineLvl w:val="7"/>
    </w:pPr>
    <w:rPr>
      <w:rFonts w:eastAsiaTheme="majorEastAsia" w:cstheme="majorBidi"/>
      <w:color w:val="51626F" w:themeColor="accent1"/>
      <w:szCs w:val="20"/>
    </w:rPr>
  </w:style>
  <w:style w:type="paragraph" w:styleId="Heading9">
    <w:name w:val="heading 9"/>
    <w:basedOn w:val="Normal"/>
    <w:next w:val="Normal"/>
    <w:link w:val="Heading9Char"/>
    <w:uiPriority w:val="9"/>
    <w:qFormat/>
    <w:rsid w:val="009D6B46"/>
    <w:pPr>
      <w:spacing w:before="240"/>
      <w:outlineLvl w:val="8"/>
    </w:pPr>
    <w:rPr>
      <w:rFonts w:eastAsiaTheme="majorEastAsia" w:cstheme="majorBidi"/>
      <w:i/>
      <w:iCs/>
      <w:color w:val="51626F" w:themeColor="accent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6B46"/>
    <w:rPr>
      <w:rFonts w:ascii="Lucida Fax" w:eastAsiaTheme="majorEastAsia" w:hAnsi="Lucida Fax" w:cstheme="majorBidi"/>
      <w:bCs/>
      <w:color w:val="51626F"/>
      <w:sz w:val="32"/>
      <w:szCs w:val="28"/>
    </w:rPr>
  </w:style>
  <w:style w:type="character" w:customStyle="1" w:styleId="Heading2Char">
    <w:name w:val="Heading 2 Char"/>
    <w:aliases w:val="AER Heading 2 (new) Char"/>
    <w:basedOn w:val="DefaultParagraphFont"/>
    <w:link w:val="Heading2"/>
    <w:rsid w:val="004F6D0A"/>
    <w:rPr>
      <w:rFonts w:ascii="Arial" w:eastAsiaTheme="majorEastAsia" w:hAnsi="Arial" w:cstheme="majorBidi"/>
      <w:b/>
      <w:bCs/>
      <w:color w:val="51626F"/>
      <w:sz w:val="28"/>
      <w:szCs w:val="26"/>
    </w:rPr>
  </w:style>
  <w:style w:type="character" w:customStyle="1" w:styleId="Heading3Char">
    <w:name w:val="Heading 3 Char"/>
    <w:basedOn w:val="DefaultParagraphFont"/>
    <w:link w:val="Heading3"/>
    <w:rsid w:val="009D6B46"/>
    <w:rPr>
      <w:rFonts w:ascii="Arial" w:eastAsiaTheme="majorEastAsia" w:hAnsi="Arial" w:cstheme="majorBidi"/>
      <w:b/>
      <w:bCs/>
      <w:color w:val="000000" w:themeColor="text1" w:themeShade="BF"/>
      <w:sz w:val="24"/>
    </w:rPr>
  </w:style>
  <w:style w:type="character" w:customStyle="1" w:styleId="Heading4Char">
    <w:name w:val="Heading 4 Char"/>
    <w:basedOn w:val="DefaultParagraphFont"/>
    <w:link w:val="Heading4"/>
    <w:rsid w:val="009D6B46"/>
    <w:rPr>
      <w:rFonts w:ascii="Arial" w:eastAsiaTheme="majorEastAsia" w:hAnsi="Arial" w:cstheme="majorBidi"/>
      <w:b/>
      <w:bCs/>
      <w:i/>
      <w:iCs/>
      <w:color w:val="51626F"/>
      <w:sz w:val="24"/>
    </w:rPr>
  </w:style>
  <w:style w:type="character" w:customStyle="1" w:styleId="Heading5Char">
    <w:name w:val="Heading 5 Char"/>
    <w:basedOn w:val="DefaultParagraphFont"/>
    <w:link w:val="Heading5"/>
    <w:rsid w:val="009D6B46"/>
    <w:rPr>
      <w:rFonts w:ascii="Arial" w:eastAsiaTheme="majorEastAsia" w:hAnsi="Arial" w:cstheme="majorBidi"/>
      <w:b/>
      <w:color w:val="283037" w:themeColor="accent1" w:themeShade="7F"/>
    </w:rPr>
  </w:style>
  <w:style w:type="character" w:customStyle="1" w:styleId="Heading6Char">
    <w:name w:val="Heading 6 Char"/>
    <w:basedOn w:val="DefaultParagraphFont"/>
    <w:link w:val="Heading6"/>
    <w:uiPriority w:val="9"/>
    <w:rsid w:val="009D6B46"/>
    <w:rPr>
      <w:rFonts w:ascii="Arial" w:eastAsiaTheme="majorEastAsia" w:hAnsi="Arial" w:cstheme="majorBidi"/>
      <w:b/>
      <w:i/>
      <w:iCs/>
    </w:rPr>
  </w:style>
  <w:style w:type="paragraph" w:customStyle="1" w:styleId="Reporttitle">
    <w:name w:val="Report title"/>
    <w:basedOn w:val="Normal"/>
    <w:link w:val="ReporttitleChar"/>
    <w:qFormat/>
    <w:rsid w:val="005C26CC"/>
    <w:pPr>
      <w:spacing w:before="520" w:after="120"/>
    </w:pPr>
    <w:rPr>
      <w:rFonts w:ascii="Lucida Fax" w:hAnsi="Lucida Fax"/>
      <w:color w:val="4F2D7F"/>
      <w:sz w:val="72"/>
      <w:szCs w:val="56"/>
    </w:rPr>
  </w:style>
  <w:style w:type="character" w:customStyle="1" w:styleId="ReporttitleChar">
    <w:name w:val="Report title Char"/>
    <w:basedOn w:val="DefaultParagraphFont"/>
    <w:link w:val="Reporttitle"/>
    <w:rsid w:val="005C26CC"/>
    <w:rPr>
      <w:rFonts w:ascii="Lucida Fax" w:hAnsi="Lucida Fax"/>
      <w:color w:val="4F2D7F"/>
      <w:sz w:val="72"/>
      <w:szCs w:val="56"/>
    </w:rPr>
  </w:style>
  <w:style w:type="paragraph" w:customStyle="1" w:styleId="Chaptertitle">
    <w:name w:val="Chapter title"/>
    <w:basedOn w:val="Reporttitle"/>
    <w:link w:val="ChaptertitleChar"/>
    <w:qFormat/>
    <w:rsid w:val="00B87C39"/>
    <w:rPr>
      <w:sz w:val="52"/>
      <w:szCs w:val="52"/>
    </w:rPr>
  </w:style>
  <w:style w:type="character" w:customStyle="1" w:styleId="ChaptertitleChar">
    <w:name w:val="Chapter title Char"/>
    <w:basedOn w:val="ReporttitleChar"/>
    <w:link w:val="Chaptertitle"/>
    <w:rsid w:val="00B87C39"/>
    <w:rPr>
      <w:rFonts w:ascii="Lucida Fax" w:hAnsi="Lucida Fax"/>
      <w:color w:val="4F2D7F"/>
      <w:sz w:val="52"/>
      <w:szCs w:val="52"/>
    </w:rPr>
  </w:style>
  <w:style w:type="paragraph" w:customStyle="1" w:styleId="Tabletext">
    <w:name w:val="Table text"/>
    <w:basedOn w:val="Normal"/>
    <w:link w:val="TabletextChar"/>
    <w:uiPriority w:val="1"/>
    <w:qFormat/>
    <w:rsid w:val="00214FBA"/>
    <w:pPr>
      <w:spacing w:before="120" w:after="60"/>
    </w:pPr>
    <w:rPr>
      <w:sz w:val="18"/>
    </w:rPr>
  </w:style>
  <w:style w:type="paragraph" w:customStyle="1" w:styleId="Copyrighttext">
    <w:name w:val="Copyright text"/>
    <w:basedOn w:val="Normal"/>
    <w:link w:val="CopyrighttextChar"/>
    <w:uiPriority w:val="2"/>
    <w:qFormat/>
    <w:rsid w:val="00F952A0"/>
    <w:pPr>
      <w:spacing w:line="360" w:lineRule="auto"/>
      <w:contextualSpacing/>
    </w:pPr>
    <w:rPr>
      <w:color w:val="51626F" w:themeColor="accent1"/>
      <w:sz w:val="16"/>
      <w:szCs w:val="16"/>
    </w:rPr>
  </w:style>
  <w:style w:type="character" w:customStyle="1" w:styleId="CopyrighttextChar">
    <w:name w:val="Copyright text Char"/>
    <w:basedOn w:val="DefaultParagraphFont"/>
    <w:link w:val="Copyrighttext"/>
    <w:uiPriority w:val="2"/>
    <w:rsid w:val="00724A37"/>
    <w:rPr>
      <w:rFonts w:ascii="Arial" w:hAnsi="Arial"/>
      <w:color w:val="51626F" w:themeColor="accent1"/>
      <w:sz w:val="16"/>
      <w:szCs w:val="16"/>
    </w:rPr>
  </w:style>
  <w:style w:type="paragraph" w:styleId="TOC8">
    <w:name w:val="toc 8"/>
    <w:basedOn w:val="Normal"/>
    <w:next w:val="Normal"/>
    <w:rsid w:val="009F4940"/>
    <w:pPr>
      <w:tabs>
        <w:tab w:val="right" w:leader="dot" w:pos="9016"/>
      </w:tabs>
      <w:spacing w:after="100"/>
      <w:ind w:left="2977"/>
    </w:pPr>
    <w:rPr>
      <w:noProof/>
    </w:rPr>
  </w:style>
  <w:style w:type="paragraph" w:styleId="TOC9">
    <w:name w:val="toc 9"/>
    <w:basedOn w:val="Normal"/>
    <w:next w:val="Normal"/>
    <w:rsid w:val="009F4940"/>
    <w:pPr>
      <w:tabs>
        <w:tab w:val="right" w:leader="dot" w:pos="9016"/>
      </w:tabs>
      <w:spacing w:after="100"/>
      <w:ind w:left="3402"/>
    </w:pPr>
    <w:rPr>
      <w:noProof/>
    </w:rPr>
  </w:style>
  <w:style w:type="paragraph" w:customStyle="1" w:styleId="Numbered1">
    <w:name w:val="Numbered 1"/>
    <w:basedOn w:val="Heading1"/>
    <w:next w:val="Normal"/>
    <w:link w:val="Numbered1Char"/>
    <w:qFormat/>
    <w:rsid w:val="00085663"/>
    <w:pPr>
      <w:numPr>
        <w:numId w:val="15"/>
      </w:numPr>
      <w:ind w:left="680" w:hanging="680"/>
    </w:pPr>
  </w:style>
  <w:style w:type="paragraph" w:customStyle="1" w:styleId="Numbered11">
    <w:name w:val="Numbered 1.1"/>
    <w:basedOn w:val="Heading2"/>
    <w:next w:val="Normal"/>
    <w:qFormat/>
    <w:rsid w:val="00B17A1D"/>
    <w:pPr>
      <w:numPr>
        <w:ilvl w:val="1"/>
        <w:numId w:val="15"/>
      </w:numPr>
      <w:ind w:left="1021" w:hanging="1021"/>
    </w:pPr>
    <w:rPr>
      <w:rFonts w:cs="Arial"/>
      <w:b w:val="0"/>
    </w:rPr>
  </w:style>
  <w:style w:type="paragraph" w:customStyle="1" w:styleId="Numbered111">
    <w:name w:val="Numbered 1.1.1"/>
    <w:basedOn w:val="Heading3"/>
    <w:next w:val="Normal"/>
    <w:qFormat/>
    <w:rsid w:val="00B17A1D"/>
    <w:pPr>
      <w:numPr>
        <w:ilvl w:val="2"/>
        <w:numId w:val="15"/>
      </w:numPr>
      <w:ind w:left="1247" w:hanging="1247"/>
      <w:contextualSpacing/>
    </w:pPr>
  </w:style>
  <w:style w:type="paragraph" w:customStyle="1" w:styleId="Numbered1111">
    <w:name w:val="Numbered 1.1.1.1"/>
    <w:basedOn w:val="Heading4"/>
    <w:next w:val="Normal"/>
    <w:rsid w:val="00B17A1D"/>
    <w:pPr>
      <w:numPr>
        <w:ilvl w:val="3"/>
        <w:numId w:val="15"/>
      </w:numPr>
      <w:ind w:left="1474" w:hanging="1474"/>
    </w:pPr>
  </w:style>
  <w:style w:type="paragraph" w:customStyle="1" w:styleId="Numbered11111">
    <w:name w:val="Numbered 1.1.1.1.1"/>
    <w:basedOn w:val="Heading5"/>
    <w:next w:val="Normal"/>
    <w:uiPriority w:val="2"/>
    <w:rsid w:val="00B17A1D"/>
    <w:pPr>
      <w:numPr>
        <w:ilvl w:val="4"/>
        <w:numId w:val="15"/>
      </w:numPr>
      <w:ind w:left="1701" w:hanging="1701"/>
    </w:pPr>
  </w:style>
  <w:style w:type="paragraph" w:customStyle="1" w:styleId="Numbered111111">
    <w:name w:val="Numbered 1.1.1.1.1.1"/>
    <w:basedOn w:val="Heading6"/>
    <w:next w:val="Normal"/>
    <w:uiPriority w:val="2"/>
    <w:rsid w:val="00B17A1D"/>
    <w:pPr>
      <w:numPr>
        <w:ilvl w:val="5"/>
        <w:numId w:val="15"/>
      </w:numPr>
      <w:ind w:left="2155" w:hanging="2155"/>
    </w:pPr>
  </w:style>
  <w:style w:type="paragraph" w:styleId="Header">
    <w:name w:val="header"/>
    <w:basedOn w:val="Normal"/>
    <w:link w:val="HeaderChar"/>
    <w:unhideWhenUsed/>
    <w:qFormat/>
    <w:rsid w:val="008344F6"/>
    <w:pPr>
      <w:tabs>
        <w:tab w:val="center" w:pos="4513"/>
        <w:tab w:val="right" w:pos="9026"/>
      </w:tabs>
      <w:spacing w:after="120"/>
    </w:pPr>
    <w:rPr>
      <w:color w:val="51626F" w:themeColor="accent1"/>
      <w:sz w:val="18"/>
    </w:rPr>
  </w:style>
  <w:style w:type="character" w:customStyle="1" w:styleId="HeaderChar">
    <w:name w:val="Header Char"/>
    <w:basedOn w:val="DefaultParagraphFont"/>
    <w:link w:val="Header"/>
    <w:uiPriority w:val="99"/>
    <w:rsid w:val="008344F6"/>
    <w:rPr>
      <w:rFonts w:ascii="Arial" w:hAnsi="Arial"/>
      <w:color w:val="51626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584D8F"/>
    <w:pPr>
      <w:spacing w:before="240" w:after="120"/>
    </w:pPr>
    <w:rPr>
      <w:b/>
      <w:szCs w:val="20"/>
    </w:rPr>
  </w:style>
  <w:style w:type="character" w:customStyle="1" w:styleId="TabletitleChar">
    <w:name w:val="Table title Char"/>
    <w:basedOn w:val="DefaultParagraphFont"/>
    <w:link w:val="Tabletitle"/>
    <w:rsid w:val="00584D8F"/>
    <w:rPr>
      <w:rFonts w:ascii="Arial" w:hAnsi="Arial"/>
      <w:b/>
      <w:szCs w:val="20"/>
    </w:rPr>
  </w:style>
  <w:style w:type="paragraph" w:customStyle="1" w:styleId="Charttitle">
    <w:name w:val="Chart title"/>
    <w:basedOn w:val="Tabletitle"/>
    <w:qFormat/>
    <w:rsid w:val="005C26CC"/>
    <w:rPr>
      <w:sz w:val="24"/>
    </w:rPr>
  </w:style>
  <w:style w:type="paragraph" w:styleId="EndnoteText">
    <w:name w:val="endnote text"/>
    <w:basedOn w:val="Normal"/>
    <w:link w:val="EndnoteTextChar"/>
    <w:rsid w:val="00263AC0"/>
    <w:pPr>
      <w:spacing w:before="0"/>
    </w:pPr>
    <w:rPr>
      <w:sz w:val="20"/>
      <w:szCs w:val="20"/>
    </w:rPr>
  </w:style>
  <w:style w:type="paragraph" w:customStyle="1" w:styleId="Boxedtext">
    <w:name w:val="Boxed text"/>
    <w:basedOn w:val="Normal"/>
    <w:link w:val="BoxedtextChar"/>
    <w:uiPriority w:val="1"/>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BoxedtextChar">
    <w:name w:val="Boxed text Char"/>
    <w:basedOn w:val="DefaultParagraphFont"/>
    <w:link w:val="Boxedtext"/>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EA3D42"/>
    <w:pPr>
      <w:spacing w:after="120"/>
      <w:contextualSpacing/>
    </w:pPr>
    <w:rPr>
      <w:rFonts w:ascii="Lucida Fax" w:hAnsi="Lucida Fax"/>
      <w:b/>
      <w:color w:val="DC5034"/>
      <w:sz w:val="24"/>
      <w:szCs w:val="24"/>
    </w:rPr>
  </w:style>
  <w:style w:type="character" w:customStyle="1" w:styleId="PullquoteheadingChar">
    <w:name w:val="Pull quote heading Char"/>
    <w:basedOn w:val="DefaultParagraphFont"/>
    <w:link w:val="Pullquoteheading"/>
    <w:uiPriority w:val="1"/>
    <w:rsid w:val="00AE1BF1"/>
    <w:rPr>
      <w:rFonts w:ascii="Lucida Fax" w:hAnsi="Lucida Fax"/>
      <w:b/>
      <w:color w:val="DC5034"/>
      <w:sz w:val="24"/>
      <w:szCs w:val="24"/>
    </w:rPr>
  </w:style>
  <w:style w:type="paragraph" w:customStyle="1" w:styleId="Pullquotetext">
    <w:name w:val="Pull quote text"/>
    <w:link w:val="PullquotetextChar"/>
    <w:uiPriority w:val="1"/>
    <w:rsid w:val="00AF0DD2"/>
    <w:pPr>
      <w:spacing w:before="120"/>
    </w:pPr>
    <w:rPr>
      <w:rFonts w:ascii="Lucida Fax" w:hAnsi="Lucida Fax"/>
      <w:color w:val="DC5034"/>
      <w:szCs w:val="24"/>
    </w:rPr>
  </w:style>
  <w:style w:type="character" w:customStyle="1" w:styleId="PullquotetextChar">
    <w:name w:val="Pull quote text Char"/>
    <w:basedOn w:val="PullquoteheadingChar"/>
    <w:link w:val="Pullquotetext"/>
    <w:uiPriority w:val="1"/>
    <w:rsid w:val="00AE1BF1"/>
    <w:rPr>
      <w:rFonts w:ascii="Lucida Fax" w:hAnsi="Lucida Fax"/>
      <w:b w:val="0"/>
      <w:color w:val="DC5034"/>
      <w:sz w:val="24"/>
      <w:szCs w:val="24"/>
    </w:rPr>
  </w:style>
  <w:style w:type="paragraph" w:customStyle="1" w:styleId="Note">
    <w:name w:val="Note"/>
    <w:basedOn w:val="Normal"/>
    <w:link w:val="NoteChar"/>
    <w:qFormat/>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customStyle="1" w:styleId="Footnotes">
    <w:name w:val="Footnotes"/>
    <w:basedOn w:val="FootnoteText"/>
    <w:link w:val="FootnotesChar"/>
    <w:uiPriority w:val="4"/>
    <w:semiHidden/>
    <w:qFormat/>
    <w:rsid w:val="00B8080B"/>
  </w:style>
  <w:style w:type="character" w:customStyle="1" w:styleId="FootnotesChar">
    <w:name w:val="Footnotes Char"/>
    <w:basedOn w:val="DefaultParagraphFont"/>
    <w:link w:val="Footnotes"/>
    <w:uiPriority w:val="4"/>
    <w:semiHidden/>
    <w:rsid w:val="00FE39C2"/>
    <w:rPr>
      <w:rFonts w:ascii="Arial" w:hAnsi="Arial"/>
      <w:sz w:val="20"/>
      <w:szCs w:val="20"/>
    </w:rPr>
  </w:style>
  <w:style w:type="paragraph" w:styleId="Quote">
    <w:name w:val="Quote"/>
    <w:basedOn w:val="Normal"/>
    <w:next w:val="Normal"/>
    <w:link w:val="QuoteChar"/>
    <w:uiPriority w:val="29"/>
    <w:rsid w:val="001D055E"/>
    <w:pPr>
      <w:ind w:left="737"/>
    </w:pPr>
    <w:rPr>
      <w:i/>
      <w:iCs/>
      <w:color w:val="000000" w:themeColor="text1"/>
    </w:rPr>
  </w:style>
  <w:style w:type="character" w:customStyle="1" w:styleId="QuoteChar">
    <w:name w:val="Quote Char"/>
    <w:basedOn w:val="DefaultParagraphFont"/>
    <w:link w:val="Quote"/>
    <w:uiPriority w:val="29"/>
    <w:rsid w:val="001D055E"/>
    <w:rPr>
      <w:rFonts w:ascii="Arial" w:hAnsi="Arial"/>
      <w:i/>
      <w:iCs/>
      <w:color w:val="000000" w:themeColor="text1"/>
    </w:rPr>
  </w:style>
  <w:style w:type="paragraph" w:customStyle="1" w:styleId="Bulletpoint">
    <w:name w:val="Bullet point"/>
    <w:basedOn w:val="ListBullet"/>
    <w:qFormat/>
    <w:rsid w:val="00FE64AE"/>
    <w:pPr>
      <w:numPr>
        <w:numId w:val="2"/>
      </w:numPr>
      <w:ind w:left="357" w:hanging="357"/>
    </w:pPr>
    <w:rPr>
      <w:rFonts w:cs="Times New Roman"/>
    </w:rPr>
  </w:style>
  <w:style w:type="paragraph" w:styleId="ListBullet">
    <w:name w:val="List Bullet"/>
    <w:basedOn w:val="Normal"/>
    <w:uiPriority w:val="99"/>
    <w:unhideWhenUsed/>
    <w:rsid w:val="008033C4"/>
    <w:pPr>
      <w:numPr>
        <w:numId w:val="13"/>
      </w:numPr>
      <w:spacing w:before="120"/>
      <w:ind w:left="357" w:hanging="357"/>
    </w:pPr>
  </w:style>
  <w:style w:type="paragraph" w:customStyle="1" w:styleId="Bulletpoint2">
    <w:name w:val="Bullet point 2"/>
    <w:basedOn w:val="ListBullet2"/>
    <w:uiPriority w:val="1"/>
    <w:qFormat/>
    <w:rsid w:val="008033C4"/>
    <w:pPr>
      <w:numPr>
        <w:numId w:val="12"/>
      </w:numPr>
      <w:ind w:left="998" w:hanging="357"/>
    </w:pPr>
  </w:style>
  <w:style w:type="paragraph" w:styleId="ListNumber">
    <w:name w:val="List Number"/>
    <w:basedOn w:val="Normal"/>
    <w:uiPriority w:val="99"/>
    <w:qFormat/>
    <w:rsid w:val="008033C4"/>
    <w:pPr>
      <w:numPr>
        <w:numId w:val="7"/>
      </w:numPr>
      <w:spacing w:before="120"/>
      <w:ind w:left="357" w:hanging="357"/>
    </w:pPr>
    <w:rPr>
      <w:color w:val="000000" w:themeColor="text1" w:themeShade="BF"/>
    </w:rPr>
  </w:style>
  <w:style w:type="paragraph" w:styleId="ListBullet2">
    <w:name w:val="List Bullet 2"/>
    <w:basedOn w:val="Normal"/>
    <w:uiPriority w:val="99"/>
    <w:unhideWhenUsed/>
    <w:rsid w:val="008033C4"/>
    <w:pPr>
      <w:numPr>
        <w:numId w:val="3"/>
      </w:numPr>
      <w:spacing w:before="120"/>
      <w:ind w:left="641" w:hanging="357"/>
    </w:pPr>
  </w:style>
  <w:style w:type="paragraph" w:styleId="TOCHeading">
    <w:name w:val="TOC Heading"/>
    <w:basedOn w:val="Normal"/>
    <w:next w:val="Normal"/>
    <w:uiPriority w:val="39"/>
    <w:qFormat/>
    <w:rsid w:val="00E04818"/>
    <w:pPr>
      <w:spacing w:before="480" w:after="120"/>
    </w:pPr>
    <w:rPr>
      <w:rFonts w:ascii="Lucida Fax" w:eastAsiaTheme="majorEastAsia" w:hAnsi="Lucida Fax" w:cstheme="majorBidi"/>
      <w:bCs/>
      <w:color w:val="51626F"/>
      <w:sz w:val="32"/>
      <w:szCs w:val="28"/>
      <w:lang w:val="en-US" w:eastAsia="ja-JP"/>
    </w:rPr>
  </w:style>
  <w:style w:type="paragraph" w:styleId="ListNumber2">
    <w:name w:val="List Number 2"/>
    <w:aliases w:val="List alphabet"/>
    <w:next w:val="Normal"/>
    <w:uiPriority w:val="99"/>
    <w:qFormat/>
    <w:rsid w:val="008033C4"/>
    <w:pPr>
      <w:numPr>
        <w:numId w:val="8"/>
      </w:numPr>
      <w:spacing w:before="120"/>
      <w:ind w:left="357" w:hanging="357"/>
    </w:pPr>
    <w:rPr>
      <w:rFonts w:ascii="Arial" w:hAnsi="Arial"/>
    </w:rPr>
  </w:style>
  <w:style w:type="character" w:styleId="Hyperlink">
    <w:name w:val="Hyperlink"/>
    <w:basedOn w:val="DefaultParagraphFont"/>
    <w:qFormat/>
    <w:rsid w:val="00BE1F1B"/>
    <w:rPr>
      <w:rFonts w:ascii="Arial" w:hAnsi="Arial"/>
      <w:color w:val="0000FF"/>
      <w:sz w:val="22"/>
      <w:u w:val="single"/>
    </w:rPr>
  </w:style>
  <w:style w:type="paragraph" w:styleId="BalloonText">
    <w:name w:val="Balloon Text"/>
    <w:basedOn w:val="Normal"/>
    <w:link w:val="BalloonTextChar"/>
    <w:semiHidden/>
    <w:unhideWhenUsed/>
    <w:rsid w:val="003518B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8B3"/>
    <w:rPr>
      <w:rFonts w:ascii="Tahoma" w:hAnsi="Tahoma" w:cs="Tahoma"/>
      <w:sz w:val="16"/>
      <w:szCs w:val="16"/>
    </w:rPr>
  </w:style>
  <w:style w:type="paragraph" w:styleId="Footer">
    <w:name w:val="footer"/>
    <w:basedOn w:val="Normal"/>
    <w:link w:val="FooterChar"/>
    <w:uiPriority w:val="99"/>
    <w:unhideWhenUsed/>
    <w:qFormat/>
    <w:rsid w:val="00A57D04"/>
    <w:pPr>
      <w:tabs>
        <w:tab w:val="center" w:pos="4513"/>
        <w:tab w:val="right" w:pos="9026"/>
      </w:tabs>
      <w:spacing w:after="120"/>
    </w:pPr>
    <w:rPr>
      <w:color w:val="51626F" w:themeColor="accent1"/>
      <w:sz w:val="18"/>
    </w:rPr>
  </w:style>
  <w:style w:type="character" w:customStyle="1" w:styleId="FooterChar">
    <w:name w:val="Footer Char"/>
    <w:basedOn w:val="DefaultParagraphFont"/>
    <w:link w:val="Footer"/>
    <w:uiPriority w:val="99"/>
    <w:rsid w:val="00A57D04"/>
    <w:rPr>
      <w:rFonts w:ascii="Arial" w:hAnsi="Arial"/>
      <w:color w:val="51626F" w:themeColor="accent1"/>
      <w:sz w:val="18"/>
    </w:rPr>
  </w:style>
  <w:style w:type="paragraph" w:styleId="ListParagraph">
    <w:name w:val="List Paragraph"/>
    <w:basedOn w:val="Normal"/>
    <w:uiPriority w:val="34"/>
    <w:qFormat/>
    <w:rsid w:val="008033C4"/>
    <w:pPr>
      <w:numPr>
        <w:numId w:val="14"/>
      </w:numPr>
      <w:spacing w:before="120"/>
      <w:ind w:left="714" w:hanging="357"/>
    </w:pPr>
  </w:style>
  <w:style w:type="character" w:customStyle="1" w:styleId="Heading7Char">
    <w:name w:val="Heading 7 Char"/>
    <w:basedOn w:val="DefaultParagraphFont"/>
    <w:link w:val="Heading7"/>
    <w:uiPriority w:val="9"/>
    <w:rsid w:val="009D6B46"/>
    <w:rPr>
      <w:rFonts w:ascii="Arial" w:eastAsiaTheme="majorEastAsia" w:hAnsi="Arial" w:cstheme="majorBidi"/>
      <w:i/>
      <w:iCs/>
      <w:color w:val="404040" w:themeColor="text1" w:themeTint="BF"/>
    </w:rPr>
  </w:style>
  <w:style w:type="character" w:customStyle="1" w:styleId="Heading8Char">
    <w:name w:val="Heading 8 Char"/>
    <w:basedOn w:val="DefaultParagraphFont"/>
    <w:link w:val="Heading8"/>
    <w:rsid w:val="009D6B46"/>
    <w:rPr>
      <w:rFonts w:ascii="Arial" w:eastAsiaTheme="majorEastAsia" w:hAnsi="Arial" w:cstheme="majorBidi"/>
      <w:color w:val="51626F" w:themeColor="accent1"/>
      <w:szCs w:val="20"/>
    </w:rPr>
  </w:style>
  <w:style w:type="character" w:customStyle="1" w:styleId="Heading9Char">
    <w:name w:val="Heading 9 Char"/>
    <w:basedOn w:val="DefaultParagraphFont"/>
    <w:link w:val="Heading9"/>
    <w:uiPriority w:val="9"/>
    <w:rsid w:val="009D6B46"/>
    <w:rPr>
      <w:rFonts w:ascii="Arial" w:eastAsiaTheme="majorEastAsia" w:hAnsi="Arial" w:cstheme="majorBidi"/>
      <w:i/>
      <w:iCs/>
      <w:color w:val="51626F" w:themeColor="accent1"/>
      <w:szCs w:val="20"/>
    </w:rPr>
  </w:style>
  <w:style w:type="paragraph" w:customStyle="1" w:styleId="Numbered1111111">
    <w:name w:val="Numbered 1.1.1.1.1.1.1"/>
    <w:basedOn w:val="Heading7"/>
    <w:next w:val="Normal"/>
    <w:uiPriority w:val="2"/>
    <w:rsid w:val="00B17A1D"/>
    <w:pPr>
      <w:numPr>
        <w:ilvl w:val="6"/>
        <w:numId w:val="15"/>
      </w:numPr>
      <w:ind w:left="2381" w:hanging="2381"/>
    </w:pPr>
  </w:style>
  <w:style w:type="paragraph" w:customStyle="1" w:styleId="Numbered11111111">
    <w:name w:val="Numbered 1.1.1.1.1.1.1.1"/>
    <w:basedOn w:val="Heading8"/>
    <w:next w:val="Normal"/>
    <w:uiPriority w:val="2"/>
    <w:rsid w:val="00B17A1D"/>
    <w:pPr>
      <w:numPr>
        <w:ilvl w:val="7"/>
        <w:numId w:val="15"/>
      </w:numPr>
      <w:ind w:left="2608" w:hanging="2608"/>
    </w:pPr>
  </w:style>
  <w:style w:type="table" w:styleId="TableGrid">
    <w:name w:val="Table Grid"/>
    <w:aliases w:val="ACCC Table"/>
    <w:basedOn w:val="TableNormal"/>
    <w:rsid w:val="00C53B5A"/>
    <w:pPr>
      <w:spacing w:before="60" w:after="60"/>
    </w:pPr>
    <w:rPr>
      <w:rFonts w:ascii="Arial" w:hAnsi="Arial"/>
      <w:sz w:val="20"/>
    </w:rPr>
    <w:tblPr>
      <w:tblInd w:w="0" w:type="dxa"/>
      <w:tblBorders>
        <w:top w:val="single" w:sz="4" w:space="0" w:color="BFBFBF" w:themeColor="background1" w:themeShade="BF"/>
        <w:bottom w:val="single" w:sz="4" w:space="0" w:color="BFBFBF" w:themeColor="background1" w:themeShade="BF"/>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Ind w:w="0" w:type="dxa"/>
      <w:tbl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blBorders>
      <w:tblCellMar>
        <w:top w:w="0" w:type="dxa"/>
        <w:left w:w="108" w:type="dxa"/>
        <w:bottom w:w="0" w:type="dxa"/>
        <w:right w:w="108" w:type="dxa"/>
      </w:tblCellMar>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D5D6D2" w:themeColor="background2"/>
          <w:left w:val="single" w:sz="4" w:space="0" w:color="D5D6D2" w:themeColor="background2"/>
          <w:bottom w:val="single" w:sz="4" w:space="0" w:color="D5D6D2" w:themeColor="background2"/>
          <w:right w:val="single" w:sz="4" w:space="0" w:color="D5D6D2" w:themeColor="background2"/>
          <w:insideH w:val="single" w:sz="4" w:space="0" w:color="D5D6D2" w:themeColor="background2"/>
          <w:insideV w:val="single" w:sz="4" w:space="0" w:color="D5D6D2"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A871F4"/>
    <w:pPr>
      <w:spacing w:before="0"/>
    </w:pPr>
    <w:rPr>
      <w:color w:val="3C4953" w:themeColor="accent1" w:themeShade="BF"/>
    </w:rPr>
    <w:tblPr>
      <w:tblStyleRowBandSize w:val="1"/>
      <w:tblStyleColBandSize w:val="1"/>
      <w:tblInd w:w="0" w:type="dxa"/>
      <w:tblBorders>
        <w:top w:val="single" w:sz="8" w:space="0" w:color="51626F" w:themeColor="accent1"/>
        <w:bottom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lastRow">
      <w:pPr>
        <w:spacing w:before="0" w:after="0" w:line="240" w:lineRule="auto"/>
      </w:pPr>
      <w:rPr>
        <w:b/>
        <w:bCs/>
      </w:rPr>
      <w:tblPr/>
      <w:tcPr>
        <w:tcBorders>
          <w:top w:val="single" w:sz="8" w:space="0" w:color="51626F" w:themeColor="accent1"/>
          <w:left w:val="nil"/>
          <w:bottom w:val="single" w:sz="8" w:space="0" w:color="51626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DD" w:themeFill="accent1" w:themeFillTint="3F"/>
      </w:tcPr>
    </w:tblStylePr>
    <w:tblStylePr w:type="band1Horz">
      <w:tblPr/>
      <w:tcPr>
        <w:tcBorders>
          <w:left w:val="nil"/>
          <w:right w:val="nil"/>
          <w:insideH w:val="nil"/>
          <w:insideV w:val="nil"/>
        </w:tcBorders>
        <w:shd w:val="clear" w:color="auto" w:fill="D1D8DD"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Ind w:w="0" w:type="dxa"/>
      <w:tbl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blBorders>
      <w:tblCellMar>
        <w:top w:w="0" w:type="dxa"/>
        <w:left w:w="108" w:type="dxa"/>
        <w:bottom w:w="0" w:type="dxa"/>
        <w:right w:w="108" w:type="dxa"/>
      </w:tblCellMar>
    </w:tblPr>
    <w:tcPr>
      <w:vAlign w:val="center"/>
    </w:tcPr>
    <w:tblStylePr w:type="fir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l2br w:val="nil"/>
          <w:tr2bl w:val="nil"/>
        </w:tcBorders>
      </w:tcPr>
    </w:tblStylePr>
    <w:tblStylePr w:type="lastRow">
      <w:pPr>
        <w:spacing w:before="0" w:after="0" w:line="240" w:lineRule="auto"/>
      </w:pPr>
      <w:rPr>
        <w:b w:val="0"/>
        <w:bCs/>
      </w:rPr>
      <w:tblPr/>
      <w:tcPr>
        <w:tcBorders>
          <w:top w:val="single" w:sz="4" w:space="0" w:color="B71202" w:themeColor="accent5"/>
          <w:left w:val="single" w:sz="4" w:space="0" w:color="B71202" w:themeColor="accent5"/>
          <w:bottom w:val="single" w:sz="4" w:space="0" w:color="B71202" w:themeColor="accent5"/>
          <w:right w:val="single" w:sz="4" w:space="0" w:color="B71202" w:themeColor="accent5"/>
          <w:insideH w:val="single" w:sz="4" w:space="0" w:color="B71202" w:themeColor="accent5"/>
          <w:insideV w:val="single" w:sz="4" w:space="0" w:color="B71202"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7192" w:themeColor="accent3" w:themeShade="BF"/>
    </w:rPr>
    <w:tblPr>
      <w:tblStyleRowBandSize w:val="1"/>
      <w:tblStyleColBandSize w:val="1"/>
      <w:tblInd w:w="0" w:type="dxa"/>
      <w:tblBorders>
        <w:top w:val="single" w:sz="8" w:space="0" w:color="0098C3" w:themeColor="accent3"/>
        <w:bottom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lastRow">
      <w:pPr>
        <w:spacing w:before="0" w:after="0" w:line="240" w:lineRule="auto"/>
      </w:pPr>
      <w:rPr>
        <w:b/>
        <w:bCs/>
      </w:rPr>
      <w:tblPr/>
      <w:tcPr>
        <w:tcBorders>
          <w:top w:val="single" w:sz="8" w:space="0" w:color="0098C3" w:themeColor="accent3"/>
          <w:left w:val="nil"/>
          <w:bottom w:val="single" w:sz="8" w:space="0" w:color="0098C3"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1EDFF" w:themeFill="accent3" w:themeFillTint="3F"/>
      </w:tcPr>
    </w:tblStylePr>
    <w:tblStylePr w:type="band1Horz">
      <w:tblPr/>
      <w:tcPr>
        <w:tcBorders>
          <w:left w:val="nil"/>
          <w:right w:val="nil"/>
          <w:insideH w:val="nil"/>
          <w:insideV w:val="nil"/>
        </w:tcBorders>
        <w:shd w:val="clear" w:color="auto" w:fill="B1ED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insideH w:val="single" w:sz="8" w:space="0" w:color="DC5034" w:themeColor="accent6"/>
        <w:insideV w:val="single" w:sz="8" w:space="0" w:color="DC503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18" w:space="0" w:color="DC5034" w:themeColor="accent6"/>
          <w:right w:val="single" w:sz="8" w:space="0" w:color="DC5034" w:themeColor="accent6"/>
          <w:insideH w:val="nil"/>
          <w:insideV w:val="single" w:sz="8" w:space="0" w:color="DC50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insideH w:val="nil"/>
          <w:insideV w:val="single" w:sz="8" w:space="0" w:color="DC50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shd w:val="clear" w:color="auto" w:fill="F6D3CC" w:themeFill="accent6" w:themeFillTint="3F"/>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shd w:val="clear" w:color="auto" w:fill="F6D3CC" w:themeFill="accent6" w:themeFillTint="3F"/>
      </w:tcPr>
    </w:tblStylePr>
    <w:tblStylePr w:type="band2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insideV w:val="single" w:sz="8" w:space="0" w:color="DC5034"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Ind w:w="0" w:type="dxa"/>
      <w:tbl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single" w:sz="8" w:space="0" w:color="758A9A"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shd w:val="clear" w:color="auto" w:fill="51626F" w:themeFill="accent1"/>
      </w:tcPr>
    </w:tblStylePr>
    <w:tblStylePr w:type="lastRow">
      <w:pPr>
        <w:spacing w:before="0" w:after="0" w:line="240" w:lineRule="auto"/>
      </w:pPr>
      <w:rPr>
        <w:b/>
        <w:bCs/>
      </w:rPr>
      <w:tblPr/>
      <w:tcPr>
        <w:tcBorders>
          <w:top w:val="double" w:sz="6" w:space="0" w:color="758A9A" w:themeColor="accent1" w:themeTint="BF"/>
          <w:left w:val="single" w:sz="8" w:space="0" w:color="758A9A" w:themeColor="accent1" w:themeTint="BF"/>
          <w:bottom w:val="single" w:sz="8" w:space="0" w:color="758A9A" w:themeColor="accent1" w:themeTint="BF"/>
          <w:right w:val="single" w:sz="8" w:space="0" w:color="758A9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DD" w:themeFill="accent1" w:themeFillTint="3F"/>
      </w:tcPr>
    </w:tblStylePr>
    <w:tblStylePr w:type="band1Horz">
      <w:tblPr/>
      <w:tcPr>
        <w:tcBorders>
          <w:insideH w:val="nil"/>
          <w:insideV w:val="nil"/>
        </w:tcBorders>
        <w:shd w:val="clear" w:color="auto" w:fill="D1D8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Ind w:w="0" w:type="dxa"/>
      <w:tbl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single" w:sz="8" w:space="0" w:color="7643BB"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shd w:val="clear" w:color="auto" w:fill="4F2D7D" w:themeFill="accent2"/>
      </w:tcPr>
    </w:tblStylePr>
    <w:tblStylePr w:type="lastRow">
      <w:pPr>
        <w:spacing w:before="0" w:after="0" w:line="240" w:lineRule="auto"/>
      </w:pPr>
      <w:rPr>
        <w:b/>
        <w:bCs/>
      </w:rPr>
      <w:tblPr/>
      <w:tcPr>
        <w:tcBorders>
          <w:top w:val="double" w:sz="6" w:space="0" w:color="7643BB" w:themeColor="accent2" w:themeTint="BF"/>
          <w:left w:val="single" w:sz="8" w:space="0" w:color="7643BB" w:themeColor="accent2" w:themeTint="BF"/>
          <w:bottom w:val="single" w:sz="8" w:space="0" w:color="7643BB" w:themeColor="accent2" w:themeTint="BF"/>
          <w:right w:val="single" w:sz="8" w:space="0" w:color="7643B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C1E8" w:themeFill="accent2" w:themeFillTint="3F"/>
      </w:tcPr>
    </w:tblStylePr>
    <w:tblStylePr w:type="band1Horz">
      <w:tblPr/>
      <w:tcPr>
        <w:tcBorders>
          <w:insideH w:val="nil"/>
          <w:insideV w:val="nil"/>
        </w:tcBorders>
        <w:shd w:val="clear" w:color="auto" w:fill="D1C1E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Ind w:w="0" w:type="dxa"/>
      <w:tbl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single" w:sz="8" w:space="0" w:color="13CAFF"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shd w:val="clear" w:color="auto" w:fill="0098C3" w:themeFill="accent3"/>
      </w:tcPr>
    </w:tblStylePr>
    <w:tblStylePr w:type="lastRow">
      <w:pPr>
        <w:spacing w:before="0" w:after="0" w:line="240" w:lineRule="auto"/>
      </w:pPr>
      <w:rPr>
        <w:b/>
        <w:bCs/>
      </w:rPr>
      <w:tblPr/>
      <w:tcPr>
        <w:tcBorders>
          <w:top w:val="double" w:sz="6" w:space="0" w:color="13CAFF" w:themeColor="accent3" w:themeTint="BF"/>
          <w:left w:val="single" w:sz="8" w:space="0" w:color="13CAFF" w:themeColor="accent3" w:themeTint="BF"/>
          <w:bottom w:val="single" w:sz="8" w:space="0" w:color="13CAFF" w:themeColor="accent3" w:themeTint="BF"/>
          <w:right w:val="single" w:sz="8" w:space="0" w:color="13C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1EDFF" w:themeFill="accent3" w:themeFillTint="3F"/>
      </w:tcPr>
    </w:tblStylePr>
    <w:tblStylePr w:type="band1Horz">
      <w:tblPr/>
      <w:tcPr>
        <w:tcBorders>
          <w:insideH w:val="nil"/>
          <w:insideV w:val="nil"/>
        </w:tcBorders>
        <w:shd w:val="clear" w:color="auto" w:fill="B1E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Ind w:w="0" w:type="dxa"/>
      <w:tbl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single" w:sz="8" w:space="0" w:color="B7DAF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shd w:val="clear" w:color="auto" w:fill="A0CFEB" w:themeFill="accent4"/>
      </w:tcPr>
    </w:tblStylePr>
    <w:tblStylePr w:type="lastRow">
      <w:pPr>
        <w:spacing w:before="0" w:after="0" w:line="240" w:lineRule="auto"/>
      </w:pPr>
      <w:rPr>
        <w:b/>
        <w:bCs/>
      </w:rPr>
      <w:tblPr/>
      <w:tcPr>
        <w:tcBorders>
          <w:top w:val="double" w:sz="6" w:space="0" w:color="B7DAF0" w:themeColor="accent4" w:themeTint="BF"/>
          <w:left w:val="single" w:sz="8" w:space="0" w:color="B7DAF0" w:themeColor="accent4" w:themeTint="BF"/>
          <w:bottom w:val="single" w:sz="8" w:space="0" w:color="B7DAF0" w:themeColor="accent4" w:themeTint="BF"/>
          <w:right w:val="single" w:sz="8" w:space="0" w:color="B7DAF0" w:themeColor="accent4" w:themeTint="BF"/>
          <w:insideH w:val="nil"/>
          <w:insideV w:val="nil"/>
        </w:tcBorders>
      </w:tcPr>
    </w:tblStylePr>
    <w:tblStylePr w:type="firstCol">
      <w:rPr>
        <w:b/>
        <w:bCs/>
      </w:rPr>
    </w:tblStylePr>
    <w:tblStylePr w:type="lastCol">
      <w:rPr>
        <w:b/>
        <w:bCs/>
      </w:rPr>
    </w:tblStylePr>
    <w:tblStylePr w:type="band1Vert">
      <w:tblPr/>
      <w:tcPr>
        <w:shd w:val="clear" w:color="auto" w:fill="E7F3FA" w:themeFill="accent4" w:themeFillTint="3F"/>
      </w:tcPr>
    </w:tblStylePr>
    <w:tblStylePr w:type="band1Horz">
      <w:tblPr/>
      <w:tcPr>
        <w:tcBorders>
          <w:insideH w:val="nil"/>
          <w:insideV w:val="nil"/>
        </w:tcBorders>
        <w:shd w:val="clear" w:color="auto" w:fill="E7F3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Ind w:w="0" w:type="dxa"/>
      <w:tbl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single" w:sz="8" w:space="0" w:color="FC220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shd w:val="clear" w:color="auto" w:fill="B71202" w:themeFill="accent5"/>
      </w:tcPr>
    </w:tblStylePr>
    <w:tblStylePr w:type="lastRow">
      <w:pPr>
        <w:spacing w:before="0" w:after="0" w:line="240" w:lineRule="auto"/>
      </w:pPr>
      <w:rPr>
        <w:b/>
        <w:bCs/>
      </w:rPr>
      <w:tblPr/>
      <w:tcPr>
        <w:tcBorders>
          <w:top w:val="double" w:sz="6" w:space="0" w:color="FC220E" w:themeColor="accent5" w:themeTint="BF"/>
          <w:left w:val="single" w:sz="8" w:space="0" w:color="FC220E" w:themeColor="accent5" w:themeTint="BF"/>
          <w:bottom w:val="single" w:sz="8" w:space="0" w:color="FC220E" w:themeColor="accent5" w:themeTint="BF"/>
          <w:right w:val="single" w:sz="8" w:space="0" w:color="FC220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B6AF" w:themeFill="accent5" w:themeFillTint="3F"/>
      </w:tcPr>
    </w:tblStylePr>
    <w:tblStylePr w:type="band1Horz">
      <w:tblPr/>
      <w:tcPr>
        <w:tcBorders>
          <w:insideH w:val="nil"/>
          <w:insideV w:val="nil"/>
        </w:tcBorders>
        <w:shd w:val="clear" w:color="auto" w:fill="FEB6AF"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5">
    <w:name w:val="Light Shading Accent 5"/>
    <w:basedOn w:val="TableNormal"/>
    <w:uiPriority w:val="60"/>
    <w:rsid w:val="00A871F4"/>
    <w:pPr>
      <w:spacing w:before="0"/>
    </w:pPr>
    <w:rPr>
      <w:color w:val="880D01" w:themeColor="accent5" w:themeShade="BF"/>
    </w:rPr>
    <w:tblPr>
      <w:tblStyleRowBandSize w:val="1"/>
      <w:tblStyleColBandSize w:val="1"/>
      <w:tblInd w:w="0" w:type="dxa"/>
      <w:tblBorders>
        <w:top w:val="single" w:sz="8" w:space="0" w:color="B71202" w:themeColor="accent5"/>
        <w:bottom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lastRow">
      <w:pPr>
        <w:spacing w:before="0" w:after="0" w:line="240" w:lineRule="auto"/>
      </w:pPr>
      <w:rPr>
        <w:b/>
        <w:bCs/>
      </w:rPr>
      <w:tblPr/>
      <w:tcPr>
        <w:tcBorders>
          <w:top w:val="single" w:sz="8" w:space="0" w:color="B71202" w:themeColor="accent5"/>
          <w:left w:val="nil"/>
          <w:bottom w:val="single" w:sz="8" w:space="0" w:color="B7120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B6AF" w:themeFill="accent5" w:themeFillTint="3F"/>
      </w:tcPr>
    </w:tblStylePr>
    <w:tblStylePr w:type="band1Horz">
      <w:tblPr/>
      <w:tcPr>
        <w:tcBorders>
          <w:left w:val="nil"/>
          <w:right w:val="nil"/>
          <w:insideH w:val="nil"/>
          <w:insideV w:val="nil"/>
        </w:tcBorders>
        <w:shd w:val="clear" w:color="auto" w:fill="FEB6AF"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insideH w:val="single" w:sz="8" w:space="0" w:color="0098C3" w:themeColor="accent3"/>
        <w:insideV w:val="single" w:sz="8" w:space="0" w:color="0098C3"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18" w:space="0" w:color="0098C3" w:themeColor="accent3"/>
          <w:right w:val="single" w:sz="8" w:space="0" w:color="0098C3" w:themeColor="accent3"/>
          <w:insideH w:val="nil"/>
          <w:insideV w:val="single" w:sz="8" w:space="0" w:color="0098C3"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insideH w:val="nil"/>
          <w:insideV w:val="single" w:sz="8" w:space="0" w:color="0098C3"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shd w:val="clear" w:color="auto" w:fill="B1EDFF" w:themeFill="accent3" w:themeFillTint="3F"/>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shd w:val="clear" w:color="auto" w:fill="B1EDFF" w:themeFill="accent3" w:themeFillTint="3F"/>
      </w:tcPr>
    </w:tblStylePr>
    <w:tblStylePr w:type="band2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insideV w:val="single" w:sz="8" w:space="0" w:color="0098C3"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9F4940"/>
    <w:pPr>
      <w:tabs>
        <w:tab w:val="left" w:pos="426"/>
        <w:tab w:val="right" w:leader="dot" w:pos="9016"/>
      </w:tabs>
      <w:spacing w:after="100"/>
    </w:pPr>
    <w:rPr>
      <w:noProof/>
      <w:lang w:val="en-US" w:eastAsia="ja-JP"/>
    </w:rPr>
  </w:style>
  <w:style w:type="paragraph" w:styleId="TOC2">
    <w:name w:val="toc 2"/>
    <w:basedOn w:val="Normal"/>
    <w:next w:val="Normal"/>
    <w:uiPriority w:val="39"/>
    <w:qFormat/>
    <w:rsid w:val="009F4940"/>
    <w:pPr>
      <w:tabs>
        <w:tab w:val="left" w:pos="880"/>
        <w:tab w:val="right" w:leader="dot" w:pos="9016"/>
      </w:tabs>
      <w:spacing w:after="100"/>
      <w:ind w:left="425"/>
    </w:pPr>
    <w:rPr>
      <w:noProof/>
    </w:rPr>
  </w:style>
  <w:style w:type="paragraph" w:styleId="TOC3">
    <w:name w:val="toc 3"/>
    <w:basedOn w:val="Normal"/>
    <w:next w:val="Normal"/>
    <w:uiPriority w:val="39"/>
    <w:qFormat/>
    <w:rsid w:val="009F4940"/>
    <w:pPr>
      <w:tabs>
        <w:tab w:val="left" w:pos="1760"/>
        <w:tab w:val="right" w:leader="dot" w:pos="9016"/>
      </w:tabs>
      <w:spacing w:after="100"/>
      <w:ind w:left="851"/>
    </w:pPr>
    <w:rPr>
      <w:noProof/>
    </w:rPr>
  </w:style>
  <w:style w:type="paragraph" w:styleId="Title">
    <w:name w:val="Title"/>
    <w:basedOn w:val="Normal"/>
    <w:next w:val="Normal"/>
    <w:link w:val="TitleChar"/>
    <w:qFormat/>
    <w:rsid w:val="000E2946"/>
    <w:pPr>
      <w:spacing w:before="100" w:beforeAutospacing="1" w:after="120"/>
      <w:contextualSpacing/>
      <w:outlineLvl w:val="0"/>
    </w:pPr>
    <w:rPr>
      <w:rFonts w:eastAsiaTheme="majorEastAsia" w:cstheme="majorBidi"/>
      <w:b/>
      <w:spacing w:val="5"/>
      <w:kern w:val="28"/>
      <w:sz w:val="44"/>
      <w:szCs w:val="52"/>
    </w:rPr>
  </w:style>
  <w:style w:type="character" w:customStyle="1" w:styleId="TitleChar">
    <w:name w:val="Title Char"/>
    <w:basedOn w:val="DefaultParagraphFont"/>
    <w:link w:val="Title"/>
    <w:rsid w:val="000E2946"/>
    <w:rPr>
      <w:rFonts w:ascii="Arial" w:eastAsiaTheme="majorEastAsia" w:hAnsi="Arial" w:cstheme="majorBidi"/>
      <w:b/>
      <w:spacing w:val="5"/>
      <w:kern w:val="28"/>
      <w:sz w:val="44"/>
      <w:szCs w:val="52"/>
    </w:rPr>
  </w:style>
  <w:style w:type="paragraph" w:customStyle="1" w:styleId="CoverDate">
    <w:name w:val="Cover Date"/>
    <w:qFormat/>
    <w:rsid w:val="00746E01"/>
    <w:rPr>
      <w:rFonts w:ascii="Lucida Fax" w:hAnsi="Lucida Fax"/>
      <w:color w:val="DC5034"/>
      <w:szCs w:val="24"/>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1626F" w:themeFill="accent1"/>
      </w:tcPr>
    </w:tblStylePr>
    <w:tblStylePr w:type="lastRow">
      <w:pPr>
        <w:spacing w:before="0" w:after="0" w:line="240" w:lineRule="auto"/>
      </w:pPr>
      <w:rPr>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tcBorders>
      </w:tcPr>
    </w:tblStylePr>
    <w:tblStylePr w:type="firstCol">
      <w:rPr>
        <w:b/>
        <w:bCs/>
      </w:rPr>
    </w:tblStylePr>
    <w:tblStylePr w:type="lastCol">
      <w:rPr>
        <w:b/>
        <w:bCs/>
      </w:r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Ind w:w="0" w:type="dxa"/>
      <w:tblBorders>
        <w:top w:val="single" w:sz="8" w:space="0" w:color="0098C3" w:themeColor="accent3"/>
        <w:left w:val="single" w:sz="8" w:space="0" w:color="0098C3" w:themeColor="accent3"/>
        <w:bottom w:val="single" w:sz="8" w:space="0" w:color="0098C3" w:themeColor="accent3"/>
        <w:right w:val="single" w:sz="8" w:space="0" w:color="0098C3"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98C3" w:themeFill="accent3"/>
      </w:tcPr>
    </w:tblStylePr>
    <w:tblStylePr w:type="lastRow">
      <w:pPr>
        <w:spacing w:before="0" w:after="0" w:line="240" w:lineRule="auto"/>
      </w:pPr>
      <w:rPr>
        <w:b/>
        <w:bCs/>
      </w:rPr>
      <w:tblPr/>
      <w:tcPr>
        <w:tcBorders>
          <w:top w:val="double" w:sz="6" w:space="0" w:color="0098C3" w:themeColor="accent3"/>
          <w:left w:val="single" w:sz="8" w:space="0" w:color="0098C3" w:themeColor="accent3"/>
          <w:bottom w:val="single" w:sz="8" w:space="0" w:color="0098C3" w:themeColor="accent3"/>
          <w:right w:val="single" w:sz="8" w:space="0" w:color="0098C3" w:themeColor="accent3"/>
        </w:tcBorders>
      </w:tcPr>
    </w:tblStylePr>
    <w:tblStylePr w:type="firstCol">
      <w:rPr>
        <w:b/>
        <w:bCs/>
      </w:rPr>
    </w:tblStylePr>
    <w:tblStylePr w:type="lastCol">
      <w:rPr>
        <w:b/>
        <w:bCs/>
      </w:rPr>
    </w:tblStylePr>
    <w:tblStylePr w:type="band1Vert">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tblStylePr w:type="band1Horz">
      <w:tblPr/>
      <w:tcPr>
        <w:tcBorders>
          <w:top w:val="single" w:sz="8" w:space="0" w:color="0098C3" w:themeColor="accent3"/>
          <w:left w:val="single" w:sz="8" w:space="0" w:color="0098C3" w:themeColor="accent3"/>
          <w:bottom w:val="single" w:sz="8" w:space="0" w:color="0098C3" w:themeColor="accent3"/>
          <w:right w:val="single" w:sz="8" w:space="0" w:color="0098C3"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tblBorders>
      <w:tblCellMar>
        <w:top w:w="0" w:type="dxa"/>
        <w:left w:w="108" w:type="dxa"/>
        <w:bottom w:w="0" w:type="dxa"/>
        <w:right w:w="108" w:type="dxa"/>
      </w:tblCellMar>
    </w:tblPr>
    <w:tblStylePr w:type="firstRow">
      <w:pPr>
        <w:spacing w:before="0" w:after="0" w:line="240" w:lineRule="auto"/>
      </w:pPr>
      <w:rPr>
        <w:b/>
        <w:bCs/>
        <w:color w:val="auto"/>
      </w:rPr>
      <w:tblPr/>
      <w:tcPr>
        <w:shd w:val="clear" w:color="auto" w:fill="B71202" w:themeFill="accent5"/>
      </w:tcPr>
    </w:tblStylePr>
    <w:tblStylePr w:type="lastRow">
      <w:pPr>
        <w:spacing w:before="0" w:after="0" w:line="240" w:lineRule="auto"/>
      </w:pPr>
      <w:rPr>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tcBorders>
      </w:tcPr>
    </w:tblStylePr>
    <w:tblStylePr w:type="firstCol">
      <w:rPr>
        <w:b/>
        <w:bCs/>
      </w:rPr>
    </w:tblStylePr>
    <w:tblStylePr w:type="lastCol">
      <w:rPr>
        <w:b/>
        <w:bCs/>
      </w:r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style>
  <w:style w:type="character" w:styleId="Emphasis">
    <w:name w:val="Emphasis"/>
    <w:basedOn w:val="DefaultParagraphFont"/>
    <w:qFormat/>
    <w:rsid w:val="00701CAB"/>
    <w:rPr>
      <w:i/>
      <w:iCs/>
    </w:rPr>
  </w:style>
  <w:style w:type="paragraph" w:styleId="NormalIndent">
    <w:name w:val="Normal Indent"/>
    <w:basedOn w:val="Normal"/>
    <w:uiPriority w:val="1"/>
    <w:rsid w:val="00085663"/>
    <w:pPr>
      <w:ind w:left="720"/>
    </w:pPr>
  </w:style>
  <w:style w:type="paragraph" w:styleId="FootnoteText">
    <w:name w:val="footnote text"/>
    <w:aliases w:val="ALTS FOOTNOTE,(NECG) Footnote Text,Footnote text,AR Footnote Text,AR Footnote Text Char Char Char Char Char,ALTS FOOTNOTE Char1,Footnote Text Char1 Char,Footnote Text Char Char Char,Footnote Text Char1 Char Char Char,fn,Footnote Text1,f"/>
    <w:basedOn w:val="Normal"/>
    <w:link w:val="FootnoteTextChar"/>
    <w:qFormat/>
    <w:rsid w:val="00615C6B"/>
    <w:pPr>
      <w:spacing w:before="60"/>
    </w:pPr>
    <w:rPr>
      <w:sz w:val="16"/>
      <w:szCs w:val="20"/>
    </w:rPr>
  </w:style>
  <w:style w:type="character" w:customStyle="1" w:styleId="FootnoteTextChar">
    <w:name w:val="Footnote Text Char"/>
    <w:aliases w:val="ALTS FOOTNOTE Char,(NECG) Footnote Text Char,Footnote text Char,AR Footnote Text Char,AR Footnote Text Char Char Char Char Char Char,ALTS FOOTNOTE Char1 Char,Footnote Text Char1 Char Char,Footnote Text Char Char Char Char,fn Char"/>
    <w:basedOn w:val="DefaultParagraphFont"/>
    <w:link w:val="FootnoteText"/>
    <w:rsid w:val="00615C6B"/>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nhideWhenUsed/>
    <w:rsid w:val="00701CAB"/>
    <w:rPr>
      <w:vertAlign w:val="superscript"/>
    </w:rPr>
  </w:style>
  <w:style w:type="character" w:styleId="Strong">
    <w:name w:val="Strong"/>
    <w:basedOn w:val="DefaultParagraphFont"/>
    <w:uiPriority w:val="22"/>
    <w:qFormat/>
    <w:rsid w:val="00EF5110"/>
    <w:rPr>
      <w:b/>
      <w:bCs/>
    </w:rPr>
  </w:style>
  <w:style w:type="paragraph" w:styleId="Subtitle">
    <w:name w:val="Subtitle"/>
    <w:next w:val="Normal"/>
    <w:link w:val="SubtitleChar"/>
    <w:uiPriority w:val="11"/>
    <w:qFormat/>
    <w:rsid w:val="008344F6"/>
    <w:pPr>
      <w:spacing w:before="360" w:after="120"/>
    </w:pPr>
    <w:rPr>
      <w:rFonts w:ascii="Lucida Fax" w:hAnsi="Lucida Fax"/>
      <w:color w:val="4F2D7F"/>
      <w:sz w:val="52"/>
      <w:szCs w:val="52"/>
    </w:rPr>
  </w:style>
  <w:style w:type="character" w:customStyle="1" w:styleId="SubtitleChar">
    <w:name w:val="Subtitle Char"/>
    <w:basedOn w:val="DefaultParagraphFont"/>
    <w:link w:val="Subtitle"/>
    <w:uiPriority w:val="11"/>
    <w:rsid w:val="008344F6"/>
    <w:rPr>
      <w:rFonts w:ascii="Lucida Fax" w:hAnsi="Lucida Fax"/>
      <w:color w:val="4F2D7F"/>
      <w:sz w:val="52"/>
      <w:szCs w:val="52"/>
    </w:rPr>
  </w:style>
  <w:style w:type="table" w:styleId="LightShading-Accent4">
    <w:name w:val="Light Shading Accent 4"/>
    <w:basedOn w:val="TableNormal"/>
    <w:uiPriority w:val="60"/>
    <w:rsid w:val="00746E01"/>
    <w:pPr>
      <w:spacing w:before="0"/>
    </w:pPr>
    <w:rPr>
      <w:color w:val="4DA5D9" w:themeColor="accent4" w:themeShade="BF"/>
    </w:rPr>
    <w:tblPr>
      <w:tblStyleRowBandSize w:val="1"/>
      <w:tblStyleColBandSize w:val="1"/>
      <w:tblInd w:w="0" w:type="dxa"/>
      <w:tblBorders>
        <w:top w:val="single" w:sz="8" w:space="0" w:color="A0CFEB" w:themeColor="accent4"/>
        <w:bottom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lastRow">
      <w:pPr>
        <w:spacing w:before="0" w:after="0" w:line="240" w:lineRule="auto"/>
      </w:pPr>
      <w:rPr>
        <w:b/>
        <w:bCs/>
      </w:rPr>
      <w:tblPr/>
      <w:tcPr>
        <w:tcBorders>
          <w:top w:val="single" w:sz="8" w:space="0" w:color="A0CFEB" w:themeColor="accent4"/>
          <w:left w:val="nil"/>
          <w:bottom w:val="single" w:sz="8" w:space="0" w:color="A0CFE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3FA" w:themeFill="accent4" w:themeFillTint="3F"/>
      </w:tcPr>
    </w:tblStylePr>
    <w:tblStylePr w:type="band1Horz">
      <w:tblPr/>
      <w:tcPr>
        <w:tcBorders>
          <w:left w:val="nil"/>
          <w:right w:val="nil"/>
          <w:insideH w:val="nil"/>
          <w:insideV w:val="nil"/>
        </w:tcBorders>
        <w:shd w:val="clear" w:color="auto" w:fill="E7F3FA" w:themeFill="accent4" w:themeFillTint="3F"/>
      </w:tcPr>
    </w:tblStylePr>
  </w:style>
  <w:style w:type="table" w:styleId="LightShading-Accent6">
    <w:name w:val="Light Shading Accent 6"/>
    <w:basedOn w:val="TableNormal"/>
    <w:uiPriority w:val="60"/>
    <w:rsid w:val="00746E01"/>
    <w:pPr>
      <w:spacing w:before="0"/>
    </w:pPr>
    <w:rPr>
      <w:color w:val="AD351E" w:themeColor="accent6" w:themeShade="BF"/>
    </w:rPr>
    <w:tblPr>
      <w:tblStyleRowBandSize w:val="1"/>
      <w:tblStyleColBandSize w:val="1"/>
      <w:tblInd w:w="0" w:type="dxa"/>
      <w:tblBorders>
        <w:top w:val="single" w:sz="8" w:space="0" w:color="DC5034" w:themeColor="accent6"/>
        <w:bottom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lastRow">
      <w:pPr>
        <w:spacing w:before="0" w:after="0" w:line="240" w:lineRule="auto"/>
      </w:pPr>
      <w:rPr>
        <w:b/>
        <w:bCs/>
      </w:rPr>
      <w:tblPr/>
      <w:tcPr>
        <w:tcBorders>
          <w:top w:val="single" w:sz="8" w:space="0" w:color="DC5034" w:themeColor="accent6"/>
          <w:left w:val="nil"/>
          <w:bottom w:val="single" w:sz="8" w:space="0" w:color="DC50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3CC" w:themeFill="accent6" w:themeFillTint="3F"/>
      </w:tcPr>
    </w:tblStylePr>
    <w:tblStylePr w:type="band1Horz">
      <w:tblPr/>
      <w:tcPr>
        <w:tcBorders>
          <w:left w:val="nil"/>
          <w:right w:val="nil"/>
          <w:insideH w:val="nil"/>
          <w:insideV w:val="nil"/>
        </w:tcBorders>
        <w:shd w:val="clear" w:color="auto" w:fill="F6D3CC" w:themeFill="accent6" w:themeFillTint="3F"/>
      </w:tcPr>
    </w:tblStylePr>
  </w:style>
  <w:style w:type="paragraph" w:styleId="TOC4">
    <w:name w:val="toc 4"/>
    <w:basedOn w:val="Normal"/>
    <w:next w:val="Normal"/>
    <w:rsid w:val="009F4940"/>
    <w:pPr>
      <w:tabs>
        <w:tab w:val="right" w:leader="dot" w:pos="9016"/>
      </w:tabs>
      <w:spacing w:after="100"/>
      <w:ind w:left="1276"/>
    </w:pPr>
    <w:rPr>
      <w:noProof/>
    </w:rPr>
  </w:style>
  <w:style w:type="paragraph" w:styleId="TOC5">
    <w:name w:val="toc 5"/>
    <w:basedOn w:val="Normal"/>
    <w:next w:val="Normal"/>
    <w:rsid w:val="009F4940"/>
    <w:pPr>
      <w:tabs>
        <w:tab w:val="right" w:leader="dot" w:pos="9016"/>
      </w:tabs>
      <w:spacing w:after="100"/>
      <w:ind w:left="1701"/>
    </w:pPr>
    <w:rPr>
      <w:noProof/>
    </w:rPr>
  </w:style>
  <w:style w:type="paragraph" w:styleId="TOC6">
    <w:name w:val="toc 6"/>
    <w:basedOn w:val="Normal"/>
    <w:next w:val="Normal"/>
    <w:rsid w:val="009F4940"/>
    <w:pPr>
      <w:tabs>
        <w:tab w:val="right" w:leader="dot" w:pos="9016"/>
      </w:tabs>
      <w:spacing w:after="100"/>
      <w:ind w:left="2127"/>
    </w:pPr>
    <w:rPr>
      <w:noProof/>
    </w:rPr>
  </w:style>
  <w:style w:type="paragraph" w:styleId="TOC7">
    <w:name w:val="toc 7"/>
    <w:basedOn w:val="Normal"/>
    <w:next w:val="Normal"/>
    <w:rsid w:val="009F4940"/>
    <w:pPr>
      <w:tabs>
        <w:tab w:val="right" w:leader="dot" w:pos="9016"/>
      </w:tabs>
      <w:spacing w:after="100"/>
      <w:ind w:left="2552"/>
    </w:pPr>
    <w:rPr>
      <w:noProof/>
    </w:rPr>
  </w:style>
  <w:style w:type="paragraph" w:customStyle="1" w:styleId="Numberedlist">
    <w:name w:val="Numbered list"/>
    <w:basedOn w:val="ListNumber"/>
    <w:rsid w:val="008033C4"/>
    <w:pPr>
      <w:numPr>
        <w:numId w:val="1"/>
      </w:numPr>
      <w:ind w:left="357" w:hanging="357"/>
    </w:pPr>
  </w:style>
  <w:style w:type="table" w:customStyle="1" w:styleId="LightShading1">
    <w:name w:val="Light Shading1"/>
    <w:basedOn w:val="TableNormal"/>
    <w:next w:val="LightShading"/>
    <w:uiPriority w:val="60"/>
    <w:rsid w:val="00C53B5A"/>
    <w:pPr>
      <w:spacing w:before="120" w:after="120"/>
    </w:pPr>
    <w:rPr>
      <w:color w:val="000000" w:themeColor="text1" w:themeShade="BF"/>
      <w:sz w:val="20"/>
    </w:rPr>
    <w:tblPr>
      <w:tblInd w:w="0" w:type="dxa"/>
      <w:tblBorders>
        <w:top w:val="single" w:sz="4" w:space="0" w:color="D5D6D2" w:themeColor="background2"/>
        <w:bottom w:val="single" w:sz="4" w:space="0" w:color="D5D6D2" w:themeColor="background2"/>
        <w:insideH w:val="single" w:sz="4" w:space="0" w:color="D5D6D2" w:themeColor="background2"/>
      </w:tblBorders>
      <w:tblCellMar>
        <w:top w:w="0" w:type="dxa"/>
        <w:left w:w="108" w:type="dxa"/>
        <w:bottom w:w="0" w:type="dxa"/>
        <w:right w:w="108" w:type="dxa"/>
      </w:tblCellMar>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00000" w:themeColor="text1"/>
          <w:left w:val="nil"/>
          <w:bottom w:val="single" w:sz="8" w:space="0" w:color="000000"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2D7D" w:themeFill="accent2"/>
      </w:tcPr>
    </w:tblStylePr>
    <w:tblStylePr w:type="lastRow">
      <w:pPr>
        <w:spacing w:before="0" w:after="0" w:line="240" w:lineRule="auto"/>
      </w:pPr>
      <w:rPr>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tcBorders>
      </w:tcPr>
    </w:tblStylePr>
    <w:tblStylePr w:type="firstCol">
      <w:rPr>
        <w:b/>
        <w:bCs/>
      </w:rPr>
    </w:tblStylePr>
    <w:tblStylePr w:type="lastCol">
      <w:rPr>
        <w:b/>
        <w:bCs/>
      </w:r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0CFEB" w:themeFill="accent4"/>
      </w:tcPr>
    </w:tblStylePr>
    <w:tblStylePr w:type="lastRow">
      <w:pPr>
        <w:spacing w:before="0" w:after="0" w:line="240" w:lineRule="auto"/>
      </w:pPr>
      <w:rPr>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tcBorders>
      </w:tcPr>
    </w:tblStylePr>
    <w:tblStylePr w:type="firstCol">
      <w:rPr>
        <w:b/>
        <w:bCs/>
      </w:rPr>
    </w:tblStylePr>
    <w:tblStylePr w:type="lastCol">
      <w:rPr>
        <w:b/>
        <w:bCs/>
      </w:r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Ind w:w="0" w:type="dxa"/>
      <w:tblBorders>
        <w:top w:val="single" w:sz="8" w:space="0" w:color="DC5034" w:themeColor="accent6"/>
        <w:left w:val="single" w:sz="8" w:space="0" w:color="DC5034" w:themeColor="accent6"/>
        <w:bottom w:val="single" w:sz="8" w:space="0" w:color="DC5034" w:themeColor="accent6"/>
        <w:right w:val="single" w:sz="8" w:space="0" w:color="DC503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C5034" w:themeFill="accent6"/>
      </w:tcPr>
    </w:tblStylePr>
    <w:tblStylePr w:type="lastRow">
      <w:pPr>
        <w:spacing w:before="0" w:after="0" w:line="240" w:lineRule="auto"/>
      </w:pPr>
      <w:rPr>
        <w:b/>
        <w:bCs/>
      </w:rPr>
      <w:tblPr/>
      <w:tcPr>
        <w:tcBorders>
          <w:top w:val="double" w:sz="6" w:space="0" w:color="DC5034" w:themeColor="accent6"/>
          <w:left w:val="single" w:sz="8" w:space="0" w:color="DC5034" w:themeColor="accent6"/>
          <w:bottom w:val="single" w:sz="8" w:space="0" w:color="DC5034" w:themeColor="accent6"/>
          <w:right w:val="single" w:sz="8" w:space="0" w:color="DC5034" w:themeColor="accent6"/>
        </w:tcBorders>
      </w:tcPr>
    </w:tblStylePr>
    <w:tblStylePr w:type="firstCol">
      <w:rPr>
        <w:b/>
        <w:bCs/>
      </w:rPr>
    </w:tblStylePr>
    <w:tblStylePr w:type="lastCol">
      <w:rPr>
        <w:b/>
        <w:bCs/>
      </w:rPr>
    </w:tblStylePr>
    <w:tblStylePr w:type="band1Vert">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tblStylePr w:type="band1Horz">
      <w:tblPr/>
      <w:tcPr>
        <w:tcBorders>
          <w:top w:val="single" w:sz="8" w:space="0" w:color="DC5034" w:themeColor="accent6"/>
          <w:left w:val="single" w:sz="8" w:space="0" w:color="DC5034" w:themeColor="accent6"/>
          <w:bottom w:val="single" w:sz="8" w:space="0" w:color="DC5034" w:themeColor="accent6"/>
          <w:right w:val="single" w:sz="8" w:space="0" w:color="DC5034" w:themeColor="accent6"/>
        </w:tcBorders>
      </w:tcPr>
    </w:tblStylePr>
  </w:style>
  <w:style w:type="table" w:styleId="LightGrid">
    <w:name w:val="Light Grid"/>
    <w:basedOn w:val="TableNormal"/>
    <w:uiPriority w:val="62"/>
    <w:rsid w:val="009661DE"/>
    <w:pPr>
      <w:spacing w:before="0"/>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Ind w:w="0" w:type="dxa"/>
      <w:tblBorders>
        <w:top w:val="single" w:sz="8" w:space="0" w:color="51626F" w:themeColor="accent1"/>
        <w:left w:val="single" w:sz="8" w:space="0" w:color="51626F" w:themeColor="accent1"/>
        <w:bottom w:val="single" w:sz="8" w:space="0" w:color="51626F" w:themeColor="accent1"/>
        <w:right w:val="single" w:sz="8" w:space="0" w:color="51626F" w:themeColor="accent1"/>
        <w:insideH w:val="single" w:sz="8" w:space="0" w:color="51626F" w:themeColor="accent1"/>
        <w:insideV w:val="single" w:sz="8" w:space="0" w:color="51626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18" w:space="0" w:color="51626F" w:themeColor="accent1"/>
          <w:right w:val="single" w:sz="8" w:space="0" w:color="51626F" w:themeColor="accent1"/>
          <w:insideH w:val="nil"/>
          <w:insideV w:val="single" w:sz="8" w:space="0" w:color="51626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1626F" w:themeColor="accent1"/>
          <w:left w:val="single" w:sz="8" w:space="0" w:color="51626F" w:themeColor="accent1"/>
          <w:bottom w:val="single" w:sz="8" w:space="0" w:color="51626F" w:themeColor="accent1"/>
          <w:right w:val="single" w:sz="8" w:space="0" w:color="51626F" w:themeColor="accent1"/>
          <w:insideH w:val="nil"/>
          <w:insideV w:val="single" w:sz="8" w:space="0" w:color="51626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tcPr>
    </w:tblStylePr>
    <w:tblStylePr w:type="band1Vert">
      <w:tblPr/>
      <w:tcPr>
        <w:tcBorders>
          <w:top w:val="single" w:sz="8" w:space="0" w:color="51626F" w:themeColor="accent1"/>
          <w:left w:val="single" w:sz="8" w:space="0" w:color="51626F" w:themeColor="accent1"/>
          <w:bottom w:val="single" w:sz="8" w:space="0" w:color="51626F" w:themeColor="accent1"/>
          <w:right w:val="single" w:sz="8" w:space="0" w:color="51626F" w:themeColor="accent1"/>
        </w:tcBorders>
        <w:shd w:val="clear" w:color="auto" w:fill="D1D8DD" w:themeFill="accent1" w:themeFillTint="3F"/>
      </w:tcPr>
    </w:tblStylePr>
    <w:tblStylePr w:type="band1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shd w:val="clear" w:color="auto" w:fill="D1D8DD" w:themeFill="accent1" w:themeFillTint="3F"/>
      </w:tcPr>
    </w:tblStylePr>
    <w:tblStylePr w:type="band2Horz">
      <w:tblPr/>
      <w:tcPr>
        <w:tcBorders>
          <w:top w:val="single" w:sz="8" w:space="0" w:color="51626F" w:themeColor="accent1"/>
          <w:left w:val="single" w:sz="8" w:space="0" w:color="51626F" w:themeColor="accent1"/>
          <w:bottom w:val="single" w:sz="8" w:space="0" w:color="51626F" w:themeColor="accent1"/>
          <w:right w:val="single" w:sz="8" w:space="0" w:color="51626F" w:themeColor="accent1"/>
          <w:insideV w:val="single" w:sz="8" w:space="0" w:color="51626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Ind w:w="0" w:type="dxa"/>
      <w:tblBorders>
        <w:top w:val="single" w:sz="8" w:space="0" w:color="4F2D7D" w:themeColor="accent2"/>
        <w:left w:val="single" w:sz="8" w:space="0" w:color="4F2D7D" w:themeColor="accent2"/>
        <w:bottom w:val="single" w:sz="8" w:space="0" w:color="4F2D7D" w:themeColor="accent2"/>
        <w:right w:val="single" w:sz="8" w:space="0" w:color="4F2D7D" w:themeColor="accent2"/>
        <w:insideH w:val="single" w:sz="8" w:space="0" w:color="4F2D7D" w:themeColor="accent2"/>
        <w:insideV w:val="single" w:sz="8" w:space="0" w:color="4F2D7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18" w:space="0" w:color="4F2D7D" w:themeColor="accent2"/>
          <w:right w:val="single" w:sz="8" w:space="0" w:color="4F2D7D" w:themeColor="accent2"/>
          <w:insideH w:val="nil"/>
          <w:insideV w:val="single" w:sz="8" w:space="0" w:color="4F2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2D7D" w:themeColor="accent2"/>
          <w:left w:val="single" w:sz="8" w:space="0" w:color="4F2D7D" w:themeColor="accent2"/>
          <w:bottom w:val="single" w:sz="8" w:space="0" w:color="4F2D7D" w:themeColor="accent2"/>
          <w:right w:val="single" w:sz="8" w:space="0" w:color="4F2D7D" w:themeColor="accent2"/>
          <w:insideH w:val="nil"/>
          <w:insideV w:val="single" w:sz="8" w:space="0" w:color="4F2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tcPr>
    </w:tblStylePr>
    <w:tblStylePr w:type="band1Vert">
      <w:tblPr/>
      <w:tcPr>
        <w:tcBorders>
          <w:top w:val="single" w:sz="8" w:space="0" w:color="4F2D7D" w:themeColor="accent2"/>
          <w:left w:val="single" w:sz="8" w:space="0" w:color="4F2D7D" w:themeColor="accent2"/>
          <w:bottom w:val="single" w:sz="8" w:space="0" w:color="4F2D7D" w:themeColor="accent2"/>
          <w:right w:val="single" w:sz="8" w:space="0" w:color="4F2D7D" w:themeColor="accent2"/>
        </w:tcBorders>
        <w:shd w:val="clear" w:color="auto" w:fill="D1C1E8" w:themeFill="accent2" w:themeFillTint="3F"/>
      </w:tcPr>
    </w:tblStylePr>
    <w:tblStylePr w:type="band1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shd w:val="clear" w:color="auto" w:fill="D1C1E8" w:themeFill="accent2" w:themeFillTint="3F"/>
      </w:tcPr>
    </w:tblStylePr>
    <w:tblStylePr w:type="band2Horz">
      <w:tblPr/>
      <w:tcPr>
        <w:tcBorders>
          <w:top w:val="single" w:sz="8" w:space="0" w:color="4F2D7D" w:themeColor="accent2"/>
          <w:left w:val="single" w:sz="8" w:space="0" w:color="4F2D7D" w:themeColor="accent2"/>
          <w:bottom w:val="single" w:sz="8" w:space="0" w:color="4F2D7D" w:themeColor="accent2"/>
          <w:right w:val="single" w:sz="8" w:space="0" w:color="4F2D7D" w:themeColor="accent2"/>
          <w:insideV w:val="single" w:sz="8" w:space="0" w:color="4F2D7D"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Ind w:w="0" w:type="dxa"/>
      <w:tblBorders>
        <w:top w:val="single" w:sz="8" w:space="0" w:color="A0CFEB" w:themeColor="accent4"/>
        <w:left w:val="single" w:sz="8" w:space="0" w:color="A0CFEB" w:themeColor="accent4"/>
        <w:bottom w:val="single" w:sz="8" w:space="0" w:color="A0CFEB" w:themeColor="accent4"/>
        <w:right w:val="single" w:sz="8" w:space="0" w:color="A0CFEB" w:themeColor="accent4"/>
        <w:insideH w:val="single" w:sz="8" w:space="0" w:color="A0CFEB" w:themeColor="accent4"/>
        <w:insideV w:val="single" w:sz="8" w:space="0" w:color="A0CFEB"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18" w:space="0" w:color="A0CFEB" w:themeColor="accent4"/>
          <w:right w:val="single" w:sz="8" w:space="0" w:color="A0CFEB" w:themeColor="accent4"/>
          <w:insideH w:val="nil"/>
          <w:insideV w:val="single" w:sz="8" w:space="0" w:color="A0CFE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CFEB" w:themeColor="accent4"/>
          <w:left w:val="single" w:sz="8" w:space="0" w:color="A0CFEB" w:themeColor="accent4"/>
          <w:bottom w:val="single" w:sz="8" w:space="0" w:color="A0CFEB" w:themeColor="accent4"/>
          <w:right w:val="single" w:sz="8" w:space="0" w:color="A0CFEB" w:themeColor="accent4"/>
          <w:insideH w:val="nil"/>
          <w:insideV w:val="single" w:sz="8" w:space="0" w:color="A0CFE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tcPr>
    </w:tblStylePr>
    <w:tblStylePr w:type="band1Vert">
      <w:tblPr/>
      <w:tcPr>
        <w:tcBorders>
          <w:top w:val="single" w:sz="8" w:space="0" w:color="A0CFEB" w:themeColor="accent4"/>
          <w:left w:val="single" w:sz="8" w:space="0" w:color="A0CFEB" w:themeColor="accent4"/>
          <w:bottom w:val="single" w:sz="8" w:space="0" w:color="A0CFEB" w:themeColor="accent4"/>
          <w:right w:val="single" w:sz="8" w:space="0" w:color="A0CFEB" w:themeColor="accent4"/>
        </w:tcBorders>
        <w:shd w:val="clear" w:color="auto" w:fill="E7F3FA" w:themeFill="accent4" w:themeFillTint="3F"/>
      </w:tcPr>
    </w:tblStylePr>
    <w:tblStylePr w:type="band1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shd w:val="clear" w:color="auto" w:fill="E7F3FA" w:themeFill="accent4" w:themeFillTint="3F"/>
      </w:tcPr>
    </w:tblStylePr>
    <w:tblStylePr w:type="band2Horz">
      <w:tblPr/>
      <w:tcPr>
        <w:tcBorders>
          <w:top w:val="single" w:sz="8" w:space="0" w:color="A0CFEB" w:themeColor="accent4"/>
          <w:left w:val="single" w:sz="8" w:space="0" w:color="A0CFEB" w:themeColor="accent4"/>
          <w:bottom w:val="single" w:sz="8" w:space="0" w:color="A0CFEB" w:themeColor="accent4"/>
          <w:right w:val="single" w:sz="8" w:space="0" w:color="A0CFEB" w:themeColor="accent4"/>
          <w:insideV w:val="single" w:sz="8" w:space="0" w:color="A0CFEB"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Ind w:w="0" w:type="dxa"/>
      <w:tblBorders>
        <w:top w:val="single" w:sz="8" w:space="0" w:color="B71202" w:themeColor="accent5"/>
        <w:left w:val="single" w:sz="8" w:space="0" w:color="B71202" w:themeColor="accent5"/>
        <w:bottom w:val="single" w:sz="8" w:space="0" w:color="B71202" w:themeColor="accent5"/>
        <w:right w:val="single" w:sz="8" w:space="0" w:color="B71202" w:themeColor="accent5"/>
        <w:insideH w:val="single" w:sz="8" w:space="0" w:color="B71202" w:themeColor="accent5"/>
        <w:insideV w:val="single" w:sz="8" w:space="0" w:color="B7120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18" w:space="0" w:color="B71202" w:themeColor="accent5"/>
          <w:right w:val="single" w:sz="8" w:space="0" w:color="B71202" w:themeColor="accent5"/>
          <w:insideH w:val="nil"/>
          <w:insideV w:val="single" w:sz="8" w:space="0" w:color="B7120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1202" w:themeColor="accent5"/>
          <w:left w:val="single" w:sz="8" w:space="0" w:color="B71202" w:themeColor="accent5"/>
          <w:bottom w:val="single" w:sz="8" w:space="0" w:color="B71202" w:themeColor="accent5"/>
          <w:right w:val="single" w:sz="8" w:space="0" w:color="B71202" w:themeColor="accent5"/>
          <w:insideH w:val="nil"/>
          <w:insideV w:val="single" w:sz="8" w:space="0" w:color="B7120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tcPr>
    </w:tblStylePr>
    <w:tblStylePr w:type="band1Vert">
      <w:tblPr/>
      <w:tcPr>
        <w:tcBorders>
          <w:top w:val="single" w:sz="8" w:space="0" w:color="B71202" w:themeColor="accent5"/>
          <w:left w:val="single" w:sz="8" w:space="0" w:color="B71202" w:themeColor="accent5"/>
          <w:bottom w:val="single" w:sz="8" w:space="0" w:color="B71202" w:themeColor="accent5"/>
          <w:right w:val="single" w:sz="8" w:space="0" w:color="B71202" w:themeColor="accent5"/>
        </w:tcBorders>
        <w:shd w:val="clear" w:color="auto" w:fill="FEB6AF" w:themeFill="accent5" w:themeFillTint="3F"/>
      </w:tcPr>
    </w:tblStylePr>
    <w:tblStylePr w:type="band1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shd w:val="clear" w:color="auto" w:fill="FEB6AF" w:themeFill="accent5" w:themeFillTint="3F"/>
      </w:tcPr>
    </w:tblStylePr>
    <w:tblStylePr w:type="band2Horz">
      <w:tblPr/>
      <w:tcPr>
        <w:tcBorders>
          <w:top w:val="single" w:sz="8" w:space="0" w:color="B71202" w:themeColor="accent5"/>
          <w:left w:val="single" w:sz="8" w:space="0" w:color="B71202" w:themeColor="accent5"/>
          <w:bottom w:val="single" w:sz="8" w:space="0" w:color="B71202" w:themeColor="accent5"/>
          <w:right w:val="single" w:sz="8" w:space="0" w:color="B71202" w:themeColor="accent5"/>
          <w:insideV w:val="single" w:sz="8" w:space="0" w:color="B71202"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B17A1D"/>
    <w:pPr>
      <w:numPr>
        <w:ilvl w:val="8"/>
        <w:numId w:val="15"/>
      </w:numPr>
      <w:ind w:left="2948" w:hanging="2948"/>
    </w:pPr>
  </w:style>
  <w:style w:type="paragraph" w:styleId="Caption">
    <w:name w:val="caption"/>
    <w:basedOn w:val="Normal"/>
    <w:next w:val="Normal"/>
    <w:unhideWhenUsed/>
    <w:qFormat/>
    <w:rsid w:val="000E2946"/>
    <w:pPr>
      <w:keepNext/>
      <w:spacing w:before="240" w:after="120"/>
    </w:pPr>
    <w:rPr>
      <w:b/>
      <w:bCs/>
      <w:color w:val="2272A3" w:themeColor="accent4" w:themeShade="80"/>
      <w:sz w:val="24"/>
      <w:szCs w:val="18"/>
    </w:rPr>
  </w:style>
  <w:style w:type="paragraph" w:styleId="List">
    <w:name w:val="List"/>
    <w:basedOn w:val="Normal"/>
    <w:uiPriority w:val="99"/>
    <w:unhideWhenUsed/>
    <w:qFormat/>
    <w:rsid w:val="008033C4"/>
    <w:pPr>
      <w:spacing w:before="120"/>
      <w:ind w:left="284" w:hanging="284"/>
    </w:pPr>
  </w:style>
  <w:style w:type="paragraph" w:styleId="List2">
    <w:name w:val="List 2"/>
    <w:basedOn w:val="Normal"/>
    <w:uiPriority w:val="99"/>
    <w:unhideWhenUsed/>
    <w:rsid w:val="008033C4"/>
    <w:pPr>
      <w:spacing w:before="120"/>
      <w:ind w:left="568" w:hanging="284"/>
    </w:pPr>
  </w:style>
  <w:style w:type="paragraph" w:styleId="List3">
    <w:name w:val="List 3"/>
    <w:basedOn w:val="Normal"/>
    <w:uiPriority w:val="99"/>
    <w:unhideWhenUsed/>
    <w:rsid w:val="008033C4"/>
    <w:pPr>
      <w:spacing w:before="120"/>
      <w:ind w:left="851" w:hanging="284"/>
    </w:pPr>
  </w:style>
  <w:style w:type="paragraph" w:styleId="List4">
    <w:name w:val="List 4"/>
    <w:basedOn w:val="Normal"/>
    <w:uiPriority w:val="99"/>
    <w:unhideWhenUsed/>
    <w:rsid w:val="008033C4"/>
    <w:pPr>
      <w:spacing w:before="120"/>
      <w:ind w:left="1135" w:hanging="284"/>
    </w:pPr>
  </w:style>
  <w:style w:type="paragraph" w:styleId="List5">
    <w:name w:val="List 5"/>
    <w:basedOn w:val="Normal"/>
    <w:uiPriority w:val="99"/>
    <w:unhideWhenUsed/>
    <w:rsid w:val="008033C4"/>
    <w:pPr>
      <w:spacing w:before="120"/>
      <w:ind w:left="1418" w:hanging="284"/>
    </w:pPr>
  </w:style>
  <w:style w:type="paragraph" w:styleId="ListBullet3">
    <w:name w:val="List Bullet 3"/>
    <w:basedOn w:val="Normal"/>
    <w:uiPriority w:val="99"/>
    <w:unhideWhenUsed/>
    <w:rsid w:val="008033C4"/>
    <w:pPr>
      <w:numPr>
        <w:numId w:val="4"/>
      </w:numPr>
      <w:spacing w:before="120"/>
      <w:ind w:left="924" w:hanging="357"/>
    </w:pPr>
  </w:style>
  <w:style w:type="paragraph" w:styleId="ListBullet4">
    <w:name w:val="List Bullet 4"/>
    <w:basedOn w:val="Normal"/>
    <w:uiPriority w:val="99"/>
    <w:unhideWhenUsed/>
    <w:rsid w:val="008033C4"/>
    <w:pPr>
      <w:numPr>
        <w:numId w:val="5"/>
      </w:numPr>
      <w:spacing w:before="120"/>
      <w:ind w:left="1208" w:hanging="357"/>
    </w:pPr>
  </w:style>
  <w:style w:type="paragraph" w:styleId="ListBullet5">
    <w:name w:val="List Bullet 5"/>
    <w:basedOn w:val="Normal"/>
    <w:uiPriority w:val="99"/>
    <w:unhideWhenUsed/>
    <w:rsid w:val="008033C4"/>
    <w:pPr>
      <w:numPr>
        <w:numId w:val="6"/>
      </w:numPr>
      <w:spacing w:before="120"/>
      <w:ind w:left="1491" w:hanging="357"/>
    </w:pPr>
  </w:style>
  <w:style w:type="paragraph" w:styleId="ListContinue">
    <w:name w:val="List Continue"/>
    <w:basedOn w:val="Normal"/>
    <w:uiPriority w:val="99"/>
    <w:unhideWhenUsed/>
    <w:qFormat/>
    <w:rsid w:val="0007137B"/>
    <w:pPr>
      <w:spacing w:before="120"/>
      <w:ind w:left="284"/>
    </w:pPr>
  </w:style>
  <w:style w:type="paragraph" w:styleId="ListContinue2">
    <w:name w:val="List Continue 2"/>
    <w:basedOn w:val="Normal"/>
    <w:uiPriority w:val="99"/>
    <w:unhideWhenUsed/>
    <w:rsid w:val="008033C4"/>
    <w:pPr>
      <w:spacing w:before="120"/>
      <w:ind w:left="567"/>
    </w:pPr>
  </w:style>
  <w:style w:type="paragraph" w:styleId="ListContinue3">
    <w:name w:val="List Continue 3"/>
    <w:basedOn w:val="Normal"/>
    <w:uiPriority w:val="99"/>
    <w:unhideWhenUsed/>
    <w:rsid w:val="0007137B"/>
    <w:pPr>
      <w:spacing w:before="120"/>
      <w:ind w:left="851"/>
    </w:pPr>
  </w:style>
  <w:style w:type="paragraph" w:styleId="ListContinue4">
    <w:name w:val="List Continue 4"/>
    <w:basedOn w:val="Normal"/>
    <w:uiPriority w:val="99"/>
    <w:unhideWhenUsed/>
    <w:rsid w:val="008033C4"/>
    <w:pPr>
      <w:spacing w:before="120"/>
      <w:ind w:left="1134"/>
    </w:pPr>
  </w:style>
  <w:style w:type="paragraph" w:styleId="ListNumber3">
    <w:name w:val="List Number 3"/>
    <w:basedOn w:val="Normal"/>
    <w:uiPriority w:val="99"/>
    <w:unhideWhenUsed/>
    <w:rsid w:val="008033C4"/>
    <w:pPr>
      <w:numPr>
        <w:numId w:val="9"/>
      </w:numPr>
      <w:spacing w:before="120"/>
      <w:ind w:left="924" w:hanging="357"/>
    </w:pPr>
  </w:style>
  <w:style w:type="paragraph" w:styleId="ListNumber4">
    <w:name w:val="List Number 4"/>
    <w:basedOn w:val="Normal"/>
    <w:uiPriority w:val="99"/>
    <w:unhideWhenUsed/>
    <w:rsid w:val="008033C4"/>
    <w:pPr>
      <w:numPr>
        <w:numId w:val="10"/>
      </w:numPr>
      <w:spacing w:before="120"/>
      <w:ind w:left="1208" w:hanging="357"/>
    </w:pPr>
  </w:style>
  <w:style w:type="paragraph" w:styleId="ListNumber5">
    <w:name w:val="List Number 5"/>
    <w:basedOn w:val="Normal"/>
    <w:uiPriority w:val="99"/>
    <w:unhideWhenUsed/>
    <w:rsid w:val="008033C4"/>
    <w:pPr>
      <w:numPr>
        <w:numId w:val="11"/>
      </w:numPr>
      <w:spacing w:before="120"/>
      <w:ind w:left="1491" w:hanging="357"/>
    </w:pPr>
  </w:style>
  <w:style w:type="paragraph" w:customStyle="1" w:styleId="TableHeading">
    <w:name w:val="Table Heading"/>
    <w:basedOn w:val="Tabletext"/>
    <w:link w:val="TableHeadingChar"/>
    <w:qFormat/>
    <w:rsid w:val="00957591"/>
    <w:pPr>
      <w:spacing w:before="60"/>
    </w:pPr>
    <w:rPr>
      <w:color w:val="FFFFFF" w:themeColor="background1"/>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214FBA"/>
    <w:pPr>
      <w:jc w:val="center"/>
    </w:pPr>
  </w:style>
  <w:style w:type="paragraph" w:customStyle="1" w:styleId="TableHeading-right">
    <w:name w:val="Table Heading - right"/>
    <w:basedOn w:val="TableHeading"/>
    <w:link w:val="TableHeading-rightChar"/>
    <w:rsid w:val="00584D8F"/>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214FBA"/>
    <w:rPr>
      <w:rFonts w:ascii="Arial" w:hAnsi="Arial"/>
      <w:sz w:val="18"/>
    </w:rPr>
  </w:style>
  <w:style w:type="character" w:customStyle="1" w:styleId="TableHeadingChar">
    <w:name w:val="Table Heading Char"/>
    <w:basedOn w:val="TabletextChar"/>
    <w:link w:val="TableHeading"/>
    <w:rsid w:val="00957591"/>
    <w:rPr>
      <w:rFonts w:ascii="Arial" w:hAnsi="Arial"/>
      <w:color w:val="FFFFFF" w:themeColor="background1"/>
      <w:sz w:val="18"/>
    </w:rPr>
  </w:style>
  <w:style w:type="character" w:customStyle="1" w:styleId="TableHeading-rightChar">
    <w:name w:val="Table Heading - right Char"/>
    <w:basedOn w:val="TableHeadingChar"/>
    <w:link w:val="TableHeading-right"/>
    <w:rsid w:val="00584D8F"/>
    <w:rPr>
      <w:rFonts w:ascii="Arial" w:eastAsia="Times New Roman" w:hAnsi="Arial" w:cs="Times New Roman"/>
      <w:b w:val="0"/>
      <w:bCs/>
      <w:color w:val="FFFFFF" w:themeColor="background1"/>
      <w:sz w:val="20"/>
      <w:szCs w:val="20"/>
    </w:rPr>
  </w:style>
  <w:style w:type="character" w:customStyle="1" w:styleId="Tabletext-centredChar">
    <w:name w:val="Table text - centred Char"/>
    <w:basedOn w:val="Tabletext-rightChar"/>
    <w:link w:val="Tabletext-centred"/>
    <w:rsid w:val="00214FBA"/>
    <w:rPr>
      <w:rFonts w:ascii="Arial" w:eastAsia="Times New Roman" w:hAnsi="Arial" w:cs="Times New Roman"/>
      <w:sz w:val="18"/>
      <w:szCs w:val="20"/>
    </w:rPr>
  </w:style>
  <w:style w:type="paragraph" w:customStyle="1" w:styleId="TableHeading-centred">
    <w:name w:val="Table Heading - centred"/>
    <w:basedOn w:val="TableHeading"/>
    <w:rsid w:val="00584D8F"/>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Ind w:w="0" w:type="dxa"/>
      <w:tblBorders>
        <w:insideV w:val="single" w:sz="4" w:space="0" w:color="D5D6D2" w:themeColor="background2"/>
      </w:tblBorders>
      <w:tblCellMar>
        <w:top w:w="0" w:type="dxa"/>
        <w:left w:w="108" w:type="dxa"/>
        <w:bottom w:w="0" w:type="dxa"/>
        <w:right w:w="108" w:type="dxa"/>
      </w:tblCellMar>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rsid w:val="00263AC0"/>
    <w:rPr>
      <w:vertAlign w:val="superscript"/>
    </w:rPr>
  </w:style>
  <w:style w:type="paragraph" w:customStyle="1" w:styleId="Numberedparagraph11">
    <w:name w:val="Numbered paragraph 1.1"/>
    <w:basedOn w:val="Numbered11"/>
    <w:qFormat/>
    <w:rsid w:val="00063247"/>
    <w:pPr>
      <w:ind w:left="680" w:hanging="680"/>
      <w:outlineLvl w:val="9"/>
    </w:pPr>
    <w:rPr>
      <w:bCs w:val="0"/>
      <w:color w:val="auto"/>
      <w:sz w:val="22"/>
    </w:rPr>
  </w:style>
  <w:style w:type="character" w:customStyle="1" w:styleId="Numbered1Char">
    <w:name w:val="Numbered 1 Char"/>
    <w:basedOn w:val="Heading1Char"/>
    <w:link w:val="Numbered1"/>
    <w:rsid w:val="00085663"/>
    <w:rPr>
      <w:rFonts w:ascii="Lucida Fax" w:eastAsiaTheme="majorEastAsia" w:hAnsi="Lucida Fax" w:cstheme="majorBidi"/>
      <w:bCs/>
      <w:color w:val="51626F"/>
      <w:sz w:val="32"/>
      <w:szCs w:val="28"/>
    </w:rPr>
  </w:style>
  <w:style w:type="paragraph" w:customStyle="1" w:styleId="Numberedparagraph">
    <w:name w:val="Numbered paragraph"/>
    <w:basedOn w:val="Numberedlist"/>
    <w:rsid w:val="00FE64AE"/>
    <w:pPr>
      <w:spacing w:before="200"/>
      <w:ind w:left="680" w:hanging="680"/>
    </w:pPr>
    <w:rPr>
      <w:rFonts w:eastAsia="Times New Roman" w:cs="Times New Roman"/>
      <w:szCs w:val="20"/>
    </w:rPr>
  </w:style>
  <w:style w:type="paragraph" w:customStyle="1" w:styleId="Heading1notnumber">
    <w:name w:val="Heading 1 not number"/>
    <w:basedOn w:val="Heading1"/>
    <w:qFormat/>
    <w:rsid w:val="00275002"/>
    <w:pPr>
      <w:pageBreakBefore/>
      <w:tabs>
        <w:tab w:val="left" w:pos="680"/>
      </w:tabs>
    </w:pPr>
    <w:rPr>
      <w:rFonts w:ascii="Arial" w:hAnsi="Arial"/>
      <w:b/>
      <w:color w:val="70635A"/>
      <w:sz w:val="36"/>
    </w:rPr>
  </w:style>
  <w:style w:type="paragraph" w:customStyle="1" w:styleId="Heading2notnumbered">
    <w:name w:val="Heading 2 not numbered"/>
    <w:basedOn w:val="Heading2"/>
    <w:link w:val="Heading2notnumberedChar"/>
    <w:rsid w:val="00275002"/>
    <w:pPr>
      <w:tabs>
        <w:tab w:val="left" w:pos="680"/>
      </w:tabs>
    </w:pPr>
    <w:rPr>
      <w:rFonts w:eastAsia="Times New Roman" w:cs="Times New Roman"/>
      <w:color w:val="003591" w:themeColor="text2"/>
      <w:sz w:val="32"/>
      <w:szCs w:val="20"/>
    </w:rPr>
  </w:style>
  <w:style w:type="paragraph" w:customStyle="1" w:styleId="Heading3notnumbered">
    <w:name w:val="Heading 3 not numbered"/>
    <w:basedOn w:val="Heading3"/>
    <w:rsid w:val="00275002"/>
    <w:pPr>
      <w:tabs>
        <w:tab w:val="left" w:pos="1021"/>
      </w:tabs>
    </w:pPr>
    <w:rPr>
      <w:rFonts w:eastAsia="Times New Roman" w:cs="Times New Roman"/>
      <w:color w:val="003591" w:themeColor="text2"/>
      <w:sz w:val="28"/>
      <w:szCs w:val="20"/>
    </w:rPr>
  </w:style>
  <w:style w:type="paragraph" w:customStyle="1" w:styleId="Heading4notnumbered">
    <w:name w:val="Heading 4 not numbered"/>
    <w:basedOn w:val="Heading4"/>
    <w:link w:val="Heading4notnumberedChar"/>
    <w:rsid w:val="00275002"/>
    <w:pPr>
      <w:tabs>
        <w:tab w:val="left" w:pos="1021"/>
      </w:tabs>
    </w:pPr>
    <w:rPr>
      <w:rFonts w:eastAsia="Times New Roman" w:cs="Times New Roman"/>
      <w:i w:val="0"/>
      <w:iCs w:val="0"/>
      <w:szCs w:val="20"/>
    </w:rPr>
  </w:style>
  <w:style w:type="paragraph" w:customStyle="1" w:styleId="Heading5notnumbered">
    <w:name w:val="Heading 5 not numbered"/>
    <w:basedOn w:val="Heading5"/>
    <w:rsid w:val="00275002"/>
    <w:pPr>
      <w:tabs>
        <w:tab w:val="left" w:pos="1361"/>
      </w:tabs>
    </w:pPr>
    <w:rPr>
      <w:rFonts w:eastAsia="Times New Roman" w:cs="Times New Roman"/>
      <w:bCs/>
      <w:szCs w:val="20"/>
    </w:rPr>
  </w:style>
  <w:style w:type="paragraph" w:customStyle="1" w:styleId="Heading6notnumbered">
    <w:name w:val="Heading 6 not numbered"/>
    <w:basedOn w:val="Heading6"/>
    <w:rsid w:val="00275002"/>
    <w:pPr>
      <w:tabs>
        <w:tab w:val="left" w:pos="1361"/>
      </w:tabs>
    </w:pPr>
    <w:rPr>
      <w:rFonts w:eastAsia="Times New Roman" w:cs="Times New Roman"/>
      <w:bCs/>
      <w:color w:val="000000" w:themeColor="text1"/>
      <w:szCs w:val="20"/>
    </w:rPr>
  </w:style>
  <w:style w:type="paragraph" w:styleId="Index1">
    <w:name w:val="index 1"/>
    <w:basedOn w:val="Normal"/>
    <w:next w:val="Normal"/>
    <w:autoRedefine/>
    <w:uiPriority w:val="99"/>
    <w:unhideWhenUsed/>
    <w:rsid w:val="00275002"/>
    <w:pPr>
      <w:spacing w:before="0" w:line="240" w:lineRule="auto"/>
      <w:ind w:left="220" w:hanging="220"/>
    </w:pPr>
  </w:style>
  <w:style w:type="paragraph" w:styleId="Index2">
    <w:name w:val="index 2"/>
    <w:basedOn w:val="Normal"/>
    <w:next w:val="Normal"/>
    <w:autoRedefine/>
    <w:uiPriority w:val="99"/>
    <w:unhideWhenUsed/>
    <w:rsid w:val="00275002"/>
    <w:pPr>
      <w:spacing w:before="0" w:line="240" w:lineRule="auto"/>
      <w:ind w:left="440" w:hanging="220"/>
    </w:pPr>
  </w:style>
  <w:style w:type="paragraph" w:customStyle="1" w:styleId="Heading7notnumbered">
    <w:name w:val="Heading 7 not numbered"/>
    <w:basedOn w:val="Heading7"/>
    <w:rsid w:val="00275002"/>
    <w:pPr>
      <w:tabs>
        <w:tab w:val="left" w:pos="1701"/>
      </w:tabs>
    </w:pPr>
    <w:rPr>
      <w:rFonts w:eastAsia="Times New Roman" w:cs="Times New Roman"/>
      <w:color w:val="auto"/>
      <w:szCs w:val="20"/>
    </w:rPr>
  </w:style>
  <w:style w:type="paragraph" w:customStyle="1" w:styleId="Heading8notnumbered">
    <w:name w:val="Heading 8 not numbered"/>
    <w:basedOn w:val="Heading8"/>
    <w:rsid w:val="00275002"/>
    <w:pPr>
      <w:tabs>
        <w:tab w:val="left" w:pos="1701"/>
      </w:tabs>
    </w:pPr>
    <w:rPr>
      <w:rFonts w:eastAsia="Times New Roman" w:cs="Times New Roman"/>
    </w:rPr>
  </w:style>
  <w:style w:type="paragraph" w:styleId="Salutation">
    <w:name w:val="Salutation"/>
    <w:basedOn w:val="Normal"/>
    <w:next w:val="Normal"/>
    <w:link w:val="SalutationChar"/>
    <w:uiPriority w:val="99"/>
    <w:unhideWhenUsed/>
    <w:rsid w:val="00275002"/>
  </w:style>
  <w:style w:type="character" w:customStyle="1" w:styleId="SalutationChar">
    <w:name w:val="Salutation Char"/>
    <w:basedOn w:val="DefaultParagraphFont"/>
    <w:link w:val="Salutation"/>
    <w:uiPriority w:val="99"/>
    <w:rsid w:val="00275002"/>
    <w:rPr>
      <w:rFonts w:ascii="Arial" w:hAnsi="Arial"/>
    </w:rPr>
  </w:style>
  <w:style w:type="paragraph" w:customStyle="1" w:styleId="Heading9notnumbered">
    <w:name w:val="Heading 9 not numbered"/>
    <w:basedOn w:val="Heading9"/>
    <w:rsid w:val="00275002"/>
    <w:pPr>
      <w:tabs>
        <w:tab w:val="left" w:pos="1701"/>
      </w:tabs>
    </w:pPr>
    <w:rPr>
      <w:rFonts w:eastAsia="Times New Roman" w:cs="Times New Roman"/>
      <w:color w:val="auto"/>
    </w:rPr>
  </w:style>
  <w:style w:type="paragraph" w:customStyle="1" w:styleId="Copyright">
    <w:name w:val="Copyright"/>
    <w:basedOn w:val="Normal"/>
    <w:next w:val="Normal"/>
    <w:link w:val="CopyrightChar"/>
    <w:rsid w:val="00275002"/>
    <w:pPr>
      <w:spacing w:line="288" w:lineRule="auto"/>
    </w:pPr>
    <w:rPr>
      <w:sz w:val="20"/>
      <w:szCs w:val="20"/>
    </w:rPr>
  </w:style>
  <w:style w:type="paragraph" w:customStyle="1" w:styleId="ReportTitle0">
    <w:name w:val="Report Title"/>
    <w:basedOn w:val="Normal"/>
    <w:next w:val="Normal"/>
    <w:link w:val="ReportTitleChar0"/>
    <w:rsid w:val="00275002"/>
    <w:pPr>
      <w:tabs>
        <w:tab w:val="center" w:pos="4598"/>
        <w:tab w:val="right" w:pos="9026"/>
      </w:tabs>
      <w:spacing w:before="240"/>
      <w:contextualSpacing/>
      <w:jc w:val="center"/>
    </w:pPr>
    <w:rPr>
      <w:rFonts w:eastAsiaTheme="majorEastAsia" w:cstheme="majorBidi"/>
      <w:b/>
      <w:noProof/>
      <w:color w:val="51626F"/>
      <w:sz w:val="72"/>
      <w:szCs w:val="72"/>
      <w:lang w:eastAsia="en-AU"/>
    </w:rPr>
  </w:style>
  <w:style w:type="numbering" w:customStyle="1" w:styleId="AlphanumericList">
    <w:name w:val="Alphanumeric List"/>
    <w:uiPriority w:val="99"/>
    <w:rsid w:val="00275002"/>
    <w:pPr>
      <w:numPr>
        <w:numId w:val="16"/>
      </w:numPr>
    </w:pPr>
  </w:style>
  <w:style w:type="table" w:customStyle="1" w:styleId="AERTable-Text">
    <w:name w:val="AER Table - Text"/>
    <w:basedOn w:val="TableNormal"/>
    <w:uiPriority w:val="99"/>
    <w:rsid w:val="00A81EF8"/>
    <w:pPr>
      <w:spacing w:before="12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24"/>
        <w14:numSpacing w14:val="tabular"/>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0"/>
    <w:link w:val="ReportDateChar"/>
    <w:rsid w:val="00275002"/>
    <w:rPr>
      <w:b w:val="0"/>
      <w:sz w:val="36"/>
      <w:szCs w:val="36"/>
    </w:rPr>
  </w:style>
  <w:style w:type="paragraph" w:customStyle="1" w:styleId="ReportSubtitle">
    <w:name w:val="Report Subtitle"/>
    <w:basedOn w:val="ReportTitle0"/>
    <w:link w:val="ReportSubtitleChar"/>
    <w:rsid w:val="00275002"/>
    <w:rPr>
      <w:sz w:val="56"/>
      <w:szCs w:val="56"/>
    </w:rPr>
  </w:style>
  <w:style w:type="character" w:customStyle="1" w:styleId="ReportTitleChar0">
    <w:name w:val="Report Title Char"/>
    <w:basedOn w:val="Heading1Char"/>
    <w:link w:val="ReportTitle0"/>
    <w:rsid w:val="00275002"/>
    <w:rPr>
      <w:rFonts w:ascii="Arial" w:eastAsiaTheme="majorEastAsia" w:hAnsi="Arial" w:cstheme="majorBidi"/>
      <w:b/>
      <w:bCs w:val="0"/>
      <w:noProof/>
      <w:color w:val="51626F"/>
      <w:sz w:val="72"/>
      <w:szCs w:val="72"/>
      <w:lang w:eastAsia="en-AU"/>
    </w:rPr>
  </w:style>
  <w:style w:type="character" w:customStyle="1" w:styleId="ReportDateChar">
    <w:name w:val="Report Date Char"/>
    <w:basedOn w:val="ReportTitleChar0"/>
    <w:link w:val="ReportDate"/>
    <w:rsid w:val="00275002"/>
    <w:rPr>
      <w:rFonts w:ascii="Arial" w:eastAsiaTheme="majorEastAsia" w:hAnsi="Arial" w:cstheme="majorBidi"/>
      <w:b w:val="0"/>
      <w:bCs w:val="0"/>
      <w:noProof/>
      <w:color w:val="51626F"/>
      <w:sz w:val="36"/>
      <w:szCs w:val="36"/>
      <w:lang w:eastAsia="en-AU"/>
    </w:rPr>
  </w:style>
  <w:style w:type="character" w:customStyle="1" w:styleId="ReportSubtitleChar">
    <w:name w:val="Report Subtitle Char"/>
    <w:basedOn w:val="ReportTitleChar0"/>
    <w:link w:val="ReportSubtitle"/>
    <w:rsid w:val="00275002"/>
    <w:rPr>
      <w:rFonts w:ascii="Arial" w:eastAsiaTheme="majorEastAsia" w:hAnsi="Arial" w:cstheme="majorBidi"/>
      <w:b/>
      <w:bCs w:val="0"/>
      <w:noProof/>
      <w:color w:val="51626F"/>
      <w:sz w:val="56"/>
      <w:szCs w:val="56"/>
      <w:lang w:eastAsia="en-AU"/>
    </w:rPr>
  </w:style>
  <w:style w:type="character" w:customStyle="1" w:styleId="CopyrightChar">
    <w:name w:val="Copyright Char"/>
    <w:basedOn w:val="DefaultParagraphFont"/>
    <w:link w:val="Copyright"/>
    <w:rsid w:val="00275002"/>
    <w:rPr>
      <w:rFonts w:ascii="Arial" w:hAnsi="Arial"/>
      <w:sz w:val="20"/>
      <w:szCs w:val="20"/>
    </w:rPr>
  </w:style>
  <w:style w:type="paragraph" w:styleId="BodyTextIndent">
    <w:name w:val="Body Text Indent"/>
    <w:basedOn w:val="Normal"/>
    <w:link w:val="BodyTextIndentChar"/>
    <w:uiPriority w:val="99"/>
    <w:semiHidden/>
    <w:unhideWhenUsed/>
    <w:rsid w:val="00275002"/>
    <w:pPr>
      <w:spacing w:after="120"/>
      <w:ind w:left="283"/>
    </w:pPr>
  </w:style>
  <w:style w:type="character" w:customStyle="1" w:styleId="BodyTextIndentChar">
    <w:name w:val="Body Text Indent Char"/>
    <w:basedOn w:val="DefaultParagraphFont"/>
    <w:link w:val="BodyTextIndent"/>
    <w:uiPriority w:val="99"/>
    <w:semiHidden/>
    <w:rsid w:val="00275002"/>
    <w:rPr>
      <w:rFonts w:ascii="Arial" w:hAnsi="Arial"/>
    </w:rPr>
  </w:style>
  <w:style w:type="paragraph" w:styleId="BodyTextFirstIndent2">
    <w:name w:val="Body Text First Indent 2"/>
    <w:basedOn w:val="BodyTextIndent"/>
    <w:link w:val="BodyTextFirstIndent2Char"/>
    <w:uiPriority w:val="99"/>
    <w:unhideWhenUsed/>
    <w:rsid w:val="00275002"/>
    <w:pPr>
      <w:spacing w:after="0"/>
      <w:ind w:left="360" w:firstLine="360"/>
    </w:pPr>
  </w:style>
  <w:style w:type="character" w:customStyle="1" w:styleId="BodyTextFirstIndent2Char">
    <w:name w:val="Body Text First Indent 2 Char"/>
    <w:basedOn w:val="BodyTextIndentChar"/>
    <w:link w:val="BodyTextFirstIndent2"/>
    <w:uiPriority w:val="99"/>
    <w:rsid w:val="00275002"/>
    <w:rPr>
      <w:rFonts w:ascii="Arial" w:hAnsi="Arial"/>
    </w:rPr>
  </w:style>
  <w:style w:type="paragraph" w:styleId="Closing">
    <w:name w:val="Closing"/>
    <w:basedOn w:val="Normal"/>
    <w:link w:val="ClosingChar"/>
    <w:uiPriority w:val="99"/>
    <w:unhideWhenUsed/>
    <w:rsid w:val="00275002"/>
    <w:pPr>
      <w:spacing w:before="0" w:line="240" w:lineRule="auto"/>
      <w:ind w:left="4252"/>
    </w:pPr>
  </w:style>
  <w:style w:type="character" w:customStyle="1" w:styleId="ClosingChar">
    <w:name w:val="Closing Char"/>
    <w:basedOn w:val="DefaultParagraphFont"/>
    <w:link w:val="Closing"/>
    <w:uiPriority w:val="99"/>
    <w:rsid w:val="00275002"/>
    <w:rPr>
      <w:rFonts w:ascii="Arial" w:hAnsi="Arial"/>
    </w:rPr>
  </w:style>
  <w:style w:type="paragraph" w:styleId="BodyText">
    <w:name w:val="Body Text"/>
    <w:basedOn w:val="Normal"/>
    <w:link w:val="BodyTextChar"/>
    <w:uiPriority w:val="99"/>
    <w:semiHidden/>
    <w:unhideWhenUsed/>
    <w:rsid w:val="00275002"/>
    <w:pPr>
      <w:spacing w:after="120"/>
    </w:pPr>
  </w:style>
  <w:style w:type="character" w:customStyle="1" w:styleId="BodyTextChar">
    <w:name w:val="Body Text Char"/>
    <w:basedOn w:val="DefaultParagraphFont"/>
    <w:link w:val="BodyText"/>
    <w:uiPriority w:val="99"/>
    <w:semiHidden/>
    <w:rsid w:val="00275002"/>
    <w:rPr>
      <w:rFonts w:ascii="Arial" w:hAnsi="Arial"/>
    </w:rPr>
  </w:style>
  <w:style w:type="paragraph" w:styleId="BodyTextFirstIndent">
    <w:name w:val="Body Text First Indent"/>
    <w:basedOn w:val="Normal"/>
    <w:link w:val="BodyTextFirstIndentChar"/>
    <w:uiPriority w:val="99"/>
    <w:unhideWhenUsed/>
    <w:rsid w:val="00275002"/>
    <w:pPr>
      <w:ind w:firstLine="360"/>
    </w:pPr>
  </w:style>
  <w:style w:type="character" w:customStyle="1" w:styleId="BodyTextFirstIndentChar">
    <w:name w:val="Body Text First Indent Char"/>
    <w:basedOn w:val="BodyTextChar"/>
    <w:link w:val="BodyTextFirstIndent"/>
    <w:uiPriority w:val="99"/>
    <w:rsid w:val="00275002"/>
    <w:rPr>
      <w:rFonts w:ascii="Arial" w:hAnsi="Arial"/>
    </w:rPr>
  </w:style>
  <w:style w:type="paragraph" w:styleId="BodyText2">
    <w:name w:val="Body Text 2"/>
    <w:basedOn w:val="Normal"/>
    <w:link w:val="BodyText2Char"/>
    <w:uiPriority w:val="99"/>
    <w:unhideWhenUsed/>
    <w:rsid w:val="00275002"/>
    <w:pPr>
      <w:spacing w:after="120" w:line="480" w:lineRule="auto"/>
    </w:pPr>
  </w:style>
  <w:style w:type="character" w:customStyle="1" w:styleId="BodyText2Char">
    <w:name w:val="Body Text 2 Char"/>
    <w:basedOn w:val="DefaultParagraphFont"/>
    <w:link w:val="BodyText2"/>
    <w:uiPriority w:val="99"/>
    <w:rsid w:val="00275002"/>
    <w:rPr>
      <w:rFonts w:ascii="Arial" w:hAnsi="Arial"/>
    </w:rPr>
  </w:style>
  <w:style w:type="paragraph" w:customStyle="1" w:styleId="ListLegal">
    <w:name w:val="List Legal"/>
    <w:basedOn w:val="ListParagraph"/>
    <w:rsid w:val="00275002"/>
    <w:pPr>
      <w:numPr>
        <w:numId w:val="18"/>
      </w:numPr>
      <w:tabs>
        <w:tab w:val="left" w:pos="680"/>
      </w:tabs>
      <w:ind w:left="680" w:hanging="340"/>
    </w:pPr>
  </w:style>
  <w:style w:type="character" w:styleId="CommentReference">
    <w:name w:val="annotation reference"/>
    <w:basedOn w:val="DefaultParagraphFont"/>
    <w:uiPriority w:val="99"/>
    <w:unhideWhenUsed/>
    <w:rsid w:val="00275002"/>
    <w:rPr>
      <w:sz w:val="16"/>
      <w:szCs w:val="16"/>
    </w:rPr>
  </w:style>
  <w:style w:type="paragraph" w:customStyle="1" w:styleId="ListLegal2">
    <w:name w:val="List Legal 2"/>
    <w:basedOn w:val="ListLegal"/>
    <w:rsid w:val="00275002"/>
    <w:pPr>
      <w:tabs>
        <w:tab w:val="clear" w:pos="680"/>
        <w:tab w:val="left" w:pos="1021"/>
      </w:tabs>
      <w:ind w:left="1020"/>
    </w:pPr>
  </w:style>
  <w:style w:type="paragraph" w:customStyle="1" w:styleId="ListLegal3">
    <w:name w:val="List Legal 3"/>
    <w:basedOn w:val="ListNumber3"/>
    <w:rsid w:val="00275002"/>
    <w:pPr>
      <w:numPr>
        <w:numId w:val="19"/>
      </w:numPr>
      <w:tabs>
        <w:tab w:val="left" w:pos="1361"/>
      </w:tabs>
      <w:ind w:left="1361" w:hanging="340"/>
    </w:pPr>
  </w:style>
  <w:style w:type="paragraph" w:customStyle="1" w:styleId="ListLegal4">
    <w:name w:val="List Legal 4"/>
    <w:basedOn w:val="ListLegal3"/>
    <w:rsid w:val="00275002"/>
    <w:pPr>
      <w:tabs>
        <w:tab w:val="clear" w:pos="1361"/>
        <w:tab w:val="left" w:pos="1701"/>
      </w:tabs>
      <w:ind w:left="1701"/>
    </w:pPr>
  </w:style>
  <w:style w:type="paragraph" w:customStyle="1" w:styleId="ListLegal5">
    <w:name w:val="List Legal 5"/>
    <w:basedOn w:val="ListLegal4"/>
    <w:rsid w:val="00275002"/>
    <w:pPr>
      <w:tabs>
        <w:tab w:val="clear" w:pos="1701"/>
        <w:tab w:val="left" w:pos="2041"/>
      </w:tabs>
      <w:ind w:left="2041"/>
    </w:pPr>
  </w:style>
  <w:style w:type="paragraph" w:styleId="Date">
    <w:name w:val="Date"/>
    <w:basedOn w:val="Normal"/>
    <w:next w:val="Normal"/>
    <w:link w:val="DateChar"/>
    <w:uiPriority w:val="99"/>
    <w:unhideWhenUsed/>
    <w:rsid w:val="00275002"/>
  </w:style>
  <w:style w:type="character" w:customStyle="1" w:styleId="DateChar">
    <w:name w:val="Date Char"/>
    <w:basedOn w:val="DefaultParagraphFont"/>
    <w:link w:val="Date"/>
    <w:uiPriority w:val="99"/>
    <w:rsid w:val="00275002"/>
    <w:rPr>
      <w:rFonts w:ascii="Arial" w:hAnsi="Arial"/>
    </w:rPr>
  </w:style>
  <w:style w:type="paragraph" w:styleId="DocumentMap">
    <w:name w:val="Document Map"/>
    <w:basedOn w:val="Normal"/>
    <w:link w:val="DocumentMapChar"/>
    <w:unhideWhenUsed/>
    <w:rsid w:val="00275002"/>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rsid w:val="00275002"/>
    <w:rPr>
      <w:rFonts w:ascii="Tahoma" w:hAnsi="Tahoma" w:cs="Tahoma"/>
      <w:sz w:val="16"/>
      <w:szCs w:val="16"/>
    </w:rPr>
  </w:style>
  <w:style w:type="paragraph" w:styleId="E-mailSignature">
    <w:name w:val="E-mail Signature"/>
    <w:basedOn w:val="Normal"/>
    <w:link w:val="E-mailSignatureChar"/>
    <w:uiPriority w:val="99"/>
    <w:unhideWhenUsed/>
    <w:rsid w:val="00275002"/>
    <w:pPr>
      <w:spacing w:before="0" w:line="240" w:lineRule="auto"/>
    </w:pPr>
  </w:style>
  <w:style w:type="character" w:customStyle="1" w:styleId="E-mailSignatureChar">
    <w:name w:val="E-mail Signature Char"/>
    <w:basedOn w:val="DefaultParagraphFont"/>
    <w:link w:val="E-mailSignature"/>
    <w:uiPriority w:val="99"/>
    <w:rsid w:val="00275002"/>
    <w:rPr>
      <w:rFonts w:ascii="Arial" w:hAnsi="Arial"/>
    </w:rPr>
  </w:style>
  <w:style w:type="paragraph" w:styleId="EnvelopeAddress">
    <w:name w:val="envelope address"/>
    <w:basedOn w:val="Normal"/>
    <w:uiPriority w:val="99"/>
    <w:unhideWhenUsed/>
    <w:rsid w:val="00275002"/>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275002"/>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nhideWhenUsed/>
    <w:rsid w:val="00275002"/>
    <w:rPr>
      <w:color w:val="800080" w:themeColor="followedHyperlink"/>
      <w:u w:val="single"/>
    </w:rPr>
  </w:style>
  <w:style w:type="paragraph" w:styleId="Index3">
    <w:name w:val="index 3"/>
    <w:basedOn w:val="Normal"/>
    <w:next w:val="Normal"/>
    <w:autoRedefine/>
    <w:uiPriority w:val="99"/>
    <w:unhideWhenUsed/>
    <w:rsid w:val="00275002"/>
    <w:pPr>
      <w:spacing w:before="0" w:line="240" w:lineRule="auto"/>
      <w:ind w:left="660" w:hanging="220"/>
    </w:pPr>
  </w:style>
  <w:style w:type="paragraph" w:styleId="Index4">
    <w:name w:val="index 4"/>
    <w:basedOn w:val="Normal"/>
    <w:next w:val="Normal"/>
    <w:autoRedefine/>
    <w:uiPriority w:val="99"/>
    <w:unhideWhenUsed/>
    <w:rsid w:val="00275002"/>
    <w:pPr>
      <w:spacing w:before="0" w:line="240" w:lineRule="auto"/>
      <w:ind w:left="880" w:hanging="220"/>
    </w:pPr>
  </w:style>
  <w:style w:type="paragraph" w:styleId="Index5">
    <w:name w:val="index 5"/>
    <w:basedOn w:val="Normal"/>
    <w:next w:val="Normal"/>
    <w:autoRedefine/>
    <w:uiPriority w:val="99"/>
    <w:unhideWhenUsed/>
    <w:rsid w:val="00275002"/>
    <w:pPr>
      <w:spacing w:before="0" w:line="240" w:lineRule="auto"/>
      <w:ind w:left="1100" w:hanging="220"/>
    </w:pPr>
  </w:style>
  <w:style w:type="paragraph" w:styleId="IndexHeading">
    <w:name w:val="index heading"/>
    <w:basedOn w:val="Normal"/>
    <w:next w:val="Index1"/>
    <w:uiPriority w:val="99"/>
    <w:unhideWhenUsed/>
    <w:rsid w:val="00275002"/>
    <w:rPr>
      <w:rFonts w:asciiTheme="majorHAnsi" w:eastAsiaTheme="majorEastAsia" w:hAnsiTheme="majorHAnsi" w:cstheme="majorBidi"/>
      <w:b/>
      <w:bCs/>
    </w:rPr>
  </w:style>
  <w:style w:type="character" w:styleId="IntenseEmphasis">
    <w:name w:val="Intense Emphasis"/>
    <w:basedOn w:val="DefaultParagraphFont"/>
    <w:uiPriority w:val="21"/>
    <w:unhideWhenUsed/>
    <w:rsid w:val="00275002"/>
    <w:rPr>
      <w:b/>
      <w:bCs/>
      <w:i/>
      <w:iCs/>
      <w:color w:val="51626F" w:themeColor="accent1"/>
    </w:rPr>
  </w:style>
  <w:style w:type="paragraph" w:styleId="IntenseQuote">
    <w:name w:val="Intense Quote"/>
    <w:basedOn w:val="Normal"/>
    <w:next w:val="Normal"/>
    <w:link w:val="IntenseQuoteChar"/>
    <w:uiPriority w:val="30"/>
    <w:unhideWhenUsed/>
    <w:rsid w:val="00275002"/>
    <w:pPr>
      <w:pBdr>
        <w:bottom w:val="single" w:sz="4" w:space="4" w:color="51626F" w:themeColor="accent1"/>
      </w:pBdr>
      <w:spacing w:after="280"/>
      <w:ind w:left="936" w:right="936"/>
    </w:pPr>
    <w:rPr>
      <w:b/>
      <w:bCs/>
      <w:i/>
      <w:iCs/>
      <w:color w:val="51626F" w:themeColor="accent1"/>
    </w:rPr>
  </w:style>
  <w:style w:type="character" w:customStyle="1" w:styleId="IntenseQuoteChar">
    <w:name w:val="Intense Quote Char"/>
    <w:basedOn w:val="DefaultParagraphFont"/>
    <w:link w:val="IntenseQuote"/>
    <w:uiPriority w:val="30"/>
    <w:rsid w:val="00275002"/>
    <w:rPr>
      <w:rFonts w:ascii="Arial" w:hAnsi="Arial"/>
      <w:b/>
      <w:bCs/>
      <w:i/>
      <w:iCs/>
      <w:color w:val="51626F" w:themeColor="accent1"/>
    </w:rPr>
  </w:style>
  <w:style w:type="character" w:styleId="IntenseReference">
    <w:name w:val="Intense Reference"/>
    <w:basedOn w:val="DefaultParagraphFont"/>
    <w:uiPriority w:val="32"/>
    <w:unhideWhenUsed/>
    <w:rsid w:val="00275002"/>
    <w:rPr>
      <w:b/>
      <w:bCs/>
      <w:smallCaps/>
      <w:color w:val="4F2D7D" w:themeColor="accent2"/>
      <w:spacing w:val="5"/>
      <w:u w:val="single"/>
    </w:rPr>
  </w:style>
  <w:style w:type="character" w:styleId="LineNumber">
    <w:name w:val="line number"/>
    <w:basedOn w:val="DefaultParagraphFont"/>
    <w:uiPriority w:val="99"/>
    <w:unhideWhenUsed/>
    <w:rsid w:val="00275002"/>
  </w:style>
  <w:style w:type="paragraph" w:customStyle="1" w:styleId="Listalphabet2">
    <w:name w:val="List alphabet 2"/>
    <w:basedOn w:val="ListNumber2"/>
    <w:rsid w:val="00275002"/>
    <w:pPr>
      <w:numPr>
        <w:numId w:val="17"/>
      </w:numPr>
      <w:tabs>
        <w:tab w:val="left" w:pos="680"/>
      </w:tabs>
      <w:spacing w:line="276" w:lineRule="auto"/>
      <w:ind w:left="680" w:hanging="340"/>
    </w:pPr>
  </w:style>
  <w:style w:type="paragraph" w:customStyle="1" w:styleId="Listalphabet3">
    <w:name w:val="List alphabet 3"/>
    <w:basedOn w:val="Listalphabet2"/>
    <w:rsid w:val="00275002"/>
    <w:pPr>
      <w:tabs>
        <w:tab w:val="clear" w:pos="680"/>
        <w:tab w:val="left" w:pos="1021"/>
      </w:tabs>
      <w:ind w:left="1020"/>
    </w:pPr>
  </w:style>
  <w:style w:type="paragraph" w:customStyle="1" w:styleId="Listalphabet4">
    <w:name w:val="List alphabet 4"/>
    <w:basedOn w:val="Listalphabet3"/>
    <w:rsid w:val="00275002"/>
    <w:pPr>
      <w:tabs>
        <w:tab w:val="clear" w:pos="1021"/>
        <w:tab w:val="left" w:pos="1361"/>
      </w:tabs>
      <w:ind w:left="1361"/>
    </w:pPr>
  </w:style>
  <w:style w:type="paragraph" w:customStyle="1" w:styleId="Listalphabet5">
    <w:name w:val="List alphabet 5"/>
    <w:basedOn w:val="Listalphabet4"/>
    <w:rsid w:val="00275002"/>
    <w:pPr>
      <w:tabs>
        <w:tab w:val="clear" w:pos="1361"/>
        <w:tab w:val="left" w:pos="1701"/>
      </w:tabs>
      <w:ind w:left="1701"/>
    </w:pPr>
  </w:style>
  <w:style w:type="paragraph" w:styleId="ListContinue5">
    <w:name w:val="List Continue 5"/>
    <w:basedOn w:val="Normal"/>
    <w:uiPriority w:val="99"/>
    <w:unhideWhenUsed/>
    <w:rsid w:val="00275002"/>
    <w:pPr>
      <w:tabs>
        <w:tab w:val="left" w:pos="1701"/>
      </w:tabs>
      <w:spacing w:after="120"/>
      <w:ind w:left="1701"/>
      <w:contextualSpacing/>
    </w:pPr>
  </w:style>
  <w:style w:type="paragraph" w:styleId="Signature">
    <w:name w:val="Signature"/>
    <w:basedOn w:val="Normal"/>
    <w:link w:val="SignatureChar"/>
    <w:uiPriority w:val="99"/>
    <w:unhideWhenUsed/>
    <w:rsid w:val="00275002"/>
    <w:pPr>
      <w:spacing w:before="0" w:line="240" w:lineRule="auto"/>
      <w:ind w:left="4252"/>
    </w:pPr>
  </w:style>
  <w:style w:type="character" w:customStyle="1" w:styleId="SignatureChar">
    <w:name w:val="Signature Char"/>
    <w:basedOn w:val="DefaultParagraphFont"/>
    <w:link w:val="Signature"/>
    <w:uiPriority w:val="99"/>
    <w:rsid w:val="00275002"/>
    <w:rPr>
      <w:rFonts w:ascii="Arial" w:hAnsi="Arial"/>
    </w:rPr>
  </w:style>
  <w:style w:type="character" w:styleId="SubtleEmphasis">
    <w:name w:val="Subtle Emphasis"/>
    <w:basedOn w:val="DefaultParagraphFont"/>
    <w:uiPriority w:val="19"/>
    <w:unhideWhenUsed/>
    <w:rsid w:val="00275002"/>
    <w:rPr>
      <w:b/>
      <w:i/>
      <w:iCs/>
      <w:color w:val="51626F" w:themeColor="accent1"/>
    </w:rPr>
  </w:style>
  <w:style w:type="character" w:styleId="SubtleReference">
    <w:name w:val="Subtle Reference"/>
    <w:basedOn w:val="DefaultParagraphFont"/>
    <w:uiPriority w:val="31"/>
    <w:unhideWhenUsed/>
    <w:rsid w:val="00275002"/>
    <w:rPr>
      <w:smallCaps/>
      <w:color w:val="4F2D7D" w:themeColor="accent2"/>
      <w:u w:val="single"/>
    </w:rPr>
  </w:style>
  <w:style w:type="paragraph" w:customStyle="1" w:styleId="Quotes">
    <w:name w:val="Quotes"/>
    <w:basedOn w:val="Normal"/>
    <w:rsid w:val="00275002"/>
    <w:pPr>
      <w:spacing w:before="120" w:after="120" w:line="240" w:lineRule="auto"/>
      <w:ind w:left="567" w:right="793"/>
    </w:pPr>
    <w:rPr>
      <w:rFonts w:eastAsia="Times New Roman" w:cs="Times New Roman"/>
      <w:sz w:val="20"/>
      <w:szCs w:val="20"/>
      <w:lang w:eastAsia="en-AU"/>
    </w:rPr>
  </w:style>
  <w:style w:type="character" w:styleId="PageNumber">
    <w:name w:val="page number"/>
    <w:basedOn w:val="DefaultParagraphFont"/>
    <w:rsid w:val="00275002"/>
  </w:style>
  <w:style w:type="character" w:styleId="PlaceholderText">
    <w:name w:val="Placeholder Text"/>
    <w:basedOn w:val="DefaultParagraphFont"/>
    <w:uiPriority w:val="99"/>
    <w:semiHidden/>
    <w:rsid w:val="00275002"/>
    <w:rPr>
      <w:color w:val="808080"/>
    </w:rPr>
  </w:style>
  <w:style w:type="paragraph" w:customStyle="1" w:styleId="StyleCopyrightBefore0pt">
    <w:name w:val="Style Copyright + Before:  0 pt"/>
    <w:basedOn w:val="Copyright"/>
    <w:rsid w:val="00275002"/>
    <w:pPr>
      <w:spacing w:before="120"/>
    </w:pPr>
    <w:rPr>
      <w:rFonts w:eastAsia="Times New Roman" w:cs="Times New Roman"/>
    </w:rPr>
  </w:style>
  <w:style w:type="character" w:customStyle="1" w:styleId="Bold">
    <w:name w:val="Bold"/>
    <w:basedOn w:val="DefaultParagraphFont"/>
    <w:rsid w:val="00275002"/>
    <w:rPr>
      <w:b/>
      <w:bCs/>
    </w:rPr>
  </w:style>
  <w:style w:type="paragraph" w:customStyle="1" w:styleId="LegalNumbering">
    <w:name w:val="Legal Numbering"/>
    <w:basedOn w:val="Normal"/>
    <w:rsid w:val="00275002"/>
    <w:pPr>
      <w:numPr>
        <w:numId w:val="20"/>
      </w:numPr>
      <w:tabs>
        <w:tab w:val="left" w:pos="680"/>
        <w:tab w:val="left" w:pos="1021"/>
        <w:tab w:val="left" w:pos="1361"/>
      </w:tabs>
      <w:spacing w:line="240" w:lineRule="auto"/>
    </w:pPr>
  </w:style>
  <w:style w:type="character" w:customStyle="1" w:styleId="AERtextsize8">
    <w:name w:val="AER text size 8"/>
    <w:basedOn w:val="DefaultParagraphFont"/>
    <w:uiPriority w:val="1"/>
    <w:qFormat/>
    <w:rsid w:val="00275002"/>
    <w:rPr>
      <w:rFonts w:ascii="Arial" w:hAnsi="Arial"/>
      <w:color w:val="auto"/>
      <w:sz w:val="16"/>
    </w:rPr>
  </w:style>
  <w:style w:type="paragraph" w:customStyle="1" w:styleId="NumberedChapterTitle">
    <w:name w:val="Numbered Chapter Title"/>
    <w:basedOn w:val="Chaptertitle"/>
    <w:qFormat/>
    <w:rsid w:val="00275002"/>
    <w:pPr>
      <w:pageBreakBefore/>
      <w:numPr>
        <w:numId w:val="21"/>
      </w:numPr>
      <w:tabs>
        <w:tab w:val="left" w:pos="680"/>
      </w:tabs>
      <w:ind w:left="680" w:hanging="680"/>
      <w:outlineLvl w:val="0"/>
    </w:pPr>
    <w:rPr>
      <w:rFonts w:ascii="Arial" w:hAnsi="Arial"/>
      <w:color w:val="000000" w:themeColor="text1"/>
    </w:rPr>
  </w:style>
  <w:style w:type="paragraph" w:styleId="Revision">
    <w:name w:val="Revision"/>
    <w:hidden/>
    <w:uiPriority w:val="99"/>
    <w:semiHidden/>
    <w:rsid w:val="00275002"/>
    <w:pPr>
      <w:spacing w:before="0"/>
    </w:pPr>
    <w:rPr>
      <w:rFonts w:ascii="Arial" w:hAnsi="Arial"/>
    </w:rPr>
  </w:style>
  <w:style w:type="paragraph" w:styleId="CommentText">
    <w:name w:val="annotation text"/>
    <w:basedOn w:val="Normal"/>
    <w:link w:val="CommentTextChar"/>
    <w:uiPriority w:val="99"/>
    <w:unhideWhenUsed/>
    <w:rsid w:val="00275002"/>
    <w:pPr>
      <w:spacing w:line="240" w:lineRule="auto"/>
    </w:pPr>
    <w:rPr>
      <w:sz w:val="20"/>
      <w:szCs w:val="20"/>
    </w:rPr>
  </w:style>
  <w:style w:type="character" w:customStyle="1" w:styleId="CommentTextChar">
    <w:name w:val="Comment Text Char"/>
    <w:basedOn w:val="DefaultParagraphFont"/>
    <w:link w:val="CommentText"/>
    <w:uiPriority w:val="99"/>
    <w:rsid w:val="00275002"/>
    <w:rPr>
      <w:rFonts w:ascii="Arial" w:hAnsi="Arial"/>
      <w:sz w:val="20"/>
      <w:szCs w:val="20"/>
    </w:rPr>
  </w:style>
  <w:style w:type="paragraph" w:styleId="CommentSubject">
    <w:name w:val="annotation subject"/>
    <w:basedOn w:val="Normal"/>
    <w:link w:val="CommentSubjectChar"/>
    <w:semiHidden/>
    <w:rsid w:val="00275002"/>
    <w:pPr>
      <w:spacing w:before="0" w:line="288" w:lineRule="auto"/>
      <w:jc w:val="both"/>
    </w:pPr>
    <w:rPr>
      <w:rFonts w:ascii="Gautami" w:eastAsia="Times New Roman" w:hAnsi="Gautami" w:cs="Times New Roman"/>
      <w:b/>
      <w:bCs/>
      <w:sz w:val="20"/>
      <w:szCs w:val="24"/>
      <w:lang w:eastAsia="en-AU"/>
    </w:rPr>
  </w:style>
  <w:style w:type="character" w:customStyle="1" w:styleId="CommentSubjectChar">
    <w:name w:val="Comment Subject Char"/>
    <w:basedOn w:val="CommentTextChar"/>
    <w:link w:val="CommentSubject"/>
    <w:semiHidden/>
    <w:rsid w:val="00275002"/>
    <w:rPr>
      <w:rFonts w:ascii="Gautami" w:eastAsia="Times New Roman" w:hAnsi="Gautami" w:cs="Times New Roman"/>
      <w:b/>
      <w:bCs/>
      <w:sz w:val="20"/>
      <w:szCs w:val="24"/>
      <w:lang w:eastAsia="en-AU"/>
    </w:rPr>
  </w:style>
  <w:style w:type="numbering" w:styleId="1ai">
    <w:name w:val="Outline List 1"/>
    <w:aliases w:val="AER Numbered List"/>
    <w:basedOn w:val="NoList"/>
    <w:rsid w:val="00275002"/>
    <w:pPr>
      <w:numPr>
        <w:numId w:val="22"/>
      </w:numPr>
    </w:pPr>
  </w:style>
  <w:style w:type="table" w:styleId="TableClassic2">
    <w:name w:val="Table Classic 2"/>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275002"/>
    <w:pPr>
      <w:spacing w:before="0"/>
    </w:pPr>
    <w:rPr>
      <w:rFonts w:ascii="Times" w:eastAsia="Times New Roman" w:hAnsi="Times" w:cs="Times New Roman"/>
      <w:sz w:val="20"/>
      <w:szCs w:val="20"/>
      <w:lang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lassic1">
    <w:name w:val="Table Classic 1"/>
    <w:basedOn w:val="TableNormal"/>
    <w:rsid w:val="00275002"/>
    <w:pPr>
      <w:spacing w:before="0"/>
    </w:pPr>
    <w:rPr>
      <w:rFonts w:ascii="Times" w:eastAsia="Times New Roman" w:hAnsi="Times" w:cs="Times New Roman"/>
      <w:sz w:val="20"/>
      <w:szCs w:val="20"/>
      <w:lang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75002"/>
    <w:pPr>
      <w:spacing w:before="0"/>
    </w:pPr>
    <w:rPr>
      <w:rFonts w:ascii="Calibri" w:eastAsia="Times New Roman" w:hAnsi="Calibri" w:cs="Times New Roman"/>
      <w:sz w:val="20"/>
      <w:szCs w:val="20"/>
      <w:lang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rFonts w:ascii="Calibri" w:hAnsi="Calibri"/>
        <w:b/>
        <w:bCs/>
        <w:color w:val="000000"/>
        <w:sz w:val="20"/>
      </w:r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MediumShading2-Accent5">
    <w:name w:val="Medium Shading 2 Accent 5"/>
    <w:basedOn w:val="TableNormal"/>
    <w:uiPriority w:val="64"/>
    <w:rsid w:val="00275002"/>
    <w:pPr>
      <w:spacing w:before="0"/>
    </w:pPr>
    <w:rPr>
      <w:rFonts w:ascii="Calibri" w:eastAsia="Calibri" w:hAnsi="Calibri" w:cs="Times New Roman"/>
      <w:sz w:val="20"/>
      <w:szCs w:val="20"/>
      <w:lang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unhideWhenUsed/>
    <w:rsid w:val="0027500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ERHeading1">
    <w:name w:val="AER Heading 1"/>
    <w:basedOn w:val="Heading2notnumbered"/>
    <w:link w:val="AERHeading1Char"/>
    <w:qFormat/>
    <w:rsid w:val="000E2946"/>
    <w:rPr>
      <w:color w:val="2272A3" w:themeColor="accent4" w:themeShade="80"/>
    </w:rPr>
  </w:style>
  <w:style w:type="paragraph" w:customStyle="1" w:styleId="AERHeading3">
    <w:name w:val="AER Heading 3"/>
    <w:basedOn w:val="Heading4notnumbered"/>
    <w:link w:val="AERHeading3Char"/>
    <w:qFormat/>
    <w:rsid w:val="00914A87"/>
  </w:style>
  <w:style w:type="character" w:customStyle="1" w:styleId="Heading2notnumberedChar">
    <w:name w:val="Heading 2 not numbered Char"/>
    <w:basedOn w:val="Heading2Char"/>
    <w:link w:val="Heading2notnumbered"/>
    <w:rsid w:val="000E2946"/>
    <w:rPr>
      <w:rFonts w:ascii="Arial" w:eastAsia="Times New Roman" w:hAnsi="Arial" w:cs="Times New Roman"/>
      <w:b/>
      <w:bCs/>
      <w:color w:val="003591" w:themeColor="text2"/>
      <w:sz w:val="32"/>
      <w:szCs w:val="20"/>
    </w:rPr>
  </w:style>
  <w:style w:type="character" w:customStyle="1" w:styleId="AERHeading1Char">
    <w:name w:val="AER Heading 1 Char"/>
    <w:basedOn w:val="Heading2notnumberedChar"/>
    <w:link w:val="AERHeading1"/>
    <w:rsid w:val="000E2946"/>
    <w:rPr>
      <w:rFonts w:ascii="Arial" w:eastAsia="Times New Roman" w:hAnsi="Arial" w:cs="Times New Roman"/>
      <w:b/>
      <w:bCs/>
      <w:color w:val="2272A3" w:themeColor="accent4" w:themeShade="80"/>
      <w:sz w:val="32"/>
      <w:szCs w:val="20"/>
    </w:rPr>
  </w:style>
  <w:style w:type="paragraph" w:customStyle="1" w:styleId="Tablesumline">
    <w:name w:val="Table sum line"/>
    <w:basedOn w:val="Normal"/>
    <w:link w:val="TablesumlineChar"/>
    <w:qFormat/>
    <w:rsid w:val="00FD72DC"/>
    <w:pPr>
      <w:spacing w:before="120" w:after="120"/>
    </w:pPr>
    <w:rPr>
      <w:b/>
      <w:sz w:val="20"/>
    </w:rPr>
  </w:style>
  <w:style w:type="character" w:customStyle="1" w:styleId="Heading4notnumberedChar">
    <w:name w:val="Heading 4 not numbered Char"/>
    <w:basedOn w:val="Heading4Char"/>
    <w:link w:val="Heading4notnumbered"/>
    <w:rsid w:val="00914A87"/>
    <w:rPr>
      <w:rFonts w:ascii="Arial" w:eastAsia="Times New Roman" w:hAnsi="Arial" w:cs="Times New Roman"/>
      <w:b/>
      <w:bCs/>
      <w:i w:val="0"/>
      <w:iCs w:val="0"/>
      <w:color w:val="51626F"/>
      <w:sz w:val="24"/>
      <w:szCs w:val="20"/>
    </w:rPr>
  </w:style>
  <w:style w:type="character" w:customStyle="1" w:styleId="AERHeading3Char">
    <w:name w:val="AER Heading 3 Char"/>
    <w:basedOn w:val="Heading4notnumberedChar"/>
    <w:link w:val="AERHeading3"/>
    <w:rsid w:val="00914A87"/>
    <w:rPr>
      <w:rFonts w:ascii="Arial" w:eastAsia="Times New Roman" w:hAnsi="Arial" w:cs="Times New Roman"/>
      <w:b/>
      <w:bCs/>
      <w:i w:val="0"/>
      <w:iCs w:val="0"/>
      <w:color w:val="51626F"/>
      <w:sz w:val="24"/>
      <w:szCs w:val="20"/>
    </w:rPr>
  </w:style>
  <w:style w:type="table" w:customStyle="1" w:styleId="AERsummarytable">
    <w:name w:val="AER summary table"/>
    <w:basedOn w:val="AERTable-Text"/>
    <w:uiPriority w:val="99"/>
    <w:rsid w:val="00FD72DC"/>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TablesumlineChar">
    <w:name w:val="Table sum line Char"/>
    <w:basedOn w:val="DefaultParagraphFont"/>
    <w:link w:val="Tablesumline"/>
    <w:rsid w:val="00FD72DC"/>
    <w:rPr>
      <w:rFonts w:ascii="Arial" w:hAnsi="Arial"/>
      <w:b/>
      <w:sz w:val="20"/>
    </w:rPr>
  </w:style>
  <w:style w:type="table" w:customStyle="1" w:styleId="Style1">
    <w:name w:val="Style1"/>
    <w:basedOn w:val="TableNormal"/>
    <w:uiPriority w:val="99"/>
    <w:rsid w:val="00A81EF8"/>
    <w:pPr>
      <w:spacing w:before="0"/>
    </w:pPr>
    <w:tblPr>
      <w:tblInd w:w="0" w:type="dxa"/>
      <w:tblCellMar>
        <w:top w:w="0" w:type="dxa"/>
        <w:left w:w="108" w:type="dxa"/>
        <w:bottom w:w="0" w:type="dxa"/>
        <w:right w:w="108" w:type="dxa"/>
      </w:tblCellMar>
    </w:tblPr>
    <w:tblStylePr w:type="firstRow">
      <w:rPr>
        <w:rFonts w:ascii="Arial" w:hAnsi="Arial"/>
        <w:color w:val="FFFFFF" w:themeColor="background1"/>
        <w:sz w:val="18"/>
      </w:rPr>
      <w:tblPr/>
      <w:tcPr>
        <w:shd w:val="clear" w:color="auto" w:fill="2272A3" w:themeFill="accent4" w:themeFillShade="80"/>
      </w:tcPr>
    </w:tblStylePr>
  </w:style>
  <w:style w:type="paragraph" w:customStyle="1" w:styleId="tableheadingline2">
    <w:name w:val="table heading line 2"/>
    <w:basedOn w:val="Normal"/>
    <w:link w:val="tableheadingline2Char"/>
    <w:qFormat/>
    <w:rsid w:val="00FA3830"/>
    <w:pPr>
      <w:spacing w:before="0" w:after="120"/>
      <w:jc w:val="center"/>
    </w:pPr>
    <w:rPr>
      <w:b/>
      <w:sz w:val="18"/>
      <w14:numSpacing w14:val="tabular"/>
    </w:rPr>
  </w:style>
  <w:style w:type="character" w:customStyle="1" w:styleId="tableheadingline2Char">
    <w:name w:val="table heading line 2 Char"/>
    <w:basedOn w:val="DefaultParagraphFont"/>
    <w:link w:val="tableheadingline2"/>
    <w:rsid w:val="00FA3830"/>
    <w:rPr>
      <w:rFonts w:ascii="Arial" w:hAnsi="Arial"/>
      <w:b/>
      <w:sz w:val="18"/>
      <w14:numSpacing w14:val="tabular"/>
    </w:rPr>
  </w:style>
  <w:style w:type="paragraph" w:customStyle="1" w:styleId="AERbodytext">
    <w:name w:val="AER body text"/>
    <w:link w:val="AERbodytextChar"/>
    <w:qFormat/>
    <w:rsid w:val="001778E3"/>
    <w:pPr>
      <w:spacing w:before="120" w:after="120" w:line="288" w:lineRule="auto"/>
      <w:jc w:val="both"/>
    </w:pPr>
    <w:rPr>
      <w:rFonts w:ascii="Arial" w:eastAsia="Times New Roman" w:hAnsi="Arial" w:cs="Arial"/>
      <w:bCs/>
      <w:lang w:eastAsia="en-AU"/>
    </w:rPr>
  </w:style>
  <w:style w:type="character" w:customStyle="1" w:styleId="AERbodytextChar">
    <w:name w:val="AER body text Char"/>
    <w:basedOn w:val="DefaultParagraphFont"/>
    <w:link w:val="AERbodytext"/>
    <w:rsid w:val="001778E3"/>
    <w:rPr>
      <w:rFonts w:ascii="Arial" w:eastAsia="Times New Roman" w:hAnsi="Arial" w:cs="Arial"/>
      <w:bCs/>
      <w:lang w:eastAsia="en-AU"/>
    </w:rPr>
  </w:style>
  <w:style w:type="paragraph" w:customStyle="1" w:styleId="tablenormal0">
    <w:name w:val="table normal"/>
    <w:basedOn w:val="Normal"/>
    <w:link w:val="tablenormalChar"/>
    <w:qFormat/>
    <w:rsid w:val="005D2FBD"/>
    <w:pPr>
      <w:spacing w:before="120" w:after="120"/>
    </w:pPr>
    <w:rPr>
      <w:rFonts w:cs="Arial"/>
      <w:sz w:val="18"/>
    </w:rPr>
  </w:style>
  <w:style w:type="character" w:customStyle="1" w:styleId="tablenormalChar">
    <w:name w:val="table normal Char"/>
    <w:basedOn w:val="DefaultParagraphFont"/>
    <w:link w:val="tablenormal0"/>
    <w:rsid w:val="005D2FBD"/>
    <w:rPr>
      <w:rFonts w:ascii="Arial" w:hAnsi="Arial" w:cs="Arial"/>
      <w:sz w:val="18"/>
    </w:rPr>
  </w:style>
  <w:style w:type="table" w:customStyle="1" w:styleId="AERsummarytable1">
    <w:name w:val="AER summary table1"/>
    <w:basedOn w:val="AERTable-Text"/>
    <w:uiPriority w:val="99"/>
    <w:rsid w:val="00784A7E"/>
    <w:pPr>
      <w:spacing w:before="0"/>
    </w:p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table" w:customStyle="1" w:styleId="AERsummarytable2">
    <w:name w:val="AER summary table2"/>
    <w:basedOn w:val="TableNormal"/>
    <w:uiPriority w:val="99"/>
    <w:rsid w:val="002D1734"/>
    <w:pPr>
      <w:spacing w:before="0" w:after="120"/>
    </w:pPr>
    <w:rPr>
      <w:rFonts w:ascii="Arial" w:hAnsi="Arial"/>
      <w:sz w:val="18"/>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spacing w:beforeLines="0" w:before="240" w:beforeAutospacing="0" w:afterLines="0" w:after="120" w:afterAutospacing="0"/>
      </w:pPr>
      <w:rPr>
        <w:rFonts w:ascii="Arial" w:hAnsi="Arial"/>
        <w:b/>
        <w:color w:val="FFFFFF" w:themeColor="background1"/>
        <w:sz w:val="18"/>
        <w14:numSpacing w14:val="tabular"/>
      </w:rPr>
      <w:tblPr/>
      <w:tcPr>
        <w:shd w:val="clear" w:color="auto" w:fill="076A92"/>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band1Horz">
      <w:rPr>
        <w:rFonts w:ascii="Arial" w:hAnsi="Arial"/>
        <w:sz w:val="18"/>
      </w:rPr>
    </w:tblStylePr>
    <w:tblStylePr w:type="band2Horz">
      <w:rPr>
        <w:rFonts w:ascii="Arial" w:hAnsi="Arial"/>
        <w:sz w:val="18"/>
      </w:rPr>
      <w:tblPr/>
      <w:tcPr>
        <w:shd w:val="clear" w:color="auto" w:fill="DBE5F1"/>
      </w:tcPr>
    </w:tblStylePr>
  </w:style>
  <w:style w:type="character" w:customStyle="1" w:styleId="a531">
    <w:name w:val="a5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571">
    <w:name w:val="a5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691">
    <w:name w:val="a69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31">
    <w:name w:val="a73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a771">
    <w:name w:val="a771"/>
    <w:basedOn w:val="DefaultParagraphFont"/>
    <w:rsid w:val="003153EB"/>
    <w:rPr>
      <w:rFonts w:ascii="Arial" w:hAnsi="Arial" w:cs="Arial" w:hint="default"/>
      <w:b w:val="0"/>
      <w:bCs w:val="0"/>
      <w:i w:val="0"/>
      <w:iCs w:val="0"/>
      <w:strike w:val="0"/>
      <w:dstrike w:val="0"/>
      <w:color w:val="FFFFFF"/>
      <w:sz w:val="18"/>
      <w:szCs w:val="18"/>
      <w:u w:val="none"/>
      <w:effect w:val="none"/>
    </w:rPr>
  </w:style>
  <w:style w:type="character" w:customStyle="1" w:styleId="displayonly">
    <w:name w:val="display_only"/>
    <w:basedOn w:val="DefaultParagraphFont"/>
    <w:rsid w:val="00091F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484">
      <w:bodyDiv w:val="1"/>
      <w:marLeft w:val="0"/>
      <w:marRight w:val="0"/>
      <w:marTop w:val="0"/>
      <w:marBottom w:val="0"/>
      <w:divBdr>
        <w:top w:val="none" w:sz="0" w:space="0" w:color="auto"/>
        <w:left w:val="none" w:sz="0" w:space="0" w:color="auto"/>
        <w:bottom w:val="none" w:sz="0" w:space="0" w:color="auto"/>
        <w:right w:val="none" w:sz="0" w:space="0" w:color="auto"/>
      </w:divBdr>
    </w:div>
    <w:div w:id="300615641">
      <w:bodyDiv w:val="1"/>
      <w:marLeft w:val="0"/>
      <w:marRight w:val="0"/>
      <w:marTop w:val="0"/>
      <w:marBottom w:val="0"/>
      <w:divBdr>
        <w:top w:val="none" w:sz="0" w:space="0" w:color="auto"/>
        <w:left w:val="none" w:sz="0" w:space="0" w:color="auto"/>
        <w:bottom w:val="none" w:sz="0" w:space="0" w:color="auto"/>
        <w:right w:val="none" w:sz="0" w:space="0" w:color="auto"/>
      </w:divBdr>
    </w:div>
    <w:div w:id="326597061">
      <w:bodyDiv w:val="1"/>
      <w:marLeft w:val="0"/>
      <w:marRight w:val="0"/>
      <w:marTop w:val="0"/>
      <w:marBottom w:val="0"/>
      <w:divBdr>
        <w:top w:val="none" w:sz="0" w:space="0" w:color="auto"/>
        <w:left w:val="none" w:sz="0" w:space="0" w:color="auto"/>
        <w:bottom w:val="none" w:sz="0" w:space="0" w:color="auto"/>
        <w:right w:val="none" w:sz="0" w:space="0" w:color="auto"/>
      </w:divBdr>
    </w:div>
    <w:div w:id="361899807">
      <w:bodyDiv w:val="1"/>
      <w:marLeft w:val="0"/>
      <w:marRight w:val="0"/>
      <w:marTop w:val="0"/>
      <w:marBottom w:val="0"/>
      <w:divBdr>
        <w:top w:val="none" w:sz="0" w:space="0" w:color="auto"/>
        <w:left w:val="none" w:sz="0" w:space="0" w:color="auto"/>
        <w:bottom w:val="none" w:sz="0" w:space="0" w:color="auto"/>
        <w:right w:val="none" w:sz="0" w:space="0" w:color="auto"/>
      </w:divBdr>
    </w:div>
    <w:div w:id="368650552">
      <w:bodyDiv w:val="1"/>
      <w:marLeft w:val="0"/>
      <w:marRight w:val="0"/>
      <w:marTop w:val="0"/>
      <w:marBottom w:val="0"/>
      <w:divBdr>
        <w:top w:val="none" w:sz="0" w:space="0" w:color="auto"/>
        <w:left w:val="none" w:sz="0" w:space="0" w:color="auto"/>
        <w:bottom w:val="none" w:sz="0" w:space="0" w:color="auto"/>
        <w:right w:val="none" w:sz="0" w:space="0" w:color="auto"/>
      </w:divBdr>
    </w:div>
    <w:div w:id="370884515">
      <w:bodyDiv w:val="1"/>
      <w:marLeft w:val="0"/>
      <w:marRight w:val="0"/>
      <w:marTop w:val="0"/>
      <w:marBottom w:val="0"/>
      <w:divBdr>
        <w:top w:val="none" w:sz="0" w:space="0" w:color="auto"/>
        <w:left w:val="none" w:sz="0" w:space="0" w:color="auto"/>
        <w:bottom w:val="none" w:sz="0" w:space="0" w:color="auto"/>
        <w:right w:val="none" w:sz="0" w:space="0" w:color="auto"/>
      </w:divBdr>
    </w:div>
    <w:div w:id="492918306">
      <w:bodyDiv w:val="1"/>
      <w:marLeft w:val="0"/>
      <w:marRight w:val="0"/>
      <w:marTop w:val="0"/>
      <w:marBottom w:val="0"/>
      <w:divBdr>
        <w:top w:val="none" w:sz="0" w:space="0" w:color="auto"/>
        <w:left w:val="none" w:sz="0" w:space="0" w:color="auto"/>
        <w:bottom w:val="none" w:sz="0" w:space="0" w:color="auto"/>
        <w:right w:val="none" w:sz="0" w:space="0" w:color="auto"/>
      </w:divBdr>
    </w:div>
    <w:div w:id="551885407">
      <w:bodyDiv w:val="1"/>
      <w:marLeft w:val="0"/>
      <w:marRight w:val="0"/>
      <w:marTop w:val="0"/>
      <w:marBottom w:val="0"/>
      <w:divBdr>
        <w:top w:val="none" w:sz="0" w:space="0" w:color="auto"/>
        <w:left w:val="none" w:sz="0" w:space="0" w:color="auto"/>
        <w:bottom w:val="none" w:sz="0" w:space="0" w:color="auto"/>
        <w:right w:val="none" w:sz="0" w:space="0" w:color="auto"/>
      </w:divBdr>
    </w:div>
    <w:div w:id="607350953">
      <w:bodyDiv w:val="1"/>
      <w:marLeft w:val="0"/>
      <w:marRight w:val="0"/>
      <w:marTop w:val="0"/>
      <w:marBottom w:val="0"/>
      <w:divBdr>
        <w:top w:val="none" w:sz="0" w:space="0" w:color="auto"/>
        <w:left w:val="none" w:sz="0" w:space="0" w:color="auto"/>
        <w:bottom w:val="none" w:sz="0" w:space="0" w:color="auto"/>
        <w:right w:val="none" w:sz="0" w:space="0" w:color="auto"/>
      </w:divBdr>
      <w:divsChild>
        <w:div w:id="1477409511">
          <w:marLeft w:val="0"/>
          <w:marRight w:val="0"/>
          <w:marTop w:val="0"/>
          <w:marBottom w:val="0"/>
          <w:divBdr>
            <w:top w:val="none" w:sz="0" w:space="0" w:color="auto"/>
            <w:left w:val="none" w:sz="0" w:space="0" w:color="auto"/>
            <w:bottom w:val="none" w:sz="0" w:space="0" w:color="auto"/>
            <w:right w:val="none" w:sz="0" w:space="0" w:color="auto"/>
          </w:divBdr>
          <w:divsChild>
            <w:div w:id="1592464704">
              <w:marLeft w:val="0"/>
              <w:marRight w:val="0"/>
              <w:marTop w:val="0"/>
              <w:marBottom w:val="0"/>
              <w:divBdr>
                <w:top w:val="none" w:sz="0" w:space="0" w:color="auto"/>
                <w:left w:val="none" w:sz="0" w:space="0" w:color="auto"/>
                <w:bottom w:val="none" w:sz="0" w:space="0" w:color="auto"/>
                <w:right w:val="none" w:sz="0" w:space="0" w:color="auto"/>
              </w:divBdr>
              <w:divsChild>
                <w:div w:id="734359218">
                  <w:marLeft w:val="0"/>
                  <w:marRight w:val="0"/>
                  <w:marTop w:val="0"/>
                  <w:marBottom w:val="0"/>
                  <w:divBdr>
                    <w:top w:val="none" w:sz="0" w:space="0" w:color="auto"/>
                    <w:left w:val="none" w:sz="0" w:space="0" w:color="auto"/>
                    <w:bottom w:val="none" w:sz="0" w:space="0" w:color="auto"/>
                    <w:right w:val="none" w:sz="0" w:space="0" w:color="auto"/>
                  </w:divBdr>
                  <w:divsChild>
                    <w:div w:id="148524803">
                      <w:marLeft w:val="0"/>
                      <w:marRight w:val="0"/>
                      <w:marTop w:val="0"/>
                      <w:marBottom w:val="0"/>
                      <w:divBdr>
                        <w:top w:val="none" w:sz="0" w:space="0" w:color="auto"/>
                        <w:left w:val="none" w:sz="0" w:space="0" w:color="auto"/>
                        <w:bottom w:val="none" w:sz="0" w:space="0" w:color="auto"/>
                        <w:right w:val="none" w:sz="0" w:space="0" w:color="auto"/>
                      </w:divBdr>
                      <w:divsChild>
                        <w:div w:id="574323894">
                          <w:marLeft w:val="0"/>
                          <w:marRight w:val="0"/>
                          <w:marTop w:val="0"/>
                          <w:marBottom w:val="0"/>
                          <w:divBdr>
                            <w:top w:val="none" w:sz="0" w:space="0" w:color="auto"/>
                            <w:left w:val="none" w:sz="0" w:space="0" w:color="auto"/>
                            <w:bottom w:val="none" w:sz="0" w:space="0" w:color="auto"/>
                            <w:right w:val="none" w:sz="0" w:space="0" w:color="auto"/>
                          </w:divBdr>
                        </w:div>
                      </w:divsChild>
                    </w:div>
                    <w:div w:id="282813355">
                      <w:marLeft w:val="0"/>
                      <w:marRight w:val="0"/>
                      <w:marTop w:val="0"/>
                      <w:marBottom w:val="0"/>
                      <w:divBdr>
                        <w:top w:val="none" w:sz="0" w:space="0" w:color="auto"/>
                        <w:left w:val="none" w:sz="0" w:space="0" w:color="auto"/>
                        <w:bottom w:val="none" w:sz="0" w:space="0" w:color="auto"/>
                        <w:right w:val="none" w:sz="0" w:space="0" w:color="auto"/>
                      </w:divBdr>
                      <w:divsChild>
                        <w:div w:id="1136265507">
                          <w:marLeft w:val="0"/>
                          <w:marRight w:val="0"/>
                          <w:marTop w:val="0"/>
                          <w:marBottom w:val="0"/>
                          <w:divBdr>
                            <w:top w:val="none" w:sz="0" w:space="0" w:color="auto"/>
                            <w:left w:val="none" w:sz="0" w:space="0" w:color="auto"/>
                            <w:bottom w:val="none" w:sz="0" w:space="0" w:color="auto"/>
                            <w:right w:val="none" w:sz="0" w:space="0" w:color="auto"/>
                          </w:divBdr>
                        </w:div>
                      </w:divsChild>
                    </w:div>
                    <w:div w:id="1495608441">
                      <w:marLeft w:val="0"/>
                      <w:marRight w:val="0"/>
                      <w:marTop w:val="0"/>
                      <w:marBottom w:val="0"/>
                      <w:divBdr>
                        <w:top w:val="none" w:sz="0" w:space="0" w:color="auto"/>
                        <w:left w:val="none" w:sz="0" w:space="0" w:color="auto"/>
                        <w:bottom w:val="none" w:sz="0" w:space="0" w:color="auto"/>
                        <w:right w:val="none" w:sz="0" w:space="0" w:color="auto"/>
                      </w:divBdr>
                      <w:divsChild>
                        <w:div w:id="761222663">
                          <w:marLeft w:val="0"/>
                          <w:marRight w:val="0"/>
                          <w:marTop w:val="0"/>
                          <w:marBottom w:val="0"/>
                          <w:divBdr>
                            <w:top w:val="none" w:sz="0" w:space="0" w:color="auto"/>
                            <w:left w:val="none" w:sz="0" w:space="0" w:color="auto"/>
                            <w:bottom w:val="none" w:sz="0" w:space="0" w:color="auto"/>
                            <w:right w:val="none" w:sz="0" w:space="0" w:color="auto"/>
                          </w:divBdr>
                        </w:div>
                      </w:divsChild>
                    </w:div>
                    <w:div w:id="1695614408">
                      <w:marLeft w:val="0"/>
                      <w:marRight w:val="0"/>
                      <w:marTop w:val="0"/>
                      <w:marBottom w:val="0"/>
                      <w:divBdr>
                        <w:top w:val="none" w:sz="0" w:space="0" w:color="auto"/>
                        <w:left w:val="none" w:sz="0" w:space="0" w:color="auto"/>
                        <w:bottom w:val="none" w:sz="0" w:space="0" w:color="auto"/>
                        <w:right w:val="none" w:sz="0" w:space="0" w:color="auto"/>
                      </w:divBdr>
                      <w:divsChild>
                        <w:div w:id="938560433">
                          <w:marLeft w:val="0"/>
                          <w:marRight w:val="0"/>
                          <w:marTop w:val="0"/>
                          <w:marBottom w:val="0"/>
                          <w:divBdr>
                            <w:top w:val="none" w:sz="0" w:space="0" w:color="auto"/>
                            <w:left w:val="none" w:sz="0" w:space="0" w:color="auto"/>
                            <w:bottom w:val="none" w:sz="0" w:space="0" w:color="auto"/>
                            <w:right w:val="none" w:sz="0" w:space="0" w:color="auto"/>
                          </w:divBdr>
                        </w:div>
                      </w:divsChild>
                    </w:div>
                    <w:div w:id="1756435873">
                      <w:marLeft w:val="0"/>
                      <w:marRight w:val="0"/>
                      <w:marTop w:val="0"/>
                      <w:marBottom w:val="0"/>
                      <w:divBdr>
                        <w:top w:val="none" w:sz="0" w:space="0" w:color="auto"/>
                        <w:left w:val="none" w:sz="0" w:space="0" w:color="auto"/>
                        <w:bottom w:val="none" w:sz="0" w:space="0" w:color="auto"/>
                        <w:right w:val="none" w:sz="0" w:space="0" w:color="auto"/>
                      </w:divBdr>
                      <w:divsChild>
                        <w:div w:id="1335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089711">
      <w:bodyDiv w:val="1"/>
      <w:marLeft w:val="0"/>
      <w:marRight w:val="0"/>
      <w:marTop w:val="0"/>
      <w:marBottom w:val="0"/>
      <w:divBdr>
        <w:top w:val="none" w:sz="0" w:space="0" w:color="auto"/>
        <w:left w:val="none" w:sz="0" w:space="0" w:color="auto"/>
        <w:bottom w:val="none" w:sz="0" w:space="0" w:color="auto"/>
        <w:right w:val="none" w:sz="0" w:space="0" w:color="auto"/>
      </w:divBdr>
    </w:div>
    <w:div w:id="688801072">
      <w:bodyDiv w:val="1"/>
      <w:marLeft w:val="0"/>
      <w:marRight w:val="0"/>
      <w:marTop w:val="0"/>
      <w:marBottom w:val="0"/>
      <w:divBdr>
        <w:top w:val="none" w:sz="0" w:space="0" w:color="auto"/>
        <w:left w:val="none" w:sz="0" w:space="0" w:color="auto"/>
        <w:bottom w:val="none" w:sz="0" w:space="0" w:color="auto"/>
        <w:right w:val="none" w:sz="0" w:space="0" w:color="auto"/>
      </w:divBdr>
    </w:div>
    <w:div w:id="742337540">
      <w:bodyDiv w:val="1"/>
      <w:marLeft w:val="0"/>
      <w:marRight w:val="0"/>
      <w:marTop w:val="0"/>
      <w:marBottom w:val="0"/>
      <w:divBdr>
        <w:top w:val="none" w:sz="0" w:space="0" w:color="auto"/>
        <w:left w:val="none" w:sz="0" w:space="0" w:color="auto"/>
        <w:bottom w:val="none" w:sz="0" w:space="0" w:color="auto"/>
        <w:right w:val="none" w:sz="0" w:space="0" w:color="auto"/>
      </w:divBdr>
    </w:div>
    <w:div w:id="844250539">
      <w:bodyDiv w:val="1"/>
      <w:marLeft w:val="0"/>
      <w:marRight w:val="0"/>
      <w:marTop w:val="0"/>
      <w:marBottom w:val="0"/>
      <w:divBdr>
        <w:top w:val="none" w:sz="0" w:space="0" w:color="auto"/>
        <w:left w:val="none" w:sz="0" w:space="0" w:color="auto"/>
        <w:bottom w:val="none" w:sz="0" w:space="0" w:color="auto"/>
        <w:right w:val="none" w:sz="0" w:space="0" w:color="auto"/>
      </w:divBdr>
    </w:div>
    <w:div w:id="851798394">
      <w:bodyDiv w:val="1"/>
      <w:marLeft w:val="0"/>
      <w:marRight w:val="0"/>
      <w:marTop w:val="0"/>
      <w:marBottom w:val="0"/>
      <w:divBdr>
        <w:top w:val="none" w:sz="0" w:space="0" w:color="auto"/>
        <w:left w:val="none" w:sz="0" w:space="0" w:color="auto"/>
        <w:bottom w:val="none" w:sz="0" w:space="0" w:color="auto"/>
        <w:right w:val="none" w:sz="0" w:space="0" w:color="auto"/>
      </w:divBdr>
    </w:div>
    <w:div w:id="882669064">
      <w:bodyDiv w:val="1"/>
      <w:marLeft w:val="0"/>
      <w:marRight w:val="0"/>
      <w:marTop w:val="0"/>
      <w:marBottom w:val="0"/>
      <w:divBdr>
        <w:top w:val="none" w:sz="0" w:space="0" w:color="auto"/>
        <w:left w:val="none" w:sz="0" w:space="0" w:color="auto"/>
        <w:bottom w:val="none" w:sz="0" w:space="0" w:color="auto"/>
        <w:right w:val="none" w:sz="0" w:space="0" w:color="auto"/>
      </w:divBdr>
    </w:div>
    <w:div w:id="884219376">
      <w:bodyDiv w:val="1"/>
      <w:marLeft w:val="0"/>
      <w:marRight w:val="0"/>
      <w:marTop w:val="0"/>
      <w:marBottom w:val="0"/>
      <w:divBdr>
        <w:top w:val="none" w:sz="0" w:space="0" w:color="auto"/>
        <w:left w:val="none" w:sz="0" w:space="0" w:color="auto"/>
        <w:bottom w:val="none" w:sz="0" w:space="0" w:color="auto"/>
        <w:right w:val="none" w:sz="0" w:space="0" w:color="auto"/>
      </w:divBdr>
    </w:div>
    <w:div w:id="1022441387">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46876556">
      <w:bodyDiv w:val="1"/>
      <w:marLeft w:val="0"/>
      <w:marRight w:val="0"/>
      <w:marTop w:val="0"/>
      <w:marBottom w:val="0"/>
      <w:divBdr>
        <w:top w:val="none" w:sz="0" w:space="0" w:color="auto"/>
        <w:left w:val="none" w:sz="0" w:space="0" w:color="auto"/>
        <w:bottom w:val="none" w:sz="0" w:space="0" w:color="auto"/>
        <w:right w:val="none" w:sz="0" w:space="0" w:color="auto"/>
      </w:divBdr>
    </w:div>
    <w:div w:id="1086655771">
      <w:bodyDiv w:val="1"/>
      <w:marLeft w:val="0"/>
      <w:marRight w:val="0"/>
      <w:marTop w:val="0"/>
      <w:marBottom w:val="0"/>
      <w:divBdr>
        <w:top w:val="none" w:sz="0" w:space="0" w:color="auto"/>
        <w:left w:val="none" w:sz="0" w:space="0" w:color="auto"/>
        <w:bottom w:val="none" w:sz="0" w:space="0" w:color="auto"/>
        <w:right w:val="none" w:sz="0" w:space="0" w:color="auto"/>
      </w:divBdr>
    </w:div>
    <w:div w:id="1098868369">
      <w:bodyDiv w:val="1"/>
      <w:marLeft w:val="0"/>
      <w:marRight w:val="0"/>
      <w:marTop w:val="0"/>
      <w:marBottom w:val="0"/>
      <w:divBdr>
        <w:top w:val="none" w:sz="0" w:space="0" w:color="auto"/>
        <w:left w:val="none" w:sz="0" w:space="0" w:color="auto"/>
        <w:bottom w:val="none" w:sz="0" w:space="0" w:color="auto"/>
        <w:right w:val="none" w:sz="0" w:space="0" w:color="auto"/>
      </w:divBdr>
    </w:div>
    <w:div w:id="1222518291">
      <w:bodyDiv w:val="1"/>
      <w:marLeft w:val="0"/>
      <w:marRight w:val="0"/>
      <w:marTop w:val="0"/>
      <w:marBottom w:val="0"/>
      <w:divBdr>
        <w:top w:val="none" w:sz="0" w:space="0" w:color="auto"/>
        <w:left w:val="none" w:sz="0" w:space="0" w:color="auto"/>
        <w:bottom w:val="none" w:sz="0" w:space="0" w:color="auto"/>
        <w:right w:val="none" w:sz="0" w:space="0" w:color="auto"/>
      </w:divBdr>
    </w:div>
    <w:div w:id="1333071894">
      <w:bodyDiv w:val="1"/>
      <w:marLeft w:val="0"/>
      <w:marRight w:val="0"/>
      <w:marTop w:val="0"/>
      <w:marBottom w:val="0"/>
      <w:divBdr>
        <w:top w:val="none" w:sz="0" w:space="0" w:color="auto"/>
        <w:left w:val="none" w:sz="0" w:space="0" w:color="auto"/>
        <w:bottom w:val="none" w:sz="0" w:space="0" w:color="auto"/>
        <w:right w:val="none" w:sz="0" w:space="0" w:color="auto"/>
      </w:divBdr>
    </w:div>
    <w:div w:id="1383939366">
      <w:bodyDiv w:val="1"/>
      <w:marLeft w:val="0"/>
      <w:marRight w:val="0"/>
      <w:marTop w:val="0"/>
      <w:marBottom w:val="0"/>
      <w:divBdr>
        <w:top w:val="none" w:sz="0" w:space="0" w:color="auto"/>
        <w:left w:val="none" w:sz="0" w:space="0" w:color="auto"/>
        <w:bottom w:val="none" w:sz="0" w:space="0" w:color="auto"/>
        <w:right w:val="none" w:sz="0" w:space="0" w:color="auto"/>
      </w:divBdr>
    </w:div>
    <w:div w:id="1406144921">
      <w:bodyDiv w:val="1"/>
      <w:marLeft w:val="0"/>
      <w:marRight w:val="0"/>
      <w:marTop w:val="0"/>
      <w:marBottom w:val="0"/>
      <w:divBdr>
        <w:top w:val="none" w:sz="0" w:space="0" w:color="auto"/>
        <w:left w:val="none" w:sz="0" w:space="0" w:color="auto"/>
        <w:bottom w:val="none" w:sz="0" w:space="0" w:color="auto"/>
        <w:right w:val="none" w:sz="0" w:space="0" w:color="auto"/>
      </w:divBdr>
    </w:div>
    <w:div w:id="1464157369">
      <w:bodyDiv w:val="1"/>
      <w:marLeft w:val="0"/>
      <w:marRight w:val="0"/>
      <w:marTop w:val="0"/>
      <w:marBottom w:val="0"/>
      <w:divBdr>
        <w:top w:val="none" w:sz="0" w:space="0" w:color="auto"/>
        <w:left w:val="none" w:sz="0" w:space="0" w:color="auto"/>
        <w:bottom w:val="none" w:sz="0" w:space="0" w:color="auto"/>
        <w:right w:val="none" w:sz="0" w:space="0" w:color="auto"/>
      </w:divBdr>
    </w:div>
    <w:div w:id="1481730809">
      <w:bodyDiv w:val="1"/>
      <w:marLeft w:val="0"/>
      <w:marRight w:val="0"/>
      <w:marTop w:val="0"/>
      <w:marBottom w:val="0"/>
      <w:divBdr>
        <w:top w:val="none" w:sz="0" w:space="0" w:color="auto"/>
        <w:left w:val="none" w:sz="0" w:space="0" w:color="auto"/>
        <w:bottom w:val="none" w:sz="0" w:space="0" w:color="auto"/>
        <w:right w:val="none" w:sz="0" w:space="0" w:color="auto"/>
      </w:divBdr>
    </w:div>
    <w:div w:id="1542669960">
      <w:bodyDiv w:val="1"/>
      <w:marLeft w:val="0"/>
      <w:marRight w:val="0"/>
      <w:marTop w:val="0"/>
      <w:marBottom w:val="0"/>
      <w:divBdr>
        <w:top w:val="none" w:sz="0" w:space="0" w:color="auto"/>
        <w:left w:val="none" w:sz="0" w:space="0" w:color="auto"/>
        <w:bottom w:val="none" w:sz="0" w:space="0" w:color="auto"/>
        <w:right w:val="none" w:sz="0" w:space="0" w:color="auto"/>
      </w:divBdr>
    </w:div>
    <w:div w:id="1580599939">
      <w:bodyDiv w:val="1"/>
      <w:marLeft w:val="0"/>
      <w:marRight w:val="0"/>
      <w:marTop w:val="0"/>
      <w:marBottom w:val="0"/>
      <w:divBdr>
        <w:top w:val="none" w:sz="0" w:space="0" w:color="auto"/>
        <w:left w:val="none" w:sz="0" w:space="0" w:color="auto"/>
        <w:bottom w:val="none" w:sz="0" w:space="0" w:color="auto"/>
        <w:right w:val="none" w:sz="0" w:space="0" w:color="auto"/>
      </w:divBdr>
    </w:div>
    <w:div w:id="1822455881">
      <w:bodyDiv w:val="1"/>
      <w:marLeft w:val="0"/>
      <w:marRight w:val="0"/>
      <w:marTop w:val="0"/>
      <w:marBottom w:val="0"/>
      <w:divBdr>
        <w:top w:val="none" w:sz="0" w:space="0" w:color="auto"/>
        <w:left w:val="none" w:sz="0" w:space="0" w:color="auto"/>
        <w:bottom w:val="none" w:sz="0" w:space="0" w:color="auto"/>
        <w:right w:val="none" w:sz="0" w:space="0" w:color="auto"/>
      </w:divBdr>
      <w:divsChild>
        <w:div w:id="560797537">
          <w:marLeft w:val="0"/>
          <w:marRight w:val="0"/>
          <w:marTop w:val="0"/>
          <w:marBottom w:val="0"/>
          <w:divBdr>
            <w:top w:val="none" w:sz="0" w:space="0" w:color="auto"/>
            <w:left w:val="none" w:sz="0" w:space="0" w:color="auto"/>
            <w:bottom w:val="none" w:sz="0" w:space="0" w:color="auto"/>
            <w:right w:val="none" w:sz="0" w:space="0" w:color="auto"/>
          </w:divBdr>
          <w:divsChild>
            <w:div w:id="593125470">
              <w:marLeft w:val="0"/>
              <w:marRight w:val="0"/>
              <w:marTop w:val="0"/>
              <w:marBottom w:val="0"/>
              <w:divBdr>
                <w:top w:val="none" w:sz="0" w:space="0" w:color="auto"/>
                <w:left w:val="none" w:sz="0" w:space="0" w:color="auto"/>
                <w:bottom w:val="none" w:sz="0" w:space="0" w:color="auto"/>
                <w:right w:val="none" w:sz="0" w:space="0" w:color="auto"/>
              </w:divBdr>
              <w:divsChild>
                <w:div w:id="1316841165">
                  <w:marLeft w:val="0"/>
                  <w:marRight w:val="0"/>
                  <w:marTop w:val="0"/>
                  <w:marBottom w:val="0"/>
                  <w:divBdr>
                    <w:top w:val="none" w:sz="0" w:space="0" w:color="auto"/>
                    <w:left w:val="none" w:sz="0" w:space="0" w:color="auto"/>
                    <w:bottom w:val="none" w:sz="0" w:space="0" w:color="auto"/>
                    <w:right w:val="none" w:sz="0" w:space="0" w:color="auto"/>
                  </w:divBdr>
                  <w:divsChild>
                    <w:div w:id="228424745">
                      <w:marLeft w:val="0"/>
                      <w:marRight w:val="0"/>
                      <w:marTop w:val="0"/>
                      <w:marBottom w:val="0"/>
                      <w:divBdr>
                        <w:top w:val="none" w:sz="0" w:space="0" w:color="auto"/>
                        <w:left w:val="none" w:sz="0" w:space="0" w:color="auto"/>
                        <w:bottom w:val="none" w:sz="0" w:space="0" w:color="auto"/>
                        <w:right w:val="none" w:sz="0" w:space="0" w:color="auto"/>
                      </w:divBdr>
                      <w:divsChild>
                        <w:div w:id="763839833">
                          <w:marLeft w:val="0"/>
                          <w:marRight w:val="0"/>
                          <w:marTop w:val="0"/>
                          <w:marBottom w:val="0"/>
                          <w:divBdr>
                            <w:top w:val="none" w:sz="0" w:space="0" w:color="auto"/>
                            <w:left w:val="none" w:sz="0" w:space="0" w:color="auto"/>
                            <w:bottom w:val="none" w:sz="0" w:space="0" w:color="auto"/>
                            <w:right w:val="none" w:sz="0" w:space="0" w:color="auto"/>
                          </w:divBdr>
                        </w:div>
                      </w:divsChild>
                    </w:div>
                    <w:div w:id="376928848">
                      <w:marLeft w:val="0"/>
                      <w:marRight w:val="0"/>
                      <w:marTop w:val="0"/>
                      <w:marBottom w:val="0"/>
                      <w:divBdr>
                        <w:top w:val="none" w:sz="0" w:space="0" w:color="auto"/>
                        <w:left w:val="none" w:sz="0" w:space="0" w:color="auto"/>
                        <w:bottom w:val="none" w:sz="0" w:space="0" w:color="auto"/>
                        <w:right w:val="none" w:sz="0" w:space="0" w:color="auto"/>
                      </w:divBdr>
                      <w:divsChild>
                        <w:div w:id="1865053153">
                          <w:marLeft w:val="0"/>
                          <w:marRight w:val="0"/>
                          <w:marTop w:val="0"/>
                          <w:marBottom w:val="0"/>
                          <w:divBdr>
                            <w:top w:val="none" w:sz="0" w:space="0" w:color="auto"/>
                            <w:left w:val="none" w:sz="0" w:space="0" w:color="auto"/>
                            <w:bottom w:val="none" w:sz="0" w:space="0" w:color="auto"/>
                            <w:right w:val="none" w:sz="0" w:space="0" w:color="auto"/>
                          </w:divBdr>
                        </w:div>
                      </w:divsChild>
                    </w:div>
                    <w:div w:id="869800885">
                      <w:marLeft w:val="0"/>
                      <w:marRight w:val="0"/>
                      <w:marTop w:val="0"/>
                      <w:marBottom w:val="0"/>
                      <w:divBdr>
                        <w:top w:val="none" w:sz="0" w:space="0" w:color="auto"/>
                        <w:left w:val="none" w:sz="0" w:space="0" w:color="auto"/>
                        <w:bottom w:val="none" w:sz="0" w:space="0" w:color="auto"/>
                        <w:right w:val="none" w:sz="0" w:space="0" w:color="auto"/>
                      </w:divBdr>
                      <w:divsChild>
                        <w:div w:id="1443502136">
                          <w:marLeft w:val="0"/>
                          <w:marRight w:val="0"/>
                          <w:marTop w:val="0"/>
                          <w:marBottom w:val="0"/>
                          <w:divBdr>
                            <w:top w:val="none" w:sz="0" w:space="0" w:color="auto"/>
                            <w:left w:val="none" w:sz="0" w:space="0" w:color="auto"/>
                            <w:bottom w:val="none" w:sz="0" w:space="0" w:color="auto"/>
                            <w:right w:val="none" w:sz="0" w:space="0" w:color="auto"/>
                          </w:divBdr>
                        </w:div>
                      </w:divsChild>
                    </w:div>
                    <w:div w:id="880243303">
                      <w:marLeft w:val="0"/>
                      <w:marRight w:val="0"/>
                      <w:marTop w:val="0"/>
                      <w:marBottom w:val="0"/>
                      <w:divBdr>
                        <w:top w:val="none" w:sz="0" w:space="0" w:color="auto"/>
                        <w:left w:val="none" w:sz="0" w:space="0" w:color="auto"/>
                        <w:bottom w:val="none" w:sz="0" w:space="0" w:color="auto"/>
                        <w:right w:val="none" w:sz="0" w:space="0" w:color="auto"/>
                      </w:divBdr>
                      <w:divsChild>
                        <w:div w:id="1872836296">
                          <w:marLeft w:val="0"/>
                          <w:marRight w:val="0"/>
                          <w:marTop w:val="0"/>
                          <w:marBottom w:val="0"/>
                          <w:divBdr>
                            <w:top w:val="none" w:sz="0" w:space="0" w:color="auto"/>
                            <w:left w:val="none" w:sz="0" w:space="0" w:color="auto"/>
                            <w:bottom w:val="none" w:sz="0" w:space="0" w:color="auto"/>
                            <w:right w:val="none" w:sz="0" w:space="0" w:color="auto"/>
                          </w:divBdr>
                        </w:div>
                      </w:divsChild>
                    </w:div>
                    <w:div w:id="1784616926">
                      <w:marLeft w:val="0"/>
                      <w:marRight w:val="0"/>
                      <w:marTop w:val="0"/>
                      <w:marBottom w:val="0"/>
                      <w:divBdr>
                        <w:top w:val="none" w:sz="0" w:space="0" w:color="auto"/>
                        <w:left w:val="none" w:sz="0" w:space="0" w:color="auto"/>
                        <w:bottom w:val="none" w:sz="0" w:space="0" w:color="auto"/>
                        <w:right w:val="none" w:sz="0" w:space="0" w:color="auto"/>
                      </w:divBdr>
                      <w:divsChild>
                        <w:div w:id="2601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492597">
      <w:bodyDiv w:val="1"/>
      <w:marLeft w:val="0"/>
      <w:marRight w:val="0"/>
      <w:marTop w:val="0"/>
      <w:marBottom w:val="0"/>
      <w:divBdr>
        <w:top w:val="none" w:sz="0" w:space="0" w:color="auto"/>
        <w:left w:val="none" w:sz="0" w:space="0" w:color="auto"/>
        <w:bottom w:val="none" w:sz="0" w:space="0" w:color="auto"/>
        <w:right w:val="none" w:sz="0" w:space="0" w:color="auto"/>
      </w:divBdr>
    </w:div>
    <w:div w:id="1848859156">
      <w:bodyDiv w:val="1"/>
      <w:marLeft w:val="0"/>
      <w:marRight w:val="0"/>
      <w:marTop w:val="0"/>
      <w:marBottom w:val="0"/>
      <w:divBdr>
        <w:top w:val="none" w:sz="0" w:space="0" w:color="auto"/>
        <w:left w:val="none" w:sz="0" w:space="0" w:color="auto"/>
        <w:bottom w:val="none" w:sz="0" w:space="0" w:color="auto"/>
        <w:right w:val="none" w:sz="0" w:space="0" w:color="auto"/>
      </w:divBdr>
    </w:div>
    <w:div w:id="1879587762">
      <w:bodyDiv w:val="1"/>
      <w:marLeft w:val="0"/>
      <w:marRight w:val="0"/>
      <w:marTop w:val="0"/>
      <w:marBottom w:val="0"/>
      <w:divBdr>
        <w:top w:val="none" w:sz="0" w:space="0" w:color="auto"/>
        <w:left w:val="none" w:sz="0" w:space="0" w:color="auto"/>
        <w:bottom w:val="none" w:sz="0" w:space="0" w:color="auto"/>
        <w:right w:val="none" w:sz="0" w:space="0" w:color="auto"/>
      </w:divBdr>
    </w:div>
    <w:div w:id="2029481601">
      <w:bodyDiv w:val="1"/>
      <w:marLeft w:val="0"/>
      <w:marRight w:val="0"/>
      <w:marTop w:val="0"/>
      <w:marBottom w:val="0"/>
      <w:divBdr>
        <w:top w:val="none" w:sz="0" w:space="0" w:color="auto"/>
        <w:left w:val="none" w:sz="0" w:space="0" w:color="auto"/>
        <w:bottom w:val="none" w:sz="0" w:space="0" w:color="auto"/>
        <w:right w:val="none" w:sz="0" w:space="0" w:color="auto"/>
      </w:divBdr>
    </w:div>
    <w:div w:id="2083333955">
      <w:bodyDiv w:val="1"/>
      <w:marLeft w:val="0"/>
      <w:marRight w:val="0"/>
      <w:marTop w:val="0"/>
      <w:marBottom w:val="0"/>
      <w:divBdr>
        <w:top w:val="none" w:sz="0" w:space="0" w:color="auto"/>
        <w:left w:val="none" w:sz="0" w:space="0" w:color="auto"/>
        <w:bottom w:val="none" w:sz="0" w:space="0" w:color="auto"/>
        <w:right w:val="none" w:sz="0" w:space="0" w:color="auto"/>
      </w:divBdr>
    </w:div>
    <w:div w:id="2116511574">
      <w:bodyDiv w:val="1"/>
      <w:marLeft w:val="0"/>
      <w:marRight w:val="0"/>
      <w:marTop w:val="0"/>
      <w:marBottom w:val="0"/>
      <w:divBdr>
        <w:top w:val="none" w:sz="0" w:space="0" w:color="auto"/>
        <w:left w:val="none" w:sz="0" w:space="0" w:color="auto"/>
        <w:bottom w:val="none" w:sz="0" w:space="0" w:color="auto"/>
        <w:right w:val="none" w:sz="0" w:space="0" w:color="auto"/>
      </w:divBdr>
      <w:divsChild>
        <w:div w:id="41172161">
          <w:marLeft w:val="0"/>
          <w:marRight w:val="0"/>
          <w:marTop w:val="0"/>
          <w:marBottom w:val="0"/>
          <w:divBdr>
            <w:top w:val="none" w:sz="0" w:space="0" w:color="auto"/>
            <w:left w:val="none" w:sz="0" w:space="0" w:color="auto"/>
            <w:bottom w:val="none" w:sz="0" w:space="0" w:color="auto"/>
            <w:right w:val="none" w:sz="0" w:space="0" w:color="auto"/>
          </w:divBdr>
          <w:divsChild>
            <w:div w:id="898325867">
              <w:marLeft w:val="0"/>
              <w:marRight w:val="0"/>
              <w:marTop w:val="0"/>
              <w:marBottom w:val="0"/>
              <w:divBdr>
                <w:top w:val="none" w:sz="0" w:space="0" w:color="auto"/>
                <w:left w:val="none" w:sz="0" w:space="0" w:color="auto"/>
                <w:bottom w:val="none" w:sz="0" w:space="0" w:color="auto"/>
                <w:right w:val="none" w:sz="0" w:space="0" w:color="auto"/>
              </w:divBdr>
            </w:div>
            <w:div w:id="2037462382">
              <w:marLeft w:val="0"/>
              <w:marRight w:val="0"/>
              <w:marTop w:val="0"/>
              <w:marBottom w:val="0"/>
              <w:divBdr>
                <w:top w:val="none" w:sz="0" w:space="0" w:color="auto"/>
                <w:left w:val="none" w:sz="0" w:space="0" w:color="auto"/>
                <w:bottom w:val="none" w:sz="0" w:space="0" w:color="auto"/>
                <w:right w:val="none" w:sz="0" w:space="0" w:color="auto"/>
              </w:divBdr>
            </w:div>
            <w:div w:id="1704093197">
              <w:marLeft w:val="0"/>
              <w:marRight w:val="0"/>
              <w:marTop w:val="0"/>
              <w:marBottom w:val="0"/>
              <w:divBdr>
                <w:top w:val="none" w:sz="0" w:space="0" w:color="auto"/>
                <w:left w:val="none" w:sz="0" w:space="0" w:color="auto"/>
                <w:bottom w:val="none" w:sz="0" w:space="0" w:color="auto"/>
                <w:right w:val="none" w:sz="0" w:space="0" w:color="auto"/>
              </w:divBdr>
            </w:div>
            <w:div w:id="382561846">
              <w:marLeft w:val="0"/>
              <w:marRight w:val="0"/>
              <w:marTop w:val="0"/>
              <w:marBottom w:val="0"/>
              <w:divBdr>
                <w:top w:val="none" w:sz="0" w:space="0" w:color="auto"/>
                <w:left w:val="none" w:sz="0" w:space="0" w:color="auto"/>
                <w:bottom w:val="none" w:sz="0" w:space="0" w:color="auto"/>
                <w:right w:val="none" w:sz="0" w:space="0" w:color="auto"/>
              </w:divBdr>
            </w:div>
            <w:div w:id="69142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4.emf"/><Relationship Id="rId3" Type="http://schemas.openxmlformats.org/officeDocument/2006/relationships/numbering" Target="numbering.xml"/><Relationship Id="rId21" Type="http://schemas.openxmlformats.org/officeDocument/2006/relationships/hyperlink" Target="http://www.aer.gov.au/node/451" TargetMode="External"/><Relationship Id="rId34"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www.aer.gov.au/industry-information/industry-statistics" TargetMode="External"/><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er.gov.au/wholesale-markets/market-performance" TargetMode="Externa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emf"/><Relationship Id="rId31" Type="http://schemas.openxmlformats.org/officeDocument/2006/relationships/image" Target="media/image1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ww.aer.gov.au/system/files/User%20guide%20to%20the%20AER%20gas%20weekly%20report%20-%20November%202016.pdf" TargetMode="External"/><Relationship Id="rId1" Type="http://schemas.openxmlformats.org/officeDocument/2006/relationships/hyperlink" Target="https://www.aer.gov.au/system/files/User%20guide%20to%20the%20AER%20gas%20weekly%20report%20-%20November%202016.pdf"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3591"/>
      </a:dk2>
      <a:lt2>
        <a:srgbClr val="D5D6D2"/>
      </a:lt2>
      <a:accent1>
        <a:srgbClr val="51626F"/>
      </a:accent1>
      <a:accent2>
        <a:srgbClr val="4F2D7D"/>
      </a:accent2>
      <a:accent3>
        <a:srgbClr val="0098C3"/>
      </a:accent3>
      <a:accent4>
        <a:srgbClr val="A0CFEB"/>
      </a:accent4>
      <a:accent5>
        <a:srgbClr val="B71202"/>
      </a:accent5>
      <a:accent6>
        <a:srgbClr val="DC5034"/>
      </a:accent6>
      <a:hlink>
        <a:srgbClr val="0000FF"/>
      </a:hlink>
      <a:folHlink>
        <a:srgbClr val="800080"/>
      </a:folHlink>
    </a:clrScheme>
    <a:fontScheme name="ACCC">
      <a:majorFont>
        <a:latin typeface="Lucida Fax"/>
        <a:ea typeface=""/>
        <a:cs typeface=""/>
      </a:majorFont>
      <a:minorFont>
        <a:latin typeface="Arial"/>
        <a:ea typeface=""/>
        <a:cs typeface=""/>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2E2937-3254-4C32-BE05-F48A1A493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977E2088.dotm</Template>
  <TotalTime>0</TotalTime>
  <Pages>12</Pages>
  <Words>1832</Words>
  <Characters>10448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2017-06-27T05:03:00Z</dcterms:created>
  <dcterms:modified xsi:type="dcterms:W3CDTF">2017-06-27T05:03:00Z</dcterms:modified>
</cp:coreProperties>
</file>