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51253E" w:rsidRPr="00AC3047" w:rsidRDefault="0051253E" w:rsidP="0051253E">
      <w:pPr>
        <w:pStyle w:val="Heading2"/>
        <w:rPr>
          <w:i/>
        </w:rPr>
      </w:pPr>
      <w:r w:rsidRPr="00623E57">
        <w:rPr>
          <w:sz w:val="36"/>
          <w:szCs w:val="36"/>
        </w:rPr>
        <w:t xml:space="preserve">5 – 11 February </w:t>
      </w:r>
      <w:r>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0835F4" w:rsidRDefault="0051253E" w:rsidP="00F26128">
      <w:pPr>
        <w:jc w:val="both"/>
      </w:pPr>
      <w:r w:rsidRPr="00AD7EE1">
        <w:t xml:space="preserve">Prices increased across all </w:t>
      </w:r>
      <w:r>
        <w:t>markets from the previous week. Continued h</w:t>
      </w:r>
      <w:r w:rsidRPr="00AD7EE1">
        <w:t>igh prices in Queensland and rising prices in New South Wales were suppor</w:t>
      </w:r>
      <w:r>
        <w:t xml:space="preserve">ted by strong gas demand by gas power </w:t>
      </w:r>
      <w:r w:rsidRPr="00AD7EE1">
        <w:t>generators</w:t>
      </w:r>
      <w:r>
        <w:t xml:space="preserve"> (GPGs)</w:t>
      </w:r>
      <w:r w:rsidRPr="00AD7EE1">
        <w:t>.</w:t>
      </w:r>
      <w:r>
        <w:t xml:space="preserve"> Over all regions, the total GPG usage reached its highest level since mid-2016, alongside high maximum temperatures across the east coast. Trade volumes on the Wallumbilla Gas Supply Hub Exchange (GSH) reduced by 77 per cent, but with r</w:t>
      </w:r>
      <w:r w:rsidRPr="00A67759">
        <w:t xml:space="preserve">ecord prices </w:t>
      </w:r>
      <w:r>
        <w:t xml:space="preserve">of up to </w:t>
      </w:r>
      <w:r w:rsidRPr="00A67759">
        <w:t>$16.20/GJ.</w:t>
      </w:r>
      <w:r>
        <w:t xml:space="preserve"> Over the last few months GSH prices (and Brisbane STTM prices) continue to be a few dollars higher than LNG spot netback prices.</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113F07">
        <w:fldChar w:fldCharType="begin"/>
      </w:r>
      <w:r w:rsidR="00113F07">
        <w:instrText xml:space="preserve"> SEQ Figure \* ARABIC </w:instrText>
      </w:r>
      <w:r w:rsidR="00113F07">
        <w:fldChar w:fldCharType="separate"/>
      </w:r>
      <w:r w:rsidR="001521CB">
        <w:rPr>
          <w:noProof/>
        </w:rPr>
        <w:t>1</w:t>
      </w:r>
      <w:r w:rsidR="00113F07">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51253E" w:rsidRPr="006A7228" w:rsidTr="00534DD9">
        <w:trPr>
          <w:trHeight w:val="510"/>
        </w:trPr>
        <w:tc>
          <w:tcPr>
            <w:tcW w:w="749" w:type="pct"/>
            <w:tcBorders>
              <w:top w:val="nil"/>
              <w:bottom w:val="nil"/>
            </w:tcBorders>
            <w:vAlign w:val="center"/>
          </w:tcPr>
          <w:p w:rsidR="0051253E" w:rsidRDefault="0051253E">
            <w:pPr>
              <w:rPr>
                <w:rFonts w:cs="Arial"/>
                <w:sz w:val="16"/>
                <w:szCs w:val="16"/>
              </w:rPr>
            </w:pPr>
            <w:r>
              <w:rPr>
                <w:rFonts w:cs="Arial"/>
                <w:sz w:val="16"/>
                <w:szCs w:val="16"/>
              </w:rPr>
              <w:t>05 Feb - 11 Feb 2017</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10.20</w:t>
            </w:r>
          </w:p>
        </w:tc>
        <w:tc>
          <w:tcPr>
            <w:tcW w:w="441"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328</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11.88</w:t>
            </w:r>
          </w:p>
        </w:tc>
        <w:tc>
          <w:tcPr>
            <w:tcW w:w="417"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225</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10.93</w:t>
            </w:r>
          </w:p>
        </w:tc>
        <w:tc>
          <w:tcPr>
            <w:tcW w:w="310"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49</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13.90</w:t>
            </w:r>
          </w:p>
        </w:tc>
        <w:tc>
          <w:tcPr>
            <w:tcW w:w="363"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79</w:t>
            </w:r>
          </w:p>
        </w:tc>
        <w:tc>
          <w:tcPr>
            <w:tcW w:w="330"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14.68</w:t>
            </w:r>
          </w:p>
        </w:tc>
        <w:tc>
          <w:tcPr>
            <w:tcW w:w="35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63</w:t>
            </w:r>
          </w:p>
        </w:tc>
        <w:tc>
          <w:tcPr>
            <w:tcW w:w="303" w:type="pct"/>
            <w:gridSpan w:val="2"/>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w:t>
            </w:r>
          </w:p>
        </w:tc>
      </w:tr>
      <w:tr w:rsidR="0051253E"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51253E" w:rsidRDefault="0051253E">
            <w:pPr>
              <w:rPr>
                <w:rFonts w:cs="Arial"/>
                <w:sz w:val="16"/>
                <w:szCs w:val="16"/>
              </w:rPr>
            </w:pPr>
            <w:r>
              <w:rPr>
                <w:rFonts w:cs="Arial"/>
                <w:sz w:val="16"/>
                <w:szCs w:val="16"/>
              </w:rPr>
              <w:t>% change from previous week</w:t>
            </w:r>
          </w:p>
        </w:tc>
        <w:tc>
          <w:tcPr>
            <w:tcW w:w="329" w:type="pct"/>
            <w:tcBorders>
              <w:top w:val="nil"/>
              <w:bottom w:val="nil"/>
            </w:tcBorders>
            <w:vAlign w:val="center"/>
          </w:tcPr>
          <w:p w:rsidR="0051253E" w:rsidRDefault="0051253E" w:rsidP="0051253E">
            <w:pPr>
              <w:ind w:left="-106" w:right="-70"/>
              <w:jc w:val="center"/>
              <w:rPr>
                <w:rFonts w:cs="Arial"/>
                <w:szCs w:val="20"/>
              </w:rPr>
            </w:pPr>
            <w:r>
              <w:rPr>
                <w:rFonts w:cs="Arial"/>
                <w:szCs w:val="20"/>
              </w:rPr>
              <w:t>15</w:t>
            </w:r>
          </w:p>
        </w:tc>
        <w:tc>
          <w:tcPr>
            <w:tcW w:w="441" w:type="pct"/>
            <w:tcBorders>
              <w:top w:val="nil"/>
              <w:bottom w:val="nil"/>
            </w:tcBorders>
            <w:vAlign w:val="center"/>
          </w:tcPr>
          <w:p w:rsidR="0051253E" w:rsidRDefault="0051253E" w:rsidP="0051253E">
            <w:pPr>
              <w:ind w:left="-106" w:right="-70"/>
              <w:jc w:val="center"/>
              <w:rPr>
                <w:rFonts w:cs="Arial"/>
                <w:szCs w:val="20"/>
              </w:rPr>
            </w:pPr>
            <w:r>
              <w:rPr>
                <w:rFonts w:cs="Arial"/>
                <w:szCs w:val="20"/>
              </w:rPr>
              <w:t>7</w:t>
            </w:r>
          </w:p>
        </w:tc>
        <w:tc>
          <w:tcPr>
            <w:tcW w:w="329" w:type="pct"/>
            <w:tcBorders>
              <w:top w:val="nil"/>
              <w:bottom w:val="nil"/>
            </w:tcBorders>
            <w:vAlign w:val="center"/>
          </w:tcPr>
          <w:p w:rsidR="0051253E" w:rsidRDefault="0051253E" w:rsidP="0051253E">
            <w:pPr>
              <w:ind w:left="-106" w:right="-70"/>
              <w:jc w:val="center"/>
              <w:rPr>
                <w:rFonts w:cs="Arial"/>
                <w:szCs w:val="20"/>
              </w:rPr>
            </w:pPr>
            <w:r>
              <w:rPr>
                <w:rFonts w:cs="Arial"/>
                <w:szCs w:val="20"/>
              </w:rPr>
              <w:t>23</w:t>
            </w:r>
          </w:p>
        </w:tc>
        <w:tc>
          <w:tcPr>
            <w:tcW w:w="417" w:type="pct"/>
            <w:tcBorders>
              <w:top w:val="nil"/>
              <w:bottom w:val="nil"/>
            </w:tcBorders>
            <w:vAlign w:val="center"/>
          </w:tcPr>
          <w:p w:rsidR="0051253E" w:rsidRDefault="0051253E" w:rsidP="0051253E">
            <w:pPr>
              <w:ind w:left="-106" w:right="-70"/>
              <w:jc w:val="center"/>
              <w:rPr>
                <w:rFonts w:cs="Arial"/>
                <w:szCs w:val="20"/>
              </w:rPr>
            </w:pPr>
            <w:r>
              <w:rPr>
                <w:rFonts w:cs="Arial"/>
                <w:szCs w:val="20"/>
              </w:rPr>
              <w:t>-1</w:t>
            </w:r>
          </w:p>
        </w:tc>
        <w:tc>
          <w:tcPr>
            <w:tcW w:w="329" w:type="pct"/>
            <w:tcBorders>
              <w:top w:val="nil"/>
              <w:bottom w:val="nil"/>
            </w:tcBorders>
            <w:vAlign w:val="center"/>
          </w:tcPr>
          <w:p w:rsidR="0051253E" w:rsidRDefault="0051253E" w:rsidP="0051253E">
            <w:pPr>
              <w:ind w:left="-106" w:right="-70"/>
              <w:jc w:val="center"/>
              <w:rPr>
                <w:rFonts w:cs="Arial"/>
                <w:szCs w:val="20"/>
              </w:rPr>
            </w:pPr>
            <w:r>
              <w:rPr>
                <w:rFonts w:cs="Arial"/>
                <w:szCs w:val="20"/>
              </w:rPr>
              <w:t>22</w:t>
            </w:r>
          </w:p>
        </w:tc>
        <w:tc>
          <w:tcPr>
            <w:tcW w:w="310" w:type="pct"/>
            <w:tcBorders>
              <w:top w:val="nil"/>
              <w:bottom w:val="nil"/>
            </w:tcBorders>
            <w:vAlign w:val="center"/>
          </w:tcPr>
          <w:p w:rsidR="0051253E" w:rsidRDefault="0051253E" w:rsidP="0051253E">
            <w:pPr>
              <w:ind w:left="-106" w:right="-70"/>
              <w:jc w:val="center"/>
              <w:rPr>
                <w:rFonts w:cs="Arial"/>
                <w:szCs w:val="20"/>
              </w:rPr>
            </w:pPr>
            <w:r>
              <w:rPr>
                <w:rFonts w:cs="Arial"/>
                <w:szCs w:val="20"/>
              </w:rPr>
              <w:t>5</w:t>
            </w:r>
          </w:p>
        </w:tc>
        <w:tc>
          <w:tcPr>
            <w:tcW w:w="329" w:type="pct"/>
            <w:tcBorders>
              <w:top w:val="nil"/>
              <w:bottom w:val="nil"/>
            </w:tcBorders>
            <w:vAlign w:val="center"/>
          </w:tcPr>
          <w:p w:rsidR="0051253E" w:rsidRDefault="0051253E" w:rsidP="0051253E">
            <w:pPr>
              <w:ind w:left="-106" w:right="-70"/>
              <w:jc w:val="center"/>
              <w:rPr>
                <w:rFonts w:cs="Arial"/>
                <w:szCs w:val="20"/>
              </w:rPr>
            </w:pPr>
            <w:r>
              <w:rPr>
                <w:rFonts w:cs="Arial"/>
                <w:szCs w:val="20"/>
              </w:rPr>
              <w:t>16</w:t>
            </w:r>
          </w:p>
        </w:tc>
        <w:tc>
          <w:tcPr>
            <w:tcW w:w="363" w:type="pct"/>
            <w:tcBorders>
              <w:top w:val="nil"/>
              <w:bottom w:val="nil"/>
            </w:tcBorders>
            <w:vAlign w:val="center"/>
          </w:tcPr>
          <w:p w:rsidR="0051253E" w:rsidRDefault="0051253E" w:rsidP="0051253E">
            <w:pPr>
              <w:ind w:left="-106" w:right="-70"/>
              <w:jc w:val="center"/>
              <w:rPr>
                <w:rFonts w:cs="Arial"/>
                <w:szCs w:val="20"/>
              </w:rPr>
            </w:pPr>
            <w:r>
              <w:rPr>
                <w:rFonts w:cs="Arial"/>
                <w:szCs w:val="20"/>
              </w:rPr>
              <w:t>-3</w:t>
            </w:r>
          </w:p>
        </w:tc>
        <w:tc>
          <w:tcPr>
            <w:tcW w:w="330" w:type="pct"/>
            <w:tcBorders>
              <w:top w:val="nil"/>
              <w:bottom w:val="nil"/>
            </w:tcBorders>
            <w:vAlign w:val="center"/>
          </w:tcPr>
          <w:p w:rsidR="0051253E" w:rsidRDefault="0051253E" w:rsidP="0051253E">
            <w:pPr>
              <w:ind w:left="-106" w:right="-70"/>
              <w:jc w:val="center"/>
              <w:rPr>
                <w:rFonts w:cs="Arial"/>
                <w:szCs w:val="20"/>
              </w:rPr>
            </w:pPr>
            <w:r>
              <w:rPr>
                <w:rFonts w:cs="Arial"/>
                <w:szCs w:val="20"/>
              </w:rPr>
              <w:t>19</w:t>
            </w:r>
          </w:p>
        </w:tc>
        <w:tc>
          <w:tcPr>
            <w:tcW w:w="359" w:type="pct"/>
            <w:tcBorders>
              <w:top w:val="nil"/>
              <w:bottom w:val="nil"/>
            </w:tcBorders>
            <w:vAlign w:val="center"/>
          </w:tcPr>
          <w:p w:rsidR="0051253E" w:rsidRDefault="0051253E" w:rsidP="0051253E">
            <w:pPr>
              <w:ind w:left="-106" w:right="-70"/>
              <w:jc w:val="center"/>
              <w:rPr>
                <w:rFonts w:cs="Arial"/>
                <w:szCs w:val="20"/>
              </w:rPr>
            </w:pPr>
            <w:r>
              <w:rPr>
                <w:rFonts w:cs="Arial"/>
                <w:szCs w:val="20"/>
              </w:rPr>
              <w:t>-77</w:t>
            </w:r>
          </w:p>
        </w:tc>
        <w:tc>
          <w:tcPr>
            <w:tcW w:w="303" w:type="pct"/>
            <w:gridSpan w:val="2"/>
            <w:tcBorders>
              <w:top w:val="nil"/>
              <w:bottom w:val="nil"/>
            </w:tcBorders>
            <w:vAlign w:val="center"/>
          </w:tcPr>
          <w:p w:rsidR="0051253E" w:rsidRDefault="0051253E" w:rsidP="0051253E">
            <w:pPr>
              <w:ind w:left="-106" w:right="-70"/>
              <w:jc w:val="center"/>
              <w:rPr>
                <w:rFonts w:cs="Arial"/>
                <w:szCs w:val="20"/>
              </w:rPr>
            </w:pPr>
            <w:r>
              <w:rPr>
                <w:rFonts w:cs="Arial"/>
                <w:szCs w:val="20"/>
              </w:rPr>
              <w:t>-</w:t>
            </w:r>
          </w:p>
        </w:tc>
        <w:tc>
          <w:tcPr>
            <w:tcW w:w="412" w:type="pct"/>
            <w:tcBorders>
              <w:top w:val="nil"/>
              <w:bottom w:val="nil"/>
            </w:tcBorders>
            <w:vAlign w:val="center"/>
          </w:tcPr>
          <w:p w:rsidR="0051253E" w:rsidRDefault="0051253E" w:rsidP="0051253E">
            <w:pPr>
              <w:ind w:left="-106" w:right="-70"/>
              <w:jc w:val="center"/>
              <w:rPr>
                <w:rFonts w:cs="Arial"/>
                <w:szCs w:val="20"/>
              </w:rPr>
            </w:pPr>
            <w:r>
              <w:rPr>
                <w:rFonts w:cs="Arial"/>
                <w:szCs w:val="20"/>
              </w:rPr>
              <w:t>-</w:t>
            </w:r>
          </w:p>
        </w:tc>
      </w:tr>
      <w:tr w:rsidR="0051253E" w:rsidRPr="006A7228" w:rsidTr="00534DD9">
        <w:trPr>
          <w:trHeight w:val="510"/>
        </w:trPr>
        <w:tc>
          <w:tcPr>
            <w:tcW w:w="749" w:type="pct"/>
            <w:tcBorders>
              <w:top w:val="nil"/>
              <w:bottom w:val="nil"/>
            </w:tcBorders>
            <w:vAlign w:val="center"/>
          </w:tcPr>
          <w:p w:rsidR="0051253E" w:rsidRDefault="0051253E">
            <w:pPr>
              <w:rPr>
                <w:rFonts w:cs="Arial"/>
                <w:sz w:val="16"/>
                <w:szCs w:val="16"/>
              </w:rPr>
            </w:pPr>
            <w:r>
              <w:rPr>
                <w:rFonts w:cs="Arial"/>
                <w:sz w:val="16"/>
                <w:szCs w:val="16"/>
              </w:rPr>
              <w:t>16-17 financial YTD</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7.93</w:t>
            </w:r>
          </w:p>
        </w:tc>
        <w:tc>
          <w:tcPr>
            <w:tcW w:w="441"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559</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7.72</w:t>
            </w:r>
          </w:p>
        </w:tc>
        <w:tc>
          <w:tcPr>
            <w:tcW w:w="417"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246</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8.46</w:t>
            </w:r>
          </w:p>
        </w:tc>
        <w:tc>
          <w:tcPr>
            <w:tcW w:w="310"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63</w:t>
            </w:r>
          </w:p>
        </w:tc>
        <w:tc>
          <w:tcPr>
            <w:tcW w:w="32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8.01</w:t>
            </w:r>
          </w:p>
        </w:tc>
        <w:tc>
          <w:tcPr>
            <w:tcW w:w="363"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84</w:t>
            </w:r>
          </w:p>
        </w:tc>
        <w:tc>
          <w:tcPr>
            <w:tcW w:w="330"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8.33</w:t>
            </w:r>
          </w:p>
        </w:tc>
        <w:tc>
          <w:tcPr>
            <w:tcW w:w="359"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5939</w:t>
            </w:r>
          </w:p>
        </w:tc>
        <w:tc>
          <w:tcPr>
            <w:tcW w:w="303" w:type="pct"/>
            <w:gridSpan w:val="2"/>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51253E" w:rsidRDefault="0051253E" w:rsidP="0051253E">
            <w:pPr>
              <w:ind w:left="-106" w:right="-70"/>
              <w:jc w:val="center"/>
              <w:rPr>
                <w:rFonts w:cs="Arial"/>
                <w:sz w:val="20"/>
                <w:szCs w:val="20"/>
              </w:rPr>
            </w:pPr>
            <w:r>
              <w:rPr>
                <w:rFonts w:cs="Arial"/>
                <w:sz w:val="20"/>
                <w:szCs w:val="20"/>
              </w:rPr>
              <w:t>-</w:t>
            </w:r>
          </w:p>
        </w:tc>
      </w:tr>
      <w:tr w:rsidR="0051253E"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51253E" w:rsidRDefault="0051253E">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82</w:t>
            </w:r>
          </w:p>
        </w:tc>
        <w:tc>
          <w:tcPr>
            <w:tcW w:w="441"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68</w:t>
            </w:r>
          </w:p>
        </w:tc>
        <w:tc>
          <w:tcPr>
            <w:tcW w:w="417"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4</w:t>
            </w:r>
          </w:p>
        </w:tc>
        <w:tc>
          <w:tcPr>
            <w:tcW w:w="329"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64</w:t>
            </w:r>
          </w:p>
        </w:tc>
        <w:tc>
          <w:tcPr>
            <w:tcW w:w="310"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105</w:t>
            </w:r>
          </w:p>
        </w:tc>
        <w:tc>
          <w:tcPr>
            <w:tcW w:w="363"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-4</w:t>
            </w:r>
          </w:p>
        </w:tc>
        <w:tc>
          <w:tcPr>
            <w:tcW w:w="330"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126</w:t>
            </w:r>
          </w:p>
        </w:tc>
        <w:tc>
          <w:tcPr>
            <w:tcW w:w="359"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8</w:t>
            </w:r>
          </w:p>
        </w:tc>
        <w:tc>
          <w:tcPr>
            <w:tcW w:w="303" w:type="pct"/>
            <w:gridSpan w:val="2"/>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51253E" w:rsidRDefault="0051253E" w:rsidP="0051253E">
            <w:pPr>
              <w:ind w:left="-106" w:right="-70"/>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113F07">
        <w:fldChar w:fldCharType="begin"/>
      </w:r>
      <w:r w:rsidR="00113F07">
        <w:instrText xml:space="preserve"> SEQ Figure \* ARABIC </w:instrText>
      </w:r>
      <w:r w:rsidR="00113F07">
        <w:fldChar w:fldCharType="separate"/>
      </w:r>
      <w:r>
        <w:rPr>
          <w:noProof/>
        </w:rPr>
        <w:t>2</w:t>
      </w:r>
      <w:r w:rsidR="00113F07">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51253E" w:rsidP="001521CB">
      <w:r w:rsidRPr="006D4AE1">
        <w:rPr>
          <w:noProof/>
          <w:lang w:eastAsia="en-AU"/>
        </w:rPr>
        <w:drawing>
          <wp:inline distT="0" distB="0" distL="0" distR="0" wp14:anchorId="0BDCCEBE" wp14:editId="30F3F34A">
            <wp:extent cx="5731510" cy="354774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45"/>
                    </a:xfrm>
                    <a:prstGeom prst="rect">
                      <a:avLst/>
                    </a:prstGeom>
                    <a:noFill/>
                    <a:ln>
                      <a:noFill/>
                    </a:ln>
                  </pic:spPr>
                </pic:pic>
              </a:graphicData>
            </a:graphic>
          </wp:inline>
        </w:drawing>
      </w:r>
    </w:p>
    <w:p w:rsidR="00634A1D" w:rsidRDefault="00634A1D" w:rsidP="00F26128">
      <w:pPr>
        <w:pStyle w:val="AERbodytext"/>
      </w:pP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113F07">
        <w:fldChar w:fldCharType="begin"/>
      </w:r>
      <w:r w:rsidR="00113F07">
        <w:instrText xml:space="preserve"> SEQ Figure \* ARABIC </w:instrText>
      </w:r>
      <w:r w:rsidR="00113F07">
        <w:fldChar w:fldCharType="separate"/>
      </w:r>
      <w:r>
        <w:rPr>
          <w:noProof/>
        </w:rPr>
        <w:t>3</w:t>
      </w:r>
      <w:r w:rsidR="00113F07">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51253E" w:rsidRPr="00405CDE" w:rsidTr="00534DD9">
        <w:trPr>
          <w:trHeight w:val="510"/>
        </w:trPr>
        <w:tc>
          <w:tcPr>
            <w:tcW w:w="1585" w:type="pct"/>
            <w:tcBorders>
              <w:top w:val="nil"/>
              <w:bottom w:val="nil"/>
            </w:tcBorders>
            <w:vAlign w:val="center"/>
          </w:tcPr>
          <w:p w:rsidR="0051253E" w:rsidRDefault="0051253E">
            <w:pPr>
              <w:rPr>
                <w:rFonts w:cs="Arial"/>
                <w:sz w:val="16"/>
                <w:szCs w:val="16"/>
              </w:rPr>
            </w:pPr>
            <w:r>
              <w:rPr>
                <w:rFonts w:cs="Arial"/>
                <w:sz w:val="16"/>
                <w:szCs w:val="16"/>
              </w:rPr>
              <w:t>05 Feb - 11 Feb 2017</w:t>
            </w:r>
          </w:p>
        </w:tc>
        <w:tc>
          <w:tcPr>
            <w:tcW w:w="993" w:type="pct"/>
            <w:tcBorders>
              <w:top w:val="nil"/>
              <w:bottom w:val="nil"/>
            </w:tcBorders>
            <w:vAlign w:val="center"/>
          </w:tcPr>
          <w:p w:rsidR="0051253E" w:rsidRDefault="00634A1D">
            <w:pPr>
              <w:jc w:val="center"/>
              <w:rPr>
                <w:rFonts w:cs="Arial"/>
                <w:sz w:val="20"/>
                <w:szCs w:val="20"/>
              </w:rPr>
            </w:pPr>
            <w:r>
              <w:rPr>
                <w:rFonts w:cs="Arial"/>
                <w:sz w:val="20"/>
                <w:szCs w:val="20"/>
              </w:rPr>
              <w:t>-</w:t>
            </w:r>
          </w:p>
        </w:tc>
        <w:tc>
          <w:tcPr>
            <w:tcW w:w="758" w:type="pct"/>
            <w:tcBorders>
              <w:top w:val="nil"/>
              <w:bottom w:val="nil"/>
            </w:tcBorders>
            <w:vAlign w:val="center"/>
          </w:tcPr>
          <w:p w:rsidR="0051253E" w:rsidRDefault="0051253E">
            <w:pPr>
              <w:jc w:val="center"/>
              <w:rPr>
                <w:rFonts w:cs="Arial"/>
                <w:sz w:val="20"/>
                <w:szCs w:val="20"/>
              </w:rPr>
            </w:pPr>
            <w:r>
              <w:rPr>
                <w:rFonts w:cs="Arial"/>
                <w:sz w:val="20"/>
                <w:szCs w:val="20"/>
              </w:rPr>
              <w:t>61.64</w:t>
            </w:r>
          </w:p>
        </w:tc>
        <w:tc>
          <w:tcPr>
            <w:tcW w:w="831" w:type="pct"/>
            <w:tcBorders>
              <w:top w:val="nil"/>
              <w:bottom w:val="nil"/>
            </w:tcBorders>
            <w:vAlign w:val="center"/>
          </w:tcPr>
          <w:p w:rsidR="0051253E" w:rsidRDefault="0051253E">
            <w:pPr>
              <w:jc w:val="center"/>
              <w:rPr>
                <w:rFonts w:cs="Arial"/>
                <w:sz w:val="20"/>
                <w:szCs w:val="20"/>
              </w:rPr>
            </w:pPr>
            <w:r>
              <w:rPr>
                <w:rFonts w:cs="Arial"/>
                <w:sz w:val="20"/>
                <w:szCs w:val="20"/>
              </w:rPr>
              <w:t>4.22</w:t>
            </w:r>
          </w:p>
        </w:tc>
        <w:tc>
          <w:tcPr>
            <w:tcW w:w="833" w:type="pct"/>
            <w:tcBorders>
              <w:top w:val="nil"/>
              <w:bottom w:val="nil"/>
            </w:tcBorders>
            <w:vAlign w:val="center"/>
          </w:tcPr>
          <w:p w:rsidR="0051253E" w:rsidRDefault="0051253E">
            <w:pPr>
              <w:jc w:val="center"/>
              <w:rPr>
                <w:rFonts w:cs="Arial"/>
                <w:sz w:val="20"/>
                <w:szCs w:val="20"/>
              </w:rPr>
            </w:pPr>
            <w:r>
              <w:rPr>
                <w:rFonts w:cs="Arial"/>
                <w:sz w:val="20"/>
                <w:szCs w:val="20"/>
              </w:rPr>
              <w:t>1.59</w:t>
            </w:r>
          </w:p>
        </w:tc>
      </w:tr>
      <w:tr w:rsidR="0051253E"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51253E" w:rsidRDefault="0051253E">
            <w:pPr>
              <w:rPr>
                <w:rFonts w:cs="Arial"/>
                <w:sz w:val="16"/>
                <w:szCs w:val="16"/>
              </w:rPr>
            </w:pPr>
            <w:r>
              <w:rPr>
                <w:rFonts w:cs="Arial"/>
                <w:sz w:val="16"/>
                <w:szCs w:val="16"/>
              </w:rPr>
              <w:t>% change from previous week</w:t>
            </w:r>
          </w:p>
        </w:tc>
        <w:tc>
          <w:tcPr>
            <w:tcW w:w="993" w:type="pct"/>
            <w:tcBorders>
              <w:top w:val="nil"/>
              <w:bottom w:val="nil"/>
            </w:tcBorders>
            <w:vAlign w:val="center"/>
          </w:tcPr>
          <w:p w:rsidR="0051253E" w:rsidRDefault="0051253E" w:rsidP="00634A1D">
            <w:pPr>
              <w:jc w:val="center"/>
              <w:rPr>
                <w:rFonts w:cs="Arial"/>
                <w:szCs w:val="20"/>
              </w:rPr>
            </w:pPr>
            <w:r>
              <w:rPr>
                <w:rFonts w:cs="Arial"/>
                <w:szCs w:val="20"/>
              </w:rPr>
              <w:t>-</w:t>
            </w:r>
          </w:p>
        </w:tc>
        <w:tc>
          <w:tcPr>
            <w:tcW w:w="758" w:type="pct"/>
            <w:tcBorders>
              <w:top w:val="nil"/>
              <w:bottom w:val="nil"/>
            </w:tcBorders>
            <w:vAlign w:val="center"/>
          </w:tcPr>
          <w:p w:rsidR="0051253E" w:rsidRDefault="0051253E">
            <w:pPr>
              <w:jc w:val="center"/>
              <w:rPr>
                <w:rFonts w:cs="Arial"/>
                <w:szCs w:val="20"/>
              </w:rPr>
            </w:pPr>
            <w:r>
              <w:rPr>
                <w:rFonts w:cs="Arial"/>
                <w:szCs w:val="20"/>
              </w:rPr>
              <w:t>54</w:t>
            </w:r>
          </w:p>
        </w:tc>
        <w:tc>
          <w:tcPr>
            <w:tcW w:w="831" w:type="pct"/>
            <w:tcBorders>
              <w:top w:val="nil"/>
              <w:bottom w:val="nil"/>
            </w:tcBorders>
            <w:vAlign w:val="center"/>
          </w:tcPr>
          <w:p w:rsidR="0051253E" w:rsidRDefault="0051253E">
            <w:pPr>
              <w:jc w:val="center"/>
              <w:rPr>
                <w:rFonts w:cs="Arial"/>
                <w:szCs w:val="20"/>
              </w:rPr>
            </w:pPr>
            <w:r>
              <w:rPr>
                <w:rFonts w:cs="Arial"/>
                <w:szCs w:val="20"/>
              </w:rPr>
              <w:t>-25</w:t>
            </w:r>
          </w:p>
        </w:tc>
        <w:tc>
          <w:tcPr>
            <w:tcW w:w="833" w:type="pct"/>
            <w:tcBorders>
              <w:top w:val="nil"/>
              <w:bottom w:val="nil"/>
            </w:tcBorders>
            <w:vAlign w:val="center"/>
          </w:tcPr>
          <w:p w:rsidR="0051253E" w:rsidRDefault="0051253E">
            <w:pPr>
              <w:jc w:val="center"/>
              <w:rPr>
                <w:rFonts w:cs="Arial"/>
                <w:szCs w:val="20"/>
              </w:rPr>
            </w:pPr>
            <w:r>
              <w:rPr>
                <w:rFonts w:cs="Arial"/>
                <w:szCs w:val="20"/>
              </w:rPr>
              <w:t>41</w:t>
            </w:r>
          </w:p>
        </w:tc>
      </w:tr>
      <w:tr w:rsidR="0051253E" w:rsidRPr="00405CDE" w:rsidTr="00534DD9">
        <w:trPr>
          <w:trHeight w:val="510"/>
        </w:trPr>
        <w:tc>
          <w:tcPr>
            <w:tcW w:w="1585" w:type="pct"/>
            <w:tcBorders>
              <w:top w:val="nil"/>
              <w:bottom w:val="nil"/>
            </w:tcBorders>
            <w:vAlign w:val="center"/>
          </w:tcPr>
          <w:p w:rsidR="0051253E" w:rsidRDefault="0051253E">
            <w:pPr>
              <w:rPr>
                <w:rFonts w:cs="Arial"/>
                <w:sz w:val="16"/>
                <w:szCs w:val="16"/>
              </w:rPr>
            </w:pPr>
            <w:r>
              <w:rPr>
                <w:rFonts w:cs="Arial"/>
                <w:sz w:val="16"/>
                <w:szCs w:val="16"/>
              </w:rPr>
              <w:t>16-17 financial YTD</w:t>
            </w:r>
          </w:p>
        </w:tc>
        <w:tc>
          <w:tcPr>
            <w:tcW w:w="993" w:type="pct"/>
            <w:tcBorders>
              <w:top w:val="nil"/>
              <w:bottom w:val="nil"/>
            </w:tcBorders>
            <w:vAlign w:val="center"/>
          </w:tcPr>
          <w:p w:rsidR="0051253E" w:rsidRDefault="0051253E">
            <w:pPr>
              <w:jc w:val="center"/>
              <w:rPr>
                <w:rFonts w:cs="Arial"/>
                <w:sz w:val="20"/>
                <w:szCs w:val="20"/>
              </w:rPr>
            </w:pPr>
            <w:r>
              <w:rPr>
                <w:rFonts w:cs="Arial"/>
                <w:sz w:val="20"/>
                <w:szCs w:val="20"/>
              </w:rPr>
              <w:t> </w:t>
            </w:r>
          </w:p>
        </w:tc>
        <w:tc>
          <w:tcPr>
            <w:tcW w:w="758" w:type="pct"/>
            <w:tcBorders>
              <w:top w:val="nil"/>
              <w:bottom w:val="nil"/>
            </w:tcBorders>
            <w:vAlign w:val="center"/>
          </w:tcPr>
          <w:p w:rsidR="0051253E" w:rsidRDefault="0051253E">
            <w:pPr>
              <w:jc w:val="center"/>
              <w:rPr>
                <w:rFonts w:cs="Arial"/>
                <w:sz w:val="20"/>
                <w:szCs w:val="20"/>
              </w:rPr>
            </w:pPr>
            <w:r>
              <w:rPr>
                <w:rFonts w:cs="Arial"/>
                <w:sz w:val="20"/>
                <w:szCs w:val="20"/>
              </w:rPr>
              <w:t>55.98</w:t>
            </w:r>
          </w:p>
        </w:tc>
        <w:tc>
          <w:tcPr>
            <w:tcW w:w="831" w:type="pct"/>
            <w:tcBorders>
              <w:top w:val="nil"/>
              <w:bottom w:val="nil"/>
            </w:tcBorders>
            <w:vAlign w:val="center"/>
          </w:tcPr>
          <w:p w:rsidR="0051253E" w:rsidRDefault="0051253E">
            <w:pPr>
              <w:jc w:val="center"/>
              <w:rPr>
                <w:rFonts w:cs="Arial"/>
                <w:sz w:val="20"/>
                <w:szCs w:val="20"/>
              </w:rPr>
            </w:pPr>
            <w:r>
              <w:rPr>
                <w:rFonts w:cs="Arial"/>
                <w:sz w:val="20"/>
                <w:szCs w:val="20"/>
              </w:rPr>
              <w:t>22.56</w:t>
            </w:r>
          </w:p>
        </w:tc>
        <w:tc>
          <w:tcPr>
            <w:tcW w:w="833" w:type="pct"/>
            <w:tcBorders>
              <w:top w:val="nil"/>
              <w:bottom w:val="nil"/>
            </w:tcBorders>
            <w:vAlign w:val="center"/>
          </w:tcPr>
          <w:p w:rsidR="0051253E" w:rsidRDefault="0051253E">
            <w:pPr>
              <w:jc w:val="center"/>
              <w:rPr>
                <w:rFonts w:cs="Arial"/>
                <w:sz w:val="20"/>
                <w:szCs w:val="20"/>
              </w:rPr>
            </w:pPr>
            <w:r>
              <w:rPr>
                <w:rFonts w:cs="Arial"/>
                <w:sz w:val="20"/>
                <w:szCs w:val="20"/>
              </w:rPr>
              <w:t>1.59</w:t>
            </w:r>
          </w:p>
        </w:tc>
      </w:tr>
      <w:tr w:rsidR="0051253E"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51253E" w:rsidRDefault="0051253E">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51253E" w:rsidRDefault="0051253E">
            <w:pPr>
              <w:jc w:val="center"/>
              <w:rPr>
                <w:rFonts w:cs="Arial"/>
                <w:szCs w:val="20"/>
              </w:rPr>
            </w:pPr>
            <w:r>
              <w:rPr>
                <w:rFonts w:cs="Arial"/>
                <w:szCs w:val="20"/>
              </w:rPr>
              <w:t> </w:t>
            </w:r>
          </w:p>
        </w:tc>
        <w:tc>
          <w:tcPr>
            <w:tcW w:w="758" w:type="pct"/>
            <w:tcBorders>
              <w:top w:val="nil"/>
              <w:bottom w:val="single" w:sz="4" w:space="0" w:color="auto"/>
            </w:tcBorders>
            <w:vAlign w:val="center"/>
          </w:tcPr>
          <w:p w:rsidR="0051253E" w:rsidRDefault="0051253E">
            <w:pPr>
              <w:jc w:val="center"/>
              <w:rPr>
                <w:rFonts w:cs="Arial"/>
                <w:szCs w:val="20"/>
              </w:rPr>
            </w:pPr>
            <w:r>
              <w:rPr>
                <w:rFonts w:cs="Arial"/>
                <w:szCs w:val="20"/>
              </w:rPr>
              <w:t>80</w:t>
            </w:r>
          </w:p>
        </w:tc>
        <w:tc>
          <w:tcPr>
            <w:tcW w:w="831" w:type="pct"/>
            <w:tcBorders>
              <w:top w:val="nil"/>
              <w:bottom w:val="single" w:sz="4" w:space="0" w:color="auto"/>
            </w:tcBorders>
            <w:vAlign w:val="center"/>
          </w:tcPr>
          <w:p w:rsidR="0051253E" w:rsidRDefault="0051253E">
            <w:pPr>
              <w:jc w:val="center"/>
              <w:rPr>
                <w:rFonts w:cs="Arial"/>
                <w:szCs w:val="20"/>
              </w:rPr>
            </w:pPr>
            <w:r>
              <w:rPr>
                <w:rFonts w:cs="Arial"/>
                <w:szCs w:val="20"/>
              </w:rPr>
              <w:t>166</w:t>
            </w:r>
          </w:p>
        </w:tc>
        <w:tc>
          <w:tcPr>
            <w:tcW w:w="833" w:type="pct"/>
            <w:tcBorders>
              <w:top w:val="nil"/>
              <w:bottom w:val="single" w:sz="4" w:space="0" w:color="auto"/>
            </w:tcBorders>
            <w:vAlign w:val="center"/>
          </w:tcPr>
          <w:p w:rsidR="0051253E" w:rsidRDefault="0051253E">
            <w:pPr>
              <w:jc w:val="center"/>
              <w:rPr>
                <w:rFonts w:cs="Arial"/>
                <w:szCs w:val="20"/>
              </w:rPr>
            </w:pPr>
            <w:r>
              <w:rPr>
                <w:rFonts w:cs="Arial"/>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634A1D" w:rsidRDefault="00634A1D">
      <w:pPr>
        <w:spacing w:line="240" w:lineRule="auto"/>
      </w:pPr>
      <w:r>
        <w:br w:type="page"/>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113F07">
        <w:fldChar w:fldCharType="begin"/>
      </w:r>
      <w:r w:rsidR="00113F07">
        <w:instrText xml:space="preserve"> SEQ Figure \* ARABIC </w:instrText>
      </w:r>
      <w:r w:rsidR="00113F07">
        <w:fldChar w:fldCharType="separate"/>
      </w:r>
      <w:r w:rsidR="00587CFB" w:rsidRPr="00552F68">
        <w:rPr>
          <w:noProof/>
        </w:rPr>
        <w:t>4</w:t>
      </w:r>
      <w:r w:rsidR="00113F07">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634A1D" w:rsidRPr="006A7228" w:rsidTr="00B302BF">
        <w:trPr>
          <w:trHeight w:val="510"/>
        </w:trPr>
        <w:tc>
          <w:tcPr>
            <w:tcW w:w="932" w:type="pct"/>
            <w:tcBorders>
              <w:top w:val="nil"/>
              <w:bottom w:val="nil"/>
            </w:tcBorders>
            <w:vAlign w:val="center"/>
          </w:tcPr>
          <w:p w:rsidR="00634A1D" w:rsidRDefault="00634A1D">
            <w:pPr>
              <w:rPr>
                <w:rFonts w:cs="Arial"/>
                <w:b/>
                <w:bCs/>
                <w:sz w:val="20"/>
                <w:szCs w:val="20"/>
              </w:rPr>
            </w:pPr>
            <w:r>
              <w:rPr>
                <w:rFonts w:cs="Arial"/>
                <w:b/>
                <w:bCs/>
                <w:sz w:val="20"/>
                <w:szCs w:val="20"/>
              </w:rPr>
              <w:t>Balance of day</w:t>
            </w:r>
          </w:p>
        </w:tc>
        <w:tc>
          <w:tcPr>
            <w:tcW w:w="350"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14.80</w:t>
            </w:r>
          </w:p>
        </w:tc>
        <w:tc>
          <w:tcPr>
            <w:tcW w:w="445"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4.2</w:t>
            </w:r>
          </w:p>
        </w:tc>
        <w:tc>
          <w:tcPr>
            <w:tcW w:w="400"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13.50</w:t>
            </w:r>
          </w:p>
        </w:tc>
        <w:tc>
          <w:tcPr>
            <w:tcW w:w="441"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16.2</w:t>
            </w:r>
          </w:p>
        </w:tc>
        <w:tc>
          <w:tcPr>
            <w:tcW w:w="355"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r>
      <w:tr w:rsidR="00634A1D"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634A1D" w:rsidRDefault="00634A1D">
            <w:pPr>
              <w:rPr>
                <w:rFonts w:cs="Arial"/>
                <w:b/>
                <w:bCs/>
                <w:szCs w:val="20"/>
              </w:rPr>
            </w:pPr>
            <w:r>
              <w:rPr>
                <w:rFonts w:cs="Arial"/>
                <w:b/>
                <w:bCs/>
                <w:szCs w:val="20"/>
              </w:rPr>
              <w:t>Daily</w:t>
            </w:r>
          </w:p>
        </w:tc>
        <w:tc>
          <w:tcPr>
            <w:tcW w:w="350" w:type="pct"/>
            <w:tcBorders>
              <w:top w:val="nil"/>
              <w:bottom w:val="nil"/>
            </w:tcBorders>
            <w:vAlign w:val="center"/>
          </w:tcPr>
          <w:p w:rsidR="00634A1D" w:rsidRDefault="00634A1D" w:rsidP="00634A1D">
            <w:pPr>
              <w:ind w:left="-105" w:right="-53"/>
              <w:jc w:val="center"/>
              <w:rPr>
                <w:rFonts w:cs="Arial"/>
                <w:szCs w:val="20"/>
              </w:rPr>
            </w:pPr>
            <w:r>
              <w:rPr>
                <w:rFonts w:cs="Arial"/>
                <w:szCs w:val="20"/>
              </w:rPr>
              <w:t>15.25</w:t>
            </w:r>
          </w:p>
        </w:tc>
        <w:tc>
          <w:tcPr>
            <w:tcW w:w="445" w:type="pct"/>
            <w:tcBorders>
              <w:top w:val="nil"/>
              <w:bottom w:val="nil"/>
            </w:tcBorders>
            <w:vAlign w:val="center"/>
          </w:tcPr>
          <w:p w:rsidR="00634A1D" w:rsidRDefault="00634A1D" w:rsidP="00634A1D">
            <w:pPr>
              <w:ind w:left="-105" w:right="-53"/>
              <w:jc w:val="center"/>
              <w:rPr>
                <w:rFonts w:cs="Arial"/>
                <w:szCs w:val="20"/>
              </w:rPr>
            </w:pPr>
            <w:r>
              <w:rPr>
                <w:rFonts w:cs="Arial"/>
                <w:szCs w:val="20"/>
              </w:rPr>
              <w:t>20.0</w:t>
            </w:r>
          </w:p>
        </w:tc>
        <w:tc>
          <w:tcPr>
            <w:tcW w:w="400" w:type="pct"/>
            <w:tcBorders>
              <w:top w:val="nil"/>
              <w:bottom w:val="nil"/>
            </w:tcBorders>
            <w:vAlign w:val="center"/>
          </w:tcPr>
          <w:p w:rsidR="00634A1D" w:rsidRDefault="00634A1D" w:rsidP="00634A1D">
            <w:pPr>
              <w:ind w:left="-105" w:right="-53"/>
              <w:jc w:val="center"/>
              <w:rPr>
                <w:rFonts w:cs="Arial"/>
                <w:szCs w:val="20"/>
              </w:rPr>
            </w:pPr>
            <w:r>
              <w:rPr>
                <w:rFonts w:cs="Arial"/>
                <w:szCs w:val="20"/>
              </w:rPr>
              <w:t>14.90</w:t>
            </w:r>
          </w:p>
        </w:tc>
        <w:tc>
          <w:tcPr>
            <w:tcW w:w="441" w:type="pct"/>
            <w:tcBorders>
              <w:top w:val="nil"/>
              <w:bottom w:val="nil"/>
            </w:tcBorders>
            <w:vAlign w:val="center"/>
          </w:tcPr>
          <w:p w:rsidR="00634A1D" w:rsidRDefault="00634A1D" w:rsidP="00634A1D">
            <w:pPr>
              <w:ind w:left="-105" w:right="-53"/>
              <w:jc w:val="center"/>
              <w:rPr>
                <w:rFonts w:cs="Arial"/>
                <w:szCs w:val="20"/>
              </w:rPr>
            </w:pPr>
            <w:r>
              <w:rPr>
                <w:rFonts w:cs="Arial"/>
                <w:szCs w:val="20"/>
              </w:rPr>
              <w:t>5.0</w:t>
            </w:r>
          </w:p>
        </w:tc>
        <w:tc>
          <w:tcPr>
            <w:tcW w:w="355"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2"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05"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1"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349"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0"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r>
      <w:tr w:rsidR="00634A1D" w:rsidRPr="006A7228" w:rsidTr="00B302BF">
        <w:trPr>
          <w:trHeight w:val="510"/>
        </w:trPr>
        <w:tc>
          <w:tcPr>
            <w:tcW w:w="932" w:type="pct"/>
            <w:tcBorders>
              <w:top w:val="nil"/>
              <w:bottom w:val="nil"/>
            </w:tcBorders>
            <w:vAlign w:val="center"/>
          </w:tcPr>
          <w:p w:rsidR="00634A1D" w:rsidRDefault="00634A1D">
            <w:pPr>
              <w:rPr>
                <w:rFonts w:cs="Arial"/>
                <w:b/>
                <w:bCs/>
                <w:sz w:val="20"/>
                <w:szCs w:val="20"/>
              </w:rPr>
            </w:pPr>
            <w:r>
              <w:rPr>
                <w:rFonts w:cs="Arial"/>
                <w:b/>
                <w:bCs/>
                <w:sz w:val="20"/>
                <w:szCs w:val="20"/>
              </w:rPr>
              <w:t>Day ahead</w:t>
            </w:r>
          </w:p>
        </w:tc>
        <w:tc>
          <w:tcPr>
            <w:tcW w:w="350"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15.13</w:t>
            </w:r>
          </w:p>
        </w:tc>
        <w:tc>
          <w:tcPr>
            <w:tcW w:w="445"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15.0</w:t>
            </w:r>
          </w:p>
        </w:tc>
        <w:tc>
          <w:tcPr>
            <w:tcW w:w="400"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14.43</w:t>
            </w:r>
          </w:p>
        </w:tc>
        <w:tc>
          <w:tcPr>
            <w:tcW w:w="441"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3.0</w:t>
            </w:r>
          </w:p>
        </w:tc>
        <w:tc>
          <w:tcPr>
            <w:tcW w:w="355"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634A1D" w:rsidRDefault="00634A1D" w:rsidP="00634A1D">
            <w:pPr>
              <w:ind w:left="-105" w:right="-53"/>
              <w:jc w:val="center"/>
              <w:rPr>
                <w:rFonts w:cs="Arial"/>
                <w:sz w:val="20"/>
                <w:szCs w:val="20"/>
              </w:rPr>
            </w:pPr>
            <w:r>
              <w:rPr>
                <w:rFonts w:cs="Arial"/>
                <w:sz w:val="20"/>
                <w:szCs w:val="20"/>
              </w:rPr>
              <w:t>-</w:t>
            </w:r>
          </w:p>
        </w:tc>
      </w:tr>
      <w:tr w:rsidR="00634A1D"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634A1D" w:rsidRDefault="00634A1D">
            <w:pPr>
              <w:rPr>
                <w:rFonts w:cs="Arial"/>
                <w:b/>
                <w:bCs/>
                <w:szCs w:val="20"/>
              </w:rPr>
            </w:pPr>
            <w:r>
              <w:rPr>
                <w:rFonts w:cs="Arial"/>
                <w:b/>
                <w:bCs/>
                <w:szCs w:val="20"/>
              </w:rPr>
              <w:t>Weekly</w:t>
            </w:r>
          </w:p>
        </w:tc>
        <w:tc>
          <w:tcPr>
            <w:tcW w:w="350"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5"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00"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1"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355"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2"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05"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1"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349"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c>
          <w:tcPr>
            <w:tcW w:w="440" w:type="pct"/>
            <w:tcBorders>
              <w:top w:val="nil"/>
              <w:bottom w:val="nil"/>
            </w:tcBorders>
            <w:vAlign w:val="center"/>
          </w:tcPr>
          <w:p w:rsidR="00634A1D" w:rsidRDefault="00634A1D" w:rsidP="00634A1D">
            <w:pPr>
              <w:ind w:left="-105" w:right="-53"/>
              <w:jc w:val="center"/>
              <w:rPr>
                <w:rFonts w:cs="Arial"/>
                <w:szCs w:val="20"/>
              </w:rPr>
            </w:pPr>
            <w:r>
              <w:rPr>
                <w:rFonts w:cs="Arial"/>
                <w:szCs w:val="20"/>
              </w:rPr>
              <w:t>-</w:t>
            </w:r>
          </w:p>
        </w:tc>
      </w:tr>
      <w:tr w:rsidR="00634A1D" w:rsidRPr="006A7228" w:rsidTr="00B302BF">
        <w:trPr>
          <w:trHeight w:val="510"/>
        </w:trPr>
        <w:tc>
          <w:tcPr>
            <w:tcW w:w="932" w:type="pct"/>
            <w:tcBorders>
              <w:top w:val="nil"/>
              <w:bottom w:val="single" w:sz="4" w:space="0" w:color="auto"/>
            </w:tcBorders>
            <w:vAlign w:val="center"/>
          </w:tcPr>
          <w:p w:rsidR="00634A1D" w:rsidRDefault="00634A1D">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634A1D" w:rsidRDefault="00634A1D" w:rsidP="00634A1D">
            <w:pPr>
              <w:ind w:left="-105" w:right="-53"/>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634A1D" w:rsidRDefault="00634A1D" w:rsidP="00A226E9">
      <w:pPr>
        <w:keepNext/>
      </w:pP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113F07">
        <w:fldChar w:fldCharType="begin"/>
      </w:r>
      <w:r w:rsidR="00113F07">
        <w:instrText xml:space="preserve"> SEQ Figure \* ARABIC </w:instrText>
      </w:r>
      <w:r w:rsidR="00113F07">
        <w:fldChar w:fldCharType="separate"/>
      </w:r>
      <w:r w:rsidR="00587CFB">
        <w:rPr>
          <w:noProof/>
        </w:rPr>
        <w:t>5</w:t>
      </w:r>
      <w:r w:rsidR="00113F07">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634A1D" w:rsidP="00E16EDC">
      <w:r w:rsidRPr="006D4AE1">
        <w:rPr>
          <w:noProof/>
          <w:lang w:eastAsia="en-AU"/>
        </w:rPr>
        <w:drawing>
          <wp:inline distT="0" distB="0" distL="0" distR="0" wp14:anchorId="255D1773" wp14:editId="7F5951F8">
            <wp:extent cx="5731510" cy="3178810"/>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8810"/>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634A1D" w:rsidRDefault="00634A1D">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634A1D" w:rsidRPr="0008082B" w:rsidRDefault="00634A1D" w:rsidP="00634A1D">
      <w:pPr>
        <w:jc w:val="both"/>
        <w:rPr>
          <w:i/>
        </w:rPr>
      </w:pPr>
      <w:r w:rsidRPr="0008082B">
        <w:rPr>
          <w:i/>
        </w:rPr>
        <w:t>High Gas</w:t>
      </w:r>
      <w:r>
        <w:rPr>
          <w:i/>
        </w:rPr>
        <w:t xml:space="preserve"> Power</w:t>
      </w:r>
      <w:r w:rsidRPr="0008082B">
        <w:rPr>
          <w:i/>
        </w:rPr>
        <w:t xml:space="preserve"> Generation</w:t>
      </w:r>
      <w:r>
        <w:rPr>
          <w:i/>
        </w:rPr>
        <w:t xml:space="preserve"> (GPG)</w:t>
      </w:r>
      <w:r w:rsidRPr="0008082B">
        <w:rPr>
          <w:i/>
        </w:rPr>
        <w:t xml:space="preserve"> Demand</w:t>
      </w:r>
      <w:r>
        <w:rPr>
          <w:i/>
        </w:rPr>
        <w:t xml:space="preserve"> </w:t>
      </w:r>
    </w:p>
    <w:p w:rsidR="00634A1D" w:rsidRDefault="00634A1D" w:rsidP="00634A1D">
      <w:pPr>
        <w:jc w:val="both"/>
      </w:pPr>
      <w:r w:rsidRPr="00A67759">
        <w:t xml:space="preserve">High gas demand from </w:t>
      </w:r>
      <w:r>
        <w:t xml:space="preserve">GPG continued </w:t>
      </w:r>
      <w:r w:rsidRPr="00A67759">
        <w:t xml:space="preserve">in Queensland </w:t>
      </w:r>
      <w:r>
        <w:t xml:space="preserve">averaging 289 TJ/d, whilst increasing </w:t>
      </w:r>
      <w:r w:rsidRPr="00A67759">
        <w:t xml:space="preserve">by </w:t>
      </w:r>
      <w:r>
        <w:t xml:space="preserve">approximately </w:t>
      </w:r>
      <w:r w:rsidRPr="00A67759">
        <w:t>87 per cent in New South Wales</w:t>
      </w:r>
      <w:r>
        <w:t xml:space="preserve"> to above 100 TJ/d</w:t>
      </w:r>
      <w:r w:rsidRPr="00A67759">
        <w:t xml:space="preserve">. </w:t>
      </w:r>
      <w:r>
        <w:t xml:space="preserve"> F</w:t>
      </w:r>
      <w:r w:rsidRPr="00A67759">
        <w:t xml:space="preserve">lows out of Victoria into New South Wales </w:t>
      </w:r>
      <w:r>
        <w:t xml:space="preserve">through </w:t>
      </w:r>
      <w:proofErr w:type="gramStart"/>
      <w:r>
        <w:t>the interconnect</w:t>
      </w:r>
      <w:proofErr w:type="gramEnd"/>
      <w:r>
        <w:t xml:space="preserve"> near Albury/Wodonga </w:t>
      </w:r>
      <w:r w:rsidRPr="00A67759">
        <w:t>were just short of record flow rates achieved in January 2017</w:t>
      </w:r>
      <w:r>
        <w:t xml:space="preserve"> (see figure 5.1)</w:t>
      </w:r>
      <w:r w:rsidRPr="00A67759">
        <w:t xml:space="preserve">. </w:t>
      </w:r>
    </w:p>
    <w:p w:rsidR="00634A1D" w:rsidRDefault="00634A1D" w:rsidP="00634A1D">
      <w:pPr>
        <w:jc w:val="both"/>
      </w:pPr>
      <w:r>
        <w:t>GPG demand was driven by continuing high temperatures across the east coast, with Brisbane experiencing a streak of days above 30 degrees since early January.</w:t>
      </w:r>
      <w:r>
        <w:rPr>
          <w:rStyle w:val="FootnoteReference"/>
        </w:rPr>
        <w:footnoteReference w:id="2"/>
      </w:r>
      <w:r>
        <w:t xml:space="preserve"> In South Australia, maximum temperatures were above 40 degrees over three consecutive days from 8 February.</w:t>
      </w:r>
    </w:p>
    <w:p w:rsidR="00634A1D" w:rsidRDefault="00634A1D" w:rsidP="00634A1D">
      <w:pPr>
        <w:jc w:val="both"/>
      </w:pPr>
      <w:r>
        <w:t>Collectively, this amounted to the highest GPG demand level in the</w:t>
      </w:r>
      <w:r w:rsidRPr="0008082B">
        <w:t xml:space="preserve"> </w:t>
      </w:r>
      <w:r>
        <w:t>National Electricity Market (NEM) since the start of winter last year at an estimated 747 TJ/d.</w:t>
      </w:r>
      <w:r w:rsidRPr="0008082B">
        <w:rPr>
          <w:rStyle w:val="FootnoteReference"/>
        </w:rPr>
        <w:t xml:space="preserve"> </w:t>
      </w:r>
      <w:r>
        <w:rPr>
          <w:rStyle w:val="FootnoteReference"/>
        </w:rPr>
        <w:footnoteReference w:id="3"/>
      </w:r>
      <w:r>
        <w:t xml:space="preserve"> </w:t>
      </w:r>
    </w:p>
    <w:p w:rsidR="00634A1D" w:rsidRPr="0008082B" w:rsidRDefault="00634A1D" w:rsidP="00634A1D">
      <w:pPr>
        <w:jc w:val="both"/>
        <w:rPr>
          <w:i/>
        </w:rPr>
      </w:pPr>
      <w:r>
        <w:rPr>
          <w:i/>
        </w:rPr>
        <w:t xml:space="preserve">High Gas Market prices </w:t>
      </w:r>
    </w:p>
    <w:p w:rsidR="00634A1D" w:rsidRDefault="00634A1D" w:rsidP="00634A1D">
      <w:pPr>
        <w:jc w:val="both"/>
      </w:pPr>
      <w:r>
        <w:t>High daily GPG usage levels in NSW from 9 to 11 February (151–206 TJ) drove  higher gas market prices in the Sydney hub (from $12.67–$15.95/GJ), as significant back haul quantities were traded through the market including to service GPG. On 9 February, there was 59 TJ of back haul allocated on the Eastern Gas Pipeline (EGP), with participants renominating “backhaul” flows with deliveries 44 TJ higher on-the-day compared to scheduled.</w:t>
      </w:r>
    </w:p>
    <w:p w:rsidR="00634A1D" w:rsidRDefault="00634A1D" w:rsidP="00634A1D">
      <w:pPr>
        <w:jc w:val="both"/>
      </w:pPr>
      <w:r>
        <w:t>In Adelaide, gas prices increased to $12.60/GJ on Thursday and reached over $14/GJ on the following days. A constraint at the Coomandook compressor near Adelaide led to an amber flag</w:t>
      </w:r>
      <w:r>
        <w:rPr>
          <w:rStyle w:val="FootnoteReference"/>
        </w:rPr>
        <w:footnoteReference w:id="4"/>
      </w:r>
      <w:r>
        <w:t xml:space="preserve"> being raised for flows on the </w:t>
      </w:r>
      <w:proofErr w:type="spellStart"/>
      <w:r>
        <w:t>SEAGas</w:t>
      </w:r>
      <w:proofErr w:type="spellEnd"/>
      <w:r>
        <w:t xml:space="preserve"> pipeline for the 9 February gas day, as record flow levels exceeded the standing capacity of the pipeline. This too, occurred as the region reached its highest GPG gas usage level for the week (351 TJ).</w:t>
      </w:r>
    </w:p>
    <w:p w:rsidR="00634A1D" w:rsidRDefault="00634A1D" w:rsidP="00634A1D">
      <w:pPr>
        <w:jc w:val="both"/>
      </w:pPr>
      <w:r>
        <w:t>Prices in Brisbane were consistently highest across all markets averaging $13.90/GJ. The adjacent Wallumbilla upstream gas supply hub exchange (GSH) price was slightly higher still at $14.60/GJ. The GSH can service large gas generation demand outside the Brisbane market so prices will not necessarily “align” with the downstream Brisbane price which incorporates only a 70 TJ subset of Queensland demand.</w:t>
      </w:r>
    </w:p>
    <w:p w:rsidR="00634A1D" w:rsidRPr="0008082B" w:rsidRDefault="00634A1D" w:rsidP="00634A1D">
      <w:pPr>
        <w:jc w:val="both"/>
        <w:rPr>
          <w:i/>
        </w:rPr>
      </w:pPr>
      <w:r>
        <w:rPr>
          <w:i/>
        </w:rPr>
        <w:t>High MOS payment in Sydney</w:t>
      </w:r>
    </w:p>
    <w:p w:rsidR="00634A1D" w:rsidRPr="001521CB" w:rsidRDefault="00634A1D" w:rsidP="00634A1D">
      <w:pPr>
        <w:jc w:val="both"/>
      </w:pPr>
      <w:r>
        <w:t xml:space="preserve">Demand forecasting error contributed to high MOS payments on 9 and 11 February, reaching $179,105 and $91,234 respectively. The MOS Service requirement on 9 February was largely driven by over forecasting. </w:t>
      </w:r>
    </w:p>
    <w:p w:rsidR="00634A1D" w:rsidRPr="0008082B" w:rsidRDefault="00634A1D" w:rsidP="00634A1D">
      <w:pPr>
        <w:jc w:val="both"/>
        <w:rPr>
          <w:i/>
        </w:rPr>
      </w:pPr>
      <w:r>
        <w:rPr>
          <w:i/>
        </w:rPr>
        <w:t>Longford production flow dips</w:t>
      </w:r>
    </w:p>
    <w:p w:rsidR="001521CB" w:rsidRDefault="00634A1D" w:rsidP="00634A1D">
      <w:pPr>
        <w:rPr>
          <w:rFonts w:eastAsiaTheme="majorEastAsia" w:cstheme="majorBidi"/>
          <w:b/>
          <w:bCs/>
          <w:color w:val="51626F"/>
          <w:sz w:val="28"/>
          <w:szCs w:val="26"/>
        </w:rPr>
      </w:pPr>
      <w:r>
        <w:t>In the Victorian market, flows at Longford were constrained to a maximum of 438.5 TJ/day and 450 TJ/day on 7 and 9 February respectively. These constraints were applied after the commencement of each gas day and manifested in production dips and higher next schedule prices (see figures 1.1 and 1.5).</w:t>
      </w:r>
      <w:r w:rsidR="001521CB">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634A1D" w:rsidP="003171C6">
      <w:r w:rsidRPr="006D4AE1">
        <w:rPr>
          <w:noProof/>
          <w:lang w:eastAsia="en-AU"/>
        </w:rPr>
        <w:drawing>
          <wp:inline distT="0" distB="0" distL="0" distR="0" wp14:anchorId="116F029F" wp14:editId="6AC4583D">
            <wp:extent cx="5731510" cy="1649730"/>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49730"/>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634A1D" w:rsidP="003171C6">
      <w:r w:rsidRPr="006D4AE1">
        <w:rPr>
          <w:noProof/>
          <w:lang w:eastAsia="en-AU"/>
        </w:rPr>
        <w:drawing>
          <wp:inline distT="0" distB="0" distL="0" distR="0" wp14:anchorId="6DABF2F4" wp14:editId="789459F2">
            <wp:extent cx="5731510" cy="2131695"/>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1695"/>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634A1D" w:rsidP="003171C6">
      <w:r w:rsidRPr="006D4AE1">
        <w:rPr>
          <w:noProof/>
          <w:lang w:eastAsia="en-AU"/>
        </w:rPr>
        <w:drawing>
          <wp:inline distT="0" distB="0" distL="0" distR="0" wp14:anchorId="510D94DB" wp14:editId="111484C1">
            <wp:extent cx="5731510" cy="2486660"/>
            <wp:effectExtent l="0" t="0" r="2540" b="8890"/>
            <wp:docPr id="10" name="Picture 10"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86660"/>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634A1D" w:rsidP="003171C6">
      <w:r w:rsidRPr="006D4AE1">
        <w:rPr>
          <w:noProof/>
          <w:lang w:eastAsia="en-AU"/>
        </w:rPr>
        <w:drawing>
          <wp:inline distT="0" distB="0" distL="0" distR="0" wp14:anchorId="4B029975" wp14:editId="3DC5F1E0">
            <wp:extent cx="5731510" cy="1958340"/>
            <wp:effectExtent l="0" t="0" r="2540" b="3810"/>
            <wp:docPr id="11" name="Picture 11"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58340"/>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634A1D" w:rsidP="003171C6">
      <w:r w:rsidRPr="002F64B1">
        <w:rPr>
          <w:noProof/>
          <w:lang w:eastAsia="en-AU"/>
        </w:rPr>
        <w:drawing>
          <wp:inline distT="0" distB="0" distL="0" distR="0" wp14:anchorId="7B03B86B" wp14:editId="58C6CFC4">
            <wp:extent cx="5731510" cy="2142490"/>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42490"/>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34A1D" w:rsidRPr="00405CDE" w:rsidTr="00A226E9">
        <w:trPr>
          <w:trHeight w:val="510"/>
        </w:trPr>
        <w:tc>
          <w:tcPr>
            <w:tcW w:w="1211" w:type="pct"/>
            <w:tcBorders>
              <w:top w:val="nil"/>
              <w:bottom w:val="nil"/>
            </w:tcBorders>
            <w:vAlign w:val="center"/>
          </w:tcPr>
          <w:p w:rsidR="00634A1D" w:rsidRDefault="00634A1D">
            <w:pPr>
              <w:rPr>
                <w:rFonts w:cs="Arial"/>
                <w:sz w:val="20"/>
                <w:szCs w:val="20"/>
              </w:rPr>
            </w:pPr>
            <w:r>
              <w:rPr>
                <w:rFonts w:cs="Arial"/>
                <w:sz w:val="20"/>
                <w:szCs w:val="20"/>
              </w:rPr>
              <w:t>Ex ante price ($/GJ)</w:t>
            </w:r>
          </w:p>
        </w:tc>
        <w:tc>
          <w:tcPr>
            <w:tcW w:w="580" w:type="pct"/>
            <w:tcBorders>
              <w:top w:val="nil"/>
              <w:bottom w:val="nil"/>
            </w:tcBorders>
            <w:vAlign w:val="center"/>
          </w:tcPr>
          <w:p w:rsidR="00634A1D" w:rsidRDefault="00634A1D">
            <w:pPr>
              <w:jc w:val="center"/>
              <w:rPr>
                <w:rFonts w:cs="Arial"/>
                <w:sz w:val="20"/>
                <w:szCs w:val="20"/>
              </w:rPr>
            </w:pPr>
            <w:r>
              <w:rPr>
                <w:rFonts w:cs="Arial"/>
                <w:sz w:val="20"/>
                <w:szCs w:val="20"/>
              </w:rPr>
              <w:t>9.46</w:t>
            </w:r>
          </w:p>
        </w:tc>
        <w:tc>
          <w:tcPr>
            <w:tcW w:w="508" w:type="pct"/>
            <w:tcBorders>
              <w:top w:val="nil"/>
              <w:bottom w:val="nil"/>
            </w:tcBorders>
            <w:vAlign w:val="center"/>
          </w:tcPr>
          <w:p w:rsidR="00634A1D" w:rsidRDefault="00634A1D">
            <w:pPr>
              <w:jc w:val="center"/>
              <w:rPr>
                <w:rFonts w:cs="Arial"/>
                <w:sz w:val="20"/>
                <w:szCs w:val="20"/>
              </w:rPr>
            </w:pPr>
            <w:r>
              <w:rPr>
                <w:rFonts w:cs="Arial"/>
                <w:sz w:val="20"/>
                <w:szCs w:val="20"/>
              </w:rPr>
              <w:t>9.41</w:t>
            </w:r>
          </w:p>
        </w:tc>
        <w:tc>
          <w:tcPr>
            <w:tcW w:w="589" w:type="pct"/>
            <w:tcBorders>
              <w:top w:val="nil"/>
              <w:bottom w:val="nil"/>
            </w:tcBorders>
            <w:vAlign w:val="center"/>
          </w:tcPr>
          <w:p w:rsidR="00634A1D" w:rsidRDefault="00634A1D">
            <w:pPr>
              <w:jc w:val="center"/>
              <w:rPr>
                <w:rFonts w:cs="Arial"/>
                <w:sz w:val="20"/>
                <w:szCs w:val="20"/>
              </w:rPr>
            </w:pPr>
            <w:r>
              <w:rPr>
                <w:rFonts w:cs="Arial"/>
                <w:sz w:val="20"/>
                <w:szCs w:val="20"/>
              </w:rPr>
              <w:t>9.12</w:t>
            </w:r>
          </w:p>
        </w:tc>
        <w:tc>
          <w:tcPr>
            <w:tcW w:w="517" w:type="pct"/>
            <w:tcBorders>
              <w:top w:val="nil"/>
              <w:bottom w:val="nil"/>
            </w:tcBorders>
            <w:vAlign w:val="center"/>
          </w:tcPr>
          <w:p w:rsidR="00634A1D" w:rsidRDefault="00634A1D">
            <w:pPr>
              <w:jc w:val="center"/>
              <w:rPr>
                <w:rFonts w:cs="Arial"/>
                <w:sz w:val="20"/>
                <w:szCs w:val="20"/>
              </w:rPr>
            </w:pPr>
            <w:r>
              <w:rPr>
                <w:rFonts w:cs="Arial"/>
                <w:sz w:val="20"/>
                <w:szCs w:val="20"/>
              </w:rPr>
              <w:t>11.20</w:t>
            </w:r>
          </w:p>
        </w:tc>
        <w:tc>
          <w:tcPr>
            <w:tcW w:w="510" w:type="pct"/>
            <w:tcBorders>
              <w:top w:val="nil"/>
              <w:bottom w:val="nil"/>
            </w:tcBorders>
            <w:vAlign w:val="center"/>
          </w:tcPr>
          <w:p w:rsidR="00634A1D" w:rsidRDefault="00634A1D">
            <w:pPr>
              <w:jc w:val="center"/>
              <w:rPr>
                <w:rFonts w:cs="Arial"/>
                <w:sz w:val="20"/>
                <w:szCs w:val="20"/>
              </w:rPr>
            </w:pPr>
            <w:r>
              <w:rPr>
                <w:rFonts w:cs="Arial"/>
                <w:sz w:val="20"/>
                <w:szCs w:val="20"/>
              </w:rPr>
              <w:t>14.50</w:t>
            </w:r>
          </w:p>
        </w:tc>
        <w:tc>
          <w:tcPr>
            <w:tcW w:w="507" w:type="pct"/>
            <w:tcBorders>
              <w:top w:val="nil"/>
              <w:bottom w:val="nil"/>
            </w:tcBorders>
            <w:vAlign w:val="center"/>
          </w:tcPr>
          <w:p w:rsidR="00634A1D" w:rsidRDefault="00634A1D">
            <w:pPr>
              <w:jc w:val="center"/>
              <w:rPr>
                <w:rFonts w:cs="Arial"/>
                <w:sz w:val="20"/>
                <w:szCs w:val="20"/>
              </w:rPr>
            </w:pPr>
            <w:r>
              <w:rPr>
                <w:rFonts w:cs="Arial"/>
                <w:sz w:val="20"/>
                <w:szCs w:val="20"/>
              </w:rPr>
              <w:t>12.67</w:t>
            </w:r>
          </w:p>
        </w:tc>
        <w:tc>
          <w:tcPr>
            <w:tcW w:w="578" w:type="pct"/>
            <w:tcBorders>
              <w:top w:val="nil"/>
              <w:bottom w:val="nil"/>
            </w:tcBorders>
            <w:vAlign w:val="center"/>
          </w:tcPr>
          <w:p w:rsidR="00634A1D" w:rsidRDefault="00634A1D">
            <w:pPr>
              <w:jc w:val="center"/>
              <w:rPr>
                <w:rFonts w:cs="Arial"/>
                <w:sz w:val="20"/>
                <w:szCs w:val="20"/>
              </w:rPr>
            </w:pPr>
            <w:r>
              <w:rPr>
                <w:rFonts w:cs="Arial"/>
                <w:sz w:val="20"/>
                <w:szCs w:val="20"/>
              </w:rPr>
              <w:t>16.79</w:t>
            </w:r>
          </w:p>
        </w:tc>
      </w:tr>
      <w:tr w:rsidR="00634A1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634A1D" w:rsidRDefault="00634A1D">
            <w:pPr>
              <w:rPr>
                <w:rFonts w:cs="Arial"/>
                <w:szCs w:val="20"/>
              </w:rPr>
            </w:pPr>
            <w:r>
              <w:rPr>
                <w:rFonts w:cs="Arial"/>
                <w:szCs w:val="20"/>
              </w:rPr>
              <w:t>Ex ante quantity (TJ)</w:t>
            </w:r>
          </w:p>
        </w:tc>
        <w:tc>
          <w:tcPr>
            <w:tcW w:w="580" w:type="pct"/>
            <w:tcBorders>
              <w:top w:val="nil"/>
              <w:bottom w:val="nil"/>
            </w:tcBorders>
            <w:vAlign w:val="center"/>
          </w:tcPr>
          <w:p w:rsidR="00634A1D" w:rsidRDefault="00634A1D">
            <w:pPr>
              <w:jc w:val="center"/>
              <w:rPr>
                <w:rFonts w:cs="Arial"/>
                <w:szCs w:val="20"/>
              </w:rPr>
            </w:pPr>
            <w:r>
              <w:rPr>
                <w:rFonts w:cs="Arial"/>
                <w:szCs w:val="20"/>
              </w:rPr>
              <w:t>209</w:t>
            </w:r>
          </w:p>
        </w:tc>
        <w:tc>
          <w:tcPr>
            <w:tcW w:w="508" w:type="pct"/>
            <w:tcBorders>
              <w:top w:val="nil"/>
              <w:bottom w:val="nil"/>
            </w:tcBorders>
            <w:vAlign w:val="center"/>
          </w:tcPr>
          <w:p w:rsidR="00634A1D" w:rsidRDefault="00634A1D">
            <w:pPr>
              <w:jc w:val="center"/>
              <w:rPr>
                <w:rFonts w:cs="Arial"/>
                <w:szCs w:val="20"/>
              </w:rPr>
            </w:pPr>
            <w:r>
              <w:rPr>
                <w:rFonts w:cs="Arial"/>
                <w:szCs w:val="20"/>
              </w:rPr>
              <w:t>238</w:t>
            </w:r>
          </w:p>
        </w:tc>
        <w:tc>
          <w:tcPr>
            <w:tcW w:w="589" w:type="pct"/>
            <w:tcBorders>
              <w:top w:val="nil"/>
              <w:bottom w:val="nil"/>
            </w:tcBorders>
            <w:vAlign w:val="center"/>
          </w:tcPr>
          <w:p w:rsidR="00634A1D" w:rsidRDefault="00634A1D">
            <w:pPr>
              <w:jc w:val="center"/>
              <w:rPr>
                <w:rFonts w:cs="Arial"/>
                <w:szCs w:val="20"/>
              </w:rPr>
            </w:pPr>
            <w:r>
              <w:rPr>
                <w:rFonts w:cs="Arial"/>
                <w:szCs w:val="20"/>
              </w:rPr>
              <w:t>247</w:t>
            </w:r>
          </w:p>
        </w:tc>
        <w:tc>
          <w:tcPr>
            <w:tcW w:w="517" w:type="pct"/>
            <w:tcBorders>
              <w:top w:val="nil"/>
              <w:bottom w:val="nil"/>
            </w:tcBorders>
            <w:vAlign w:val="center"/>
          </w:tcPr>
          <w:p w:rsidR="00634A1D" w:rsidRDefault="00634A1D">
            <w:pPr>
              <w:jc w:val="center"/>
              <w:rPr>
                <w:rFonts w:cs="Arial"/>
                <w:szCs w:val="20"/>
              </w:rPr>
            </w:pPr>
            <w:r>
              <w:rPr>
                <w:rFonts w:cs="Arial"/>
                <w:szCs w:val="20"/>
              </w:rPr>
              <w:t>230</w:t>
            </w:r>
          </w:p>
        </w:tc>
        <w:tc>
          <w:tcPr>
            <w:tcW w:w="510" w:type="pct"/>
            <w:tcBorders>
              <w:top w:val="nil"/>
              <w:bottom w:val="nil"/>
            </w:tcBorders>
            <w:vAlign w:val="center"/>
          </w:tcPr>
          <w:p w:rsidR="00634A1D" w:rsidRDefault="00634A1D">
            <w:pPr>
              <w:jc w:val="center"/>
              <w:rPr>
                <w:rFonts w:cs="Arial"/>
                <w:szCs w:val="20"/>
              </w:rPr>
            </w:pPr>
            <w:r>
              <w:rPr>
                <w:rFonts w:cs="Arial"/>
                <w:szCs w:val="20"/>
              </w:rPr>
              <w:t>232</w:t>
            </w:r>
          </w:p>
        </w:tc>
        <w:tc>
          <w:tcPr>
            <w:tcW w:w="507" w:type="pct"/>
            <w:tcBorders>
              <w:top w:val="nil"/>
              <w:bottom w:val="nil"/>
            </w:tcBorders>
            <w:vAlign w:val="center"/>
          </w:tcPr>
          <w:p w:rsidR="00634A1D" w:rsidRDefault="00634A1D">
            <w:pPr>
              <w:jc w:val="center"/>
              <w:rPr>
                <w:rFonts w:cs="Arial"/>
                <w:szCs w:val="20"/>
              </w:rPr>
            </w:pPr>
            <w:r>
              <w:rPr>
                <w:rFonts w:cs="Arial"/>
                <w:szCs w:val="20"/>
              </w:rPr>
              <w:t>207</w:t>
            </w:r>
          </w:p>
        </w:tc>
        <w:tc>
          <w:tcPr>
            <w:tcW w:w="578" w:type="pct"/>
            <w:tcBorders>
              <w:top w:val="nil"/>
              <w:bottom w:val="nil"/>
            </w:tcBorders>
            <w:vAlign w:val="center"/>
          </w:tcPr>
          <w:p w:rsidR="00634A1D" w:rsidRDefault="00634A1D">
            <w:pPr>
              <w:jc w:val="center"/>
              <w:rPr>
                <w:rFonts w:cs="Arial"/>
                <w:szCs w:val="20"/>
              </w:rPr>
            </w:pPr>
            <w:r>
              <w:rPr>
                <w:rFonts w:cs="Arial"/>
                <w:szCs w:val="20"/>
              </w:rPr>
              <w:t>214</w:t>
            </w:r>
          </w:p>
        </w:tc>
      </w:tr>
      <w:tr w:rsidR="00634A1D" w:rsidRPr="00405CDE" w:rsidTr="00A226E9">
        <w:trPr>
          <w:trHeight w:val="510"/>
        </w:trPr>
        <w:tc>
          <w:tcPr>
            <w:tcW w:w="1211" w:type="pct"/>
            <w:tcBorders>
              <w:top w:val="nil"/>
              <w:bottom w:val="nil"/>
            </w:tcBorders>
            <w:vAlign w:val="center"/>
          </w:tcPr>
          <w:p w:rsidR="00634A1D" w:rsidRDefault="00634A1D">
            <w:pPr>
              <w:rPr>
                <w:rFonts w:cs="Arial"/>
                <w:sz w:val="20"/>
                <w:szCs w:val="20"/>
              </w:rPr>
            </w:pPr>
            <w:r>
              <w:rPr>
                <w:rFonts w:cs="Arial"/>
                <w:sz w:val="20"/>
                <w:szCs w:val="20"/>
              </w:rPr>
              <w:t>Ex post price ($/GJ)</w:t>
            </w:r>
          </w:p>
        </w:tc>
        <w:tc>
          <w:tcPr>
            <w:tcW w:w="580" w:type="pct"/>
            <w:tcBorders>
              <w:top w:val="nil"/>
              <w:bottom w:val="nil"/>
            </w:tcBorders>
            <w:vAlign w:val="center"/>
          </w:tcPr>
          <w:p w:rsidR="00634A1D" w:rsidRDefault="00634A1D">
            <w:pPr>
              <w:jc w:val="center"/>
              <w:rPr>
                <w:rFonts w:cs="Arial"/>
                <w:sz w:val="20"/>
                <w:szCs w:val="20"/>
              </w:rPr>
            </w:pPr>
            <w:r>
              <w:rPr>
                <w:rFonts w:cs="Arial"/>
                <w:sz w:val="20"/>
                <w:szCs w:val="20"/>
              </w:rPr>
              <w:t>8.49</w:t>
            </w:r>
          </w:p>
        </w:tc>
        <w:tc>
          <w:tcPr>
            <w:tcW w:w="508" w:type="pct"/>
            <w:tcBorders>
              <w:top w:val="nil"/>
              <w:bottom w:val="nil"/>
            </w:tcBorders>
            <w:vAlign w:val="center"/>
          </w:tcPr>
          <w:p w:rsidR="00634A1D" w:rsidRDefault="00634A1D">
            <w:pPr>
              <w:jc w:val="center"/>
              <w:rPr>
                <w:rFonts w:cs="Arial"/>
                <w:sz w:val="20"/>
                <w:szCs w:val="20"/>
              </w:rPr>
            </w:pPr>
            <w:r>
              <w:rPr>
                <w:rFonts w:cs="Arial"/>
                <w:sz w:val="20"/>
                <w:szCs w:val="20"/>
              </w:rPr>
              <w:t>8.49</w:t>
            </w:r>
          </w:p>
        </w:tc>
        <w:tc>
          <w:tcPr>
            <w:tcW w:w="589" w:type="pct"/>
            <w:tcBorders>
              <w:top w:val="nil"/>
              <w:bottom w:val="nil"/>
            </w:tcBorders>
            <w:vAlign w:val="center"/>
          </w:tcPr>
          <w:p w:rsidR="00634A1D" w:rsidRDefault="00634A1D">
            <w:pPr>
              <w:jc w:val="center"/>
              <w:rPr>
                <w:rFonts w:cs="Arial"/>
                <w:sz w:val="20"/>
                <w:szCs w:val="20"/>
              </w:rPr>
            </w:pPr>
            <w:r>
              <w:rPr>
                <w:rFonts w:cs="Arial"/>
                <w:sz w:val="20"/>
                <w:szCs w:val="20"/>
              </w:rPr>
              <w:t>8.37</w:t>
            </w:r>
          </w:p>
        </w:tc>
        <w:tc>
          <w:tcPr>
            <w:tcW w:w="517" w:type="pct"/>
            <w:tcBorders>
              <w:top w:val="nil"/>
              <w:bottom w:val="nil"/>
            </w:tcBorders>
            <w:vAlign w:val="center"/>
          </w:tcPr>
          <w:p w:rsidR="00634A1D" w:rsidRDefault="00634A1D">
            <w:pPr>
              <w:jc w:val="center"/>
              <w:rPr>
                <w:rFonts w:cs="Arial"/>
                <w:sz w:val="20"/>
                <w:szCs w:val="20"/>
              </w:rPr>
            </w:pPr>
            <w:r>
              <w:rPr>
                <w:rFonts w:cs="Arial"/>
                <w:sz w:val="20"/>
                <w:szCs w:val="20"/>
              </w:rPr>
              <w:t>9.97</w:t>
            </w:r>
          </w:p>
        </w:tc>
        <w:tc>
          <w:tcPr>
            <w:tcW w:w="510" w:type="pct"/>
            <w:tcBorders>
              <w:top w:val="nil"/>
              <w:bottom w:val="nil"/>
            </w:tcBorders>
            <w:vAlign w:val="center"/>
          </w:tcPr>
          <w:p w:rsidR="00634A1D" w:rsidRDefault="00634A1D">
            <w:pPr>
              <w:jc w:val="center"/>
              <w:rPr>
                <w:rFonts w:cs="Arial"/>
                <w:sz w:val="20"/>
                <w:szCs w:val="20"/>
              </w:rPr>
            </w:pPr>
            <w:r>
              <w:rPr>
                <w:rFonts w:cs="Arial"/>
                <w:sz w:val="20"/>
                <w:szCs w:val="20"/>
              </w:rPr>
              <w:t>17.75</w:t>
            </w:r>
          </w:p>
        </w:tc>
        <w:tc>
          <w:tcPr>
            <w:tcW w:w="507" w:type="pct"/>
            <w:tcBorders>
              <w:top w:val="nil"/>
              <w:bottom w:val="nil"/>
            </w:tcBorders>
            <w:vAlign w:val="center"/>
          </w:tcPr>
          <w:p w:rsidR="00634A1D" w:rsidRDefault="00634A1D">
            <w:pPr>
              <w:jc w:val="center"/>
              <w:rPr>
                <w:rFonts w:cs="Arial"/>
                <w:sz w:val="20"/>
                <w:szCs w:val="20"/>
              </w:rPr>
            </w:pPr>
            <w:r>
              <w:rPr>
                <w:rFonts w:cs="Arial"/>
                <w:sz w:val="20"/>
                <w:szCs w:val="20"/>
              </w:rPr>
              <w:t>16.40</w:t>
            </w:r>
          </w:p>
        </w:tc>
        <w:tc>
          <w:tcPr>
            <w:tcW w:w="578" w:type="pct"/>
            <w:tcBorders>
              <w:top w:val="nil"/>
              <w:bottom w:val="nil"/>
            </w:tcBorders>
            <w:vAlign w:val="center"/>
          </w:tcPr>
          <w:p w:rsidR="00634A1D" w:rsidRDefault="00634A1D">
            <w:pPr>
              <w:jc w:val="center"/>
              <w:rPr>
                <w:rFonts w:cs="Arial"/>
                <w:sz w:val="20"/>
                <w:szCs w:val="20"/>
              </w:rPr>
            </w:pPr>
            <w:r>
              <w:rPr>
                <w:rFonts w:cs="Arial"/>
                <w:sz w:val="20"/>
                <w:szCs w:val="20"/>
              </w:rPr>
              <w:t>14.70</w:t>
            </w:r>
          </w:p>
        </w:tc>
      </w:tr>
      <w:tr w:rsidR="00634A1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634A1D" w:rsidRDefault="00634A1D">
            <w:pPr>
              <w:rPr>
                <w:rFonts w:cs="Arial"/>
                <w:szCs w:val="20"/>
              </w:rPr>
            </w:pPr>
            <w:r>
              <w:rPr>
                <w:rFonts w:cs="Arial"/>
                <w:szCs w:val="20"/>
              </w:rPr>
              <w:t>Ex post quantity (TJ)</w:t>
            </w:r>
          </w:p>
        </w:tc>
        <w:tc>
          <w:tcPr>
            <w:tcW w:w="580" w:type="pct"/>
            <w:tcBorders>
              <w:top w:val="nil"/>
              <w:bottom w:val="single" w:sz="4" w:space="0" w:color="auto"/>
            </w:tcBorders>
            <w:vAlign w:val="center"/>
          </w:tcPr>
          <w:p w:rsidR="00634A1D" w:rsidRDefault="00634A1D">
            <w:pPr>
              <w:jc w:val="center"/>
              <w:rPr>
                <w:rFonts w:cs="Arial"/>
                <w:szCs w:val="20"/>
              </w:rPr>
            </w:pPr>
            <w:r>
              <w:rPr>
                <w:rFonts w:cs="Arial"/>
                <w:szCs w:val="20"/>
              </w:rPr>
              <w:t>196</w:t>
            </w:r>
          </w:p>
        </w:tc>
        <w:tc>
          <w:tcPr>
            <w:tcW w:w="508" w:type="pct"/>
            <w:tcBorders>
              <w:top w:val="nil"/>
              <w:bottom w:val="single" w:sz="4" w:space="0" w:color="auto"/>
            </w:tcBorders>
            <w:vAlign w:val="center"/>
          </w:tcPr>
          <w:p w:rsidR="00634A1D" w:rsidRDefault="00634A1D">
            <w:pPr>
              <w:jc w:val="center"/>
              <w:rPr>
                <w:rFonts w:cs="Arial"/>
                <w:szCs w:val="20"/>
              </w:rPr>
            </w:pPr>
            <w:r>
              <w:rPr>
                <w:rFonts w:cs="Arial"/>
                <w:szCs w:val="20"/>
              </w:rPr>
              <w:t>227</w:t>
            </w:r>
          </w:p>
        </w:tc>
        <w:tc>
          <w:tcPr>
            <w:tcW w:w="589" w:type="pct"/>
            <w:tcBorders>
              <w:top w:val="nil"/>
              <w:bottom w:val="single" w:sz="4" w:space="0" w:color="auto"/>
            </w:tcBorders>
            <w:vAlign w:val="center"/>
          </w:tcPr>
          <w:p w:rsidR="00634A1D" w:rsidRDefault="00634A1D">
            <w:pPr>
              <w:jc w:val="center"/>
              <w:rPr>
                <w:rFonts w:cs="Arial"/>
                <w:szCs w:val="20"/>
              </w:rPr>
            </w:pPr>
            <w:r>
              <w:rPr>
                <w:rFonts w:cs="Arial"/>
                <w:szCs w:val="20"/>
              </w:rPr>
              <w:t>239</w:t>
            </w:r>
          </w:p>
        </w:tc>
        <w:tc>
          <w:tcPr>
            <w:tcW w:w="517" w:type="pct"/>
            <w:tcBorders>
              <w:top w:val="nil"/>
              <w:bottom w:val="single" w:sz="4" w:space="0" w:color="auto"/>
            </w:tcBorders>
            <w:vAlign w:val="center"/>
          </w:tcPr>
          <w:p w:rsidR="00634A1D" w:rsidRDefault="00634A1D">
            <w:pPr>
              <w:jc w:val="center"/>
              <w:rPr>
                <w:rFonts w:cs="Arial"/>
                <w:szCs w:val="20"/>
              </w:rPr>
            </w:pPr>
            <w:r>
              <w:rPr>
                <w:rFonts w:cs="Arial"/>
                <w:szCs w:val="20"/>
              </w:rPr>
              <w:t>216</w:t>
            </w:r>
          </w:p>
        </w:tc>
        <w:tc>
          <w:tcPr>
            <w:tcW w:w="510" w:type="pct"/>
            <w:tcBorders>
              <w:top w:val="nil"/>
              <w:bottom w:val="single" w:sz="4" w:space="0" w:color="auto"/>
            </w:tcBorders>
            <w:vAlign w:val="center"/>
          </w:tcPr>
          <w:p w:rsidR="00634A1D" w:rsidRDefault="00634A1D">
            <w:pPr>
              <w:jc w:val="center"/>
              <w:rPr>
                <w:rFonts w:cs="Arial"/>
                <w:szCs w:val="20"/>
              </w:rPr>
            </w:pPr>
            <w:r>
              <w:rPr>
                <w:rFonts w:cs="Arial"/>
                <w:szCs w:val="20"/>
              </w:rPr>
              <w:t>250</w:t>
            </w:r>
          </w:p>
        </w:tc>
        <w:tc>
          <w:tcPr>
            <w:tcW w:w="507" w:type="pct"/>
            <w:tcBorders>
              <w:top w:val="nil"/>
              <w:bottom w:val="single" w:sz="4" w:space="0" w:color="auto"/>
            </w:tcBorders>
            <w:vAlign w:val="center"/>
          </w:tcPr>
          <w:p w:rsidR="00634A1D" w:rsidRDefault="00634A1D">
            <w:pPr>
              <w:jc w:val="center"/>
              <w:rPr>
                <w:rFonts w:cs="Arial"/>
                <w:szCs w:val="20"/>
              </w:rPr>
            </w:pPr>
            <w:r>
              <w:rPr>
                <w:rFonts w:cs="Arial"/>
                <w:szCs w:val="20"/>
              </w:rPr>
              <w:t>215</w:t>
            </w:r>
          </w:p>
        </w:tc>
        <w:tc>
          <w:tcPr>
            <w:tcW w:w="578" w:type="pct"/>
            <w:tcBorders>
              <w:top w:val="nil"/>
              <w:bottom w:val="single" w:sz="4" w:space="0" w:color="auto"/>
            </w:tcBorders>
            <w:vAlign w:val="center"/>
          </w:tcPr>
          <w:p w:rsidR="00634A1D" w:rsidRDefault="00634A1D">
            <w:pPr>
              <w:jc w:val="center"/>
              <w:rPr>
                <w:rFonts w:cs="Arial"/>
                <w:szCs w:val="20"/>
              </w:rPr>
            </w:pPr>
            <w:r>
              <w:rPr>
                <w:rFonts w:cs="Arial"/>
                <w:szCs w:val="20"/>
              </w:rPr>
              <w:t>203</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634A1D" w:rsidP="00EC2CB1">
      <w:r w:rsidRPr="002F64B1">
        <w:rPr>
          <w:noProof/>
          <w:lang w:eastAsia="en-AU"/>
        </w:rPr>
        <w:drawing>
          <wp:inline distT="0" distB="0" distL="0" distR="0" wp14:anchorId="65D0BEDE" wp14:editId="143746E2">
            <wp:extent cx="5731510" cy="2045970"/>
            <wp:effectExtent l="0" t="0" r="0" b="0"/>
            <wp:docPr id="17" name="Picture 17"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45970"/>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634A1D" w:rsidP="00EC2CB1">
      <w:r w:rsidRPr="002F64B1">
        <w:rPr>
          <w:noProof/>
          <w:lang w:eastAsia="en-AU"/>
        </w:rPr>
        <w:drawing>
          <wp:inline distT="0" distB="0" distL="0" distR="0" wp14:anchorId="48C628D9" wp14:editId="7519ED69">
            <wp:extent cx="5731510" cy="2555240"/>
            <wp:effectExtent l="0" t="0" r="2540" b="0"/>
            <wp:docPr id="19" name="Picture 19"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634A1D" w:rsidP="00EC2CB1">
      <w:r w:rsidRPr="002F64B1">
        <w:rPr>
          <w:noProof/>
          <w:lang w:eastAsia="en-AU"/>
        </w:rPr>
        <w:drawing>
          <wp:inline distT="0" distB="0" distL="0" distR="0" wp14:anchorId="6E9590E4" wp14:editId="7AE47901">
            <wp:extent cx="5731510" cy="2175510"/>
            <wp:effectExtent l="0" t="0" r="2540" b="0"/>
            <wp:docPr id="21" name="Picture 21"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5510"/>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34A1D" w:rsidRPr="00405CDE" w:rsidTr="00A226E9">
        <w:trPr>
          <w:trHeight w:val="389"/>
        </w:trPr>
        <w:tc>
          <w:tcPr>
            <w:tcW w:w="1152" w:type="pct"/>
            <w:tcBorders>
              <w:top w:val="nil"/>
              <w:bottom w:val="nil"/>
            </w:tcBorders>
            <w:vAlign w:val="center"/>
          </w:tcPr>
          <w:p w:rsidR="00634A1D" w:rsidRDefault="00634A1D">
            <w:pPr>
              <w:rPr>
                <w:rFonts w:cs="Arial"/>
                <w:sz w:val="20"/>
                <w:szCs w:val="20"/>
              </w:rPr>
            </w:pPr>
            <w:r>
              <w:rPr>
                <w:rFonts w:cs="Arial"/>
                <w:sz w:val="20"/>
                <w:szCs w:val="20"/>
              </w:rPr>
              <w:t>Ex ante price ($/GJ)</w:t>
            </w:r>
          </w:p>
        </w:tc>
        <w:tc>
          <w:tcPr>
            <w:tcW w:w="589" w:type="pct"/>
            <w:tcBorders>
              <w:top w:val="nil"/>
              <w:bottom w:val="nil"/>
            </w:tcBorders>
            <w:vAlign w:val="center"/>
          </w:tcPr>
          <w:p w:rsidR="00634A1D" w:rsidRDefault="00634A1D">
            <w:pPr>
              <w:jc w:val="center"/>
              <w:rPr>
                <w:rFonts w:cs="Arial"/>
                <w:sz w:val="20"/>
                <w:szCs w:val="20"/>
              </w:rPr>
            </w:pPr>
            <w:r>
              <w:rPr>
                <w:rFonts w:cs="Arial"/>
                <w:sz w:val="20"/>
                <w:szCs w:val="20"/>
              </w:rPr>
              <w:t>8.68</w:t>
            </w:r>
          </w:p>
        </w:tc>
        <w:tc>
          <w:tcPr>
            <w:tcW w:w="516" w:type="pct"/>
            <w:tcBorders>
              <w:top w:val="nil"/>
              <w:bottom w:val="nil"/>
            </w:tcBorders>
            <w:vAlign w:val="center"/>
          </w:tcPr>
          <w:p w:rsidR="00634A1D" w:rsidRDefault="00634A1D">
            <w:pPr>
              <w:jc w:val="center"/>
              <w:rPr>
                <w:rFonts w:cs="Arial"/>
                <w:sz w:val="20"/>
                <w:szCs w:val="20"/>
              </w:rPr>
            </w:pPr>
            <w:r>
              <w:rPr>
                <w:rFonts w:cs="Arial"/>
                <w:sz w:val="20"/>
                <w:szCs w:val="20"/>
              </w:rPr>
              <w:t>8.68</w:t>
            </w:r>
          </w:p>
        </w:tc>
        <w:tc>
          <w:tcPr>
            <w:tcW w:w="598" w:type="pct"/>
            <w:tcBorders>
              <w:top w:val="nil"/>
              <w:bottom w:val="nil"/>
            </w:tcBorders>
            <w:vAlign w:val="center"/>
          </w:tcPr>
          <w:p w:rsidR="00634A1D" w:rsidRDefault="00634A1D">
            <w:pPr>
              <w:jc w:val="center"/>
              <w:rPr>
                <w:rFonts w:cs="Arial"/>
                <w:sz w:val="20"/>
                <w:szCs w:val="20"/>
              </w:rPr>
            </w:pPr>
            <w:r>
              <w:rPr>
                <w:rFonts w:cs="Arial"/>
                <w:sz w:val="20"/>
                <w:szCs w:val="20"/>
              </w:rPr>
              <w:t>8.85</w:t>
            </w:r>
          </w:p>
        </w:tc>
        <w:tc>
          <w:tcPr>
            <w:tcW w:w="525" w:type="pct"/>
            <w:tcBorders>
              <w:top w:val="nil"/>
              <w:bottom w:val="nil"/>
            </w:tcBorders>
            <w:vAlign w:val="center"/>
          </w:tcPr>
          <w:p w:rsidR="00634A1D" w:rsidRDefault="00634A1D">
            <w:pPr>
              <w:jc w:val="center"/>
              <w:rPr>
                <w:rFonts w:cs="Arial"/>
                <w:sz w:val="20"/>
                <w:szCs w:val="20"/>
              </w:rPr>
            </w:pPr>
            <w:r>
              <w:rPr>
                <w:rFonts w:cs="Arial"/>
                <w:sz w:val="20"/>
                <w:szCs w:val="20"/>
              </w:rPr>
              <w:t>9.50</w:t>
            </w:r>
          </w:p>
        </w:tc>
        <w:tc>
          <w:tcPr>
            <w:tcW w:w="518" w:type="pct"/>
            <w:tcBorders>
              <w:top w:val="nil"/>
              <w:bottom w:val="nil"/>
            </w:tcBorders>
            <w:vAlign w:val="center"/>
          </w:tcPr>
          <w:p w:rsidR="00634A1D" w:rsidRDefault="00634A1D">
            <w:pPr>
              <w:jc w:val="center"/>
              <w:rPr>
                <w:rFonts w:cs="Arial"/>
                <w:sz w:val="20"/>
                <w:szCs w:val="20"/>
              </w:rPr>
            </w:pPr>
            <w:r>
              <w:rPr>
                <w:rFonts w:cs="Arial"/>
                <w:sz w:val="20"/>
                <w:szCs w:val="20"/>
              </w:rPr>
              <w:t>12.60</w:t>
            </w:r>
          </w:p>
        </w:tc>
        <w:tc>
          <w:tcPr>
            <w:tcW w:w="515" w:type="pct"/>
            <w:tcBorders>
              <w:top w:val="nil"/>
              <w:bottom w:val="nil"/>
            </w:tcBorders>
            <w:vAlign w:val="center"/>
          </w:tcPr>
          <w:p w:rsidR="00634A1D" w:rsidRDefault="00634A1D">
            <w:pPr>
              <w:jc w:val="center"/>
              <w:rPr>
                <w:rFonts w:cs="Arial"/>
                <w:sz w:val="20"/>
                <w:szCs w:val="20"/>
              </w:rPr>
            </w:pPr>
            <w:r>
              <w:rPr>
                <w:rFonts w:cs="Arial"/>
                <w:sz w:val="20"/>
                <w:szCs w:val="20"/>
              </w:rPr>
              <w:t>14.10</w:t>
            </w:r>
          </w:p>
        </w:tc>
        <w:tc>
          <w:tcPr>
            <w:tcW w:w="587" w:type="pct"/>
            <w:tcBorders>
              <w:top w:val="nil"/>
              <w:bottom w:val="nil"/>
            </w:tcBorders>
            <w:vAlign w:val="center"/>
          </w:tcPr>
          <w:p w:rsidR="00634A1D" w:rsidRDefault="00634A1D">
            <w:pPr>
              <w:jc w:val="center"/>
              <w:rPr>
                <w:rFonts w:cs="Arial"/>
                <w:sz w:val="20"/>
                <w:szCs w:val="20"/>
              </w:rPr>
            </w:pPr>
            <w:r>
              <w:rPr>
                <w:rFonts w:cs="Arial"/>
                <w:sz w:val="20"/>
                <w:szCs w:val="20"/>
              </w:rPr>
              <w:t>14.10</w:t>
            </w:r>
          </w:p>
        </w:tc>
      </w:tr>
      <w:tr w:rsidR="00634A1D"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634A1D" w:rsidRDefault="00634A1D">
            <w:pPr>
              <w:rPr>
                <w:rFonts w:cs="Arial"/>
                <w:szCs w:val="20"/>
              </w:rPr>
            </w:pPr>
            <w:r>
              <w:rPr>
                <w:rFonts w:cs="Arial"/>
                <w:szCs w:val="20"/>
              </w:rPr>
              <w:t>Ex ante quantity (TJ)</w:t>
            </w:r>
          </w:p>
        </w:tc>
        <w:tc>
          <w:tcPr>
            <w:tcW w:w="589" w:type="pct"/>
            <w:tcBorders>
              <w:top w:val="nil"/>
              <w:bottom w:val="nil"/>
            </w:tcBorders>
            <w:vAlign w:val="center"/>
          </w:tcPr>
          <w:p w:rsidR="00634A1D" w:rsidRDefault="00634A1D">
            <w:pPr>
              <w:jc w:val="center"/>
              <w:rPr>
                <w:rFonts w:cs="Arial"/>
                <w:szCs w:val="20"/>
              </w:rPr>
            </w:pPr>
            <w:r>
              <w:rPr>
                <w:rFonts w:cs="Arial"/>
                <w:szCs w:val="20"/>
              </w:rPr>
              <w:t>39</w:t>
            </w:r>
          </w:p>
        </w:tc>
        <w:tc>
          <w:tcPr>
            <w:tcW w:w="516" w:type="pct"/>
            <w:tcBorders>
              <w:top w:val="nil"/>
              <w:bottom w:val="nil"/>
            </w:tcBorders>
            <w:vAlign w:val="center"/>
          </w:tcPr>
          <w:p w:rsidR="00634A1D" w:rsidRDefault="00634A1D">
            <w:pPr>
              <w:jc w:val="center"/>
              <w:rPr>
                <w:rFonts w:cs="Arial"/>
                <w:szCs w:val="20"/>
              </w:rPr>
            </w:pPr>
            <w:r>
              <w:rPr>
                <w:rFonts w:cs="Arial"/>
                <w:szCs w:val="20"/>
              </w:rPr>
              <w:t>52</w:t>
            </w:r>
          </w:p>
        </w:tc>
        <w:tc>
          <w:tcPr>
            <w:tcW w:w="598" w:type="pct"/>
            <w:tcBorders>
              <w:top w:val="nil"/>
              <w:bottom w:val="nil"/>
            </w:tcBorders>
            <w:vAlign w:val="center"/>
          </w:tcPr>
          <w:p w:rsidR="00634A1D" w:rsidRDefault="00634A1D">
            <w:pPr>
              <w:jc w:val="center"/>
              <w:rPr>
                <w:rFonts w:cs="Arial"/>
                <w:szCs w:val="20"/>
              </w:rPr>
            </w:pPr>
            <w:r>
              <w:rPr>
                <w:rFonts w:cs="Arial"/>
                <w:szCs w:val="20"/>
              </w:rPr>
              <w:t>51</w:t>
            </w:r>
          </w:p>
        </w:tc>
        <w:tc>
          <w:tcPr>
            <w:tcW w:w="525" w:type="pct"/>
            <w:tcBorders>
              <w:top w:val="nil"/>
              <w:bottom w:val="nil"/>
            </w:tcBorders>
            <w:vAlign w:val="center"/>
          </w:tcPr>
          <w:p w:rsidR="00634A1D" w:rsidRDefault="00634A1D">
            <w:pPr>
              <w:jc w:val="center"/>
              <w:rPr>
                <w:rFonts w:cs="Arial"/>
                <w:szCs w:val="20"/>
              </w:rPr>
            </w:pPr>
            <w:r>
              <w:rPr>
                <w:rFonts w:cs="Arial"/>
                <w:szCs w:val="20"/>
              </w:rPr>
              <w:t>48</w:t>
            </w:r>
          </w:p>
        </w:tc>
        <w:tc>
          <w:tcPr>
            <w:tcW w:w="518" w:type="pct"/>
            <w:tcBorders>
              <w:top w:val="nil"/>
              <w:bottom w:val="nil"/>
            </w:tcBorders>
            <w:vAlign w:val="center"/>
          </w:tcPr>
          <w:p w:rsidR="00634A1D" w:rsidRDefault="00634A1D">
            <w:pPr>
              <w:jc w:val="center"/>
              <w:rPr>
                <w:rFonts w:cs="Arial"/>
                <w:szCs w:val="20"/>
              </w:rPr>
            </w:pPr>
            <w:r>
              <w:rPr>
                <w:rFonts w:cs="Arial"/>
                <w:szCs w:val="20"/>
              </w:rPr>
              <w:t>52</w:t>
            </w:r>
          </w:p>
        </w:tc>
        <w:tc>
          <w:tcPr>
            <w:tcW w:w="515" w:type="pct"/>
            <w:tcBorders>
              <w:top w:val="nil"/>
              <w:bottom w:val="nil"/>
            </w:tcBorders>
            <w:vAlign w:val="center"/>
          </w:tcPr>
          <w:p w:rsidR="00634A1D" w:rsidRDefault="00634A1D">
            <w:pPr>
              <w:jc w:val="center"/>
              <w:rPr>
                <w:rFonts w:cs="Arial"/>
                <w:szCs w:val="20"/>
              </w:rPr>
            </w:pPr>
            <w:r>
              <w:rPr>
                <w:rFonts w:cs="Arial"/>
                <w:szCs w:val="20"/>
              </w:rPr>
              <w:t>52</w:t>
            </w:r>
          </w:p>
        </w:tc>
        <w:tc>
          <w:tcPr>
            <w:tcW w:w="587" w:type="pct"/>
            <w:tcBorders>
              <w:top w:val="nil"/>
              <w:bottom w:val="nil"/>
            </w:tcBorders>
            <w:vAlign w:val="center"/>
          </w:tcPr>
          <w:p w:rsidR="00634A1D" w:rsidRDefault="00634A1D">
            <w:pPr>
              <w:jc w:val="center"/>
              <w:rPr>
                <w:rFonts w:cs="Arial"/>
                <w:szCs w:val="20"/>
              </w:rPr>
            </w:pPr>
            <w:r>
              <w:rPr>
                <w:rFonts w:cs="Arial"/>
                <w:szCs w:val="20"/>
              </w:rPr>
              <w:t>47</w:t>
            </w:r>
          </w:p>
        </w:tc>
      </w:tr>
      <w:tr w:rsidR="00634A1D" w:rsidRPr="00405CDE" w:rsidTr="00A226E9">
        <w:trPr>
          <w:trHeight w:val="87"/>
        </w:trPr>
        <w:tc>
          <w:tcPr>
            <w:tcW w:w="1152" w:type="pct"/>
            <w:tcBorders>
              <w:top w:val="nil"/>
              <w:bottom w:val="nil"/>
            </w:tcBorders>
            <w:vAlign w:val="center"/>
          </w:tcPr>
          <w:p w:rsidR="00634A1D" w:rsidRDefault="00634A1D">
            <w:pPr>
              <w:rPr>
                <w:rFonts w:cs="Arial"/>
                <w:sz w:val="20"/>
                <w:szCs w:val="20"/>
              </w:rPr>
            </w:pPr>
            <w:r>
              <w:rPr>
                <w:rFonts w:cs="Arial"/>
                <w:sz w:val="20"/>
                <w:szCs w:val="20"/>
              </w:rPr>
              <w:t>Ex post price ($/GJ)</w:t>
            </w:r>
          </w:p>
        </w:tc>
        <w:tc>
          <w:tcPr>
            <w:tcW w:w="589" w:type="pct"/>
            <w:tcBorders>
              <w:top w:val="nil"/>
              <w:bottom w:val="nil"/>
            </w:tcBorders>
            <w:vAlign w:val="center"/>
          </w:tcPr>
          <w:p w:rsidR="00634A1D" w:rsidRDefault="00634A1D">
            <w:pPr>
              <w:jc w:val="center"/>
              <w:rPr>
                <w:rFonts w:cs="Arial"/>
                <w:sz w:val="20"/>
                <w:szCs w:val="20"/>
              </w:rPr>
            </w:pPr>
            <w:r>
              <w:rPr>
                <w:rFonts w:cs="Arial"/>
                <w:sz w:val="20"/>
                <w:szCs w:val="20"/>
              </w:rPr>
              <w:t>8.22</w:t>
            </w:r>
          </w:p>
        </w:tc>
        <w:tc>
          <w:tcPr>
            <w:tcW w:w="516" w:type="pct"/>
            <w:tcBorders>
              <w:top w:val="nil"/>
              <w:bottom w:val="nil"/>
            </w:tcBorders>
            <w:vAlign w:val="center"/>
          </w:tcPr>
          <w:p w:rsidR="00634A1D" w:rsidRDefault="00634A1D">
            <w:pPr>
              <w:jc w:val="center"/>
              <w:rPr>
                <w:rFonts w:cs="Arial"/>
                <w:sz w:val="20"/>
                <w:szCs w:val="20"/>
              </w:rPr>
            </w:pPr>
            <w:r>
              <w:rPr>
                <w:rFonts w:cs="Arial"/>
                <w:sz w:val="20"/>
                <w:szCs w:val="20"/>
              </w:rPr>
              <w:t>8.68</w:t>
            </w:r>
          </w:p>
        </w:tc>
        <w:tc>
          <w:tcPr>
            <w:tcW w:w="598" w:type="pct"/>
            <w:tcBorders>
              <w:top w:val="nil"/>
              <w:bottom w:val="nil"/>
            </w:tcBorders>
            <w:vAlign w:val="center"/>
          </w:tcPr>
          <w:p w:rsidR="00634A1D" w:rsidRDefault="00634A1D">
            <w:pPr>
              <w:jc w:val="center"/>
              <w:rPr>
                <w:rFonts w:cs="Arial"/>
                <w:sz w:val="20"/>
                <w:szCs w:val="20"/>
              </w:rPr>
            </w:pPr>
            <w:r>
              <w:rPr>
                <w:rFonts w:cs="Arial"/>
                <w:sz w:val="20"/>
                <w:szCs w:val="20"/>
              </w:rPr>
              <w:t>8.75</w:t>
            </w:r>
          </w:p>
        </w:tc>
        <w:tc>
          <w:tcPr>
            <w:tcW w:w="525" w:type="pct"/>
            <w:tcBorders>
              <w:top w:val="nil"/>
              <w:bottom w:val="nil"/>
            </w:tcBorders>
            <w:vAlign w:val="center"/>
          </w:tcPr>
          <w:p w:rsidR="00634A1D" w:rsidRDefault="00634A1D">
            <w:pPr>
              <w:jc w:val="center"/>
              <w:rPr>
                <w:rFonts w:cs="Arial"/>
                <w:sz w:val="20"/>
                <w:szCs w:val="20"/>
              </w:rPr>
            </w:pPr>
            <w:r>
              <w:rPr>
                <w:rFonts w:cs="Arial"/>
                <w:sz w:val="20"/>
                <w:szCs w:val="20"/>
              </w:rPr>
              <w:t>10.39</w:t>
            </w:r>
          </w:p>
        </w:tc>
        <w:tc>
          <w:tcPr>
            <w:tcW w:w="518" w:type="pct"/>
            <w:tcBorders>
              <w:top w:val="nil"/>
              <w:bottom w:val="nil"/>
            </w:tcBorders>
            <w:vAlign w:val="center"/>
          </w:tcPr>
          <w:p w:rsidR="00634A1D" w:rsidRDefault="00634A1D">
            <w:pPr>
              <w:jc w:val="center"/>
              <w:rPr>
                <w:rFonts w:cs="Arial"/>
                <w:sz w:val="20"/>
                <w:szCs w:val="20"/>
              </w:rPr>
            </w:pPr>
            <w:r>
              <w:rPr>
                <w:rFonts w:cs="Arial"/>
                <w:sz w:val="20"/>
                <w:szCs w:val="20"/>
              </w:rPr>
              <w:t>12.60</w:t>
            </w:r>
          </w:p>
        </w:tc>
        <w:tc>
          <w:tcPr>
            <w:tcW w:w="515" w:type="pct"/>
            <w:tcBorders>
              <w:top w:val="nil"/>
              <w:bottom w:val="nil"/>
            </w:tcBorders>
            <w:vAlign w:val="center"/>
          </w:tcPr>
          <w:p w:rsidR="00634A1D" w:rsidRDefault="00634A1D">
            <w:pPr>
              <w:jc w:val="center"/>
              <w:rPr>
                <w:rFonts w:cs="Arial"/>
                <w:sz w:val="20"/>
                <w:szCs w:val="20"/>
              </w:rPr>
            </w:pPr>
            <w:r>
              <w:rPr>
                <w:rFonts w:cs="Arial"/>
                <w:sz w:val="20"/>
                <w:szCs w:val="20"/>
              </w:rPr>
              <w:t>14.10</w:t>
            </w:r>
          </w:p>
        </w:tc>
        <w:tc>
          <w:tcPr>
            <w:tcW w:w="587" w:type="pct"/>
            <w:tcBorders>
              <w:top w:val="nil"/>
              <w:bottom w:val="nil"/>
            </w:tcBorders>
            <w:vAlign w:val="center"/>
          </w:tcPr>
          <w:p w:rsidR="00634A1D" w:rsidRDefault="00634A1D">
            <w:pPr>
              <w:jc w:val="center"/>
              <w:rPr>
                <w:rFonts w:cs="Arial"/>
                <w:sz w:val="20"/>
                <w:szCs w:val="20"/>
              </w:rPr>
            </w:pPr>
            <w:r>
              <w:rPr>
                <w:rFonts w:cs="Arial"/>
                <w:sz w:val="20"/>
                <w:szCs w:val="20"/>
              </w:rPr>
              <w:t>13.75</w:t>
            </w:r>
          </w:p>
        </w:tc>
      </w:tr>
      <w:tr w:rsidR="00634A1D"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634A1D" w:rsidRDefault="00634A1D">
            <w:pPr>
              <w:rPr>
                <w:rFonts w:cs="Arial"/>
                <w:szCs w:val="20"/>
              </w:rPr>
            </w:pPr>
            <w:r>
              <w:rPr>
                <w:rFonts w:cs="Arial"/>
                <w:szCs w:val="20"/>
              </w:rPr>
              <w:t>Ex post quantity (TJ)</w:t>
            </w:r>
          </w:p>
        </w:tc>
        <w:tc>
          <w:tcPr>
            <w:tcW w:w="589" w:type="pct"/>
            <w:tcBorders>
              <w:top w:val="nil"/>
              <w:bottom w:val="single" w:sz="4" w:space="0" w:color="auto"/>
            </w:tcBorders>
            <w:vAlign w:val="center"/>
          </w:tcPr>
          <w:p w:rsidR="00634A1D" w:rsidRDefault="00634A1D">
            <w:pPr>
              <w:jc w:val="center"/>
              <w:rPr>
                <w:rFonts w:cs="Arial"/>
                <w:szCs w:val="20"/>
              </w:rPr>
            </w:pPr>
            <w:r>
              <w:rPr>
                <w:rFonts w:cs="Arial"/>
                <w:szCs w:val="20"/>
              </w:rPr>
              <w:t>39</w:t>
            </w:r>
          </w:p>
        </w:tc>
        <w:tc>
          <w:tcPr>
            <w:tcW w:w="516" w:type="pct"/>
            <w:tcBorders>
              <w:top w:val="nil"/>
              <w:bottom w:val="single" w:sz="4" w:space="0" w:color="auto"/>
            </w:tcBorders>
            <w:vAlign w:val="center"/>
          </w:tcPr>
          <w:p w:rsidR="00634A1D" w:rsidRDefault="00634A1D">
            <w:pPr>
              <w:jc w:val="center"/>
              <w:rPr>
                <w:rFonts w:cs="Arial"/>
                <w:szCs w:val="20"/>
              </w:rPr>
            </w:pPr>
            <w:r>
              <w:rPr>
                <w:rFonts w:cs="Arial"/>
                <w:szCs w:val="20"/>
              </w:rPr>
              <w:t>51</w:t>
            </w:r>
          </w:p>
        </w:tc>
        <w:tc>
          <w:tcPr>
            <w:tcW w:w="598" w:type="pct"/>
            <w:tcBorders>
              <w:top w:val="nil"/>
              <w:bottom w:val="single" w:sz="4" w:space="0" w:color="auto"/>
            </w:tcBorders>
            <w:vAlign w:val="center"/>
          </w:tcPr>
          <w:p w:rsidR="00634A1D" w:rsidRDefault="00634A1D">
            <w:pPr>
              <w:jc w:val="center"/>
              <w:rPr>
                <w:rFonts w:cs="Arial"/>
                <w:szCs w:val="20"/>
              </w:rPr>
            </w:pPr>
            <w:r>
              <w:rPr>
                <w:rFonts w:cs="Arial"/>
                <w:szCs w:val="20"/>
              </w:rPr>
              <w:t>50</w:t>
            </w:r>
          </w:p>
        </w:tc>
        <w:tc>
          <w:tcPr>
            <w:tcW w:w="525" w:type="pct"/>
            <w:tcBorders>
              <w:top w:val="nil"/>
              <w:bottom w:val="single" w:sz="4" w:space="0" w:color="auto"/>
            </w:tcBorders>
            <w:vAlign w:val="center"/>
          </w:tcPr>
          <w:p w:rsidR="00634A1D" w:rsidRDefault="00634A1D">
            <w:pPr>
              <w:jc w:val="center"/>
              <w:rPr>
                <w:rFonts w:cs="Arial"/>
                <w:szCs w:val="20"/>
              </w:rPr>
            </w:pPr>
            <w:r>
              <w:rPr>
                <w:rFonts w:cs="Arial"/>
                <w:szCs w:val="20"/>
              </w:rPr>
              <w:t>53</w:t>
            </w:r>
          </w:p>
        </w:tc>
        <w:tc>
          <w:tcPr>
            <w:tcW w:w="518" w:type="pct"/>
            <w:tcBorders>
              <w:top w:val="nil"/>
              <w:bottom w:val="single" w:sz="4" w:space="0" w:color="auto"/>
            </w:tcBorders>
            <w:vAlign w:val="center"/>
          </w:tcPr>
          <w:p w:rsidR="00634A1D" w:rsidRDefault="00634A1D">
            <w:pPr>
              <w:jc w:val="center"/>
              <w:rPr>
                <w:rFonts w:cs="Arial"/>
                <w:szCs w:val="20"/>
              </w:rPr>
            </w:pPr>
            <w:r>
              <w:rPr>
                <w:rFonts w:cs="Arial"/>
                <w:szCs w:val="20"/>
              </w:rPr>
              <w:t>51</w:t>
            </w:r>
          </w:p>
        </w:tc>
        <w:tc>
          <w:tcPr>
            <w:tcW w:w="515" w:type="pct"/>
            <w:tcBorders>
              <w:top w:val="nil"/>
              <w:bottom w:val="single" w:sz="4" w:space="0" w:color="auto"/>
            </w:tcBorders>
            <w:vAlign w:val="center"/>
          </w:tcPr>
          <w:p w:rsidR="00634A1D" w:rsidRDefault="00634A1D">
            <w:pPr>
              <w:jc w:val="center"/>
              <w:rPr>
                <w:rFonts w:cs="Arial"/>
                <w:szCs w:val="20"/>
              </w:rPr>
            </w:pPr>
            <w:r>
              <w:rPr>
                <w:rFonts w:cs="Arial"/>
                <w:szCs w:val="20"/>
              </w:rPr>
              <w:t>52</w:t>
            </w:r>
          </w:p>
        </w:tc>
        <w:tc>
          <w:tcPr>
            <w:tcW w:w="587" w:type="pct"/>
            <w:tcBorders>
              <w:top w:val="nil"/>
              <w:bottom w:val="single" w:sz="4" w:space="0" w:color="auto"/>
            </w:tcBorders>
            <w:vAlign w:val="center"/>
          </w:tcPr>
          <w:p w:rsidR="00634A1D" w:rsidRDefault="00634A1D">
            <w:pPr>
              <w:jc w:val="center"/>
              <w:rPr>
                <w:rFonts w:cs="Arial"/>
                <w:szCs w:val="20"/>
              </w:rPr>
            </w:pPr>
            <w:r>
              <w:rPr>
                <w:rFonts w:cs="Arial"/>
                <w:szCs w:val="20"/>
              </w:rPr>
              <w:t>45</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634A1D" w:rsidP="00EC2CB1">
      <w:r w:rsidRPr="002F64B1">
        <w:rPr>
          <w:noProof/>
          <w:lang w:eastAsia="en-AU"/>
        </w:rPr>
        <w:drawing>
          <wp:inline distT="0" distB="0" distL="0" distR="0" wp14:anchorId="3AC67D0B" wp14:editId="6BB7D8A6">
            <wp:extent cx="5731510" cy="1739900"/>
            <wp:effectExtent l="0" t="0" r="2540" b="0"/>
            <wp:docPr id="22" name="Picture 22"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39900"/>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634A1D" w:rsidP="00EC2CB1">
      <w:r w:rsidRPr="002F64B1">
        <w:rPr>
          <w:noProof/>
          <w:lang w:eastAsia="en-AU"/>
        </w:rPr>
        <w:drawing>
          <wp:inline distT="0" distB="0" distL="0" distR="0" wp14:anchorId="6BD8DB15" wp14:editId="7959B700">
            <wp:extent cx="5731510" cy="1511300"/>
            <wp:effectExtent l="0" t="0" r="2540" b="0"/>
            <wp:docPr id="24" name="Picture 24"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511300"/>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634A1D" w:rsidP="00A226E9">
      <w:r w:rsidRPr="002F64B1">
        <w:rPr>
          <w:noProof/>
          <w:lang w:eastAsia="en-AU"/>
        </w:rPr>
        <w:drawing>
          <wp:inline distT="0" distB="0" distL="0" distR="0" wp14:anchorId="2E515C5F" wp14:editId="025174DE">
            <wp:extent cx="5731510" cy="1802130"/>
            <wp:effectExtent l="0" t="0" r="2540" b="7620"/>
            <wp:docPr id="23" name="Picture 23"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0213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34A1D" w:rsidRPr="00405CDE" w:rsidTr="00A226E9">
        <w:trPr>
          <w:trHeight w:val="510"/>
        </w:trPr>
        <w:tc>
          <w:tcPr>
            <w:tcW w:w="1152" w:type="pct"/>
            <w:tcBorders>
              <w:top w:val="nil"/>
              <w:bottom w:val="nil"/>
            </w:tcBorders>
            <w:vAlign w:val="center"/>
          </w:tcPr>
          <w:p w:rsidR="00634A1D" w:rsidRDefault="00634A1D">
            <w:pPr>
              <w:rPr>
                <w:rFonts w:cs="Arial"/>
                <w:sz w:val="20"/>
                <w:szCs w:val="20"/>
              </w:rPr>
            </w:pPr>
            <w:r>
              <w:rPr>
                <w:rFonts w:cs="Arial"/>
                <w:sz w:val="20"/>
                <w:szCs w:val="20"/>
              </w:rPr>
              <w:t>Ex ante price ($/GJ)</w:t>
            </w:r>
          </w:p>
        </w:tc>
        <w:tc>
          <w:tcPr>
            <w:tcW w:w="589" w:type="pct"/>
            <w:tcBorders>
              <w:top w:val="nil"/>
              <w:bottom w:val="nil"/>
            </w:tcBorders>
            <w:vAlign w:val="center"/>
          </w:tcPr>
          <w:p w:rsidR="00634A1D" w:rsidRDefault="00634A1D">
            <w:pPr>
              <w:jc w:val="center"/>
              <w:rPr>
                <w:rFonts w:cs="Arial"/>
                <w:sz w:val="20"/>
                <w:szCs w:val="20"/>
              </w:rPr>
            </w:pPr>
            <w:r>
              <w:rPr>
                <w:rFonts w:cs="Arial"/>
                <w:sz w:val="20"/>
                <w:szCs w:val="20"/>
              </w:rPr>
              <w:t>10.11</w:t>
            </w:r>
          </w:p>
        </w:tc>
        <w:tc>
          <w:tcPr>
            <w:tcW w:w="516" w:type="pct"/>
            <w:tcBorders>
              <w:top w:val="nil"/>
              <w:bottom w:val="nil"/>
            </w:tcBorders>
            <w:vAlign w:val="center"/>
          </w:tcPr>
          <w:p w:rsidR="00634A1D" w:rsidRDefault="00634A1D">
            <w:pPr>
              <w:jc w:val="center"/>
              <w:rPr>
                <w:rFonts w:cs="Arial"/>
                <w:sz w:val="20"/>
                <w:szCs w:val="20"/>
              </w:rPr>
            </w:pPr>
            <w:r>
              <w:rPr>
                <w:rFonts w:cs="Arial"/>
                <w:sz w:val="20"/>
                <w:szCs w:val="20"/>
              </w:rPr>
              <w:t>13.52</w:t>
            </w:r>
          </w:p>
        </w:tc>
        <w:tc>
          <w:tcPr>
            <w:tcW w:w="598" w:type="pct"/>
            <w:tcBorders>
              <w:top w:val="nil"/>
              <w:bottom w:val="nil"/>
            </w:tcBorders>
            <w:vAlign w:val="center"/>
          </w:tcPr>
          <w:p w:rsidR="00634A1D" w:rsidRDefault="00634A1D">
            <w:pPr>
              <w:jc w:val="center"/>
              <w:rPr>
                <w:rFonts w:cs="Arial"/>
                <w:sz w:val="20"/>
                <w:szCs w:val="20"/>
              </w:rPr>
            </w:pPr>
            <w:r>
              <w:rPr>
                <w:rFonts w:cs="Arial"/>
                <w:sz w:val="20"/>
                <w:szCs w:val="20"/>
              </w:rPr>
              <w:t>14.00</w:t>
            </w:r>
          </w:p>
        </w:tc>
        <w:tc>
          <w:tcPr>
            <w:tcW w:w="525" w:type="pct"/>
            <w:tcBorders>
              <w:top w:val="nil"/>
              <w:bottom w:val="nil"/>
            </w:tcBorders>
            <w:vAlign w:val="center"/>
          </w:tcPr>
          <w:p w:rsidR="00634A1D" w:rsidRDefault="00634A1D">
            <w:pPr>
              <w:jc w:val="center"/>
              <w:rPr>
                <w:rFonts w:cs="Arial"/>
                <w:sz w:val="20"/>
                <w:szCs w:val="20"/>
              </w:rPr>
            </w:pPr>
            <w:r>
              <w:rPr>
                <w:rFonts w:cs="Arial"/>
                <w:sz w:val="20"/>
                <w:szCs w:val="20"/>
              </w:rPr>
              <w:t>14.10</w:t>
            </w:r>
          </w:p>
        </w:tc>
        <w:tc>
          <w:tcPr>
            <w:tcW w:w="518" w:type="pct"/>
            <w:tcBorders>
              <w:top w:val="nil"/>
              <w:bottom w:val="nil"/>
            </w:tcBorders>
            <w:vAlign w:val="center"/>
          </w:tcPr>
          <w:p w:rsidR="00634A1D" w:rsidRDefault="00634A1D">
            <w:pPr>
              <w:jc w:val="center"/>
              <w:rPr>
                <w:rFonts w:cs="Arial"/>
                <w:sz w:val="20"/>
                <w:szCs w:val="20"/>
              </w:rPr>
            </w:pPr>
            <w:r>
              <w:rPr>
                <w:rFonts w:cs="Arial"/>
                <w:sz w:val="20"/>
                <w:szCs w:val="20"/>
              </w:rPr>
              <w:t>14.69</w:t>
            </w:r>
          </w:p>
        </w:tc>
        <w:tc>
          <w:tcPr>
            <w:tcW w:w="515" w:type="pct"/>
            <w:tcBorders>
              <w:top w:val="nil"/>
              <w:bottom w:val="nil"/>
            </w:tcBorders>
            <w:vAlign w:val="center"/>
          </w:tcPr>
          <w:p w:rsidR="00634A1D" w:rsidRDefault="00634A1D">
            <w:pPr>
              <w:jc w:val="center"/>
              <w:rPr>
                <w:rFonts w:cs="Arial"/>
                <w:sz w:val="20"/>
                <w:szCs w:val="20"/>
              </w:rPr>
            </w:pPr>
            <w:r>
              <w:rPr>
                <w:rFonts w:cs="Arial"/>
                <w:sz w:val="20"/>
                <w:szCs w:val="20"/>
              </w:rPr>
              <w:t>15.39</w:t>
            </w:r>
          </w:p>
        </w:tc>
        <w:tc>
          <w:tcPr>
            <w:tcW w:w="587" w:type="pct"/>
            <w:tcBorders>
              <w:top w:val="nil"/>
              <w:bottom w:val="nil"/>
            </w:tcBorders>
            <w:vAlign w:val="center"/>
          </w:tcPr>
          <w:p w:rsidR="00634A1D" w:rsidRDefault="00634A1D">
            <w:pPr>
              <w:jc w:val="center"/>
              <w:rPr>
                <w:rFonts w:cs="Arial"/>
                <w:sz w:val="20"/>
                <w:szCs w:val="20"/>
              </w:rPr>
            </w:pPr>
            <w:r>
              <w:rPr>
                <w:rFonts w:cs="Arial"/>
                <w:sz w:val="20"/>
                <w:szCs w:val="20"/>
              </w:rPr>
              <w:t>15.50</w:t>
            </w:r>
          </w:p>
        </w:tc>
      </w:tr>
      <w:tr w:rsidR="00634A1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634A1D" w:rsidRDefault="00634A1D">
            <w:pPr>
              <w:rPr>
                <w:rFonts w:cs="Arial"/>
                <w:szCs w:val="20"/>
              </w:rPr>
            </w:pPr>
            <w:r>
              <w:rPr>
                <w:rFonts w:cs="Arial"/>
                <w:szCs w:val="20"/>
              </w:rPr>
              <w:t>Ex ante quantity (TJ)</w:t>
            </w:r>
          </w:p>
        </w:tc>
        <w:tc>
          <w:tcPr>
            <w:tcW w:w="589" w:type="pct"/>
            <w:tcBorders>
              <w:top w:val="nil"/>
              <w:bottom w:val="nil"/>
            </w:tcBorders>
            <w:vAlign w:val="center"/>
          </w:tcPr>
          <w:p w:rsidR="00634A1D" w:rsidRDefault="00634A1D">
            <w:pPr>
              <w:jc w:val="center"/>
              <w:rPr>
                <w:rFonts w:cs="Arial"/>
                <w:szCs w:val="20"/>
              </w:rPr>
            </w:pPr>
            <w:r>
              <w:rPr>
                <w:rFonts w:cs="Arial"/>
                <w:szCs w:val="20"/>
              </w:rPr>
              <w:t>68</w:t>
            </w:r>
          </w:p>
        </w:tc>
        <w:tc>
          <w:tcPr>
            <w:tcW w:w="516" w:type="pct"/>
            <w:tcBorders>
              <w:top w:val="nil"/>
              <w:bottom w:val="nil"/>
            </w:tcBorders>
            <w:vAlign w:val="center"/>
          </w:tcPr>
          <w:p w:rsidR="00634A1D" w:rsidRDefault="00634A1D">
            <w:pPr>
              <w:jc w:val="center"/>
              <w:rPr>
                <w:rFonts w:cs="Arial"/>
                <w:szCs w:val="20"/>
              </w:rPr>
            </w:pPr>
            <w:r>
              <w:rPr>
                <w:rFonts w:cs="Arial"/>
                <w:szCs w:val="20"/>
              </w:rPr>
              <w:t>82</w:t>
            </w:r>
          </w:p>
        </w:tc>
        <w:tc>
          <w:tcPr>
            <w:tcW w:w="598" w:type="pct"/>
            <w:tcBorders>
              <w:top w:val="nil"/>
              <w:bottom w:val="nil"/>
            </w:tcBorders>
            <w:vAlign w:val="center"/>
          </w:tcPr>
          <w:p w:rsidR="00634A1D" w:rsidRDefault="00634A1D">
            <w:pPr>
              <w:jc w:val="center"/>
              <w:rPr>
                <w:rFonts w:cs="Arial"/>
                <w:szCs w:val="20"/>
              </w:rPr>
            </w:pPr>
            <w:r>
              <w:rPr>
                <w:rFonts w:cs="Arial"/>
                <w:szCs w:val="20"/>
              </w:rPr>
              <w:t>85</w:t>
            </w:r>
          </w:p>
        </w:tc>
        <w:tc>
          <w:tcPr>
            <w:tcW w:w="525" w:type="pct"/>
            <w:tcBorders>
              <w:top w:val="nil"/>
              <w:bottom w:val="nil"/>
            </w:tcBorders>
            <w:vAlign w:val="center"/>
          </w:tcPr>
          <w:p w:rsidR="00634A1D" w:rsidRDefault="00634A1D">
            <w:pPr>
              <w:jc w:val="center"/>
              <w:rPr>
                <w:rFonts w:cs="Arial"/>
                <w:szCs w:val="20"/>
              </w:rPr>
            </w:pPr>
            <w:r>
              <w:rPr>
                <w:rFonts w:cs="Arial"/>
                <w:szCs w:val="20"/>
              </w:rPr>
              <w:t>89</w:t>
            </w:r>
          </w:p>
        </w:tc>
        <w:tc>
          <w:tcPr>
            <w:tcW w:w="518" w:type="pct"/>
            <w:tcBorders>
              <w:top w:val="nil"/>
              <w:bottom w:val="nil"/>
            </w:tcBorders>
            <w:vAlign w:val="center"/>
          </w:tcPr>
          <w:p w:rsidR="00634A1D" w:rsidRDefault="00634A1D">
            <w:pPr>
              <w:jc w:val="center"/>
              <w:rPr>
                <w:rFonts w:cs="Arial"/>
                <w:szCs w:val="20"/>
              </w:rPr>
            </w:pPr>
            <w:r>
              <w:rPr>
                <w:rFonts w:cs="Arial"/>
                <w:szCs w:val="20"/>
              </w:rPr>
              <w:t>83</w:t>
            </w:r>
          </w:p>
        </w:tc>
        <w:tc>
          <w:tcPr>
            <w:tcW w:w="515" w:type="pct"/>
            <w:tcBorders>
              <w:top w:val="nil"/>
              <w:bottom w:val="nil"/>
            </w:tcBorders>
            <w:vAlign w:val="center"/>
          </w:tcPr>
          <w:p w:rsidR="00634A1D" w:rsidRDefault="00634A1D">
            <w:pPr>
              <w:jc w:val="center"/>
              <w:rPr>
                <w:rFonts w:cs="Arial"/>
                <w:szCs w:val="20"/>
              </w:rPr>
            </w:pPr>
            <w:r>
              <w:rPr>
                <w:rFonts w:cs="Arial"/>
                <w:szCs w:val="20"/>
              </w:rPr>
              <w:t>77</w:t>
            </w:r>
          </w:p>
        </w:tc>
        <w:tc>
          <w:tcPr>
            <w:tcW w:w="587" w:type="pct"/>
            <w:tcBorders>
              <w:top w:val="nil"/>
              <w:bottom w:val="nil"/>
            </w:tcBorders>
            <w:vAlign w:val="center"/>
          </w:tcPr>
          <w:p w:rsidR="00634A1D" w:rsidRDefault="00634A1D">
            <w:pPr>
              <w:jc w:val="center"/>
              <w:rPr>
                <w:rFonts w:cs="Arial"/>
                <w:szCs w:val="20"/>
              </w:rPr>
            </w:pPr>
            <w:r>
              <w:rPr>
                <w:rFonts w:cs="Arial"/>
                <w:szCs w:val="20"/>
              </w:rPr>
              <w:t>68</w:t>
            </w:r>
          </w:p>
        </w:tc>
      </w:tr>
      <w:tr w:rsidR="00634A1D" w:rsidRPr="00405CDE" w:rsidTr="00A226E9">
        <w:trPr>
          <w:trHeight w:val="510"/>
        </w:trPr>
        <w:tc>
          <w:tcPr>
            <w:tcW w:w="1152" w:type="pct"/>
            <w:tcBorders>
              <w:top w:val="nil"/>
              <w:bottom w:val="nil"/>
            </w:tcBorders>
            <w:vAlign w:val="center"/>
          </w:tcPr>
          <w:p w:rsidR="00634A1D" w:rsidRDefault="00634A1D">
            <w:pPr>
              <w:rPr>
                <w:rFonts w:cs="Arial"/>
                <w:sz w:val="20"/>
                <w:szCs w:val="20"/>
              </w:rPr>
            </w:pPr>
            <w:r>
              <w:rPr>
                <w:rFonts w:cs="Arial"/>
                <w:sz w:val="20"/>
                <w:szCs w:val="20"/>
              </w:rPr>
              <w:t>Ex post price ($/GJ)</w:t>
            </w:r>
          </w:p>
        </w:tc>
        <w:tc>
          <w:tcPr>
            <w:tcW w:w="589" w:type="pct"/>
            <w:tcBorders>
              <w:top w:val="nil"/>
              <w:bottom w:val="nil"/>
            </w:tcBorders>
            <w:vAlign w:val="center"/>
          </w:tcPr>
          <w:p w:rsidR="00634A1D" w:rsidRDefault="00634A1D">
            <w:pPr>
              <w:jc w:val="center"/>
              <w:rPr>
                <w:rFonts w:cs="Arial"/>
                <w:sz w:val="20"/>
                <w:szCs w:val="20"/>
              </w:rPr>
            </w:pPr>
            <w:r>
              <w:rPr>
                <w:rFonts w:cs="Arial"/>
                <w:sz w:val="20"/>
                <w:szCs w:val="20"/>
              </w:rPr>
              <w:t>14.10</w:t>
            </w:r>
          </w:p>
        </w:tc>
        <w:tc>
          <w:tcPr>
            <w:tcW w:w="516" w:type="pct"/>
            <w:tcBorders>
              <w:top w:val="nil"/>
              <w:bottom w:val="nil"/>
            </w:tcBorders>
            <w:vAlign w:val="center"/>
          </w:tcPr>
          <w:p w:rsidR="00634A1D" w:rsidRDefault="00634A1D">
            <w:pPr>
              <w:jc w:val="center"/>
              <w:rPr>
                <w:rFonts w:cs="Arial"/>
                <w:sz w:val="20"/>
                <w:szCs w:val="20"/>
              </w:rPr>
            </w:pPr>
            <w:r>
              <w:rPr>
                <w:rFonts w:cs="Arial"/>
                <w:sz w:val="20"/>
                <w:szCs w:val="20"/>
              </w:rPr>
              <w:t>13.52</w:t>
            </w:r>
          </w:p>
        </w:tc>
        <w:tc>
          <w:tcPr>
            <w:tcW w:w="598" w:type="pct"/>
            <w:tcBorders>
              <w:top w:val="nil"/>
              <w:bottom w:val="nil"/>
            </w:tcBorders>
            <w:vAlign w:val="center"/>
          </w:tcPr>
          <w:p w:rsidR="00634A1D" w:rsidRDefault="00634A1D">
            <w:pPr>
              <w:jc w:val="center"/>
              <w:rPr>
                <w:rFonts w:cs="Arial"/>
                <w:sz w:val="20"/>
                <w:szCs w:val="20"/>
              </w:rPr>
            </w:pPr>
            <w:r>
              <w:rPr>
                <w:rFonts w:cs="Arial"/>
                <w:sz w:val="20"/>
                <w:szCs w:val="20"/>
              </w:rPr>
              <w:t>13.03</w:t>
            </w:r>
          </w:p>
        </w:tc>
        <w:tc>
          <w:tcPr>
            <w:tcW w:w="525" w:type="pct"/>
            <w:tcBorders>
              <w:top w:val="nil"/>
              <w:bottom w:val="nil"/>
            </w:tcBorders>
            <w:vAlign w:val="center"/>
          </w:tcPr>
          <w:p w:rsidR="00634A1D" w:rsidRDefault="00634A1D">
            <w:pPr>
              <w:jc w:val="center"/>
              <w:rPr>
                <w:rFonts w:cs="Arial"/>
                <w:sz w:val="20"/>
                <w:szCs w:val="20"/>
              </w:rPr>
            </w:pPr>
            <w:r>
              <w:rPr>
                <w:rFonts w:cs="Arial"/>
                <w:sz w:val="20"/>
                <w:szCs w:val="20"/>
              </w:rPr>
              <w:t>13.03</w:t>
            </w:r>
          </w:p>
        </w:tc>
        <w:tc>
          <w:tcPr>
            <w:tcW w:w="518" w:type="pct"/>
            <w:tcBorders>
              <w:top w:val="nil"/>
              <w:bottom w:val="nil"/>
            </w:tcBorders>
            <w:vAlign w:val="center"/>
          </w:tcPr>
          <w:p w:rsidR="00634A1D" w:rsidRDefault="00634A1D">
            <w:pPr>
              <w:jc w:val="center"/>
              <w:rPr>
                <w:rFonts w:cs="Arial"/>
                <w:sz w:val="20"/>
                <w:szCs w:val="20"/>
              </w:rPr>
            </w:pPr>
            <w:r>
              <w:rPr>
                <w:rFonts w:cs="Arial"/>
                <w:sz w:val="20"/>
                <w:szCs w:val="20"/>
              </w:rPr>
              <w:t>14.69</w:t>
            </w:r>
          </w:p>
        </w:tc>
        <w:tc>
          <w:tcPr>
            <w:tcW w:w="515" w:type="pct"/>
            <w:tcBorders>
              <w:top w:val="nil"/>
              <w:bottom w:val="nil"/>
            </w:tcBorders>
            <w:vAlign w:val="center"/>
          </w:tcPr>
          <w:p w:rsidR="00634A1D" w:rsidRDefault="00634A1D">
            <w:pPr>
              <w:jc w:val="center"/>
              <w:rPr>
                <w:rFonts w:cs="Arial"/>
                <w:sz w:val="20"/>
                <w:szCs w:val="20"/>
              </w:rPr>
            </w:pPr>
            <w:r>
              <w:rPr>
                <w:rFonts w:cs="Arial"/>
                <w:sz w:val="20"/>
                <w:szCs w:val="20"/>
              </w:rPr>
              <w:t>15.00</w:t>
            </w:r>
          </w:p>
        </w:tc>
        <w:tc>
          <w:tcPr>
            <w:tcW w:w="587" w:type="pct"/>
            <w:tcBorders>
              <w:top w:val="nil"/>
              <w:bottom w:val="nil"/>
            </w:tcBorders>
            <w:vAlign w:val="center"/>
          </w:tcPr>
          <w:p w:rsidR="00634A1D" w:rsidRDefault="00634A1D">
            <w:pPr>
              <w:jc w:val="center"/>
              <w:rPr>
                <w:rFonts w:cs="Arial"/>
                <w:sz w:val="20"/>
                <w:szCs w:val="20"/>
              </w:rPr>
            </w:pPr>
            <w:r>
              <w:rPr>
                <w:rFonts w:cs="Arial"/>
                <w:sz w:val="20"/>
                <w:szCs w:val="20"/>
              </w:rPr>
              <w:t>14.99</w:t>
            </w:r>
          </w:p>
        </w:tc>
      </w:tr>
      <w:tr w:rsidR="00634A1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634A1D" w:rsidRDefault="00634A1D">
            <w:pPr>
              <w:rPr>
                <w:rFonts w:cs="Arial"/>
                <w:szCs w:val="20"/>
              </w:rPr>
            </w:pPr>
            <w:r>
              <w:rPr>
                <w:rFonts w:cs="Arial"/>
                <w:szCs w:val="20"/>
              </w:rPr>
              <w:t>Ex post quantity (TJ)</w:t>
            </w:r>
          </w:p>
        </w:tc>
        <w:tc>
          <w:tcPr>
            <w:tcW w:w="589" w:type="pct"/>
            <w:tcBorders>
              <w:top w:val="nil"/>
              <w:bottom w:val="single" w:sz="4" w:space="0" w:color="auto"/>
            </w:tcBorders>
            <w:vAlign w:val="center"/>
          </w:tcPr>
          <w:p w:rsidR="00634A1D" w:rsidRDefault="00634A1D">
            <w:pPr>
              <w:jc w:val="center"/>
              <w:rPr>
                <w:rFonts w:cs="Arial"/>
                <w:szCs w:val="20"/>
              </w:rPr>
            </w:pPr>
            <w:r>
              <w:rPr>
                <w:rFonts w:cs="Arial"/>
                <w:szCs w:val="20"/>
              </w:rPr>
              <w:t>73</w:t>
            </w:r>
          </w:p>
        </w:tc>
        <w:tc>
          <w:tcPr>
            <w:tcW w:w="516" w:type="pct"/>
            <w:tcBorders>
              <w:top w:val="nil"/>
              <w:bottom w:val="single" w:sz="4" w:space="0" w:color="auto"/>
            </w:tcBorders>
            <w:vAlign w:val="center"/>
          </w:tcPr>
          <w:p w:rsidR="00634A1D" w:rsidRDefault="00634A1D">
            <w:pPr>
              <w:jc w:val="center"/>
              <w:rPr>
                <w:rFonts w:cs="Arial"/>
                <w:szCs w:val="20"/>
              </w:rPr>
            </w:pPr>
            <w:r>
              <w:rPr>
                <w:rFonts w:cs="Arial"/>
                <w:szCs w:val="20"/>
              </w:rPr>
              <w:t>83</w:t>
            </w:r>
          </w:p>
        </w:tc>
        <w:tc>
          <w:tcPr>
            <w:tcW w:w="598" w:type="pct"/>
            <w:tcBorders>
              <w:top w:val="nil"/>
              <w:bottom w:val="single" w:sz="4" w:space="0" w:color="auto"/>
            </w:tcBorders>
            <w:vAlign w:val="center"/>
          </w:tcPr>
          <w:p w:rsidR="00634A1D" w:rsidRDefault="00634A1D">
            <w:pPr>
              <w:jc w:val="center"/>
              <w:rPr>
                <w:rFonts w:cs="Arial"/>
                <w:szCs w:val="20"/>
              </w:rPr>
            </w:pPr>
            <w:r>
              <w:rPr>
                <w:rFonts w:cs="Arial"/>
                <w:szCs w:val="20"/>
              </w:rPr>
              <w:t>79</w:t>
            </w:r>
          </w:p>
        </w:tc>
        <w:tc>
          <w:tcPr>
            <w:tcW w:w="525" w:type="pct"/>
            <w:tcBorders>
              <w:top w:val="nil"/>
              <w:bottom w:val="single" w:sz="4" w:space="0" w:color="auto"/>
            </w:tcBorders>
            <w:vAlign w:val="center"/>
          </w:tcPr>
          <w:p w:rsidR="00634A1D" w:rsidRDefault="00634A1D">
            <w:pPr>
              <w:jc w:val="center"/>
              <w:rPr>
                <w:rFonts w:cs="Arial"/>
                <w:szCs w:val="20"/>
              </w:rPr>
            </w:pPr>
            <w:r>
              <w:rPr>
                <w:rFonts w:cs="Arial"/>
                <w:szCs w:val="20"/>
              </w:rPr>
              <w:t>82</w:t>
            </w:r>
          </w:p>
        </w:tc>
        <w:tc>
          <w:tcPr>
            <w:tcW w:w="518" w:type="pct"/>
            <w:tcBorders>
              <w:top w:val="nil"/>
              <w:bottom w:val="single" w:sz="4" w:space="0" w:color="auto"/>
            </w:tcBorders>
            <w:vAlign w:val="center"/>
          </w:tcPr>
          <w:p w:rsidR="00634A1D" w:rsidRDefault="00634A1D">
            <w:pPr>
              <w:jc w:val="center"/>
              <w:rPr>
                <w:rFonts w:cs="Arial"/>
                <w:szCs w:val="20"/>
              </w:rPr>
            </w:pPr>
            <w:r>
              <w:rPr>
                <w:rFonts w:cs="Arial"/>
                <w:szCs w:val="20"/>
              </w:rPr>
              <w:t>80</w:t>
            </w:r>
          </w:p>
        </w:tc>
        <w:tc>
          <w:tcPr>
            <w:tcW w:w="515" w:type="pct"/>
            <w:tcBorders>
              <w:top w:val="nil"/>
              <w:bottom w:val="single" w:sz="4" w:space="0" w:color="auto"/>
            </w:tcBorders>
            <w:vAlign w:val="center"/>
          </w:tcPr>
          <w:p w:rsidR="00634A1D" w:rsidRDefault="00634A1D">
            <w:pPr>
              <w:jc w:val="center"/>
              <w:rPr>
                <w:rFonts w:cs="Arial"/>
                <w:szCs w:val="20"/>
              </w:rPr>
            </w:pPr>
            <w:r>
              <w:rPr>
                <w:rFonts w:cs="Arial"/>
                <w:szCs w:val="20"/>
              </w:rPr>
              <w:t>74</w:t>
            </w:r>
          </w:p>
        </w:tc>
        <w:tc>
          <w:tcPr>
            <w:tcW w:w="587" w:type="pct"/>
            <w:tcBorders>
              <w:top w:val="nil"/>
              <w:bottom w:val="single" w:sz="4" w:space="0" w:color="auto"/>
            </w:tcBorders>
            <w:vAlign w:val="center"/>
          </w:tcPr>
          <w:p w:rsidR="00634A1D" w:rsidRDefault="00634A1D">
            <w:pPr>
              <w:jc w:val="center"/>
              <w:rPr>
                <w:rFonts w:cs="Arial"/>
                <w:szCs w:val="20"/>
              </w:rPr>
            </w:pPr>
            <w:r>
              <w:rPr>
                <w:rFonts w:cs="Arial"/>
                <w:szCs w:val="20"/>
              </w:rPr>
              <w:t>63</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634A1D" w:rsidP="00EC2CB1">
      <w:r w:rsidRPr="002F64B1">
        <w:rPr>
          <w:noProof/>
          <w:lang w:eastAsia="en-AU"/>
        </w:rPr>
        <w:drawing>
          <wp:inline distT="0" distB="0" distL="0" distR="0" wp14:anchorId="0AE0112E" wp14:editId="50FFC9C2">
            <wp:extent cx="5731510" cy="1725295"/>
            <wp:effectExtent l="0" t="0" r="2540" b="0"/>
            <wp:docPr id="27" name="Picture 27"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529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634A1D" w:rsidP="00EC2CB1">
      <w:r w:rsidRPr="002F64B1">
        <w:rPr>
          <w:noProof/>
          <w:lang w:eastAsia="en-AU"/>
        </w:rPr>
        <w:drawing>
          <wp:inline distT="0" distB="0" distL="0" distR="0" wp14:anchorId="043BAF0B" wp14:editId="00B6E0DD">
            <wp:extent cx="5731510" cy="1475105"/>
            <wp:effectExtent l="0" t="0" r="2540" b="0"/>
            <wp:docPr id="28" name="Picture 28"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75105"/>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634A1D" w:rsidP="00A226E9">
      <w:r w:rsidRPr="00557650">
        <w:rPr>
          <w:noProof/>
          <w:lang w:eastAsia="en-AU"/>
        </w:rPr>
        <w:drawing>
          <wp:inline distT="0" distB="0" distL="0" distR="0" wp14:anchorId="41B17289" wp14:editId="4F83CE3B">
            <wp:extent cx="5731510" cy="1882775"/>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2775"/>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3"/>
      </w:r>
    </w:p>
    <w:p w:rsidR="00665C0C" w:rsidRDefault="00634A1D" w:rsidP="00596DE3">
      <w:pPr>
        <w:spacing w:line="240" w:lineRule="auto"/>
      </w:pPr>
      <w:r>
        <w:rPr>
          <w:b/>
          <w:bCs/>
          <w:noProof/>
          <w:lang w:eastAsia="en-AU"/>
        </w:rPr>
        <w:drawing>
          <wp:inline distT="0" distB="0" distL="0" distR="0" wp14:anchorId="744E4D66" wp14:editId="7AFC41A8">
            <wp:extent cx="5731510" cy="6264910"/>
            <wp:effectExtent l="0" t="0" r="2540" b="2540"/>
            <wp:docPr id="18" name="Picture 1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26491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4"/>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AC4BF5" w:rsidRPr="001934E9" w:rsidRDefault="00634A1D" w:rsidP="00551D6B">
      <w:pPr>
        <w:jc w:val="both"/>
        <w:rPr>
          <w:color w:val="FF0000"/>
        </w:rPr>
      </w:pPr>
      <w:r w:rsidRPr="00AE086B">
        <w:t>There were 12 trades this week for 63.4 TJ of gas at a volume weighted price of $14.68/GJ in the Wallumbilla hub. Trades consisted of balance-of-day, daily and day ahead trades on each pipeline (39.2 TJ on RBP at $15.16/GJ, 24.2 TJ on SWQP at $13.90/GJ).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5"/>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634A1D" w:rsidP="00E16EDC">
      <w:r w:rsidRPr="00106DB6">
        <w:rPr>
          <w:noProof/>
          <w:lang w:eastAsia="en-AU"/>
        </w:rPr>
        <w:drawing>
          <wp:inline distT="0" distB="0" distL="0" distR="0" wp14:anchorId="262653B7" wp14:editId="276654BF">
            <wp:extent cx="5731510" cy="3126740"/>
            <wp:effectExtent l="0" t="0" r="2540" b="0"/>
            <wp:docPr id="8" name="Picture 8"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634A1D" w:rsidRPr="00634A1D">
        <w:t>March</w:t>
      </w:r>
      <w:r w:rsidR="004D5447" w:rsidRPr="00634A1D">
        <w:t xml:space="preserve"> </w:t>
      </w:r>
      <w:r w:rsidR="00C4712A" w:rsidRPr="00634A1D">
        <w:t>2016</w:t>
      </w:r>
    </w:p>
    <w:sectPr w:rsidR="00275002" w:rsidRPr="009F2CAC" w:rsidSect="00A226E9">
      <w:footerReference w:type="even" r:id="rId32"/>
      <w:footerReference w:type="default" r:id="rId33"/>
      <w:footerReference w:type="first" r:id="rId34"/>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13F07">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13F07">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w:t>
    </w:r>
    <w:r w:rsidR="00596DE3">
      <w:rPr>
        <w:rFonts w:cs="Arial"/>
        <w:i/>
        <w:szCs w:val="18"/>
      </w:rPr>
      <w:t>7</w:t>
    </w:r>
    <w:r w:rsidRPr="007F43CB">
      <w:rPr>
        <w:rFonts w:cs="Arial"/>
        <w:i/>
        <w:szCs w:val="18"/>
      </w:rPr>
      <w:t>/</w:t>
    </w:r>
    <w:r w:rsidR="0051253E">
      <w:rPr>
        <w:rFonts w:cs="Arial"/>
        <w:i/>
        <w:szCs w:val="18"/>
      </w:rPr>
      <w:t>24323</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634A1D" w:rsidRDefault="00634A1D" w:rsidP="00634A1D">
      <w:pPr>
        <w:pStyle w:val="FootnoteText"/>
        <w:ind w:left="709" w:hanging="709"/>
        <w:jc w:val="both"/>
      </w:pPr>
      <w:r>
        <w:rPr>
          <w:rStyle w:val="FootnoteReference"/>
        </w:rPr>
        <w:footnoteRef/>
      </w:r>
      <w:r>
        <w:t xml:space="preserve"> </w:t>
      </w:r>
      <w:r>
        <w:tab/>
        <w:t>Since 8 January, Brisbane has only experienced one day where the maximum didn’t reach 30 degrees, while other areas further inland have faced even warmer temperatures over the same period,</w:t>
      </w:r>
    </w:p>
  </w:footnote>
  <w:footnote w:id="3">
    <w:p w:rsidR="00634A1D" w:rsidRDefault="00634A1D" w:rsidP="00634A1D">
      <w:pPr>
        <w:pStyle w:val="FootnoteText"/>
        <w:jc w:val="both"/>
      </w:pPr>
      <w:r>
        <w:rPr>
          <w:rStyle w:val="FootnoteReference"/>
        </w:rPr>
        <w:footnoteRef/>
      </w:r>
      <w:r>
        <w:t xml:space="preserve"> </w:t>
      </w:r>
      <w:r>
        <w:tab/>
        <w:t>GPG demand is estimated based on NEM generator output and estimated heat rates of converting gas to electricity</w:t>
      </w:r>
    </w:p>
  </w:footnote>
  <w:footnote w:id="4">
    <w:p w:rsidR="00634A1D" w:rsidRDefault="00634A1D" w:rsidP="00634A1D">
      <w:pPr>
        <w:pStyle w:val="FootnoteText"/>
        <w:ind w:left="709" w:hanging="709"/>
        <w:jc w:val="both"/>
      </w:pPr>
      <w:r>
        <w:rPr>
          <w:rStyle w:val="FootnoteReference"/>
        </w:rPr>
        <w:footnoteRef/>
      </w:r>
      <w:r>
        <w:t xml:space="preserve"> </w:t>
      </w:r>
      <w:r>
        <w:tab/>
      </w:r>
      <w:r w:rsidRPr="00C04C76">
        <w:t>An Amber LCA flag on the Bulletin Board indicates actual or potential load shedding of interruptible gas customers on non-Victorian pipelines</w:t>
      </w:r>
      <w:r>
        <w:t>.</w:t>
      </w:r>
    </w:p>
  </w:footnote>
  <w:footnote w:id="5">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96DE3" w:rsidRPr="0087350F" w:rsidRDefault="00596DE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96DE3" w:rsidRPr="0087350F" w:rsidRDefault="00596DE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2">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3">
    <w:p w:rsidR="00596DE3" w:rsidRDefault="00596DE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4">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5">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776\D17 24323  20170205 - 20170211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3F07"/>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253E"/>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A1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2595"/>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3A00"/>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494E967F.dotm</Template>
  <TotalTime>0</TotalTime>
  <Pages>12</Pages>
  <Words>1927</Words>
  <Characters>10990</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2017-03-03T04:04:00Z</dcterms:created>
  <dcterms:modified xsi:type="dcterms:W3CDTF">2017-03-03T04:04:00Z</dcterms:modified>
</cp:coreProperties>
</file>