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bookmarkStart w:id="6" w:name="_GoBack"/>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BE068F8" wp14:editId="3B27A35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bookmarkEnd w:id="6"/>
    <w:p w:rsidR="002A4EF8" w:rsidRPr="00C4712A" w:rsidRDefault="002A4EF8" w:rsidP="002A4EF8"/>
    <w:p w:rsidR="002A4EF8" w:rsidRDefault="002A4EF8" w:rsidP="002A4EF8"/>
    <w:p w:rsidR="00286866" w:rsidRPr="00AC3047" w:rsidRDefault="00B94196" w:rsidP="00286866">
      <w:pPr>
        <w:pStyle w:val="Heading2"/>
        <w:rPr>
          <w:i/>
        </w:rPr>
      </w:pPr>
      <w:r w:rsidRPr="00D81A7E">
        <w:rPr>
          <w:sz w:val="36"/>
          <w:szCs w:val="36"/>
        </w:rPr>
        <w:t>8 – 14 January</w:t>
      </w:r>
      <w:r w:rsidR="00286866" w:rsidRPr="00D81A7E">
        <w:rPr>
          <w:sz w:val="36"/>
          <w:szCs w:val="36"/>
        </w:rPr>
        <w:t xml:space="preserve"> </w:t>
      </w:r>
      <w:r w:rsidRPr="00D81A7E">
        <w:rPr>
          <w:sz w:val="36"/>
          <w:szCs w:val="36"/>
        </w:rPr>
        <w:t>2017</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B26273" w:rsidRPr="00324FDD" w:rsidRDefault="00C725A6" w:rsidP="00F26128">
      <w:pPr>
        <w:jc w:val="both"/>
      </w:pPr>
      <w:r w:rsidRPr="00324FDD">
        <w:t xml:space="preserve">Gas prices increased significantly in </w:t>
      </w:r>
      <w:r w:rsidR="00714DBC" w:rsidRPr="00324FDD">
        <w:t>Victoria, Sydney, Adelaide, Brisbane and Wallumbilla</w:t>
      </w:r>
      <w:r w:rsidRPr="00324FDD">
        <w:t xml:space="preserve"> from last week.  </w:t>
      </w:r>
      <w:r w:rsidR="00E07BFC" w:rsidRPr="00324FDD">
        <w:t>Prices remained within the</w:t>
      </w:r>
      <w:r w:rsidR="00365744" w:rsidRPr="00324FDD">
        <w:t xml:space="preserve"> $7-10/GJ range </w:t>
      </w:r>
      <w:r w:rsidR="00714DBC" w:rsidRPr="00324FDD">
        <w:t>for the majority of the week.</w:t>
      </w:r>
      <w:r w:rsidR="00E07BFC" w:rsidRPr="00324FDD">
        <w:t xml:space="preserve">  The trend of high temperatures across the east coast continued from </w:t>
      </w:r>
      <w:r w:rsidR="00324FDD">
        <w:t>the previous</w:t>
      </w:r>
      <w:r w:rsidR="00324FDD" w:rsidRPr="00324FDD">
        <w:t xml:space="preserve"> </w:t>
      </w:r>
      <w:r w:rsidR="00E07BFC" w:rsidRPr="00324FDD">
        <w:t xml:space="preserve">week resulting in an increase in gas usage by generators.  This increase in demand for gas contributed to </w:t>
      </w:r>
      <w:r w:rsidR="00324FDD">
        <w:t xml:space="preserve">the </w:t>
      </w:r>
      <w:r w:rsidR="00E07BFC" w:rsidRPr="00324FDD">
        <w:t>higher prices</w:t>
      </w:r>
      <w:r w:rsidR="00FA34E6" w:rsidRPr="00324FDD">
        <w:t>, particularly at the Wallumbilla gas supply hub and in Brisbane</w:t>
      </w:r>
      <w:r w:rsidR="00CF4DFD" w:rsidRPr="00324FDD">
        <w:t xml:space="preserve">.  </w:t>
      </w:r>
    </w:p>
    <w:p w:rsidR="00CF4DFD" w:rsidRPr="00324FDD" w:rsidRDefault="00B26273" w:rsidP="00F26128">
      <w:pPr>
        <w:jc w:val="both"/>
      </w:pPr>
      <w:r w:rsidRPr="00324FDD">
        <w:t>Constraints applied at Culcairn and the S</w:t>
      </w:r>
      <w:r w:rsidR="008E0645" w:rsidRPr="00324FDD">
        <w:t xml:space="preserve">outh </w:t>
      </w:r>
      <w:r w:rsidRPr="00324FDD">
        <w:t>W</w:t>
      </w:r>
      <w:r w:rsidR="008E0645" w:rsidRPr="00324FDD">
        <w:t>est pipeline</w:t>
      </w:r>
      <w:r w:rsidRPr="00324FDD">
        <w:t xml:space="preserve"> led to a reduction in northerly flows of gas out of Victoria compared</w:t>
      </w:r>
      <w:r w:rsidR="00F77336" w:rsidRPr="00324FDD">
        <w:t xml:space="preserve"> to the record high of last week</w:t>
      </w:r>
      <w:r w:rsidR="00566C73" w:rsidRPr="00324FDD">
        <w:t xml:space="preserve">. </w:t>
      </w:r>
      <w:r w:rsidR="00F15B71">
        <w:t>Figure 5.1 shows s</w:t>
      </w:r>
      <w:r w:rsidR="00F15B71" w:rsidRPr="00324FDD">
        <w:t xml:space="preserve">torage </w:t>
      </w:r>
      <w:r w:rsidR="00566C73" w:rsidRPr="00324FDD">
        <w:t xml:space="preserve">levels </w:t>
      </w:r>
      <w:r w:rsidR="00F15B71">
        <w:t xml:space="preserve">increased </w:t>
      </w:r>
      <w:r w:rsidR="00566C73" w:rsidRPr="00324FDD">
        <w:t xml:space="preserve">at Iona </w:t>
      </w:r>
      <w:r w:rsidR="00F15B71">
        <w:t xml:space="preserve">while decreasing at </w:t>
      </w:r>
      <w:r w:rsidR="00566C73" w:rsidRPr="00324FDD">
        <w:t xml:space="preserve">Moomba. </w:t>
      </w:r>
    </w:p>
    <w:p w:rsidR="000345C8" w:rsidRPr="00324FDD" w:rsidRDefault="00F15B71" w:rsidP="00F26128">
      <w:pPr>
        <w:jc w:val="both"/>
      </w:pPr>
      <w:r w:rsidRPr="00324FDD">
        <w:t>Figure</w:t>
      </w:r>
      <w:r>
        <w:t> </w:t>
      </w:r>
      <w:r w:rsidR="000345C8" w:rsidRPr="00324FDD">
        <w:t>3 shows MOS payments for Sydney rose significantly f</w:t>
      </w:r>
      <w:r w:rsidR="00A56534" w:rsidRPr="00324FDD">
        <w:t>rom the previous week</w:t>
      </w:r>
      <w:r w:rsidR="00566C73" w:rsidRPr="00324FDD">
        <w:t>, resulting from inaccurate demand forecasts made by market participants</w:t>
      </w:r>
      <w:r w:rsidR="00117DC1" w:rsidRPr="00324FDD">
        <w:t xml:space="preserve">.  </w:t>
      </w:r>
      <w:r w:rsidR="00A56534" w:rsidRPr="00324FDD">
        <w:t xml:space="preserve"> </w:t>
      </w:r>
    </w:p>
    <w:p w:rsidR="000835F4" w:rsidRPr="000835F4" w:rsidRDefault="000835F4" w:rsidP="00C725A6">
      <w:pPr>
        <w:pStyle w:val="Heading3"/>
        <w:tabs>
          <w:tab w:val="left" w:pos="7800"/>
        </w:tabs>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r w:rsidR="00C725A6">
        <w:rPr>
          <w:rFonts w:eastAsia="Times New Roman" w:cs="Times New Roman"/>
          <w:color w:val="2272A3" w:themeColor="accent4" w:themeShade="80"/>
          <w:sz w:val="32"/>
          <w:szCs w:val="20"/>
        </w:rPr>
        <w:tab/>
      </w:r>
    </w:p>
    <w:p w:rsidR="000835F4" w:rsidRPr="00AF2164" w:rsidRDefault="000835F4" w:rsidP="000835F4">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r w:rsidR="003106BC" w:rsidRPr="00EC137F">
        <w:t>Price and demand information</w:t>
      </w:r>
      <w:r w:rsidRPr="00EC137F">
        <w:t xml:space="preserve"> </w:t>
      </w:r>
      <w:r w:rsidR="003106BC" w:rsidRPr="00EC137F">
        <w:t>is</w:t>
      </w:r>
      <w:r w:rsidRPr="00EC137F">
        <w:t xml:space="preserve"> also shown for the voluntary Wallumbilla and Moomba Gas Supply Hubs </w:t>
      </w:r>
      <w:r w:rsidR="006621AB" w:rsidRPr="00EC137F">
        <w:rPr>
          <w:b/>
        </w:rPr>
        <w:t>(GSH</w:t>
      </w:r>
      <w:r w:rsidRPr="00EC137F">
        <w:rPr>
          <w:b/>
        </w:rPr>
        <w:t>)</w:t>
      </w:r>
      <w:r w:rsidRPr="00EC137F">
        <w:t>.</w:t>
      </w:r>
    </w:p>
    <w:p w:rsidR="000835F4" w:rsidRDefault="000835F4" w:rsidP="000835F4">
      <w:pPr>
        <w:pStyle w:val="Caption"/>
        <w:rPr>
          <w:color w:val="2272A3"/>
          <w:szCs w:val="24"/>
        </w:rPr>
      </w:pPr>
      <w:r w:rsidRPr="00BE2075">
        <w:t xml:space="preserve">Figure </w:t>
      </w:r>
      <w:r w:rsidR="00FA75E3">
        <w:fldChar w:fldCharType="begin"/>
      </w:r>
      <w:r w:rsidR="00FA75E3">
        <w:instrText xml:space="preserve"> SEQ Figure \* ARABIC </w:instrText>
      </w:r>
      <w:r w:rsidR="00FA75E3">
        <w:fldChar w:fldCharType="separate"/>
      </w:r>
      <w:r w:rsidR="003705AE">
        <w:rPr>
          <w:noProof/>
        </w:rPr>
        <w:t>1</w:t>
      </w:r>
      <w:r w:rsidR="00FA75E3">
        <w:rPr>
          <w:noProof/>
        </w:rPr>
        <w:fldChar w:fldCharType="end"/>
      </w:r>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5000" w:type="pct"/>
        <w:tblLook w:val="04A0" w:firstRow="1" w:lastRow="0" w:firstColumn="1" w:lastColumn="0" w:noHBand="0" w:noVBand="1"/>
      </w:tblPr>
      <w:tblGrid>
        <w:gridCol w:w="1375"/>
        <w:gridCol w:w="606"/>
        <w:gridCol w:w="799"/>
        <w:gridCol w:w="606"/>
        <w:gridCol w:w="757"/>
        <w:gridCol w:w="606"/>
        <w:gridCol w:w="559"/>
        <w:gridCol w:w="606"/>
        <w:gridCol w:w="657"/>
        <w:gridCol w:w="717"/>
        <w:gridCol w:w="661"/>
        <w:gridCol w:w="66"/>
        <w:gridCol w:w="473"/>
        <w:gridCol w:w="754"/>
      </w:tblGrid>
      <w:tr w:rsidR="00546B16" w:rsidRPr="002861A9" w:rsidTr="00F02425">
        <w:trPr>
          <w:cnfStyle w:val="100000000000" w:firstRow="1" w:lastRow="0" w:firstColumn="0" w:lastColumn="0" w:oddVBand="0" w:evenVBand="0" w:oddHBand="0" w:evenHBand="0" w:firstRowFirstColumn="0" w:firstRowLastColumn="0" w:lastRowFirstColumn="0" w:lastRowLastColumn="0"/>
          <w:trHeight w:val="404"/>
          <w:tblHeader/>
        </w:trPr>
        <w:tc>
          <w:tcPr>
            <w:tcW w:w="749" w:type="pct"/>
            <w:tcBorders>
              <w:bottom w:val="nil"/>
            </w:tcBorders>
            <w:vAlign w:val="center"/>
          </w:tcPr>
          <w:p w:rsidR="00546B16" w:rsidRPr="00E16EDC" w:rsidRDefault="00546B16" w:rsidP="00546B16">
            <w:pPr>
              <w:pStyle w:val="TableHeading"/>
              <w:spacing w:before="120" w:after="0" w:line="240" w:lineRule="auto"/>
              <w:jc w:val="center"/>
              <w:rPr>
                <w:rFonts w:cs="Arial"/>
                <w:sz w:val="20"/>
                <w:szCs w:val="20"/>
              </w:rPr>
            </w:pPr>
          </w:p>
        </w:tc>
        <w:tc>
          <w:tcPr>
            <w:tcW w:w="770"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746"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639"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69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c>
          <w:tcPr>
            <w:tcW w:w="732" w:type="pct"/>
            <w:gridSpan w:val="3"/>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Wallumbilla</w:t>
            </w:r>
          </w:p>
        </w:tc>
        <w:tc>
          <w:tcPr>
            <w:tcW w:w="67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Moomba</w:t>
            </w:r>
          </w:p>
        </w:tc>
      </w:tr>
      <w:tr w:rsidR="00952CCE" w:rsidRPr="002861A9" w:rsidTr="00F02425">
        <w:trPr>
          <w:cnfStyle w:val="100000000000" w:firstRow="1" w:lastRow="0" w:firstColumn="0" w:lastColumn="0" w:oddVBand="0" w:evenVBand="0" w:oddHBand="0" w:evenHBand="0" w:firstRowFirstColumn="0" w:firstRowLastColumn="0" w:lastRowFirstColumn="0" w:lastRowLastColumn="0"/>
          <w:tblHeader/>
        </w:trPr>
        <w:tc>
          <w:tcPr>
            <w:tcW w:w="749" w:type="pct"/>
            <w:tcBorders>
              <w:bottom w:val="nil"/>
            </w:tcBorders>
            <w:vAlign w:val="center"/>
            <w:hideMark/>
          </w:tcPr>
          <w:p w:rsidR="00546B16" w:rsidRPr="00A226E9" w:rsidRDefault="00546B16" w:rsidP="00546B16">
            <w:pPr>
              <w:spacing w:before="0" w:line="240" w:lineRule="auto"/>
              <w:rPr>
                <w:rFonts w:cs="Arial"/>
                <w:sz w:val="20"/>
                <w:szCs w:val="20"/>
                <w:highlight w:val="yellow"/>
              </w:rPr>
            </w:pP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41"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7"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1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63"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3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59"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303" w:type="pct"/>
            <w:gridSpan w:val="2"/>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2"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F02425" w:rsidRPr="006A7228" w:rsidTr="00F02425">
        <w:trPr>
          <w:trHeight w:val="510"/>
        </w:trPr>
        <w:tc>
          <w:tcPr>
            <w:tcW w:w="749" w:type="pct"/>
            <w:tcBorders>
              <w:top w:val="nil"/>
              <w:bottom w:val="nil"/>
            </w:tcBorders>
            <w:vAlign w:val="center"/>
          </w:tcPr>
          <w:p w:rsidR="00F02425" w:rsidRDefault="00F02425">
            <w:pPr>
              <w:rPr>
                <w:rFonts w:cs="Arial"/>
                <w:sz w:val="16"/>
                <w:szCs w:val="16"/>
              </w:rPr>
            </w:pPr>
            <w:r>
              <w:rPr>
                <w:rFonts w:cs="Arial"/>
                <w:sz w:val="16"/>
                <w:szCs w:val="16"/>
              </w:rPr>
              <w:t>08 Jan - 14 Jan 2017</w:t>
            </w:r>
          </w:p>
        </w:tc>
        <w:tc>
          <w:tcPr>
            <w:tcW w:w="329" w:type="pct"/>
            <w:tcBorders>
              <w:top w:val="nil"/>
              <w:bottom w:val="nil"/>
            </w:tcBorders>
            <w:vAlign w:val="center"/>
          </w:tcPr>
          <w:p w:rsidR="00F02425" w:rsidRDefault="00F02425">
            <w:pPr>
              <w:jc w:val="center"/>
              <w:rPr>
                <w:rFonts w:cs="Arial"/>
                <w:sz w:val="20"/>
                <w:szCs w:val="20"/>
              </w:rPr>
            </w:pPr>
            <w:r>
              <w:rPr>
                <w:rFonts w:cs="Arial"/>
                <w:sz w:val="20"/>
                <w:szCs w:val="20"/>
              </w:rPr>
              <w:t>7.97</w:t>
            </w:r>
          </w:p>
        </w:tc>
        <w:tc>
          <w:tcPr>
            <w:tcW w:w="441" w:type="pct"/>
            <w:tcBorders>
              <w:top w:val="nil"/>
              <w:bottom w:val="nil"/>
            </w:tcBorders>
            <w:vAlign w:val="center"/>
          </w:tcPr>
          <w:p w:rsidR="00F02425" w:rsidRDefault="00F02425">
            <w:pPr>
              <w:jc w:val="center"/>
              <w:rPr>
                <w:rFonts w:cs="Arial"/>
                <w:sz w:val="20"/>
                <w:szCs w:val="20"/>
              </w:rPr>
            </w:pPr>
            <w:r>
              <w:rPr>
                <w:rFonts w:cs="Arial"/>
                <w:sz w:val="20"/>
                <w:szCs w:val="20"/>
              </w:rPr>
              <w:t>291</w:t>
            </w:r>
          </w:p>
        </w:tc>
        <w:tc>
          <w:tcPr>
            <w:tcW w:w="329" w:type="pct"/>
            <w:tcBorders>
              <w:top w:val="nil"/>
              <w:bottom w:val="nil"/>
            </w:tcBorders>
            <w:vAlign w:val="center"/>
          </w:tcPr>
          <w:p w:rsidR="00F02425" w:rsidRDefault="00F02425">
            <w:pPr>
              <w:jc w:val="center"/>
              <w:rPr>
                <w:rFonts w:cs="Arial"/>
                <w:sz w:val="20"/>
                <w:szCs w:val="20"/>
              </w:rPr>
            </w:pPr>
            <w:r>
              <w:rPr>
                <w:rFonts w:cs="Arial"/>
                <w:sz w:val="20"/>
                <w:szCs w:val="20"/>
              </w:rPr>
              <w:t>8.39</w:t>
            </w:r>
          </w:p>
        </w:tc>
        <w:tc>
          <w:tcPr>
            <w:tcW w:w="417" w:type="pct"/>
            <w:tcBorders>
              <w:top w:val="nil"/>
              <w:bottom w:val="nil"/>
            </w:tcBorders>
            <w:vAlign w:val="center"/>
          </w:tcPr>
          <w:p w:rsidR="00F02425" w:rsidRDefault="00F02425">
            <w:pPr>
              <w:jc w:val="center"/>
              <w:rPr>
                <w:rFonts w:cs="Arial"/>
                <w:sz w:val="20"/>
                <w:szCs w:val="20"/>
              </w:rPr>
            </w:pPr>
            <w:r>
              <w:rPr>
                <w:rFonts w:cs="Arial"/>
                <w:sz w:val="20"/>
                <w:szCs w:val="20"/>
              </w:rPr>
              <w:t>206</w:t>
            </w:r>
          </w:p>
        </w:tc>
        <w:tc>
          <w:tcPr>
            <w:tcW w:w="329" w:type="pct"/>
            <w:tcBorders>
              <w:top w:val="nil"/>
              <w:bottom w:val="nil"/>
            </w:tcBorders>
            <w:vAlign w:val="center"/>
          </w:tcPr>
          <w:p w:rsidR="00F02425" w:rsidRDefault="00F02425">
            <w:pPr>
              <w:jc w:val="center"/>
              <w:rPr>
                <w:rFonts w:cs="Arial"/>
                <w:sz w:val="20"/>
                <w:szCs w:val="20"/>
              </w:rPr>
            </w:pPr>
            <w:r>
              <w:rPr>
                <w:rFonts w:cs="Arial"/>
                <w:sz w:val="20"/>
                <w:szCs w:val="20"/>
              </w:rPr>
              <w:t>9.40</w:t>
            </w:r>
          </w:p>
        </w:tc>
        <w:tc>
          <w:tcPr>
            <w:tcW w:w="310" w:type="pct"/>
            <w:tcBorders>
              <w:top w:val="nil"/>
              <w:bottom w:val="nil"/>
            </w:tcBorders>
            <w:vAlign w:val="center"/>
          </w:tcPr>
          <w:p w:rsidR="00F02425" w:rsidRDefault="00F02425">
            <w:pPr>
              <w:jc w:val="center"/>
              <w:rPr>
                <w:rFonts w:cs="Arial"/>
                <w:sz w:val="20"/>
                <w:szCs w:val="20"/>
              </w:rPr>
            </w:pPr>
            <w:r>
              <w:rPr>
                <w:rFonts w:cs="Arial"/>
                <w:sz w:val="20"/>
                <w:szCs w:val="20"/>
              </w:rPr>
              <w:t>43</w:t>
            </w:r>
          </w:p>
        </w:tc>
        <w:tc>
          <w:tcPr>
            <w:tcW w:w="329" w:type="pct"/>
            <w:tcBorders>
              <w:top w:val="nil"/>
              <w:bottom w:val="nil"/>
            </w:tcBorders>
            <w:vAlign w:val="center"/>
          </w:tcPr>
          <w:p w:rsidR="00F02425" w:rsidRDefault="00F02425">
            <w:pPr>
              <w:jc w:val="center"/>
              <w:rPr>
                <w:rFonts w:cs="Arial"/>
                <w:sz w:val="20"/>
                <w:szCs w:val="20"/>
              </w:rPr>
            </w:pPr>
            <w:r>
              <w:rPr>
                <w:rFonts w:cs="Arial"/>
                <w:sz w:val="20"/>
                <w:szCs w:val="20"/>
              </w:rPr>
              <w:t>9.51</w:t>
            </w:r>
          </w:p>
        </w:tc>
        <w:tc>
          <w:tcPr>
            <w:tcW w:w="363" w:type="pct"/>
            <w:tcBorders>
              <w:top w:val="nil"/>
              <w:bottom w:val="nil"/>
            </w:tcBorders>
            <w:vAlign w:val="center"/>
          </w:tcPr>
          <w:p w:rsidR="00F02425" w:rsidRDefault="00F02425">
            <w:pPr>
              <w:jc w:val="center"/>
              <w:rPr>
                <w:rFonts w:cs="Arial"/>
                <w:sz w:val="20"/>
                <w:szCs w:val="20"/>
              </w:rPr>
            </w:pPr>
            <w:r>
              <w:rPr>
                <w:rFonts w:cs="Arial"/>
                <w:sz w:val="20"/>
                <w:szCs w:val="20"/>
              </w:rPr>
              <w:t>85</w:t>
            </w:r>
          </w:p>
        </w:tc>
        <w:tc>
          <w:tcPr>
            <w:tcW w:w="330" w:type="pct"/>
            <w:tcBorders>
              <w:top w:val="nil"/>
              <w:bottom w:val="nil"/>
            </w:tcBorders>
            <w:vAlign w:val="center"/>
          </w:tcPr>
          <w:p w:rsidR="00F02425" w:rsidRDefault="00F02425" w:rsidP="00952CCE">
            <w:pPr>
              <w:jc w:val="center"/>
              <w:rPr>
                <w:rFonts w:cs="Arial"/>
                <w:sz w:val="20"/>
                <w:szCs w:val="20"/>
              </w:rPr>
            </w:pPr>
            <w:r>
              <w:rPr>
                <w:rFonts w:cs="Arial"/>
                <w:sz w:val="20"/>
                <w:szCs w:val="20"/>
              </w:rPr>
              <w:t>11.31</w:t>
            </w:r>
          </w:p>
        </w:tc>
        <w:tc>
          <w:tcPr>
            <w:tcW w:w="359" w:type="pct"/>
            <w:tcBorders>
              <w:top w:val="nil"/>
              <w:bottom w:val="nil"/>
            </w:tcBorders>
            <w:vAlign w:val="center"/>
          </w:tcPr>
          <w:p w:rsidR="00F02425" w:rsidRDefault="00F02425">
            <w:pPr>
              <w:jc w:val="center"/>
              <w:rPr>
                <w:rFonts w:cs="Arial"/>
                <w:sz w:val="20"/>
                <w:szCs w:val="20"/>
              </w:rPr>
            </w:pPr>
            <w:r>
              <w:rPr>
                <w:rFonts w:cs="Arial"/>
                <w:sz w:val="20"/>
                <w:szCs w:val="20"/>
              </w:rPr>
              <w:t>174</w:t>
            </w:r>
          </w:p>
        </w:tc>
        <w:tc>
          <w:tcPr>
            <w:tcW w:w="303" w:type="pct"/>
            <w:gridSpan w:val="2"/>
            <w:tcBorders>
              <w:top w:val="nil"/>
              <w:bottom w:val="nil"/>
            </w:tcBorders>
            <w:vAlign w:val="center"/>
          </w:tcPr>
          <w:p w:rsidR="00F02425" w:rsidRDefault="00F02425">
            <w:pPr>
              <w:jc w:val="center"/>
              <w:rPr>
                <w:rFonts w:cs="Arial"/>
                <w:sz w:val="20"/>
                <w:szCs w:val="20"/>
              </w:rPr>
            </w:pPr>
            <w:r>
              <w:rPr>
                <w:rFonts w:cs="Arial"/>
                <w:sz w:val="20"/>
                <w:szCs w:val="20"/>
              </w:rPr>
              <w:t>-</w:t>
            </w:r>
          </w:p>
        </w:tc>
        <w:tc>
          <w:tcPr>
            <w:tcW w:w="412" w:type="pct"/>
            <w:tcBorders>
              <w:top w:val="nil"/>
              <w:bottom w:val="nil"/>
            </w:tcBorders>
            <w:vAlign w:val="center"/>
          </w:tcPr>
          <w:p w:rsidR="00F02425" w:rsidRDefault="00F02425">
            <w:pPr>
              <w:jc w:val="center"/>
              <w:rPr>
                <w:rFonts w:cs="Arial"/>
                <w:sz w:val="20"/>
                <w:szCs w:val="20"/>
              </w:rPr>
            </w:pPr>
            <w:r>
              <w:rPr>
                <w:rFonts w:cs="Arial"/>
                <w:sz w:val="20"/>
                <w:szCs w:val="20"/>
              </w:rPr>
              <w:t>-</w:t>
            </w:r>
          </w:p>
        </w:tc>
      </w:tr>
      <w:tr w:rsidR="00952CCE" w:rsidRPr="006A7228" w:rsidTr="00F02425">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nil"/>
            </w:tcBorders>
            <w:vAlign w:val="center"/>
          </w:tcPr>
          <w:p w:rsidR="00F02425" w:rsidRDefault="00F02425">
            <w:pPr>
              <w:rPr>
                <w:rFonts w:cs="Arial"/>
                <w:sz w:val="16"/>
                <w:szCs w:val="16"/>
              </w:rPr>
            </w:pPr>
            <w:r>
              <w:rPr>
                <w:rFonts w:cs="Arial"/>
                <w:sz w:val="16"/>
                <w:szCs w:val="16"/>
              </w:rPr>
              <w:t>% change from previous week</w:t>
            </w:r>
          </w:p>
        </w:tc>
        <w:tc>
          <w:tcPr>
            <w:tcW w:w="329" w:type="pct"/>
            <w:tcBorders>
              <w:top w:val="nil"/>
              <w:bottom w:val="nil"/>
            </w:tcBorders>
            <w:vAlign w:val="center"/>
          </w:tcPr>
          <w:p w:rsidR="00F02425" w:rsidRDefault="00F02425">
            <w:pPr>
              <w:jc w:val="center"/>
              <w:rPr>
                <w:rFonts w:cs="Arial"/>
                <w:szCs w:val="20"/>
              </w:rPr>
            </w:pPr>
            <w:r>
              <w:rPr>
                <w:rFonts w:cs="Arial"/>
                <w:szCs w:val="20"/>
              </w:rPr>
              <w:t>31</w:t>
            </w:r>
          </w:p>
        </w:tc>
        <w:tc>
          <w:tcPr>
            <w:tcW w:w="441" w:type="pct"/>
            <w:tcBorders>
              <w:top w:val="nil"/>
              <w:bottom w:val="nil"/>
            </w:tcBorders>
            <w:vAlign w:val="center"/>
          </w:tcPr>
          <w:p w:rsidR="00F02425" w:rsidRDefault="00F02425">
            <w:pPr>
              <w:jc w:val="center"/>
              <w:rPr>
                <w:rFonts w:cs="Arial"/>
                <w:szCs w:val="20"/>
              </w:rPr>
            </w:pPr>
            <w:r>
              <w:rPr>
                <w:rFonts w:cs="Arial"/>
                <w:szCs w:val="20"/>
              </w:rPr>
              <w:t>5</w:t>
            </w:r>
          </w:p>
        </w:tc>
        <w:tc>
          <w:tcPr>
            <w:tcW w:w="329" w:type="pct"/>
            <w:tcBorders>
              <w:top w:val="nil"/>
              <w:bottom w:val="nil"/>
            </w:tcBorders>
            <w:vAlign w:val="center"/>
          </w:tcPr>
          <w:p w:rsidR="00F02425" w:rsidRDefault="00F02425">
            <w:pPr>
              <w:jc w:val="center"/>
              <w:rPr>
                <w:rFonts w:cs="Arial"/>
                <w:szCs w:val="20"/>
              </w:rPr>
            </w:pPr>
            <w:r>
              <w:rPr>
                <w:rFonts w:cs="Arial"/>
                <w:szCs w:val="20"/>
              </w:rPr>
              <w:t>32</w:t>
            </w:r>
          </w:p>
        </w:tc>
        <w:tc>
          <w:tcPr>
            <w:tcW w:w="417" w:type="pct"/>
            <w:tcBorders>
              <w:top w:val="nil"/>
              <w:bottom w:val="nil"/>
            </w:tcBorders>
            <w:vAlign w:val="center"/>
          </w:tcPr>
          <w:p w:rsidR="00F02425" w:rsidRDefault="00F02425">
            <w:pPr>
              <w:jc w:val="center"/>
              <w:rPr>
                <w:rFonts w:cs="Arial"/>
                <w:szCs w:val="20"/>
              </w:rPr>
            </w:pPr>
            <w:r>
              <w:rPr>
                <w:rFonts w:cs="Arial"/>
                <w:szCs w:val="20"/>
              </w:rPr>
              <w:t>10</w:t>
            </w:r>
          </w:p>
        </w:tc>
        <w:tc>
          <w:tcPr>
            <w:tcW w:w="329" w:type="pct"/>
            <w:tcBorders>
              <w:top w:val="nil"/>
              <w:bottom w:val="nil"/>
            </w:tcBorders>
            <w:vAlign w:val="center"/>
          </w:tcPr>
          <w:p w:rsidR="00F02425" w:rsidRDefault="00F02425">
            <w:pPr>
              <w:jc w:val="center"/>
              <w:rPr>
                <w:rFonts w:cs="Arial"/>
                <w:szCs w:val="20"/>
              </w:rPr>
            </w:pPr>
            <w:r>
              <w:rPr>
                <w:rFonts w:cs="Arial"/>
                <w:szCs w:val="20"/>
              </w:rPr>
              <w:t>54</w:t>
            </w:r>
          </w:p>
        </w:tc>
        <w:tc>
          <w:tcPr>
            <w:tcW w:w="310" w:type="pct"/>
            <w:tcBorders>
              <w:top w:val="nil"/>
              <w:bottom w:val="nil"/>
            </w:tcBorders>
            <w:vAlign w:val="center"/>
          </w:tcPr>
          <w:p w:rsidR="00F02425" w:rsidRDefault="00F02425">
            <w:pPr>
              <w:jc w:val="center"/>
              <w:rPr>
                <w:rFonts w:cs="Arial"/>
                <w:szCs w:val="20"/>
              </w:rPr>
            </w:pPr>
            <w:r>
              <w:rPr>
                <w:rFonts w:cs="Arial"/>
                <w:szCs w:val="20"/>
              </w:rPr>
              <w:t>9</w:t>
            </w:r>
          </w:p>
        </w:tc>
        <w:tc>
          <w:tcPr>
            <w:tcW w:w="329" w:type="pct"/>
            <w:tcBorders>
              <w:top w:val="nil"/>
              <w:bottom w:val="nil"/>
            </w:tcBorders>
            <w:vAlign w:val="center"/>
          </w:tcPr>
          <w:p w:rsidR="00F02425" w:rsidRDefault="00F02425">
            <w:pPr>
              <w:jc w:val="center"/>
              <w:rPr>
                <w:rFonts w:cs="Arial"/>
                <w:szCs w:val="20"/>
              </w:rPr>
            </w:pPr>
            <w:r>
              <w:rPr>
                <w:rFonts w:cs="Arial"/>
                <w:szCs w:val="20"/>
              </w:rPr>
              <w:t>21</w:t>
            </w:r>
          </w:p>
        </w:tc>
        <w:tc>
          <w:tcPr>
            <w:tcW w:w="363" w:type="pct"/>
            <w:tcBorders>
              <w:top w:val="nil"/>
              <w:bottom w:val="nil"/>
            </w:tcBorders>
            <w:vAlign w:val="center"/>
          </w:tcPr>
          <w:p w:rsidR="00F02425" w:rsidRDefault="00F02425">
            <w:pPr>
              <w:jc w:val="center"/>
              <w:rPr>
                <w:rFonts w:cs="Arial"/>
                <w:szCs w:val="20"/>
              </w:rPr>
            </w:pPr>
            <w:r>
              <w:rPr>
                <w:rFonts w:cs="Arial"/>
                <w:szCs w:val="20"/>
              </w:rPr>
              <w:t>14</w:t>
            </w:r>
          </w:p>
        </w:tc>
        <w:tc>
          <w:tcPr>
            <w:tcW w:w="330" w:type="pct"/>
            <w:tcBorders>
              <w:top w:val="nil"/>
              <w:bottom w:val="nil"/>
            </w:tcBorders>
            <w:vAlign w:val="center"/>
          </w:tcPr>
          <w:p w:rsidR="00F02425" w:rsidRDefault="00F02425">
            <w:pPr>
              <w:jc w:val="center"/>
              <w:rPr>
                <w:rFonts w:cs="Arial"/>
                <w:szCs w:val="20"/>
              </w:rPr>
            </w:pPr>
            <w:r>
              <w:rPr>
                <w:rFonts w:cs="Arial"/>
                <w:szCs w:val="20"/>
              </w:rPr>
              <w:t>31</w:t>
            </w:r>
          </w:p>
        </w:tc>
        <w:tc>
          <w:tcPr>
            <w:tcW w:w="359" w:type="pct"/>
            <w:tcBorders>
              <w:top w:val="nil"/>
              <w:bottom w:val="nil"/>
            </w:tcBorders>
            <w:vAlign w:val="center"/>
          </w:tcPr>
          <w:p w:rsidR="00F02425" w:rsidRDefault="00F02425">
            <w:pPr>
              <w:jc w:val="center"/>
              <w:rPr>
                <w:rFonts w:cs="Arial"/>
                <w:szCs w:val="20"/>
              </w:rPr>
            </w:pPr>
            <w:r>
              <w:rPr>
                <w:rFonts w:cs="Arial"/>
                <w:szCs w:val="20"/>
              </w:rPr>
              <w:t>125</w:t>
            </w:r>
          </w:p>
        </w:tc>
        <w:tc>
          <w:tcPr>
            <w:tcW w:w="303" w:type="pct"/>
            <w:gridSpan w:val="2"/>
            <w:tcBorders>
              <w:top w:val="nil"/>
              <w:bottom w:val="nil"/>
            </w:tcBorders>
            <w:vAlign w:val="center"/>
          </w:tcPr>
          <w:p w:rsidR="00F02425" w:rsidRDefault="00F02425">
            <w:pPr>
              <w:jc w:val="center"/>
              <w:rPr>
                <w:rFonts w:cs="Arial"/>
                <w:szCs w:val="20"/>
              </w:rPr>
            </w:pPr>
            <w:r>
              <w:rPr>
                <w:rFonts w:cs="Arial"/>
                <w:szCs w:val="20"/>
              </w:rPr>
              <w:t>-</w:t>
            </w:r>
          </w:p>
        </w:tc>
        <w:tc>
          <w:tcPr>
            <w:tcW w:w="412" w:type="pct"/>
            <w:tcBorders>
              <w:top w:val="nil"/>
              <w:bottom w:val="nil"/>
            </w:tcBorders>
            <w:vAlign w:val="center"/>
          </w:tcPr>
          <w:p w:rsidR="00F02425" w:rsidRDefault="00F02425">
            <w:pPr>
              <w:jc w:val="center"/>
              <w:rPr>
                <w:rFonts w:cs="Arial"/>
                <w:szCs w:val="20"/>
              </w:rPr>
            </w:pPr>
            <w:r>
              <w:rPr>
                <w:rFonts w:cs="Arial"/>
                <w:szCs w:val="20"/>
              </w:rPr>
              <w:t>-</w:t>
            </w:r>
          </w:p>
        </w:tc>
      </w:tr>
      <w:tr w:rsidR="00F02425" w:rsidRPr="006A7228" w:rsidTr="00F02425">
        <w:trPr>
          <w:trHeight w:val="510"/>
        </w:trPr>
        <w:tc>
          <w:tcPr>
            <w:tcW w:w="749" w:type="pct"/>
            <w:tcBorders>
              <w:top w:val="nil"/>
              <w:bottom w:val="nil"/>
            </w:tcBorders>
            <w:vAlign w:val="center"/>
          </w:tcPr>
          <w:p w:rsidR="00F02425" w:rsidRDefault="00F02425">
            <w:pPr>
              <w:rPr>
                <w:rFonts w:cs="Arial"/>
                <w:sz w:val="16"/>
                <w:szCs w:val="16"/>
              </w:rPr>
            </w:pPr>
            <w:r>
              <w:rPr>
                <w:rFonts w:cs="Arial"/>
                <w:sz w:val="16"/>
                <w:szCs w:val="16"/>
              </w:rPr>
              <w:lastRenderedPageBreak/>
              <w:t>16-17 financial YTD</w:t>
            </w:r>
          </w:p>
        </w:tc>
        <w:tc>
          <w:tcPr>
            <w:tcW w:w="329" w:type="pct"/>
            <w:tcBorders>
              <w:top w:val="nil"/>
              <w:bottom w:val="nil"/>
            </w:tcBorders>
            <w:vAlign w:val="center"/>
          </w:tcPr>
          <w:p w:rsidR="00F02425" w:rsidRDefault="00F02425">
            <w:pPr>
              <w:jc w:val="center"/>
              <w:rPr>
                <w:rFonts w:cs="Arial"/>
                <w:sz w:val="20"/>
                <w:szCs w:val="20"/>
              </w:rPr>
            </w:pPr>
            <w:r>
              <w:rPr>
                <w:rFonts w:cs="Arial"/>
                <w:sz w:val="20"/>
                <w:szCs w:val="20"/>
              </w:rPr>
              <w:t>7.79</w:t>
            </w:r>
          </w:p>
        </w:tc>
        <w:tc>
          <w:tcPr>
            <w:tcW w:w="441" w:type="pct"/>
            <w:tcBorders>
              <w:top w:val="nil"/>
              <w:bottom w:val="nil"/>
            </w:tcBorders>
            <w:vAlign w:val="center"/>
          </w:tcPr>
          <w:p w:rsidR="00F02425" w:rsidRDefault="00F02425">
            <w:pPr>
              <w:jc w:val="center"/>
              <w:rPr>
                <w:rFonts w:cs="Arial"/>
                <w:sz w:val="20"/>
                <w:szCs w:val="20"/>
              </w:rPr>
            </w:pPr>
            <w:r>
              <w:rPr>
                <w:rFonts w:cs="Arial"/>
                <w:sz w:val="20"/>
                <w:szCs w:val="20"/>
              </w:rPr>
              <w:t>595</w:t>
            </w:r>
          </w:p>
        </w:tc>
        <w:tc>
          <w:tcPr>
            <w:tcW w:w="329" w:type="pct"/>
            <w:tcBorders>
              <w:top w:val="nil"/>
              <w:bottom w:val="nil"/>
            </w:tcBorders>
            <w:vAlign w:val="center"/>
          </w:tcPr>
          <w:p w:rsidR="00F02425" w:rsidRDefault="00F02425">
            <w:pPr>
              <w:jc w:val="center"/>
              <w:rPr>
                <w:rFonts w:cs="Arial"/>
                <w:sz w:val="20"/>
                <w:szCs w:val="20"/>
              </w:rPr>
            </w:pPr>
            <w:r>
              <w:rPr>
                <w:rFonts w:cs="Arial"/>
                <w:sz w:val="20"/>
                <w:szCs w:val="20"/>
              </w:rPr>
              <w:t>7.32</w:t>
            </w:r>
          </w:p>
        </w:tc>
        <w:tc>
          <w:tcPr>
            <w:tcW w:w="417" w:type="pct"/>
            <w:tcBorders>
              <w:top w:val="nil"/>
              <w:bottom w:val="nil"/>
            </w:tcBorders>
            <w:vAlign w:val="center"/>
          </w:tcPr>
          <w:p w:rsidR="00F02425" w:rsidRDefault="00F02425">
            <w:pPr>
              <w:jc w:val="center"/>
              <w:rPr>
                <w:rFonts w:cs="Arial"/>
                <w:sz w:val="20"/>
                <w:szCs w:val="20"/>
              </w:rPr>
            </w:pPr>
            <w:r>
              <w:rPr>
                <w:rFonts w:cs="Arial"/>
                <w:sz w:val="20"/>
                <w:szCs w:val="20"/>
              </w:rPr>
              <w:t>249</w:t>
            </w:r>
          </w:p>
        </w:tc>
        <w:tc>
          <w:tcPr>
            <w:tcW w:w="329" w:type="pct"/>
            <w:tcBorders>
              <w:top w:val="nil"/>
              <w:bottom w:val="nil"/>
            </w:tcBorders>
            <w:vAlign w:val="center"/>
          </w:tcPr>
          <w:p w:rsidR="00F02425" w:rsidRDefault="00F02425">
            <w:pPr>
              <w:jc w:val="center"/>
              <w:rPr>
                <w:rFonts w:cs="Arial"/>
                <w:sz w:val="20"/>
                <w:szCs w:val="20"/>
              </w:rPr>
            </w:pPr>
            <w:r>
              <w:rPr>
                <w:rFonts w:cs="Arial"/>
                <w:sz w:val="20"/>
                <w:szCs w:val="20"/>
              </w:rPr>
              <w:t>8.33</w:t>
            </w:r>
          </w:p>
        </w:tc>
        <w:tc>
          <w:tcPr>
            <w:tcW w:w="310" w:type="pct"/>
            <w:tcBorders>
              <w:top w:val="nil"/>
              <w:bottom w:val="nil"/>
            </w:tcBorders>
            <w:vAlign w:val="center"/>
          </w:tcPr>
          <w:p w:rsidR="00F02425" w:rsidRDefault="00F02425">
            <w:pPr>
              <w:jc w:val="center"/>
              <w:rPr>
                <w:rFonts w:cs="Arial"/>
                <w:sz w:val="20"/>
                <w:szCs w:val="20"/>
              </w:rPr>
            </w:pPr>
            <w:r>
              <w:rPr>
                <w:rFonts w:cs="Arial"/>
                <w:sz w:val="20"/>
                <w:szCs w:val="20"/>
              </w:rPr>
              <w:t>66</w:t>
            </w:r>
          </w:p>
        </w:tc>
        <w:tc>
          <w:tcPr>
            <w:tcW w:w="329" w:type="pct"/>
            <w:tcBorders>
              <w:top w:val="nil"/>
              <w:bottom w:val="nil"/>
            </w:tcBorders>
            <w:vAlign w:val="center"/>
          </w:tcPr>
          <w:p w:rsidR="00F02425" w:rsidRDefault="00F02425">
            <w:pPr>
              <w:jc w:val="center"/>
              <w:rPr>
                <w:rFonts w:cs="Arial"/>
                <w:sz w:val="20"/>
                <w:szCs w:val="20"/>
              </w:rPr>
            </w:pPr>
            <w:r>
              <w:rPr>
                <w:rFonts w:cs="Arial"/>
                <w:sz w:val="20"/>
                <w:szCs w:val="20"/>
              </w:rPr>
              <w:t>7.40</w:t>
            </w:r>
          </w:p>
        </w:tc>
        <w:tc>
          <w:tcPr>
            <w:tcW w:w="363" w:type="pct"/>
            <w:tcBorders>
              <w:top w:val="nil"/>
              <w:bottom w:val="nil"/>
            </w:tcBorders>
            <w:vAlign w:val="center"/>
          </w:tcPr>
          <w:p w:rsidR="00F02425" w:rsidRDefault="00F02425">
            <w:pPr>
              <w:jc w:val="center"/>
              <w:rPr>
                <w:rFonts w:cs="Arial"/>
                <w:sz w:val="20"/>
                <w:szCs w:val="20"/>
              </w:rPr>
            </w:pPr>
            <w:r>
              <w:rPr>
                <w:rFonts w:cs="Arial"/>
                <w:sz w:val="20"/>
                <w:szCs w:val="20"/>
              </w:rPr>
              <w:t>84</w:t>
            </w:r>
          </w:p>
        </w:tc>
        <w:tc>
          <w:tcPr>
            <w:tcW w:w="330" w:type="pct"/>
            <w:tcBorders>
              <w:top w:val="nil"/>
              <w:bottom w:val="nil"/>
            </w:tcBorders>
            <w:vAlign w:val="center"/>
          </w:tcPr>
          <w:p w:rsidR="00F02425" w:rsidRDefault="00F02425">
            <w:pPr>
              <w:jc w:val="center"/>
              <w:rPr>
                <w:rFonts w:cs="Arial"/>
                <w:sz w:val="20"/>
                <w:szCs w:val="20"/>
              </w:rPr>
            </w:pPr>
            <w:r>
              <w:rPr>
                <w:rFonts w:cs="Arial"/>
                <w:sz w:val="20"/>
                <w:szCs w:val="20"/>
              </w:rPr>
              <w:t>8.00</w:t>
            </w:r>
          </w:p>
        </w:tc>
        <w:tc>
          <w:tcPr>
            <w:tcW w:w="359" w:type="pct"/>
            <w:tcBorders>
              <w:top w:val="nil"/>
              <w:bottom w:val="nil"/>
            </w:tcBorders>
            <w:vAlign w:val="center"/>
          </w:tcPr>
          <w:p w:rsidR="00F02425" w:rsidRDefault="00F02425">
            <w:pPr>
              <w:jc w:val="center"/>
              <w:rPr>
                <w:rFonts w:cs="Arial"/>
                <w:sz w:val="20"/>
                <w:szCs w:val="20"/>
              </w:rPr>
            </w:pPr>
            <w:r>
              <w:rPr>
                <w:rFonts w:cs="Arial"/>
                <w:sz w:val="20"/>
                <w:szCs w:val="20"/>
              </w:rPr>
              <w:t>5527</w:t>
            </w:r>
          </w:p>
        </w:tc>
        <w:tc>
          <w:tcPr>
            <w:tcW w:w="303" w:type="pct"/>
            <w:gridSpan w:val="2"/>
            <w:tcBorders>
              <w:top w:val="nil"/>
              <w:bottom w:val="nil"/>
            </w:tcBorders>
            <w:vAlign w:val="center"/>
          </w:tcPr>
          <w:p w:rsidR="00F02425" w:rsidRDefault="00F02425">
            <w:pPr>
              <w:jc w:val="center"/>
              <w:rPr>
                <w:rFonts w:cs="Arial"/>
                <w:sz w:val="20"/>
                <w:szCs w:val="20"/>
              </w:rPr>
            </w:pPr>
            <w:r>
              <w:rPr>
                <w:rFonts w:cs="Arial"/>
                <w:sz w:val="20"/>
                <w:szCs w:val="20"/>
              </w:rPr>
              <w:t>-</w:t>
            </w:r>
          </w:p>
        </w:tc>
        <w:tc>
          <w:tcPr>
            <w:tcW w:w="412" w:type="pct"/>
            <w:tcBorders>
              <w:top w:val="nil"/>
              <w:bottom w:val="nil"/>
            </w:tcBorders>
            <w:vAlign w:val="center"/>
          </w:tcPr>
          <w:p w:rsidR="00F02425" w:rsidRDefault="00F02425">
            <w:pPr>
              <w:jc w:val="center"/>
              <w:rPr>
                <w:rFonts w:cs="Arial"/>
                <w:sz w:val="20"/>
                <w:szCs w:val="20"/>
              </w:rPr>
            </w:pPr>
            <w:r>
              <w:rPr>
                <w:rFonts w:cs="Arial"/>
                <w:sz w:val="20"/>
                <w:szCs w:val="20"/>
              </w:rPr>
              <w:t>-</w:t>
            </w:r>
          </w:p>
        </w:tc>
      </w:tr>
      <w:tr w:rsidR="00952CCE" w:rsidRPr="006A7228" w:rsidTr="00F02425">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single" w:sz="4" w:space="0" w:color="auto"/>
            </w:tcBorders>
            <w:vAlign w:val="center"/>
          </w:tcPr>
          <w:p w:rsidR="00F02425" w:rsidRDefault="00F02425">
            <w:pPr>
              <w:rPr>
                <w:rFonts w:cs="Arial"/>
                <w:sz w:val="16"/>
                <w:szCs w:val="16"/>
              </w:rPr>
            </w:pPr>
            <w:r>
              <w:rPr>
                <w:rFonts w:cs="Arial"/>
                <w:sz w:val="16"/>
                <w:szCs w:val="16"/>
              </w:rPr>
              <w:t>% change from previous financial YTD</w:t>
            </w:r>
          </w:p>
        </w:tc>
        <w:tc>
          <w:tcPr>
            <w:tcW w:w="329" w:type="pct"/>
            <w:tcBorders>
              <w:top w:val="nil"/>
              <w:bottom w:val="single" w:sz="4" w:space="0" w:color="auto"/>
            </w:tcBorders>
            <w:vAlign w:val="center"/>
          </w:tcPr>
          <w:p w:rsidR="00F02425" w:rsidRDefault="00F02425">
            <w:pPr>
              <w:jc w:val="center"/>
              <w:rPr>
                <w:rFonts w:cs="Arial"/>
                <w:szCs w:val="20"/>
              </w:rPr>
            </w:pPr>
            <w:r>
              <w:rPr>
                <w:rFonts w:cs="Arial"/>
                <w:szCs w:val="20"/>
              </w:rPr>
              <w:t>77</w:t>
            </w:r>
          </w:p>
        </w:tc>
        <w:tc>
          <w:tcPr>
            <w:tcW w:w="441" w:type="pct"/>
            <w:tcBorders>
              <w:top w:val="nil"/>
              <w:bottom w:val="single" w:sz="4" w:space="0" w:color="auto"/>
            </w:tcBorders>
            <w:vAlign w:val="center"/>
          </w:tcPr>
          <w:p w:rsidR="00F02425" w:rsidRDefault="00F02425">
            <w:pPr>
              <w:jc w:val="center"/>
              <w:rPr>
                <w:rFonts w:cs="Arial"/>
                <w:szCs w:val="20"/>
              </w:rPr>
            </w:pPr>
            <w:r>
              <w:rPr>
                <w:rFonts w:cs="Arial"/>
                <w:szCs w:val="20"/>
              </w:rPr>
              <w:t>-2</w:t>
            </w:r>
          </w:p>
        </w:tc>
        <w:tc>
          <w:tcPr>
            <w:tcW w:w="329" w:type="pct"/>
            <w:tcBorders>
              <w:top w:val="nil"/>
              <w:bottom w:val="single" w:sz="4" w:space="0" w:color="auto"/>
            </w:tcBorders>
            <w:vAlign w:val="center"/>
          </w:tcPr>
          <w:p w:rsidR="00F02425" w:rsidRDefault="00F02425">
            <w:pPr>
              <w:jc w:val="center"/>
              <w:rPr>
                <w:rFonts w:cs="Arial"/>
                <w:szCs w:val="20"/>
              </w:rPr>
            </w:pPr>
            <w:r>
              <w:rPr>
                <w:rFonts w:cs="Arial"/>
                <w:szCs w:val="20"/>
              </w:rPr>
              <w:t>57</w:t>
            </w:r>
          </w:p>
        </w:tc>
        <w:tc>
          <w:tcPr>
            <w:tcW w:w="417" w:type="pct"/>
            <w:tcBorders>
              <w:top w:val="nil"/>
              <w:bottom w:val="single" w:sz="4" w:space="0" w:color="auto"/>
            </w:tcBorders>
            <w:vAlign w:val="center"/>
          </w:tcPr>
          <w:p w:rsidR="00F02425" w:rsidRDefault="00F02425">
            <w:pPr>
              <w:jc w:val="center"/>
              <w:rPr>
                <w:rFonts w:cs="Arial"/>
                <w:szCs w:val="20"/>
              </w:rPr>
            </w:pPr>
            <w:r>
              <w:rPr>
                <w:rFonts w:cs="Arial"/>
                <w:szCs w:val="20"/>
              </w:rPr>
              <w:t>4</w:t>
            </w:r>
          </w:p>
        </w:tc>
        <w:tc>
          <w:tcPr>
            <w:tcW w:w="329" w:type="pct"/>
            <w:tcBorders>
              <w:top w:val="nil"/>
              <w:bottom w:val="single" w:sz="4" w:space="0" w:color="auto"/>
            </w:tcBorders>
            <w:vAlign w:val="center"/>
          </w:tcPr>
          <w:p w:rsidR="00F02425" w:rsidRDefault="00F02425">
            <w:pPr>
              <w:jc w:val="center"/>
              <w:rPr>
                <w:rFonts w:cs="Arial"/>
                <w:szCs w:val="20"/>
              </w:rPr>
            </w:pPr>
            <w:r>
              <w:rPr>
                <w:rFonts w:cs="Arial"/>
                <w:szCs w:val="20"/>
              </w:rPr>
              <w:t>63</w:t>
            </w:r>
          </w:p>
        </w:tc>
        <w:tc>
          <w:tcPr>
            <w:tcW w:w="310" w:type="pct"/>
            <w:tcBorders>
              <w:top w:val="nil"/>
              <w:bottom w:val="single" w:sz="4" w:space="0" w:color="auto"/>
            </w:tcBorders>
            <w:vAlign w:val="center"/>
          </w:tcPr>
          <w:p w:rsidR="00F02425" w:rsidRDefault="00F02425">
            <w:pPr>
              <w:jc w:val="center"/>
              <w:rPr>
                <w:rFonts w:cs="Arial"/>
                <w:szCs w:val="20"/>
              </w:rPr>
            </w:pPr>
            <w:r>
              <w:rPr>
                <w:rFonts w:cs="Arial"/>
                <w:szCs w:val="20"/>
              </w:rPr>
              <w:t>1</w:t>
            </w:r>
          </w:p>
        </w:tc>
        <w:tc>
          <w:tcPr>
            <w:tcW w:w="329" w:type="pct"/>
            <w:tcBorders>
              <w:top w:val="nil"/>
              <w:bottom w:val="single" w:sz="4" w:space="0" w:color="auto"/>
            </w:tcBorders>
            <w:vAlign w:val="center"/>
          </w:tcPr>
          <w:p w:rsidR="00F02425" w:rsidRDefault="00F02425">
            <w:pPr>
              <w:jc w:val="center"/>
              <w:rPr>
                <w:rFonts w:cs="Arial"/>
                <w:szCs w:val="20"/>
              </w:rPr>
            </w:pPr>
            <w:r>
              <w:rPr>
                <w:rFonts w:cs="Arial"/>
                <w:szCs w:val="20"/>
              </w:rPr>
              <w:t>94</w:t>
            </w:r>
          </w:p>
        </w:tc>
        <w:tc>
          <w:tcPr>
            <w:tcW w:w="363" w:type="pct"/>
            <w:tcBorders>
              <w:top w:val="nil"/>
              <w:bottom w:val="single" w:sz="4" w:space="0" w:color="auto"/>
            </w:tcBorders>
            <w:vAlign w:val="center"/>
          </w:tcPr>
          <w:p w:rsidR="00F02425" w:rsidRDefault="00F02425">
            <w:pPr>
              <w:jc w:val="center"/>
              <w:rPr>
                <w:rFonts w:cs="Arial"/>
                <w:szCs w:val="20"/>
              </w:rPr>
            </w:pPr>
            <w:r>
              <w:rPr>
                <w:rFonts w:cs="Arial"/>
                <w:szCs w:val="20"/>
              </w:rPr>
              <w:t>-5</w:t>
            </w:r>
          </w:p>
        </w:tc>
        <w:tc>
          <w:tcPr>
            <w:tcW w:w="330" w:type="pct"/>
            <w:tcBorders>
              <w:top w:val="nil"/>
              <w:bottom w:val="single" w:sz="4" w:space="0" w:color="auto"/>
            </w:tcBorders>
            <w:vAlign w:val="center"/>
          </w:tcPr>
          <w:p w:rsidR="00F02425" w:rsidRDefault="00F02425">
            <w:pPr>
              <w:jc w:val="center"/>
              <w:rPr>
                <w:rFonts w:cs="Arial"/>
                <w:szCs w:val="20"/>
              </w:rPr>
            </w:pPr>
            <w:r>
              <w:rPr>
                <w:rFonts w:cs="Arial"/>
                <w:szCs w:val="20"/>
              </w:rPr>
              <w:t>120</w:t>
            </w:r>
          </w:p>
        </w:tc>
        <w:tc>
          <w:tcPr>
            <w:tcW w:w="359" w:type="pct"/>
            <w:tcBorders>
              <w:top w:val="nil"/>
              <w:bottom w:val="single" w:sz="4" w:space="0" w:color="auto"/>
            </w:tcBorders>
            <w:vAlign w:val="center"/>
          </w:tcPr>
          <w:p w:rsidR="00F02425" w:rsidRDefault="00F02425">
            <w:pPr>
              <w:jc w:val="center"/>
              <w:rPr>
                <w:rFonts w:cs="Arial"/>
                <w:szCs w:val="20"/>
              </w:rPr>
            </w:pPr>
            <w:r>
              <w:rPr>
                <w:rFonts w:cs="Arial"/>
                <w:szCs w:val="20"/>
              </w:rPr>
              <w:t>8</w:t>
            </w:r>
          </w:p>
        </w:tc>
        <w:tc>
          <w:tcPr>
            <w:tcW w:w="303" w:type="pct"/>
            <w:gridSpan w:val="2"/>
            <w:tcBorders>
              <w:top w:val="nil"/>
              <w:bottom w:val="single" w:sz="4" w:space="0" w:color="auto"/>
            </w:tcBorders>
            <w:vAlign w:val="center"/>
          </w:tcPr>
          <w:p w:rsidR="00F02425" w:rsidRDefault="00F02425">
            <w:pPr>
              <w:jc w:val="center"/>
              <w:rPr>
                <w:rFonts w:cs="Arial"/>
                <w:szCs w:val="20"/>
              </w:rPr>
            </w:pPr>
            <w:r>
              <w:rPr>
                <w:rFonts w:cs="Arial"/>
                <w:szCs w:val="20"/>
              </w:rPr>
              <w:t>-</w:t>
            </w:r>
          </w:p>
        </w:tc>
        <w:tc>
          <w:tcPr>
            <w:tcW w:w="412" w:type="pct"/>
            <w:tcBorders>
              <w:top w:val="nil"/>
              <w:bottom w:val="single" w:sz="4" w:space="0" w:color="auto"/>
            </w:tcBorders>
            <w:vAlign w:val="center"/>
          </w:tcPr>
          <w:p w:rsidR="00F02425" w:rsidRDefault="00F02425">
            <w:pPr>
              <w:jc w:val="center"/>
              <w:rPr>
                <w:rFonts w:cs="Arial"/>
                <w:szCs w:val="20"/>
              </w:rPr>
            </w:pPr>
            <w:r>
              <w:rPr>
                <w:rFonts w:cs="Arial"/>
                <w:szCs w:val="20"/>
              </w:rPr>
              <w:t>-</w:t>
            </w:r>
          </w:p>
        </w:tc>
      </w:tr>
    </w:tbl>
    <w:p w:rsidR="001521CB" w:rsidRPr="008D4DAB" w:rsidRDefault="001521CB" w:rsidP="00A226E9">
      <w:pPr>
        <w:pStyle w:val="AERbodytext"/>
        <w:keepNext/>
      </w:pPr>
      <w:r w:rsidRPr="00EC137F">
        <w:t>Figure 2 illustrates the daily prices in each gas market</w:t>
      </w:r>
      <w:r w:rsidR="00580E72" w:rsidRPr="00EC137F">
        <w:t>, as defined in figure 1</w:t>
      </w:r>
      <w:r w:rsidRPr="00EC137F">
        <w:t>.</w:t>
      </w:r>
    </w:p>
    <w:p w:rsidR="001521CB" w:rsidRPr="001521CB" w:rsidRDefault="001521CB" w:rsidP="001521CB">
      <w:pPr>
        <w:pStyle w:val="Caption"/>
      </w:pPr>
      <w:r w:rsidRPr="001521CB">
        <w:t xml:space="preserve">Figure </w:t>
      </w:r>
      <w:r w:rsidR="00FA75E3">
        <w:fldChar w:fldCharType="begin"/>
      </w:r>
      <w:r w:rsidR="00FA75E3">
        <w:instrText xml:space="preserve"> SEQ Figure \* ARABIC </w:instrText>
      </w:r>
      <w:r w:rsidR="00FA75E3">
        <w:fldChar w:fldCharType="separate"/>
      </w:r>
      <w:r w:rsidR="003705AE">
        <w:rPr>
          <w:noProof/>
        </w:rPr>
        <w:t>2</w:t>
      </w:r>
      <w:r w:rsidR="00FA75E3">
        <w:rPr>
          <w:noProof/>
        </w:rPr>
        <w:fldChar w:fldCharType="end"/>
      </w:r>
      <w:r w:rsidRPr="001521CB">
        <w:t xml:space="preserve">: </w:t>
      </w:r>
      <w:r w:rsidRPr="001521CB">
        <w:rPr>
          <w:color w:val="2272A3"/>
          <w:szCs w:val="24"/>
        </w:rPr>
        <w:t>Daily gas market prices</w:t>
      </w:r>
      <w:r w:rsidR="00A84149">
        <w:rPr>
          <w:color w:val="2272A3"/>
          <w:szCs w:val="24"/>
        </w:rPr>
        <w:t xml:space="preserve"> ($/GJ)</w:t>
      </w:r>
    </w:p>
    <w:p w:rsidR="001521CB" w:rsidRDefault="00B94196" w:rsidP="001521CB">
      <w:r w:rsidRPr="00B94196">
        <w:rPr>
          <w:noProof/>
          <w:lang w:eastAsia="en-AU"/>
        </w:rPr>
        <w:drawing>
          <wp:inline distT="0" distB="0" distL="0" distR="0" wp14:anchorId="2530F227" wp14:editId="61C69AF5">
            <wp:extent cx="5731510" cy="3547765"/>
            <wp:effectExtent l="0" t="0" r="2540" b="0"/>
            <wp:docPr id="2" name="Picture 2" descr="Figure 2 shows the daily price of gas in the mandatory gas markets and voluntary gas supply hubs (GSH). The weighted average daily imbalance price applies for Victoria. The prices shown for the GSH in Wallumbilla and Moomba are volume weighted average prices for all products traded on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547765"/>
                    </a:xfrm>
                    <a:prstGeom prst="rect">
                      <a:avLst/>
                    </a:prstGeom>
                    <a:noFill/>
                    <a:ln>
                      <a:noFill/>
                    </a:ln>
                  </pic:spPr>
                </pic:pic>
              </a:graphicData>
            </a:graphic>
          </wp:inline>
        </w:drawing>
      </w:r>
    </w:p>
    <w:p w:rsidR="001521CB" w:rsidRPr="008D4DAB" w:rsidRDefault="001521CB" w:rsidP="00F26128">
      <w:pPr>
        <w:pStyle w:val="AERbodytext"/>
      </w:pPr>
      <w:r w:rsidRPr="00EC137F">
        <w:t xml:space="preserve">Figure 3 compares average ancillary market payments </w:t>
      </w:r>
      <w:r w:rsidR="006621AB" w:rsidRPr="00EC137F">
        <w:t xml:space="preserve">(VGM) </w:t>
      </w:r>
      <w:r w:rsidRPr="00EC137F">
        <w:t xml:space="preserve">and </w:t>
      </w:r>
      <w:r w:rsidR="006621AB" w:rsidRPr="00EC137F">
        <w:t xml:space="preserve">balancing gas service payments (STTM) </w:t>
      </w:r>
      <w:r w:rsidRPr="00EC137F">
        <w:t>against historical averages.</w:t>
      </w:r>
    </w:p>
    <w:p w:rsidR="001521CB" w:rsidRPr="001521CB" w:rsidRDefault="001521CB" w:rsidP="001521CB">
      <w:pPr>
        <w:pStyle w:val="Caption"/>
      </w:pPr>
      <w:r w:rsidRPr="001521CB">
        <w:t xml:space="preserve">Figure </w:t>
      </w:r>
      <w:r w:rsidR="00FA75E3">
        <w:fldChar w:fldCharType="begin"/>
      </w:r>
      <w:r w:rsidR="00FA75E3">
        <w:instrText xml:space="preserve"> SEQ Figure \* ARABIC </w:instrText>
      </w:r>
      <w:r w:rsidR="00FA75E3">
        <w:fldChar w:fldCharType="separate"/>
      </w:r>
      <w:r w:rsidR="003705AE">
        <w:rPr>
          <w:noProof/>
        </w:rPr>
        <w:t>3</w:t>
      </w:r>
      <w:r w:rsidR="00FA75E3">
        <w:rPr>
          <w:noProof/>
        </w:rPr>
        <w:fldChar w:fldCharType="end"/>
      </w:r>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B94196" w:rsidRPr="00405CDE" w:rsidTr="00534DD9">
        <w:trPr>
          <w:trHeight w:val="510"/>
        </w:trPr>
        <w:tc>
          <w:tcPr>
            <w:tcW w:w="1585" w:type="pct"/>
            <w:tcBorders>
              <w:top w:val="nil"/>
              <w:bottom w:val="nil"/>
            </w:tcBorders>
            <w:vAlign w:val="center"/>
          </w:tcPr>
          <w:p w:rsidR="00B94196" w:rsidRDefault="00B94196">
            <w:pPr>
              <w:rPr>
                <w:rFonts w:cs="Arial"/>
                <w:sz w:val="16"/>
                <w:szCs w:val="16"/>
              </w:rPr>
            </w:pPr>
            <w:r>
              <w:rPr>
                <w:rFonts w:cs="Arial"/>
                <w:sz w:val="16"/>
                <w:szCs w:val="16"/>
              </w:rPr>
              <w:t>08 Jan - 14 Jan 2017</w:t>
            </w:r>
          </w:p>
        </w:tc>
        <w:tc>
          <w:tcPr>
            <w:tcW w:w="993" w:type="pct"/>
            <w:tcBorders>
              <w:top w:val="nil"/>
              <w:bottom w:val="nil"/>
            </w:tcBorders>
            <w:vAlign w:val="center"/>
          </w:tcPr>
          <w:p w:rsidR="00B94196" w:rsidRDefault="00B94196">
            <w:pPr>
              <w:jc w:val="center"/>
              <w:rPr>
                <w:rFonts w:cs="Arial"/>
                <w:sz w:val="20"/>
                <w:szCs w:val="20"/>
              </w:rPr>
            </w:pPr>
            <w:r>
              <w:rPr>
                <w:rFonts w:cs="Arial"/>
                <w:sz w:val="20"/>
                <w:szCs w:val="20"/>
              </w:rPr>
              <w:t>-</w:t>
            </w:r>
          </w:p>
        </w:tc>
        <w:tc>
          <w:tcPr>
            <w:tcW w:w="758" w:type="pct"/>
            <w:tcBorders>
              <w:top w:val="nil"/>
              <w:bottom w:val="nil"/>
            </w:tcBorders>
            <w:vAlign w:val="center"/>
          </w:tcPr>
          <w:p w:rsidR="00B94196" w:rsidRDefault="00B94196">
            <w:pPr>
              <w:jc w:val="center"/>
              <w:rPr>
                <w:rFonts w:cs="Arial"/>
                <w:sz w:val="20"/>
                <w:szCs w:val="20"/>
              </w:rPr>
            </w:pPr>
            <w:r>
              <w:rPr>
                <w:rFonts w:cs="Arial"/>
                <w:sz w:val="20"/>
                <w:szCs w:val="20"/>
              </w:rPr>
              <w:t>42.69</w:t>
            </w:r>
          </w:p>
        </w:tc>
        <w:tc>
          <w:tcPr>
            <w:tcW w:w="831" w:type="pct"/>
            <w:tcBorders>
              <w:top w:val="nil"/>
              <w:bottom w:val="nil"/>
            </w:tcBorders>
            <w:vAlign w:val="center"/>
          </w:tcPr>
          <w:p w:rsidR="00B94196" w:rsidRDefault="00B94196">
            <w:pPr>
              <w:jc w:val="center"/>
              <w:rPr>
                <w:rFonts w:cs="Arial"/>
                <w:sz w:val="20"/>
                <w:szCs w:val="20"/>
              </w:rPr>
            </w:pPr>
            <w:r>
              <w:rPr>
                <w:rFonts w:cs="Arial"/>
                <w:sz w:val="20"/>
                <w:szCs w:val="20"/>
              </w:rPr>
              <w:t>4.23</w:t>
            </w:r>
          </w:p>
        </w:tc>
        <w:tc>
          <w:tcPr>
            <w:tcW w:w="833" w:type="pct"/>
            <w:tcBorders>
              <w:top w:val="nil"/>
              <w:bottom w:val="nil"/>
            </w:tcBorders>
            <w:vAlign w:val="center"/>
          </w:tcPr>
          <w:p w:rsidR="00B94196" w:rsidRDefault="00B94196">
            <w:pPr>
              <w:jc w:val="center"/>
              <w:rPr>
                <w:rFonts w:cs="Arial"/>
                <w:sz w:val="20"/>
                <w:szCs w:val="20"/>
              </w:rPr>
            </w:pPr>
            <w:r>
              <w:rPr>
                <w:rFonts w:cs="Arial"/>
                <w:sz w:val="20"/>
                <w:szCs w:val="20"/>
              </w:rPr>
              <w:t>2.34</w:t>
            </w:r>
          </w:p>
        </w:tc>
      </w:tr>
      <w:tr w:rsidR="00B94196"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B94196" w:rsidRDefault="00B94196">
            <w:pPr>
              <w:rPr>
                <w:rFonts w:cs="Arial"/>
                <w:sz w:val="16"/>
                <w:szCs w:val="16"/>
              </w:rPr>
            </w:pPr>
            <w:r>
              <w:rPr>
                <w:rFonts w:cs="Arial"/>
                <w:sz w:val="16"/>
                <w:szCs w:val="16"/>
              </w:rPr>
              <w:t>% change from previous week</w:t>
            </w:r>
          </w:p>
        </w:tc>
        <w:tc>
          <w:tcPr>
            <w:tcW w:w="993" w:type="pct"/>
            <w:tcBorders>
              <w:top w:val="nil"/>
              <w:bottom w:val="nil"/>
            </w:tcBorders>
            <w:vAlign w:val="center"/>
          </w:tcPr>
          <w:p w:rsidR="00B94196" w:rsidRDefault="00B94196">
            <w:pPr>
              <w:jc w:val="center"/>
              <w:rPr>
                <w:rFonts w:cs="Arial"/>
                <w:szCs w:val="20"/>
              </w:rPr>
            </w:pPr>
            <w:r>
              <w:rPr>
                <w:rFonts w:cs="Arial"/>
                <w:szCs w:val="20"/>
              </w:rPr>
              <w:t>-</w:t>
            </w:r>
          </w:p>
        </w:tc>
        <w:tc>
          <w:tcPr>
            <w:tcW w:w="758" w:type="pct"/>
            <w:tcBorders>
              <w:top w:val="nil"/>
              <w:bottom w:val="nil"/>
            </w:tcBorders>
            <w:vAlign w:val="center"/>
          </w:tcPr>
          <w:p w:rsidR="00B94196" w:rsidRDefault="00B94196">
            <w:pPr>
              <w:jc w:val="center"/>
              <w:rPr>
                <w:rFonts w:cs="Arial"/>
                <w:szCs w:val="20"/>
              </w:rPr>
            </w:pPr>
            <w:r>
              <w:rPr>
                <w:rFonts w:cs="Arial"/>
                <w:szCs w:val="20"/>
              </w:rPr>
              <w:t>77</w:t>
            </w:r>
          </w:p>
        </w:tc>
        <w:tc>
          <w:tcPr>
            <w:tcW w:w="831" w:type="pct"/>
            <w:tcBorders>
              <w:top w:val="nil"/>
              <w:bottom w:val="nil"/>
            </w:tcBorders>
            <w:vAlign w:val="center"/>
          </w:tcPr>
          <w:p w:rsidR="00B94196" w:rsidRDefault="00B94196">
            <w:pPr>
              <w:jc w:val="center"/>
              <w:rPr>
                <w:rFonts w:cs="Arial"/>
                <w:szCs w:val="20"/>
              </w:rPr>
            </w:pPr>
            <w:r>
              <w:rPr>
                <w:rFonts w:cs="Arial"/>
                <w:szCs w:val="20"/>
              </w:rPr>
              <w:t>1</w:t>
            </w:r>
          </w:p>
        </w:tc>
        <w:tc>
          <w:tcPr>
            <w:tcW w:w="833" w:type="pct"/>
            <w:tcBorders>
              <w:top w:val="nil"/>
              <w:bottom w:val="nil"/>
            </w:tcBorders>
            <w:vAlign w:val="center"/>
          </w:tcPr>
          <w:p w:rsidR="00B94196" w:rsidRDefault="00B94196">
            <w:pPr>
              <w:jc w:val="center"/>
              <w:rPr>
                <w:rFonts w:cs="Arial"/>
                <w:szCs w:val="20"/>
              </w:rPr>
            </w:pPr>
            <w:r>
              <w:rPr>
                <w:rFonts w:cs="Arial"/>
                <w:szCs w:val="20"/>
              </w:rPr>
              <w:t>20</w:t>
            </w:r>
          </w:p>
        </w:tc>
      </w:tr>
      <w:tr w:rsidR="00B94196" w:rsidRPr="00405CDE" w:rsidTr="00534DD9">
        <w:trPr>
          <w:trHeight w:val="510"/>
        </w:trPr>
        <w:tc>
          <w:tcPr>
            <w:tcW w:w="1585" w:type="pct"/>
            <w:tcBorders>
              <w:top w:val="nil"/>
              <w:bottom w:val="nil"/>
            </w:tcBorders>
            <w:vAlign w:val="center"/>
          </w:tcPr>
          <w:p w:rsidR="00B94196" w:rsidRDefault="00B94196">
            <w:pPr>
              <w:rPr>
                <w:rFonts w:cs="Arial"/>
                <w:sz w:val="16"/>
                <w:szCs w:val="16"/>
              </w:rPr>
            </w:pPr>
            <w:r>
              <w:rPr>
                <w:rFonts w:cs="Arial"/>
                <w:sz w:val="16"/>
                <w:szCs w:val="16"/>
              </w:rPr>
              <w:t>16-17 financial YTD</w:t>
            </w:r>
          </w:p>
        </w:tc>
        <w:tc>
          <w:tcPr>
            <w:tcW w:w="993" w:type="pct"/>
            <w:tcBorders>
              <w:top w:val="nil"/>
              <w:bottom w:val="nil"/>
            </w:tcBorders>
            <w:vAlign w:val="center"/>
          </w:tcPr>
          <w:p w:rsidR="00B94196" w:rsidRDefault="00B94196">
            <w:pPr>
              <w:jc w:val="center"/>
              <w:rPr>
                <w:rFonts w:cs="Arial"/>
                <w:sz w:val="20"/>
                <w:szCs w:val="20"/>
              </w:rPr>
            </w:pPr>
            <w:r>
              <w:rPr>
                <w:rFonts w:cs="Arial"/>
                <w:sz w:val="20"/>
                <w:szCs w:val="20"/>
              </w:rPr>
              <w:t> </w:t>
            </w:r>
          </w:p>
        </w:tc>
        <w:tc>
          <w:tcPr>
            <w:tcW w:w="758" w:type="pct"/>
            <w:tcBorders>
              <w:top w:val="nil"/>
              <w:bottom w:val="nil"/>
            </w:tcBorders>
            <w:vAlign w:val="center"/>
          </w:tcPr>
          <w:p w:rsidR="00B94196" w:rsidRDefault="00B94196">
            <w:pPr>
              <w:jc w:val="center"/>
              <w:rPr>
                <w:rFonts w:cs="Arial"/>
                <w:sz w:val="20"/>
                <w:szCs w:val="20"/>
              </w:rPr>
            </w:pPr>
            <w:r>
              <w:rPr>
                <w:rFonts w:cs="Arial"/>
                <w:sz w:val="20"/>
                <w:szCs w:val="20"/>
              </w:rPr>
              <w:t>57.96</w:t>
            </w:r>
          </w:p>
        </w:tc>
        <w:tc>
          <w:tcPr>
            <w:tcW w:w="831" w:type="pct"/>
            <w:tcBorders>
              <w:top w:val="nil"/>
              <w:bottom w:val="nil"/>
            </w:tcBorders>
            <w:vAlign w:val="center"/>
          </w:tcPr>
          <w:p w:rsidR="00B94196" w:rsidRDefault="00B94196">
            <w:pPr>
              <w:jc w:val="center"/>
              <w:rPr>
                <w:rFonts w:cs="Arial"/>
                <w:sz w:val="20"/>
                <w:szCs w:val="20"/>
              </w:rPr>
            </w:pPr>
            <w:r>
              <w:rPr>
                <w:rFonts w:cs="Arial"/>
                <w:sz w:val="20"/>
                <w:szCs w:val="20"/>
              </w:rPr>
              <w:t>24.97</w:t>
            </w:r>
          </w:p>
        </w:tc>
        <w:tc>
          <w:tcPr>
            <w:tcW w:w="833" w:type="pct"/>
            <w:tcBorders>
              <w:top w:val="nil"/>
              <w:bottom w:val="nil"/>
            </w:tcBorders>
            <w:vAlign w:val="center"/>
          </w:tcPr>
          <w:p w:rsidR="00B94196" w:rsidRDefault="00B94196">
            <w:pPr>
              <w:jc w:val="center"/>
              <w:rPr>
                <w:rFonts w:cs="Arial"/>
                <w:sz w:val="20"/>
                <w:szCs w:val="20"/>
              </w:rPr>
            </w:pPr>
            <w:r>
              <w:rPr>
                <w:rFonts w:cs="Arial"/>
                <w:sz w:val="20"/>
                <w:szCs w:val="20"/>
              </w:rPr>
              <w:t>1.57</w:t>
            </w:r>
          </w:p>
        </w:tc>
      </w:tr>
      <w:tr w:rsidR="00B94196"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B94196" w:rsidRDefault="00B94196">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B94196" w:rsidRDefault="00B94196">
            <w:pPr>
              <w:jc w:val="center"/>
              <w:rPr>
                <w:rFonts w:cs="Arial"/>
                <w:szCs w:val="20"/>
              </w:rPr>
            </w:pPr>
            <w:r>
              <w:rPr>
                <w:rFonts w:cs="Arial"/>
                <w:szCs w:val="20"/>
              </w:rPr>
              <w:t> </w:t>
            </w:r>
          </w:p>
        </w:tc>
        <w:tc>
          <w:tcPr>
            <w:tcW w:w="758" w:type="pct"/>
            <w:tcBorders>
              <w:top w:val="nil"/>
              <w:bottom w:val="single" w:sz="4" w:space="0" w:color="auto"/>
            </w:tcBorders>
            <w:vAlign w:val="center"/>
          </w:tcPr>
          <w:p w:rsidR="00B94196" w:rsidRDefault="00B94196">
            <w:pPr>
              <w:jc w:val="center"/>
              <w:rPr>
                <w:rFonts w:cs="Arial"/>
                <w:szCs w:val="20"/>
              </w:rPr>
            </w:pPr>
            <w:r>
              <w:rPr>
                <w:rFonts w:cs="Arial"/>
                <w:szCs w:val="20"/>
              </w:rPr>
              <w:t>96</w:t>
            </w:r>
          </w:p>
        </w:tc>
        <w:tc>
          <w:tcPr>
            <w:tcW w:w="831" w:type="pct"/>
            <w:tcBorders>
              <w:top w:val="nil"/>
              <w:bottom w:val="single" w:sz="4" w:space="0" w:color="auto"/>
            </w:tcBorders>
            <w:vAlign w:val="center"/>
          </w:tcPr>
          <w:p w:rsidR="00B94196" w:rsidRDefault="00B94196">
            <w:pPr>
              <w:jc w:val="center"/>
              <w:rPr>
                <w:rFonts w:cs="Arial"/>
                <w:szCs w:val="20"/>
              </w:rPr>
            </w:pPr>
            <w:r>
              <w:rPr>
                <w:rFonts w:cs="Arial"/>
                <w:szCs w:val="20"/>
              </w:rPr>
              <w:t>186</w:t>
            </w:r>
          </w:p>
        </w:tc>
        <w:tc>
          <w:tcPr>
            <w:tcW w:w="833" w:type="pct"/>
            <w:tcBorders>
              <w:top w:val="nil"/>
              <w:bottom w:val="single" w:sz="4" w:space="0" w:color="auto"/>
            </w:tcBorders>
            <w:vAlign w:val="center"/>
          </w:tcPr>
          <w:p w:rsidR="00B94196" w:rsidRDefault="00B94196">
            <w:pPr>
              <w:jc w:val="center"/>
              <w:rPr>
                <w:rFonts w:cs="Arial"/>
                <w:szCs w:val="20"/>
              </w:rPr>
            </w:pPr>
            <w:r>
              <w:rPr>
                <w:rFonts w:cs="Arial"/>
                <w:szCs w:val="20"/>
              </w:rPr>
              <w:t>1</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4C571B" w:rsidRPr="00552F68" w:rsidRDefault="004C571B" w:rsidP="00F26128">
      <w:pPr>
        <w:keepNext/>
      </w:pPr>
      <w:r w:rsidRPr="00552F68">
        <w:lastRenderedPageBreak/>
        <w:t xml:space="preserve">Figure </w:t>
      </w:r>
      <w:r w:rsidR="00534DD9" w:rsidRPr="00552F68">
        <w:t>4</w:t>
      </w:r>
      <w:r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Wallumbilla and Moomba.</w:t>
      </w:r>
    </w:p>
    <w:p w:rsidR="001521CB" w:rsidRDefault="001521CB" w:rsidP="001521CB">
      <w:pPr>
        <w:pStyle w:val="Caption"/>
        <w:rPr>
          <w:color w:val="2272A3"/>
          <w:szCs w:val="24"/>
        </w:rPr>
      </w:pPr>
      <w:r w:rsidRPr="00552F68">
        <w:t xml:space="preserve">Figure </w:t>
      </w:r>
      <w:r w:rsidR="00FA75E3">
        <w:fldChar w:fldCharType="begin"/>
      </w:r>
      <w:r w:rsidR="00FA75E3">
        <w:instrText xml:space="preserve"> SEQ Figure \* ARABIC </w:instrText>
      </w:r>
      <w:r w:rsidR="00FA75E3">
        <w:fldChar w:fldCharType="separate"/>
      </w:r>
      <w:r w:rsidR="003705AE">
        <w:rPr>
          <w:noProof/>
        </w:rPr>
        <w:t>4</w:t>
      </w:r>
      <w:r w:rsidR="00FA75E3">
        <w:rPr>
          <w:noProof/>
        </w:rPr>
        <w:fldChar w:fldCharType="end"/>
      </w:r>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r w:rsidR="00410584" w:rsidRPr="00552F68">
        <w:rPr>
          <w:color w:val="2272A3"/>
          <w:szCs w:val="24"/>
        </w:rPr>
        <w:t>*</w:t>
      </w:r>
    </w:p>
    <w:tbl>
      <w:tblPr>
        <w:tblStyle w:val="AERTable-Text"/>
        <w:tblW w:w="5000" w:type="pct"/>
        <w:tblLook w:val="04A0" w:firstRow="1" w:lastRow="0" w:firstColumn="1" w:lastColumn="0" w:noHBand="0" w:noVBand="1"/>
      </w:tblPr>
      <w:tblGrid>
        <w:gridCol w:w="1716"/>
        <w:gridCol w:w="717"/>
        <w:gridCol w:w="816"/>
        <w:gridCol w:w="732"/>
        <w:gridCol w:w="808"/>
        <w:gridCol w:w="649"/>
        <w:gridCol w:w="810"/>
        <w:gridCol w:w="742"/>
        <w:gridCol w:w="808"/>
        <w:gridCol w:w="638"/>
        <w:gridCol w:w="806"/>
      </w:tblGrid>
      <w:tr w:rsidR="00B302BF" w:rsidRPr="002861A9" w:rsidTr="007E2A64">
        <w:trPr>
          <w:cnfStyle w:val="100000000000" w:firstRow="1" w:lastRow="0" w:firstColumn="0" w:lastColumn="0" w:oddVBand="0" w:evenVBand="0" w:oddHBand="0" w:evenHBand="0" w:firstRowFirstColumn="0" w:firstRowLastColumn="0" w:lastRowFirstColumn="0" w:lastRowLastColumn="0"/>
          <w:trHeight w:val="404"/>
          <w:tblHeader/>
        </w:trPr>
        <w:tc>
          <w:tcPr>
            <w:tcW w:w="932" w:type="pct"/>
            <w:tcBorders>
              <w:bottom w:val="nil"/>
            </w:tcBorders>
            <w:vAlign w:val="center"/>
          </w:tcPr>
          <w:p w:rsidR="00A226E9" w:rsidRPr="00E16EDC" w:rsidRDefault="00A226E9" w:rsidP="00A226E9">
            <w:pPr>
              <w:pStyle w:val="TableHeading"/>
              <w:spacing w:before="120" w:after="0" w:line="240" w:lineRule="auto"/>
              <w:jc w:val="center"/>
              <w:rPr>
                <w:rFonts w:cs="Arial"/>
                <w:sz w:val="20"/>
                <w:szCs w:val="20"/>
              </w:rPr>
            </w:pPr>
          </w:p>
        </w:tc>
        <w:tc>
          <w:tcPr>
            <w:tcW w:w="795"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RBP</w:t>
            </w:r>
          </w:p>
        </w:tc>
        <w:tc>
          <w:tcPr>
            <w:tcW w:w="841"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Pr>
                <w:rFonts w:cs="Arial"/>
                <w:bCs/>
                <w:color w:val="FFFFFF"/>
                <w:sz w:val="20"/>
                <w:szCs w:val="20"/>
              </w:rPr>
              <w:t>SWQP</w:t>
            </w:r>
          </w:p>
        </w:tc>
        <w:tc>
          <w:tcPr>
            <w:tcW w:w="797"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MAP</w:t>
            </w:r>
          </w:p>
        </w:tc>
        <w:tc>
          <w:tcPr>
            <w:tcW w:w="846"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MSP</w:t>
            </w:r>
          </w:p>
        </w:tc>
        <w:tc>
          <w:tcPr>
            <w:tcW w:w="789"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QGP</w:t>
            </w:r>
          </w:p>
        </w:tc>
      </w:tr>
      <w:tr w:rsidR="00B302BF" w:rsidRPr="002861A9" w:rsidTr="007E2A64">
        <w:trPr>
          <w:cnfStyle w:val="100000000000" w:firstRow="1" w:lastRow="0" w:firstColumn="0" w:lastColumn="0" w:oddVBand="0" w:evenVBand="0" w:oddHBand="0" w:evenHBand="0" w:firstRowFirstColumn="0" w:firstRowLastColumn="0" w:lastRowFirstColumn="0" w:lastRowLastColumn="0"/>
          <w:tblHeader/>
        </w:trPr>
        <w:tc>
          <w:tcPr>
            <w:tcW w:w="932" w:type="pct"/>
            <w:tcBorders>
              <w:bottom w:val="nil"/>
            </w:tcBorders>
            <w:vAlign w:val="center"/>
          </w:tcPr>
          <w:p w:rsidR="00B302BF" w:rsidRPr="00587CFB" w:rsidRDefault="00B302BF" w:rsidP="00A226E9">
            <w:pPr>
              <w:pStyle w:val="TableHeading"/>
              <w:jc w:val="center"/>
              <w:rPr>
                <w:rFonts w:cs="Arial"/>
                <w:sz w:val="20"/>
                <w:szCs w:val="20"/>
              </w:rPr>
            </w:pPr>
          </w:p>
        </w:tc>
        <w:tc>
          <w:tcPr>
            <w:tcW w:w="350" w:type="pct"/>
            <w:tcBorders>
              <w:bottom w:val="nil"/>
            </w:tcBorders>
            <w:vAlign w:val="center"/>
            <w:hideMark/>
          </w:tcPr>
          <w:p w:rsidR="00B302BF" w:rsidRPr="00587CFB" w:rsidRDefault="00B302BF" w:rsidP="00A226E9">
            <w:pPr>
              <w:jc w:val="center"/>
              <w:rPr>
                <w:rFonts w:cs="Arial"/>
                <w:bCs/>
                <w:color w:val="FFFFFF"/>
                <w:sz w:val="14"/>
                <w:szCs w:val="20"/>
                <w:highlight w:val="cyan"/>
              </w:rPr>
            </w:pPr>
            <w:r w:rsidRPr="00587CFB">
              <w:rPr>
                <w:rFonts w:cs="Arial"/>
                <w:bCs/>
                <w:color w:val="FFFFFF"/>
                <w:sz w:val="14"/>
                <w:szCs w:val="20"/>
              </w:rPr>
              <w:t>VWA price</w:t>
            </w:r>
          </w:p>
        </w:tc>
        <w:tc>
          <w:tcPr>
            <w:tcW w:w="445" w:type="pct"/>
            <w:tcBorders>
              <w:bottom w:val="nil"/>
            </w:tcBorders>
            <w:vAlign w:val="center"/>
            <w:hideMark/>
          </w:tcPr>
          <w:p w:rsidR="00B302BF" w:rsidRPr="00587CFB" w:rsidRDefault="00B302BF" w:rsidP="00A226E9">
            <w:pPr>
              <w:jc w:val="center"/>
              <w:rPr>
                <w:rFonts w:cs="Arial"/>
                <w:bCs/>
                <w:color w:val="FFFFFF"/>
                <w:sz w:val="14"/>
                <w:szCs w:val="20"/>
                <w:highlight w:val="cyan"/>
              </w:rPr>
            </w:pPr>
            <w:r>
              <w:rPr>
                <w:rFonts w:cs="Arial"/>
                <w:bCs/>
                <w:color w:val="FFFFFF"/>
                <w:sz w:val="14"/>
                <w:szCs w:val="20"/>
              </w:rPr>
              <w:t>Quantity</w:t>
            </w:r>
          </w:p>
        </w:tc>
        <w:tc>
          <w:tcPr>
            <w:tcW w:w="400" w:type="pct"/>
            <w:tcBorders>
              <w:bottom w:val="nil"/>
            </w:tcBorders>
            <w:vAlign w:val="center"/>
            <w:hideMark/>
          </w:tcPr>
          <w:p w:rsidR="00B302BF" w:rsidRPr="00587CFB" w:rsidRDefault="00B302BF" w:rsidP="005B514D">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5B514D">
            <w:pPr>
              <w:jc w:val="center"/>
              <w:rPr>
                <w:rFonts w:cs="Arial"/>
                <w:bCs/>
                <w:color w:val="FFFFFF"/>
                <w:sz w:val="14"/>
                <w:szCs w:val="20"/>
                <w:highlight w:val="cyan"/>
              </w:rPr>
            </w:pPr>
            <w:r>
              <w:rPr>
                <w:rFonts w:cs="Arial"/>
                <w:bCs/>
                <w:color w:val="FFFFFF"/>
                <w:sz w:val="14"/>
                <w:szCs w:val="20"/>
              </w:rPr>
              <w:t>Quantity</w:t>
            </w:r>
          </w:p>
        </w:tc>
        <w:tc>
          <w:tcPr>
            <w:tcW w:w="355" w:type="pct"/>
            <w:tcBorders>
              <w:bottom w:val="nil"/>
            </w:tcBorders>
            <w:vAlign w:val="center"/>
          </w:tcPr>
          <w:p w:rsidR="00B302BF" w:rsidRPr="00587CFB" w:rsidRDefault="00B302BF" w:rsidP="005B514D">
            <w:pPr>
              <w:jc w:val="center"/>
              <w:rPr>
                <w:rFonts w:cs="Arial"/>
                <w:bCs/>
                <w:color w:val="FFFFFF"/>
                <w:sz w:val="14"/>
                <w:szCs w:val="20"/>
                <w:highlight w:val="cyan"/>
              </w:rPr>
            </w:pPr>
            <w:r w:rsidRPr="00587CFB">
              <w:rPr>
                <w:rFonts w:cs="Arial"/>
                <w:bCs/>
                <w:color w:val="FFFFFF"/>
                <w:sz w:val="14"/>
                <w:szCs w:val="20"/>
              </w:rPr>
              <w:t>VWA price</w:t>
            </w:r>
          </w:p>
        </w:tc>
        <w:tc>
          <w:tcPr>
            <w:tcW w:w="442" w:type="pct"/>
            <w:tcBorders>
              <w:bottom w:val="nil"/>
            </w:tcBorders>
            <w:vAlign w:val="center"/>
          </w:tcPr>
          <w:p w:rsidR="00B302BF" w:rsidRPr="00587CFB" w:rsidRDefault="00B302BF" w:rsidP="005B514D">
            <w:pPr>
              <w:jc w:val="center"/>
              <w:rPr>
                <w:rFonts w:cs="Arial"/>
                <w:bCs/>
                <w:color w:val="FFFFFF"/>
                <w:sz w:val="14"/>
                <w:szCs w:val="20"/>
                <w:highlight w:val="cyan"/>
              </w:rPr>
            </w:pPr>
            <w:r>
              <w:rPr>
                <w:rFonts w:cs="Arial"/>
                <w:bCs/>
                <w:color w:val="FFFFFF"/>
                <w:sz w:val="14"/>
                <w:szCs w:val="20"/>
              </w:rPr>
              <w:t>Quantity</w:t>
            </w:r>
          </w:p>
        </w:tc>
        <w:tc>
          <w:tcPr>
            <w:tcW w:w="405" w:type="pct"/>
            <w:tcBorders>
              <w:bottom w:val="nil"/>
            </w:tcBorders>
            <w:vAlign w:val="center"/>
          </w:tcPr>
          <w:p w:rsidR="00B302BF" w:rsidRPr="00587CFB" w:rsidRDefault="00B302BF" w:rsidP="005B514D">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5B514D">
            <w:pPr>
              <w:jc w:val="center"/>
              <w:rPr>
                <w:rFonts w:cs="Arial"/>
                <w:bCs/>
                <w:color w:val="FFFFFF"/>
                <w:sz w:val="14"/>
                <w:szCs w:val="20"/>
                <w:highlight w:val="cyan"/>
              </w:rPr>
            </w:pPr>
            <w:r>
              <w:rPr>
                <w:rFonts w:cs="Arial"/>
                <w:bCs/>
                <w:color w:val="FFFFFF"/>
                <w:sz w:val="14"/>
                <w:szCs w:val="20"/>
              </w:rPr>
              <w:t>Quantity</w:t>
            </w:r>
          </w:p>
        </w:tc>
        <w:tc>
          <w:tcPr>
            <w:tcW w:w="349" w:type="pct"/>
            <w:tcBorders>
              <w:bottom w:val="nil"/>
            </w:tcBorders>
            <w:vAlign w:val="center"/>
          </w:tcPr>
          <w:p w:rsidR="00B302BF" w:rsidRPr="00587CFB" w:rsidRDefault="00B302BF" w:rsidP="005B514D">
            <w:pPr>
              <w:jc w:val="center"/>
              <w:rPr>
                <w:rFonts w:cs="Arial"/>
                <w:bCs/>
                <w:color w:val="FFFFFF"/>
                <w:sz w:val="14"/>
                <w:szCs w:val="20"/>
                <w:highlight w:val="cyan"/>
              </w:rPr>
            </w:pPr>
            <w:r w:rsidRPr="00587CFB">
              <w:rPr>
                <w:rFonts w:cs="Arial"/>
                <w:bCs/>
                <w:color w:val="FFFFFF"/>
                <w:sz w:val="14"/>
                <w:szCs w:val="20"/>
              </w:rPr>
              <w:t>VWA price</w:t>
            </w:r>
          </w:p>
        </w:tc>
        <w:tc>
          <w:tcPr>
            <w:tcW w:w="440" w:type="pct"/>
            <w:tcBorders>
              <w:bottom w:val="nil"/>
            </w:tcBorders>
            <w:vAlign w:val="center"/>
          </w:tcPr>
          <w:p w:rsidR="00B302BF" w:rsidRPr="00587CFB" w:rsidRDefault="00B302BF" w:rsidP="005B514D">
            <w:pPr>
              <w:jc w:val="center"/>
              <w:rPr>
                <w:rFonts w:cs="Arial"/>
                <w:bCs/>
                <w:color w:val="FFFFFF"/>
                <w:sz w:val="14"/>
                <w:szCs w:val="20"/>
                <w:highlight w:val="cyan"/>
              </w:rPr>
            </w:pPr>
            <w:r>
              <w:rPr>
                <w:rFonts w:cs="Arial"/>
                <w:bCs/>
                <w:color w:val="FFFFFF"/>
                <w:sz w:val="14"/>
                <w:szCs w:val="20"/>
              </w:rPr>
              <w:t>Quantity</w:t>
            </w:r>
          </w:p>
        </w:tc>
      </w:tr>
      <w:tr w:rsidR="00B94196" w:rsidRPr="006A7228" w:rsidTr="007E2A64">
        <w:trPr>
          <w:trHeight w:val="510"/>
        </w:trPr>
        <w:tc>
          <w:tcPr>
            <w:tcW w:w="932" w:type="pct"/>
            <w:tcBorders>
              <w:top w:val="nil"/>
              <w:bottom w:val="nil"/>
            </w:tcBorders>
            <w:vAlign w:val="center"/>
          </w:tcPr>
          <w:p w:rsidR="00B94196" w:rsidRDefault="00B94196">
            <w:pPr>
              <w:rPr>
                <w:rFonts w:cs="Arial"/>
                <w:b/>
                <w:bCs/>
                <w:sz w:val="20"/>
                <w:szCs w:val="20"/>
              </w:rPr>
            </w:pPr>
            <w:r>
              <w:rPr>
                <w:rFonts w:cs="Arial"/>
                <w:b/>
                <w:bCs/>
                <w:sz w:val="20"/>
                <w:szCs w:val="20"/>
              </w:rPr>
              <w:t>Balance of day</w:t>
            </w:r>
          </w:p>
        </w:tc>
        <w:tc>
          <w:tcPr>
            <w:tcW w:w="350" w:type="pct"/>
            <w:tcBorders>
              <w:top w:val="nil"/>
              <w:bottom w:val="nil"/>
            </w:tcBorders>
            <w:vAlign w:val="center"/>
          </w:tcPr>
          <w:p w:rsidR="00B94196" w:rsidRDefault="00B94196">
            <w:pPr>
              <w:jc w:val="center"/>
              <w:rPr>
                <w:rFonts w:cs="Arial"/>
                <w:sz w:val="20"/>
                <w:szCs w:val="20"/>
              </w:rPr>
            </w:pPr>
            <w:r>
              <w:rPr>
                <w:rFonts w:cs="Arial"/>
                <w:sz w:val="20"/>
                <w:szCs w:val="20"/>
              </w:rPr>
              <w:t>11.64</w:t>
            </w:r>
          </w:p>
        </w:tc>
        <w:tc>
          <w:tcPr>
            <w:tcW w:w="445" w:type="pct"/>
            <w:tcBorders>
              <w:top w:val="nil"/>
              <w:bottom w:val="nil"/>
            </w:tcBorders>
            <w:vAlign w:val="center"/>
          </w:tcPr>
          <w:p w:rsidR="00B94196" w:rsidRDefault="00B94196">
            <w:pPr>
              <w:jc w:val="center"/>
              <w:rPr>
                <w:rFonts w:cs="Arial"/>
                <w:sz w:val="20"/>
                <w:szCs w:val="20"/>
              </w:rPr>
            </w:pPr>
            <w:r>
              <w:rPr>
                <w:rFonts w:cs="Arial"/>
                <w:sz w:val="20"/>
                <w:szCs w:val="20"/>
              </w:rPr>
              <w:t>44.3</w:t>
            </w:r>
          </w:p>
        </w:tc>
        <w:tc>
          <w:tcPr>
            <w:tcW w:w="400" w:type="pct"/>
            <w:tcBorders>
              <w:top w:val="nil"/>
              <w:bottom w:val="nil"/>
            </w:tcBorders>
            <w:vAlign w:val="center"/>
          </w:tcPr>
          <w:p w:rsidR="00B94196" w:rsidRDefault="00B94196">
            <w:pPr>
              <w:jc w:val="center"/>
              <w:rPr>
                <w:rFonts w:cs="Arial"/>
                <w:sz w:val="20"/>
                <w:szCs w:val="20"/>
              </w:rPr>
            </w:pPr>
            <w:r>
              <w:rPr>
                <w:rFonts w:cs="Arial"/>
                <w:sz w:val="20"/>
                <w:szCs w:val="20"/>
              </w:rPr>
              <w:t>11.87</w:t>
            </w:r>
          </w:p>
        </w:tc>
        <w:tc>
          <w:tcPr>
            <w:tcW w:w="441" w:type="pct"/>
            <w:tcBorders>
              <w:top w:val="nil"/>
              <w:bottom w:val="nil"/>
            </w:tcBorders>
            <w:vAlign w:val="center"/>
          </w:tcPr>
          <w:p w:rsidR="00B94196" w:rsidRDefault="00B94196">
            <w:pPr>
              <w:jc w:val="center"/>
              <w:rPr>
                <w:rFonts w:cs="Arial"/>
                <w:sz w:val="20"/>
                <w:szCs w:val="20"/>
              </w:rPr>
            </w:pPr>
            <w:r>
              <w:rPr>
                <w:rFonts w:cs="Arial"/>
                <w:sz w:val="20"/>
                <w:szCs w:val="20"/>
              </w:rPr>
              <w:t>25.7</w:t>
            </w:r>
          </w:p>
        </w:tc>
        <w:tc>
          <w:tcPr>
            <w:tcW w:w="355" w:type="pct"/>
            <w:tcBorders>
              <w:top w:val="nil"/>
              <w:bottom w:val="nil"/>
            </w:tcBorders>
            <w:vAlign w:val="center"/>
          </w:tcPr>
          <w:p w:rsidR="00B94196" w:rsidRDefault="00B94196">
            <w:pPr>
              <w:jc w:val="center"/>
              <w:rPr>
                <w:rFonts w:cs="Arial"/>
                <w:sz w:val="20"/>
                <w:szCs w:val="20"/>
              </w:rPr>
            </w:pPr>
            <w:r>
              <w:rPr>
                <w:rFonts w:cs="Arial"/>
                <w:sz w:val="20"/>
                <w:szCs w:val="20"/>
              </w:rPr>
              <w:t>-</w:t>
            </w:r>
          </w:p>
        </w:tc>
        <w:tc>
          <w:tcPr>
            <w:tcW w:w="442" w:type="pct"/>
            <w:tcBorders>
              <w:top w:val="nil"/>
              <w:bottom w:val="nil"/>
            </w:tcBorders>
            <w:vAlign w:val="center"/>
          </w:tcPr>
          <w:p w:rsidR="00B94196" w:rsidRDefault="00B94196">
            <w:pPr>
              <w:jc w:val="center"/>
              <w:rPr>
                <w:rFonts w:cs="Arial"/>
                <w:sz w:val="20"/>
                <w:szCs w:val="20"/>
              </w:rPr>
            </w:pPr>
            <w:r>
              <w:rPr>
                <w:rFonts w:cs="Arial"/>
                <w:sz w:val="20"/>
                <w:szCs w:val="20"/>
              </w:rPr>
              <w:t>-</w:t>
            </w:r>
          </w:p>
        </w:tc>
        <w:tc>
          <w:tcPr>
            <w:tcW w:w="405" w:type="pct"/>
            <w:tcBorders>
              <w:top w:val="nil"/>
              <w:bottom w:val="nil"/>
            </w:tcBorders>
            <w:vAlign w:val="center"/>
          </w:tcPr>
          <w:p w:rsidR="00B94196" w:rsidRDefault="00B94196">
            <w:pPr>
              <w:jc w:val="center"/>
              <w:rPr>
                <w:rFonts w:cs="Arial"/>
                <w:sz w:val="20"/>
                <w:szCs w:val="20"/>
              </w:rPr>
            </w:pPr>
            <w:r>
              <w:rPr>
                <w:rFonts w:cs="Arial"/>
                <w:sz w:val="20"/>
                <w:szCs w:val="20"/>
              </w:rPr>
              <w:t>-</w:t>
            </w:r>
          </w:p>
        </w:tc>
        <w:tc>
          <w:tcPr>
            <w:tcW w:w="441" w:type="pct"/>
            <w:tcBorders>
              <w:top w:val="nil"/>
              <w:bottom w:val="nil"/>
            </w:tcBorders>
            <w:vAlign w:val="center"/>
          </w:tcPr>
          <w:p w:rsidR="00B94196" w:rsidRDefault="00B94196">
            <w:pPr>
              <w:jc w:val="center"/>
              <w:rPr>
                <w:rFonts w:cs="Arial"/>
                <w:sz w:val="20"/>
                <w:szCs w:val="20"/>
              </w:rPr>
            </w:pPr>
            <w:r>
              <w:rPr>
                <w:rFonts w:cs="Arial"/>
                <w:sz w:val="20"/>
                <w:szCs w:val="20"/>
              </w:rPr>
              <w:t>-</w:t>
            </w:r>
          </w:p>
        </w:tc>
        <w:tc>
          <w:tcPr>
            <w:tcW w:w="349" w:type="pct"/>
            <w:tcBorders>
              <w:top w:val="nil"/>
              <w:bottom w:val="nil"/>
            </w:tcBorders>
            <w:vAlign w:val="center"/>
          </w:tcPr>
          <w:p w:rsidR="00B94196" w:rsidRDefault="00B94196">
            <w:pPr>
              <w:jc w:val="center"/>
              <w:rPr>
                <w:rFonts w:cs="Arial"/>
                <w:sz w:val="20"/>
                <w:szCs w:val="20"/>
              </w:rPr>
            </w:pPr>
            <w:r>
              <w:rPr>
                <w:rFonts w:cs="Arial"/>
                <w:sz w:val="20"/>
                <w:szCs w:val="20"/>
              </w:rPr>
              <w:t>-</w:t>
            </w:r>
          </w:p>
        </w:tc>
        <w:tc>
          <w:tcPr>
            <w:tcW w:w="440" w:type="pct"/>
            <w:tcBorders>
              <w:top w:val="nil"/>
              <w:bottom w:val="nil"/>
            </w:tcBorders>
            <w:vAlign w:val="center"/>
          </w:tcPr>
          <w:p w:rsidR="00B94196" w:rsidRDefault="00B94196">
            <w:pPr>
              <w:jc w:val="center"/>
              <w:rPr>
                <w:rFonts w:cs="Arial"/>
                <w:sz w:val="20"/>
                <w:szCs w:val="20"/>
              </w:rPr>
            </w:pPr>
            <w:r>
              <w:rPr>
                <w:rFonts w:cs="Arial"/>
                <w:sz w:val="20"/>
                <w:szCs w:val="20"/>
              </w:rPr>
              <w:t>-</w:t>
            </w:r>
          </w:p>
        </w:tc>
      </w:tr>
      <w:tr w:rsidR="00B94196" w:rsidRPr="006A7228" w:rsidTr="007E2A64">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B94196" w:rsidRDefault="00B94196">
            <w:pPr>
              <w:rPr>
                <w:rFonts w:cs="Arial"/>
                <w:b/>
                <w:bCs/>
                <w:szCs w:val="20"/>
              </w:rPr>
            </w:pPr>
            <w:r>
              <w:rPr>
                <w:rFonts w:cs="Arial"/>
                <w:b/>
                <w:bCs/>
                <w:szCs w:val="20"/>
              </w:rPr>
              <w:t>Daily</w:t>
            </w:r>
          </w:p>
        </w:tc>
        <w:tc>
          <w:tcPr>
            <w:tcW w:w="350" w:type="pct"/>
            <w:tcBorders>
              <w:top w:val="nil"/>
              <w:bottom w:val="nil"/>
            </w:tcBorders>
            <w:vAlign w:val="center"/>
          </w:tcPr>
          <w:p w:rsidR="00B94196" w:rsidRDefault="00B94196">
            <w:pPr>
              <w:jc w:val="center"/>
              <w:rPr>
                <w:rFonts w:cs="Arial"/>
                <w:szCs w:val="20"/>
              </w:rPr>
            </w:pPr>
            <w:r>
              <w:rPr>
                <w:rFonts w:cs="Arial"/>
                <w:szCs w:val="20"/>
              </w:rPr>
              <w:t>11.58</w:t>
            </w:r>
          </w:p>
        </w:tc>
        <w:tc>
          <w:tcPr>
            <w:tcW w:w="445" w:type="pct"/>
            <w:tcBorders>
              <w:top w:val="nil"/>
              <w:bottom w:val="nil"/>
            </w:tcBorders>
            <w:vAlign w:val="center"/>
          </w:tcPr>
          <w:p w:rsidR="00B94196" w:rsidRDefault="00B94196">
            <w:pPr>
              <w:jc w:val="center"/>
              <w:rPr>
                <w:rFonts w:cs="Arial"/>
                <w:szCs w:val="20"/>
              </w:rPr>
            </w:pPr>
            <w:r>
              <w:rPr>
                <w:rFonts w:cs="Arial"/>
                <w:szCs w:val="20"/>
              </w:rPr>
              <w:t>15.0</w:t>
            </w:r>
          </w:p>
        </w:tc>
        <w:tc>
          <w:tcPr>
            <w:tcW w:w="400" w:type="pct"/>
            <w:tcBorders>
              <w:top w:val="nil"/>
              <w:bottom w:val="nil"/>
            </w:tcBorders>
            <w:vAlign w:val="center"/>
          </w:tcPr>
          <w:p w:rsidR="00B94196" w:rsidRDefault="00B94196">
            <w:pPr>
              <w:jc w:val="center"/>
              <w:rPr>
                <w:rFonts w:cs="Arial"/>
                <w:szCs w:val="20"/>
              </w:rPr>
            </w:pPr>
            <w:r>
              <w:rPr>
                <w:rFonts w:cs="Arial"/>
                <w:szCs w:val="20"/>
              </w:rPr>
              <w:t>11.50</w:t>
            </w:r>
          </w:p>
        </w:tc>
        <w:tc>
          <w:tcPr>
            <w:tcW w:w="441" w:type="pct"/>
            <w:tcBorders>
              <w:top w:val="nil"/>
              <w:bottom w:val="nil"/>
            </w:tcBorders>
            <w:vAlign w:val="center"/>
          </w:tcPr>
          <w:p w:rsidR="00B94196" w:rsidRDefault="00B94196">
            <w:pPr>
              <w:jc w:val="center"/>
              <w:rPr>
                <w:rFonts w:cs="Arial"/>
                <w:szCs w:val="20"/>
              </w:rPr>
            </w:pPr>
            <w:r>
              <w:rPr>
                <w:rFonts w:cs="Arial"/>
                <w:szCs w:val="20"/>
              </w:rPr>
              <w:t>5.0</w:t>
            </w:r>
          </w:p>
        </w:tc>
        <w:tc>
          <w:tcPr>
            <w:tcW w:w="355" w:type="pct"/>
            <w:tcBorders>
              <w:top w:val="nil"/>
              <w:bottom w:val="nil"/>
            </w:tcBorders>
            <w:vAlign w:val="center"/>
          </w:tcPr>
          <w:p w:rsidR="00B94196" w:rsidRDefault="00B94196">
            <w:pPr>
              <w:jc w:val="center"/>
              <w:rPr>
                <w:rFonts w:cs="Arial"/>
                <w:szCs w:val="20"/>
              </w:rPr>
            </w:pPr>
            <w:r>
              <w:rPr>
                <w:rFonts w:cs="Arial"/>
                <w:szCs w:val="20"/>
              </w:rPr>
              <w:t>-</w:t>
            </w:r>
          </w:p>
        </w:tc>
        <w:tc>
          <w:tcPr>
            <w:tcW w:w="442" w:type="pct"/>
            <w:tcBorders>
              <w:top w:val="nil"/>
              <w:bottom w:val="nil"/>
            </w:tcBorders>
            <w:vAlign w:val="center"/>
          </w:tcPr>
          <w:p w:rsidR="00B94196" w:rsidRDefault="00B94196">
            <w:pPr>
              <w:jc w:val="center"/>
              <w:rPr>
                <w:rFonts w:cs="Arial"/>
                <w:szCs w:val="20"/>
              </w:rPr>
            </w:pPr>
            <w:r>
              <w:rPr>
                <w:rFonts w:cs="Arial"/>
                <w:szCs w:val="20"/>
              </w:rPr>
              <w:t>-</w:t>
            </w:r>
          </w:p>
        </w:tc>
        <w:tc>
          <w:tcPr>
            <w:tcW w:w="405" w:type="pct"/>
            <w:tcBorders>
              <w:top w:val="nil"/>
              <w:bottom w:val="nil"/>
            </w:tcBorders>
            <w:vAlign w:val="center"/>
          </w:tcPr>
          <w:p w:rsidR="00B94196" w:rsidRDefault="00B94196">
            <w:pPr>
              <w:jc w:val="center"/>
              <w:rPr>
                <w:rFonts w:cs="Arial"/>
                <w:szCs w:val="20"/>
              </w:rPr>
            </w:pPr>
            <w:r>
              <w:rPr>
                <w:rFonts w:cs="Arial"/>
                <w:szCs w:val="20"/>
              </w:rPr>
              <w:t>-</w:t>
            </w:r>
          </w:p>
        </w:tc>
        <w:tc>
          <w:tcPr>
            <w:tcW w:w="441" w:type="pct"/>
            <w:tcBorders>
              <w:top w:val="nil"/>
              <w:bottom w:val="nil"/>
            </w:tcBorders>
            <w:vAlign w:val="center"/>
          </w:tcPr>
          <w:p w:rsidR="00B94196" w:rsidRDefault="00B94196">
            <w:pPr>
              <w:jc w:val="center"/>
              <w:rPr>
                <w:rFonts w:cs="Arial"/>
                <w:szCs w:val="20"/>
              </w:rPr>
            </w:pPr>
            <w:r>
              <w:rPr>
                <w:rFonts w:cs="Arial"/>
                <w:szCs w:val="20"/>
              </w:rPr>
              <w:t>-</w:t>
            </w:r>
          </w:p>
        </w:tc>
        <w:tc>
          <w:tcPr>
            <w:tcW w:w="349" w:type="pct"/>
            <w:tcBorders>
              <w:top w:val="nil"/>
              <w:bottom w:val="nil"/>
            </w:tcBorders>
            <w:vAlign w:val="center"/>
          </w:tcPr>
          <w:p w:rsidR="00B94196" w:rsidRDefault="00B94196">
            <w:pPr>
              <w:jc w:val="center"/>
              <w:rPr>
                <w:rFonts w:cs="Arial"/>
                <w:szCs w:val="20"/>
              </w:rPr>
            </w:pPr>
            <w:r>
              <w:rPr>
                <w:rFonts w:cs="Arial"/>
                <w:szCs w:val="20"/>
              </w:rPr>
              <w:t>-</w:t>
            </w:r>
          </w:p>
        </w:tc>
        <w:tc>
          <w:tcPr>
            <w:tcW w:w="440" w:type="pct"/>
            <w:tcBorders>
              <w:top w:val="nil"/>
              <w:bottom w:val="nil"/>
            </w:tcBorders>
            <w:vAlign w:val="center"/>
          </w:tcPr>
          <w:p w:rsidR="00B94196" w:rsidRDefault="00B94196">
            <w:pPr>
              <w:jc w:val="center"/>
              <w:rPr>
                <w:rFonts w:cs="Arial"/>
                <w:szCs w:val="20"/>
              </w:rPr>
            </w:pPr>
            <w:r>
              <w:rPr>
                <w:rFonts w:cs="Arial"/>
                <w:szCs w:val="20"/>
              </w:rPr>
              <w:t>-</w:t>
            </w:r>
          </w:p>
        </w:tc>
      </w:tr>
      <w:tr w:rsidR="00B94196" w:rsidRPr="006A7228" w:rsidTr="007E2A64">
        <w:trPr>
          <w:trHeight w:val="510"/>
        </w:trPr>
        <w:tc>
          <w:tcPr>
            <w:tcW w:w="932" w:type="pct"/>
            <w:tcBorders>
              <w:top w:val="nil"/>
              <w:bottom w:val="nil"/>
            </w:tcBorders>
            <w:vAlign w:val="center"/>
          </w:tcPr>
          <w:p w:rsidR="00B94196" w:rsidRDefault="00B94196">
            <w:pPr>
              <w:rPr>
                <w:rFonts w:cs="Arial"/>
                <w:b/>
                <w:bCs/>
                <w:sz w:val="20"/>
                <w:szCs w:val="20"/>
              </w:rPr>
            </w:pPr>
            <w:r>
              <w:rPr>
                <w:rFonts w:cs="Arial"/>
                <w:b/>
                <w:bCs/>
                <w:sz w:val="20"/>
                <w:szCs w:val="20"/>
              </w:rPr>
              <w:t>Day ahead</w:t>
            </w:r>
          </w:p>
        </w:tc>
        <w:tc>
          <w:tcPr>
            <w:tcW w:w="350" w:type="pct"/>
            <w:tcBorders>
              <w:top w:val="nil"/>
              <w:bottom w:val="nil"/>
            </w:tcBorders>
            <w:vAlign w:val="center"/>
          </w:tcPr>
          <w:p w:rsidR="00B94196" w:rsidRDefault="00B94196">
            <w:pPr>
              <w:jc w:val="center"/>
              <w:rPr>
                <w:rFonts w:cs="Arial"/>
                <w:sz w:val="20"/>
                <w:szCs w:val="20"/>
              </w:rPr>
            </w:pPr>
            <w:r>
              <w:rPr>
                <w:rFonts w:cs="Arial"/>
                <w:sz w:val="20"/>
                <w:szCs w:val="20"/>
              </w:rPr>
              <w:t>11.23</w:t>
            </w:r>
          </w:p>
        </w:tc>
        <w:tc>
          <w:tcPr>
            <w:tcW w:w="445" w:type="pct"/>
            <w:tcBorders>
              <w:top w:val="nil"/>
              <w:bottom w:val="nil"/>
            </w:tcBorders>
            <w:vAlign w:val="center"/>
          </w:tcPr>
          <w:p w:rsidR="00B94196" w:rsidRDefault="00B94196">
            <w:pPr>
              <w:jc w:val="center"/>
              <w:rPr>
                <w:rFonts w:cs="Arial"/>
                <w:sz w:val="20"/>
                <w:szCs w:val="20"/>
              </w:rPr>
            </w:pPr>
            <w:r>
              <w:rPr>
                <w:rFonts w:cs="Arial"/>
                <w:sz w:val="20"/>
                <w:szCs w:val="20"/>
              </w:rPr>
              <w:t>10.0</w:t>
            </w:r>
          </w:p>
        </w:tc>
        <w:tc>
          <w:tcPr>
            <w:tcW w:w="400" w:type="pct"/>
            <w:tcBorders>
              <w:top w:val="nil"/>
              <w:bottom w:val="nil"/>
            </w:tcBorders>
            <w:vAlign w:val="center"/>
          </w:tcPr>
          <w:p w:rsidR="00B94196" w:rsidRDefault="00B94196">
            <w:pPr>
              <w:jc w:val="center"/>
              <w:rPr>
                <w:rFonts w:cs="Arial"/>
                <w:sz w:val="20"/>
                <w:szCs w:val="20"/>
              </w:rPr>
            </w:pPr>
            <w:r>
              <w:rPr>
                <w:rFonts w:cs="Arial"/>
                <w:sz w:val="20"/>
                <w:szCs w:val="20"/>
              </w:rPr>
              <w:t>11.30</w:t>
            </w:r>
          </w:p>
        </w:tc>
        <w:tc>
          <w:tcPr>
            <w:tcW w:w="441" w:type="pct"/>
            <w:tcBorders>
              <w:top w:val="nil"/>
              <w:bottom w:val="nil"/>
            </w:tcBorders>
            <w:vAlign w:val="center"/>
          </w:tcPr>
          <w:p w:rsidR="00B94196" w:rsidRDefault="00B94196">
            <w:pPr>
              <w:jc w:val="center"/>
              <w:rPr>
                <w:rFonts w:cs="Arial"/>
                <w:sz w:val="20"/>
                <w:szCs w:val="20"/>
              </w:rPr>
            </w:pPr>
            <w:r>
              <w:rPr>
                <w:rFonts w:cs="Arial"/>
                <w:sz w:val="20"/>
                <w:szCs w:val="20"/>
              </w:rPr>
              <w:t>25.0</w:t>
            </w:r>
          </w:p>
        </w:tc>
        <w:tc>
          <w:tcPr>
            <w:tcW w:w="355" w:type="pct"/>
            <w:tcBorders>
              <w:top w:val="nil"/>
              <w:bottom w:val="nil"/>
            </w:tcBorders>
            <w:vAlign w:val="center"/>
          </w:tcPr>
          <w:p w:rsidR="00B94196" w:rsidRDefault="00B94196">
            <w:pPr>
              <w:jc w:val="center"/>
              <w:rPr>
                <w:rFonts w:cs="Arial"/>
                <w:sz w:val="20"/>
                <w:szCs w:val="20"/>
              </w:rPr>
            </w:pPr>
            <w:r>
              <w:rPr>
                <w:rFonts w:cs="Arial"/>
                <w:sz w:val="20"/>
                <w:szCs w:val="20"/>
              </w:rPr>
              <w:t>-</w:t>
            </w:r>
          </w:p>
        </w:tc>
        <w:tc>
          <w:tcPr>
            <w:tcW w:w="442" w:type="pct"/>
            <w:tcBorders>
              <w:top w:val="nil"/>
              <w:bottom w:val="nil"/>
            </w:tcBorders>
            <w:vAlign w:val="center"/>
          </w:tcPr>
          <w:p w:rsidR="00B94196" w:rsidRDefault="00B94196">
            <w:pPr>
              <w:jc w:val="center"/>
              <w:rPr>
                <w:rFonts w:cs="Arial"/>
                <w:sz w:val="20"/>
                <w:szCs w:val="20"/>
              </w:rPr>
            </w:pPr>
            <w:r>
              <w:rPr>
                <w:rFonts w:cs="Arial"/>
                <w:sz w:val="20"/>
                <w:szCs w:val="20"/>
              </w:rPr>
              <w:t>-</w:t>
            </w:r>
          </w:p>
        </w:tc>
        <w:tc>
          <w:tcPr>
            <w:tcW w:w="405" w:type="pct"/>
            <w:tcBorders>
              <w:top w:val="nil"/>
              <w:bottom w:val="nil"/>
            </w:tcBorders>
            <w:vAlign w:val="center"/>
          </w:tcPr>
          <w:p w:rsidR="00B94196" w:rsidRDefault="00B94196">
            <w:pPr>
              <w:jc w:val="center"/>
              <w:rPr>
                <w:rFonts w:cs="Arial"/>
                <w:sz w:val="20"/>
                <w:szCs w:val="20"/>
              </w:rPr>
            </w:pPr>
            <w:r>
              <w:rPr>
                <w:rFonts w:cs="Arial"/>
                <w:sz w:val="20"/>
                <w:szCs w:val="20"/>
              </w:rPr>
              <w:t>-</w:t>
            </w:r>
          </w:p>
        </w:tc>
        <w:tc>
          <w:tcPr>
            <w:tcW w:w="441" w:type="pct"/>
            <w:tcBorders>
              <w:top w:val="nil"/>
              <w:bottom w:val="nil"/>
            </w:tcBorders>
            <w:vAlign w:val="center"/>
          </w:tcPr>
          <w:p w:rsidR="00B94196" w:rsidRDefault="00B94196">
            <w:pPr>
              <w:jc w:val="center"/>
              <w:rPr>
                <w:rFonts w:cs="Arial"/>
                <w:sz w:val="20"/>
                <w:szCs w:val="20"/>
              </w:rPr>
            </w:pPr>
            <w:r>
              <w:rPr>
                <w:rFonts w:cs="Arial"/>
                <w:sz w:val="20"/>
                <w:szCs w:val="20"/>
              </w:rPr>
              <w:t>-</w:t>
            </w:r>
          </w:p>
        </w:tc>
        <w:tc>
          <w:tcPr>
            <w:tcW w:w="349" w:type="pct"/>
            <w:tcBorders>
              <w:top w:val="nil"/>
              <w:bottom w:val="nil"/>
            </w:tcBorders>
            <w:vAlign w:val="center"/>
          </w:tcPr>
          <w:p w:rsidR="00B94196" w:rsidRDefault="00B94196">
            <w:pPr>
              <w:jc w:val="center"/>
              <w:rPr>
                <w:rFonts w:cs="Arial"/>
                <w:sz w:val="20"/>
                <w:szCs w:val="20"/>
              </w:rPr>
            </w:pPr>
            <w:r>
              <w:rPr>
                <w:rFonts w:cs="Arial"/>
                <w:sz w:val="20"/>
                <w:szCs w:val="20"/>
              </w:rPr>
              <w:t>-</w:t>
            </w:r>
          </w:p>
        </w:tc>
        <w:tc>
          <w:tcPr>
            <w:tcW w:w="440" w:type="pct"/>
            <w:tcBorders>
              <w:top w:val="nil"/>
              <w:bottom w:val="nil"/>
            </w:tcBorders>
            <w:vAlign w:val="center"/>
          </w:tcPr>
          <w:p w:rsidR="00B94196" w:rsidRDefault="00B94196">
            <w:pPr>
              <w:jc w:val="center"/>
              <w:rPr>
                <w:rFonts w:cs="Arial"/>
                <w:sz w:val="20"/>
                <w:szCs w:val="20"/>
              </w:rPr>
            </w:pPr>
            <w:r>
              <w:rPr>
                <w:rFonts w:cs="Arial"/>
                <w:sz w:val="20"/>
                <w:szCs w:val="20"/>
              </w:rPr>
              <w:t>-</w:t>
            </w:r>
          </w:p>
        </w:tc>
      </w:tr>
      <w:tr w:rsidR="00B94196" w:rsidRPr="006A7228" w:rsidTr="007E2A64">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B94196" w:rsidRDefault="00B94196">
            <w:pPr>
              <w:rPr>
                <w:rFonts w:cs="Arial"/>
                <w:b/>
                <w:bCs/>
                <w:szCs w:val="20"/>
              </w:rPr>
            </w:pPr>
            <w:r>
              <w:rPr>
                <w:rFonts w:cs="Arial"/>
                <w:b/>
                <w:bCs/>
                <w:szCs w:val="20"/>
              </w:rPr>
              <w:t>Weekly</w:t>
            </w:r>
          </w:p>
        </w:tc>
        <w:tc>
          <w:tcPr>
            <w:tcW w:w="350" w:type="pct"/>
            <w:tcBorders>
              <w:top w:val="nil"/>
              <w:bottom w:val="nil"/>
            </w:tcBorders>
            <w:vAlign w:val="center"/>
          </w:tcPr>
          <w:p w:rsidR="00B94196" w:rsidRDefault="00B94196">
            <w:pPr>
              <w:jc w:val="center"/>
              <w:rPr>
                <w:rFonts w:cs="Arial"/>
                <w:szCs w:val="20"/>
              </w:rPr>
            </w:pPr>
            <w:r>
              <w:rPr>
                <w:rFonts w:cs="Arial"/>
                <w:szCs w:val="20"/>
              </w:rPr>
              <w:t>11.50</w:t>
            </w:r>
          </w:p>
        </w:tc>
        <w:tc>
          <w:tcPr>
            <w:tcW w:w="445" w:type="pct"/>
            <w:tcBorders>
              <w:top w:val="nil"/>
              <w:bottom w:val="nil"/>
            </w:tcBorders>
            <w:vAlign w:val="center"/>
          </w:tcPr>
          <w:p w:rsidR="00B94196" w:rsidRDefault="00B94196">
            <w:pPr>
              <w:jc w:val="center"/>
              <w:rPr>
                <w:rFonts w:cs="Arial"/>
                <w:szCs w:val="20"/>
              </w:rPr>
            </w:pPr>
            <w:r>
              <w:rPr>
                <w:rFonts w:cs="Arial"/>
                <w:szCs w:val="20"/>
              </w:rPr>
              <w:t>28.0</w:t>
            </w:r>
          </w:p>
        </w:tc>
        <w:tc>
          <w:tcPr>
            <w:tcW w:w="400" w:type="pct"/>
            <w:tcBorders>
              <w:top w:val="nil"/>
              <w:bottom w:val="nil"/>
            </w:tcBorders>
            <w:vAlign w:val="center"/>
          </w:tcPr>
          <w:p w:rsidR="00B94196" w:rsidRDefault="00B94196">
            <w:pPr>
              <w:jc w:val="center"/>
              <w:rPr>
                <w:rFonts w:cs="Arial"/>
                <w:szCs w:val="20"/>
              </w:rPr>
            </w:pPr>
            <w:r>
              <w:rPr>
                <w:rFonts w:cs="Arial"/>
                <w:szCs w:val="20"/>
              </w:rPr>
              <w:t>9.50</w:t>
            </w:r>
          </w:p>
        </w:tc>
        <w:tc>
          <w:tcPr>
            <w:tcW w:w="441" w:type="pct"/>
            <w:tcBorders>
              <w:top w:val="nil"/>
              <w:bottom w:val="nil"/>
            </w:tcBorders>
            <w:vAlign w:val="center"/>
          </w:tcPr>
          <w:p w:rsidR="00B94196" w:rsidRDefault="00B94196">
            <w:pPr>
              <w:jc w:val="center"/>
              <w:rPr>
                <w:rFonts w:cs="Arial"/>
                <w:szCs w:val="20"/>
              </w:rPr>
            </w:pPr>
            <w:r>
              <w:rPr>
                <w:rFonts w:cs="Arial"/>
                <w:szCs w:val="20"/>
              </w:rPr>
              <w:t>21.0</w:t>
            </w:r>
          </w:p>
        </w:tc>
        <w:tc>
          <w:tcPr>
            <w:tcW w:w="355" w:type="pct"/>
            <w:tcBorders>
              <w:top w:val="nil"/>
              <w:bottom w:val="nil"/>
            </w:tcBorders>
            <w:vAlign w:val="center"/>
          </w:tcPr>
          <w:p w:rsidR="00B94196" w:rsidRDefault="00B94196">
            <w:pPr>
              <w:jc w:val="center"/>
              <w:rPr>
                <w:rFonts w:cs="Arial"/>
                <w:szCs w:val="20"/>
              </w:rPr>
            </w:pPr>
            <w:r>
              <w:rPr>
                <w:rFonts w:cs="Arial"/>
                <w:szCs w:val="20"/>
              </w:rPr>
              <w:t>-</w:t>
            </w:r>
          </w:p>
        </w:tc>
        <w:tc>
          <w:tcPr>
            <w:tcW w:w="442" w:type="pct"/>
            <w:tcBorders>
              <w:top w:val="nil"/>
              <w:bottom w:val="nil"/>
            </w:tcBorders>
            <w:vAlign w:val="center"/>
          </w:tcPr>
          <w:p w:rsidR="00B94196" w:rsidRDefault="00B94196">
            <w:pPr>
              <w:jc w:val="center"/>
              <w:rPr>
                <w:rFonts w:cs="Arial"/>
                <w:szCs w:val="20"/>
              </w:rPr>
            </w:pPr>
            <w:r>
              <w:rPr>
                <w:rFonts w:cs="Arial"/>
                <w:szCs w:val="20"/>
              </w:rPr>
              <w:t>-</w:t>
            </w:r>
          </w:p>
        </w:tc>
        <w:tc>
          <w:tcPr>
            <w:tcW w:w="405" w:type="pct"/>
            <w:tcBorders>
              <w:top w:val="nil"/>
              <w:bottom w:val="nil"/>
            </w:tcBorders>
            <w:vAlign w:val="center"/>
          </w:tcPr>
          <w:p w:rsidR="00B94196" w:rsidRDefault="00B94196">
            <w:pPr>
              <w:jc w:val="center"/>
              <w:rPr>
                <w:rFonts w:cs="Arial"/>
                <w:szCs w:val="20"/>
              </w:rPr>
            </w:pPr>
            <w:r>
              <w:rPr>
                <w:rFonts w:cs="Arial"/>
                <w:szCs w:val="20"/>
              </w:rPr>
              <w:t>-</w:t>
            </w:r>
          </w:p>
        </w:tc>
        <w:tc>
          <w:tcPr>
            <w:tcW w:w="441" w:type="pct"/>
            <w:tcBorders>
              <w:top w:val="nil"/>
              <w:bottom w:val="nil"/>
            </w:tcBorders>
            <w:vAlign w:val="center"/>
          </w:tcPr>
          <w:p w:rsidR="00B94196" w:rsidRDefault="00B94196">
            <w:pPr>
              <w:jc w:val="center"/>
              <w:rPr>
                <w:rFonts w:cs="Arial"/>
                <w:szCs w:val="20"/>
              </w:rPr>
            </w:pPr>
            <w:r>
              <w:rPr>
                <w:rFonts w:cs="Arial"/>
                <w:szCs w:val="20"/>
              </w:rPr>
              <w:t>-</w:t>
            </w:r>
          </w:p>
        </w:tc>
        <w:tc>
          <w:tcPr>
            <w:tcW w:w="349" w:type="pct"/>
            <w:tcBorders>
              <w:top w:val="nil"/>
              <w:bottom w:val="nil"/>
            </w:tcBorders>
            <w:vAlign w:val="center"/>
          </w:tcPr>
          <w:p w:rsidR="00B94196" w:rsidRDefault="00B94196">
            <w:pPr>
              <w:jc w:val="center"/>
              <w:rPr>
                <w:rFonts w:cs="Arial"/>
                <w:szCs w:val="20"/>
              </w:rPr>
            </w:pPr>
            <w:r>
              <w:rPr>
                <w:rFonts w:cs="Arial"/>
                <w:szCs w:val="20"/>
              </w:rPr>
              <w:t>-</w:t>
            </w:r>
          </w:p>
        </w:tc>
        <w:tc>
          <w:tcPr>
            <w:tcW w:w="440" w:type="pct"/>
            <w:tcBorders>
              <w:top w:val="nil"/>
              <w:bottom w:val="nil"/>
            </w:tcBorders>
            <w:vAlign w:val="center"/>
          </w:tcPr>
          <w:p w:rsidR="00B94196" w:rsidRDefault="00B94196">
            <w:pPr>
              <w:jc w:val="center"/>
              <w:rPr>
                <w:rFonts w:cs="Arial"/>
                <w:szCs w:val="20"/>
              </w:rPr>
            </w:pPr>
            <w:r>
              <w:rPr>
                <w:rFonts w:cs="Arial"/>
                <w:szCs w:val="20"/>
              </w:rPr>
              <w:t>-</w:t>
            </w:r>
          </w:p>
        </w:tc>
      </w:tr>
      <w:tr w:rsidR="00B94196" w:rsidRPr="006A7228" w:rsidTr="007E2A64">
        <w:trPr>
          <w:trHeight w:val="510"/>
        </w:trPr>
        <w:tc>
          <w:tcPr>
            <w:tcW w:w="932" w:type="pct"/>
            <w:tcBorders>
              <w:top w:val="nil"/>
              <w:bottom w:val="single" w:sz="4" w:space="0" w:color="auto"/>
            </w:tcBorders>
            <w:vAlign w:val="center"/>
          </w:tcPr>
          <w:p w:rsidR="00B94196" w:rsidRDefault="00B94196">
            <w:pPr>
              <w:rPr>
                <w:rFonts w:cs="Arial"/>
                <w:b/>
                <w:bCs/>
                <w:sz w:val="20"/>
                <w:szCs w:val="20"/>
              </w:rPr>
            </w:pPr>
            <w:r>
              <w:rPr>
                <w:rFonts w:cs="Arial"/>
                <w:b/>
                <w:bCs/>
                <w:sz w:val="20"/>
                <w:szCs w:val="20"/>
              </w:rPr>
              <w:t>Monthly</w:t>
            </w:r>
          </w:p>
        </w:tc>
        <w:tc>
          <w:tcPr>
            <w:tcW w:w="350" w:type="pct"/>
            <w:tcBorders>
              <w:top w:val="nil"/>
              <w:bottom w:val="single" w:sz="4" w:space="0" w:color="auto"/>
            </w:tcBorders>
            <w:vAlign w:val="center"/>
          </w:tcPr>
          <w:p w:rsidR="00B94196" w:rsidRDefault="00B94196">
            <w:pPr>
              <w:jc w:val="center"/>
              <w:rPr>
                <w:rFonts w:cs="Arial"/>
                <w:sz w:val="20"/>
                <w:szCs w:val="20"/>
              </w:rPr>
            </w:pPr>
            <w:r>
              <w:rPr>
                <w:rFonts w:cs="Arial"/>
                <w:sz w:val="20"/>
                <w:szCs w:val="20"/>
              </w:rPr>
              <w:t>-</w:t>
            </w:r>
          </w:p>
        </w:tc>
        <w:tc>
          <w:tcPr>
            <w:tcW w:w="445" w:type="pct"/>
            <w:tcBorders>
              <w:top w:val="nil"/>
              <w:bottom w:val="single" w:sz="4" w:space="0" w:color="auto"/>
            </w:tcBorders>
            <w:vAlign w:val="center"/>
          </w:tcPr>
          <w:p w:rsidR="00B94196" w:rsidRDefault="00B94196">
            <w:pPr>
              <w:jc w:val="center"/>
              <w:rPr>
                <w:rFonts w:cs="Arial"/>
                <w:sz w:val="20"/>
                <w:szCs w:val="20"/>
              </w:rPr>
            </w:pPr>
            <w:r>
              <w:rPr>
                <w:rFonts w:cs="Arial"/>
                <w:sz w:val="20"/>
                <w:szCs w:val="20"/>
              </w:rPr>
              <w:t>-</w:t>
            </w:r>
          </w:p>
        </w:tc>
        <w:tc>
          <w:tcPr>
            <w:tcW w:w="400" w:type="pct"/>
            <w:tcBorders>
              <w:top w:val="nil"/>
              <w:bottom w:val="single" w:sz="4" w:space="0" w:color="auto"/>
            </w:tcBorders>
            <w:vAlign w:val="center"/>
          </w:tcPr>
          <w:p w:rsidR="00B94196" w:rsidRDefault="00B94196">
            <w:pPr>
              <w:jc w:val="center"/>
              <w:rPr>
                <w:rFonts w:cs="Arial"/>
                <w:sz w:val="20"/>
                <w:szCs w:val="20"/>
              </w:rPr>
            </w:pPr>
            <w:r>
              <w:rPr>
                <w:rFonts w:cs="Arial"/>
                <w:sz w:val="20"/>
                <w:szCs w:val="20"/>
              </w:rPr>
              <w:t>-</w:t>
            </w:r>
          </w:p>
        </w:tc>
        <w:tc>
          <w:tcPr>
            <w:tcW w:w="441" w:type="pct"/>
            <w:tcBorders>
              <w:top w:val="nil"/>
              <w:bottom w:val="single" w:sz="4" w:space="0" w:color="auto"/>
            </w:tcBorders>
            <w:vAlign w:val="center"/>
          </w:tcPr>
          <w:p w:rsidR="00B94196" w:rsidRDefault="00B94196">
            <w:pPr>
              <w:jc w:val="center"/>
              <w:rPr>
                <w:rFonts w:cs="Arial"/>
                <w:sz w:val="20"/>
                <w:szCs w:val="20"/>
              </w:rPr>
            </w:pPr>
            <w:r>
              <w:rPr>
                <w:rFonts w:cs="Arial"/>
                <w:sz w:val="20"/>
                <w:szCs w:val="20"/>
              </w:rPr>
              <w:t>-</w:t>
            </w:r>
          </w:p>
        </w:tc>
        <w:tc>
          <w:tcPr>
            <w:tcW w:w="355" w:type="pct"/>
            <w:tcBorders>
              <w:top w:val="nil"/>
              <w:bottom w:val="single" w:sz="4" w:space="0" w:color="auto"/>
            </w:tcBorders>
            <w:vAlign w:val="center"/>
          </w:tcPr>
          <w:p w:rsidR="00B94196" w:rsidRDefault="00B94196">
            <w:pPr>
              <w:jc w:val="center"/>
              <w:rPr>
                <w:rFonts w:cs="Arial"/>
                <w:sz w:val="20"/>
                <w:szCs w:val="20"/>
              </w:rPr>
            </w:pPr>
            <w:r>
              <w:rPr>
                <w:rFonts w:cs="Arial"/>
                <w:sz w:val="20"/>
                <w:szCs w:val="20"/>
              </w:rPr>
              <w:t>-</w:t>
            </w:r>
          </w:p>
        </w:tc>
        <w:tc>
          <w:tcPr>
            <w:tcW w:w="442" w:type="pct"/>
            <w:tcBorders>
              <w:top w:val="nil"/>
              <w:bottom w:val="single" w:sz="4" w:space="0" w:color="auto"/>
            </w:tcBorders>
            <w:vAlign w:val="center"/>
          </w:tcPr>
          <w:p w:rsidR="00B94196" w:rsidRDefault="00B94196">
            <w:pPr>
              <w:jc w:val="center"/>
              <w:rPr>
                <w:rFonts w:cs="Arial"/>
                <w:sz w:val="20"/>
                <w:szCs w:val="20"/>
              </w:rPr>
            </w:pPr>
            <w:r>
              <w:rPr>
                <w:rFonts w:cs="Arial"/>
                <w:sz w:val="20"/>
                <w:szCs w:val="20"/>
              </w:rPr>
              <w:t>-</w:t>
            </w:r>
          </w:p>
        </w:tc>
        <w:tc>
          <w:tcPr>
            <w:tcW w:w="405" w:type="pct"/>
            <w:tcBorders>
              <w:top w:val="nil"/>
              <w:bottom w:val="single" w:sz="4" w:space="0" w:color="auto"/>
            </w:tcBorders>
            <w:vAlign w:val="center"/>
          </w:tcPr>
          <w:p w:rsidR="00B94196" w:rsidRDefault="00B94196">
            <w:pPr>
              <w:jc w:val="center"/>
              <w:rPr>
                <w:rFonts w:cs="Arial"/>
                <w:sz w:val="20"/>
                <w:szCs w:val="20"/>
              </w:rPr>
            </w:pPr>
            <w:r>
              <w:rPr>
                <w:rFonts w:cs="Arial"/>
                <w:sz w:val="20"/>
                <w:szCs w:val="20"/>
              </w:rPr>
              <w:t>-</w:t>
            </w:r>
          </w:p>
        </w:tc>
        <w:tc>
          <w:tcPr>
            <w:tcW w:w="441" w:type="pct"/>
            <w:tcBorders>
              <w:top w:val="nil"/>
              <w:bottom w:val="single" w:sz="4" w:space="0" w:color="auto"/>
            </w:tcBorders>
            <w:vAlign w:val="center"/>
          </w:tcPr>
          <w:p w:rsidR="00B94196" w:rsidRDefault="00B94196">
            <w:pPr>
              <w:jc w:val="center"/>
              <w:rPr>
                <w:rFonts w:cs="Arial"/>
                <w:sz w:val="20"/>
                <w:szCs w:val="20"/>
              </w:rPr>
            </w:pPr>
            <w:r>
              <w:rPr>
                <w:rFonts w:cs="Arial"/>
                <w:sz w:val="20"/>
                <w:szCs w:val="20"/>
              </w:rPr>
              <w:t>-</w:t>
            </w:r>
          </w:p>
        </w:tc>
        <w:tc>
          <w:tcPr>
            <w:tcW w:w="349" w:type="pct"/>
            <w:tcBorders>
              <w:top w:val="nil"/>
              <w:bottom w:val="single" w:sz="4" w:space="0" w:color="auto"/>
            </w:tcBorders>
            <w:vAlign w:val="center"/>
          </w:tcPr>
          <w:p w:rsidR="00B94196" w:rsidRDefault="00B94196">
            <w:pPr>
              <w:jc w:val="center"/>
              <w:rPr>
                <w:rFonts w:cs="Arial"/>
                <w:sz w:val="20"/>
                <w:szCs w:val="20"/>
              </w:rPr>
            </w:pPr>
            <w:r>
              <w:rPr>
                <w:rFonts w:cs="Arial"/>
                <w:sz w:val="20"/>
                <w:szCs w:val="20"/>
              </w:rPr>
              <w:t>-</w:t>
            </w:r>
          </w:p>
        </w:tc>
        <w:tc>
          <w:tcPr>
            <w:tcW w:w="440" w:type="pct"/>
            <w:tcBorders>
              <w:top w:val="nil"/>
              <w:bottom w:val="single" w:sz="4" w:space="0" w:color="auto"/>
            </w:tcBorders>
            <w:vAlign w:val="center"/>
          </w:tcPr>
          <w:p w:rsidR="00B94196" w:rsidRDefault="00B94196">
            <w:pPr>
              <w:jc w:val="center"/>
              <w:rPr>
                <w:rFonts w:cs="Arial"/>
                <w:sz w:val="20"/>
                <w:szCs w:val="20"/>
              </w:rPr>
            </w:pPr>
            <w:r>
              <w:rPr>
                <w:rFonts w:cs="Arial"/>
                <w:sz w:val="20"/>
                <w:szCs w:val="20"/>
              </w:rPr>
              <w:t>-</w:t>
            </w:r>
          </w:p>
        </w:tc>
      </w:tr>
    </w:tbl>
    <w:p w:rsidR="00410584" w:rsidRPr="00552F68" w:rsidRDefault="00410584" w:rsidP="00410584">
      <w:pPr>
        <w:pStyle w:val="AERbodytext"/>
        <w:rPr>
          <w:sz w:val="16"/>
        </w:rPr>
      </w:pPr>
      <w:r w:rsidRPr="00552F68">
        <w:rPr>
          <w:sz w:val="16"/>
        </w:rPr>
        <w:t>* Non-netted products are not shown here. For information about these products, refer to figure 6.1.</w:t>
      </w:r>
    </w:p>
    <w:p w:rsidR="001934E9" w:rsidRDefault="001934E9" w:rsidP="00A226E9">
      <w:pPr>
        <w:keepNext/>
      </w:pPr>
      <w:r w:rsidRPr="00552F68">
        <w:t xml:space="preserve">Figure </w:t>
      </w:r>
      <w:r w:rsidR="00587CFB" w:rsidRPr="00552F68">
        <w:t>5</w:t>
      </w:r>
      <w:r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r w:rsidR="00FA75E3">
        <w:fldChar w:fldCharType="begin"/>
      </w:r>
      <w:r w:rsidR="00FA75E3">
        <w:instrText xml:space="preserve"> SEQ Figure \* ARABIC </w:instrText>
      </w:r>
      <w:r w:rsidR="00FA75E3">
        <w:fldChar w:fldCharType="separate"/>
      </w:r>
      <w:r w:rsidR="003705AE">
        <w:rPr>
          <w:noProof/>
        </w:rPr>
        <w:t>5</w:t>
      </w:r>
      <w:r w:rsidR="00FA75E3">
        <w:rPr>
          <w:noProof/>
        </w:rPr>
        <w:fldChar w:fldCharType="end"/>
      </w:r>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Pr="00E16EDC" w:rsidRDefault="00B94196" w:rsidP="00E16EDC">
      <w:r w:rsidRPr="00B94196">
        <w:rPr>
          <w:noProof/>
          <w:lang w:eastAsia="en-AU"/>
        </w:rPr>
        <w:drawing>
          <wp:inline distT="0" distB="0" distL="0" distR="0" wp14:anchorId="71960106" wp14:editId="22B23C1E">
            <wp:extent cx="5731510" cy="3179062"/>
            <wp:effectExtent l="0" t="0" r="2540" b="2540"/>
            <wp:docPr id="6" name="Picture 6" descr="Figure 5 shows the daily quantity of gas flowed on each of the three Queensland LNG export pipelines. Quantities of gas supplied by production facilities in the Roma region owned by these pipelines are also shown, grouped for each participant (APLNG, GLNG/Santos and QCLNG/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79062"/>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t>Detailed market analysis</w:t>
      </w:r>
    </w:p>
    <w:p w:rsidR="00350AA7" w:rsidRDefault="0044413C" w:rsidP="001840C6">
      <w:pPr>
        <w:jc w:val="both"/>
      </w:pPr>
      <w:r w:rsidRPr="001840C6">
        <w:t>Average daily prices increased significantly compared to the previous week across Victoria (31%), Sydney (32%), Adelaide (54%), Brisbane (21%) and Wallumbilla (31%).  The predominant cause was the increase in demand from gas powered generation,</w:t>
      </w:r>
      <w:r w:rsidR="00C93ED8" w:rsidRPr="001840C6">
        <w:t xml:space="preserve"> particularly in Queensland,</w:t>
      </w:r>
      <w:r w:rsidRPr="001840C6">
        <w:t xml:space="preserve"> </w:t>
      </w:r>
      <w:r w:rsidR="00C93ED8" w:rsidRPr="001840C6">
        <w:t>following continued</w:t>
      </w:r>
      <w:r w:rsidRPr="001840C6">
        <w:t xml:space="preserve"> </w:t>
      </w:r>
      <w:r w:rsidR="00D26CE4" w:rsidRPr="001840C6">
        <w:t xml:space="preserve">high temperature conditions. </w:t>
      </w:r>
    </w:p>
    <w:p w:rsidR="00F15B71" w:rsidRDefault="00A523B2" w:rsidP="001840C6">
      <w:pPr>
        <w:jc w:val="both"/>
      </w:pPr>
      <w:r w:rsidRPr="001840C6">
        <w:t>Constraints applied at Culcairn and S</w:t>
      </w:r>
      <w:r w:rsidR="00C93ED8" w:rsidRPr="001840C6">
        <w:t xml:space="preserve">outh </w:t>
      </w:r>
      <w:r w:rsidRPr="001840C6">
        <w:t>W</w:t>
      </w:r>
      <w:r w:rsidR="00C93ED8" w:rsidRPr="001840C6">
        <w:t xml:space="preserve">est </w:t>
      </w:r>
      <w:r w:rsidRPr="001840C6">
        <w:t>P</w:t>
      </w:r>
      <w:r w:rsidR="00C93ED8" w:rsidRPr="001840C6">
        <w:t>ipeline</w:t>
      </w:r>
      <w:r w:rsidRPr="001840C6">
        <w:t xml:space="preserve"> over the majority of the week led to reduced gas flows out of Victoria.  Specifically, gas flows at the NSW-VIC interconnect </w:t>
      </w:r>
      <w:r w:rsidRPr="001840C6">
        <w:lastRenderedPageBreak/>
        <w:t xml:space="preserve">averaged around 123 TJ </w:t>
      </w:r>
      <w:r w:rsidR="002E0418" w:rsidRPr="001840C6">
        <w:t>compared to the high of 150 TJ last week.</w:t>
      </w:r>
      <w:r w:rsidR="00566C73" w:rsidRPr="001840C6">
        <w:t xml:space="preserve"> Gas production</w:t>
      </w:r>
      <w:r w:rsidR="008736CD" w:rsidRPr="001840C6">
        <w:t xml:space="preserve"> increased by 177 TJ</w:t>
      </w:r>
      <w:r w:rsidR="00F15B71">
        <w:t>,</w:t>
      </w:r>
      <w:r w:rsidR="008736CD" w:rsidRPr="001840C6">
        <w:t xml:space="preserve"> mostly as a result of higher output from the Gippsland basin</w:t>
      </w:r>
      <w:r w:rsidR="00F15B71">
        <w:t xml:space="preserve">. </w:t>
      </w:r>
    </w:p>
    <w:p w:rsidR="005F1A79" w:rsidRPr="001840C6" w:rsidRDefault="00F15B71" w:rsidP="001840C6">
      <w:pPr>
        <w:jc w:val="both"/>
      </w:pPr>
      <w:r>
        <w:t>The higher Gippsland production catered for higher domestic demand, while s</w:t>
      </w:r>
      <w:r w:rsidR="008736CD" w:rsidRPr="001840C6">
        <w:t>torage levels at the Iona facility i</w:t>
      </w:r>
      <w:r w:rsidR="00566C73" w:rsidRPr="001840C6">
        <w:t>ncreased by 465 TJ</w:t>
      </w:r>
      <w:r w:rsidR="008736CD" w:rsidRPr="001840C6">
        <w:t xml:space="preserve"> </w:t>
      </w:r>
      <w:r>
        <w:t xml:space="preserve">and </w:t>
      </w:r>
      <w:r w:rsidR="008736CD" w:rsidRPr="001840C6">
        <w:t>Moomba storage levels declined by 309 TJ</w:t>
      </w:r>
      <w:r w:rsidR="00566C73" w:rsidRPr="001840C6">
        <w:t>.</w:t>
      </w:r>
    </w:p>
    <w:p w:rsidR="001521CB" w:rsidRPr="001840C6" w:rsidRDefault="00296CDF" w:rsidP="001840C6">
      <w:pPr>
        <w:jc w:val="both"/>
      </w:pPr>
      <w:r w:rsidRPr="001840C6">
        <w:t>MOS payments were up by 77% in Sydney and 20% in Brisbane from the previous week.  In Sydney, MOS payments reached a high of $112</w:t>
      </w:r>
      <w:r w:rsidR="00EE7920">
        <w:t>,</w:t>
      </w:r>
      <w:r w:rsidRPr="001840C6">
        <w:t>701 on 11 January.  Higher MOS payments are a result of an ongoing trend of demand over forecasting</w:t>
      </w:r>
      <w:r w:rsidR="008736CD" w:rsidRPr="001840C6">
        <w:t xml:space="preserve"> in the Sydney hub</w:t>
      </w:r>
      <w:r w:rsidR="0044413C" w:rsidRPr="001840C6">
        <w:t>.</w:t>
      </w:r>
    </w:p>
    <w:p w:rsidR="0044413C" w:rsidRDefault="00E41F54" w:rsidP="001840C6">
      <w:pPr>
        <w:jc w:val="both"/>
      </w:pPr>
      <w:r>
        <w:t>On 14 January, a Pipeline Flow Direction Constraint (PFDC) price of $6.02/GJ applied on the Moomba to Sydney Pipeline (MSP).</w:t>
      </w:r>
      <w:r>
        <w:rPr>
          <w:rStyle w:val="FootnoteReference"/>
        </w:rPr>
        <w:footnoteReference w:id="2"/>
      </w:r>
    </w:p>
    <w:p w:rsidR="001521CB" w:rsidRPr="001521CB" w:rsidRDefault="001521CB" w:rsidP="001521CB"/>
    <w:p w:rsidR="001521CB" w:rsidRDefault="001521CB">
      <w:pPr>
        <w:spacing w:line="240" w:lineRule="auto"/>
        <w:rPr>
          <w:rFonts w:eastAsiaTheme="majorEastAsia" w:cstheme="majorBidi"/>
          <w:b/>
          <w:bCs/>
          <w:color w:val="51626F"/>
          <w:sz w:val="28"/>
          <w:szCs w:val="26"/>
        </w:rPr>
      </w:pPr>
      <w: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4C2E1EDE" wp14:editId="2063175F">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3"/>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4"/>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5"/>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B94196" w:rsidP="003171C6">
      <w:r w:rsidRPr="00B94196">
        <w:rPr>
          <w:noProof/>
          <w:lang w:eastAsia="en-AU"/>
        </w:rPr>
        <w:drawing>
          <wp:inline distT="0" distB="0" distL="0" distR="0" wp14:anchorId="0BCE86EA" wp14:editId="0D1A7ABB">
            <wp:extent cx="5731510" cy="1650203"/>
            <wp:effectExtent l="0" t="0" r="2540" b="7620"/>
            <wp:docPr id="7" name="Picture 7" descr="Figure 1.1 shows the five Victorian schedule prices for each day this week. The marker indicates the daily imbalance weighted average price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B94196" w:rsidP="003171C6">
      <w:r w:rsidRPr="00B94196">
        <w:rPr>
          <w:noProof/>
          <w:lang w:eastAsia="en-AU"/>
        </w:rPr>
        <w:drawing>
          <wp:inline distT="0" distB="0" distL="0" distR="0" wp14:anchorId="00BCBFF1" wp14:editId="641C32D3">
            <wp:extent cx="5731510" cy="2132322"/>
            <wp:effectExtent l="0" t="0" r="2540" b="1905"/>
            <wp:docPr id="10" name="Picture 10" descr="Figure 1.2 shows the demand forecast used to calculate the five daily schedule prices for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232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B94196" w:rsidP="003171C6">
      <w:r w:rsidRPr="00B94196">
        <w:rPr>
          <w:noProof/>
          <w:lang w:eastAsia="en-AU"/>
        </w:rPr>
        <w:drawing>
          <wp:inline distT="0" distB="0" distL="0" distR="0" wp14:anchorId="1AAF5E9A" wp14:editId="54CCFE21">
            <wp:extent cx="5731510" cy="2486687"/>
            <wp:effectExtent l="0" t="0" r="2540" b="8890"/>
            <wp:docPr id="11" name="Picture 11" descr="Figure 1.3 shows the injection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B94196" w:rsidP="003171C6">
      <w:r w:rsidRPr="00B94196">
        <w:rPr>
          <w:noProof/>
          <w:lang w:eastAsia="en-AU"/>
        </w:rPr>
        <w:drawing>
          <wp:inline distT="0" distB="0" distL="0" distR="0" wp14:anchorId="7E70BB37" wp14:editId="45CB31E8">
            <wp:extent cx="5731510" cy="1958582"/>
            <wp:effectExtent l="0" t="0" r="2540" b="3810"/>
            <wp:docPr id="17" name="Picture 17" descr="Figure 1.4 shows the withdrawal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B94196" w:rsidP="003171C6">
      <w:r w:rsidRPr="00B94196">
        <w:rPr>
          <w:noProof/>
          <w:lang w:eastAsia="en-AU"/>
        </w:rPr>
        <w:drawing>
          <wp:inline distT="0" distB="0" distL="0" distR="0" wp14:anchorId="542F6527" wp14:editId="394876CA">
            <wp:extent cx="5731510" cy="2142691"/>
            <wp:effectExtent l="0" t="0" r="2540" b="0"/>
            <wp:docPr id="19" name="Picture 19" descr="Figure 1.5 shows the metered injections sorted by facility for each 4 hour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2691"/>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6"/>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7"/>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B94196" w:rsidRPr="00405CDE" w:rsidTr="00A226E9">
        <w:trPr>
          <w:trHeight w:val="510"/>
        </w:trPr>
        <w:tc>
          <w:tcPr>
            <w:tcW w:w="1211" w:type="pct"/>
            <w:tcBorders>
              <w:top w:val="nil"/>
              <w:bottom w:val="nil"/>
            </w:tcBorders>
            <w:vAlign w:val="center"/>
          </w:tcPr>
          <w:p w:rsidR="00B94196" w:rsidRDefault="00B94196">
            <w:pPr>
              <w:rPr>
                <w:rFonts w:cs="Arial"/>
                <w:sz w:val="20"/>
                <w:szCs w:val="20"/>
              </w:rPr>
            </w:pPr>
            <w:r>
              <w:rPr>
                <w:rFonts w:cs="Arial"/>
                <w:sz w:val="20"/>
                <w:szCs w:val="20"/>
              </w:rPr>
              <w:t>Ex ante price ($/GJ)</w:t>
            </w:r>
          </w:p>
        </w:tc>
        <w:tc>
          <w:tcPr>
            <w:tcW w:w="580" w:type="pct"/>
            <w:tcBorders>
              <w:top w:val="nil"/>
              <w:bottom w:val="nil"/>
            </w:tcBorders>
            <w:vAlign w:val="center"/>
          </w:tcPr>
          <w:p w:rsidR="00B94196" w:rsidRDefault="00B94196">
            <w:pPr>
              <w:jc w:val="center"/>
              <w:rPr>
                <w:rFonts w:cs="Arial"/>
                <w:sz w:val="20"/>
                <w:szCs w:val="20"/>
              </w:rPr>
            </w:pPr>
            <w:r>
              <w:rPr>
                <w:rFonts w:cs="Arial"/>
                <w:sz w:val="20"/>
                <w:szCs w:val="20"/>
              </w:rPr>
              <w:t>7.10</w:t>
            </w:r>
          </w:p>
        </w:tc>
        <w:tc>
          <w:tcPr>
            <w:tcW w:w="508" w:type="pct"/>
            <w:tcBorders>
              <w:top w:val="nil"/>
              <w:bottom w:val="nil"/>
            </w:tcBorders>
            <w:vAlign w:val="center"/>
          </w:tcPr>
          <w:p w:rsidR="00B94196" w:rsidRDefault="00B94196">
            <w:pPr>
              <w:jc w:val="center"/>
              <w:rPr>
                <w:rFonts w:cs="Arial"/>
                <w:sz w:val="20"/>
                <w:szCs w:val="20"/>
              </w:rPr>
            </w:pPr>
            <w:r>
              <w:rPr>
                <w:rFonts w:cs="Arial"/>
                <w:sz w:val="20"/>
                <w:szCs w:val="20"/>
              </w:rPr>
              <w:t>9.50</w:t>
            </w:r>
          </w:p>
        </w:tc>
        <w:tc>
          <w:tcPr>
            <w:tcW w:w="589" w:type="pct"/>
            <w:tcBorders>
              <w:top w:val="nil"/>
              <w:bottom w:val="nil"/>
            </w:tcBorders>
            <w:vAlign w:val="center"/>
          </w:tcPr>
          <w:p w:rsidR="00B94196" w:rsidRDefault="00B94196">
            <w:pPr>
              <w:jc w:val="center"/>
              <w:rPr>
                <w:rFonts w:cs="Arial"/>
                <w:sz w:val="20"/>
                <w:szCs w:val="20"/>
              </w:rPr>
            </w:pPr>
            <w:r>
              <w:rPr>
                <w:rFonts w:cs="Arial"/>
                <w:sz w:val="20"/>
                <w:szCs w:val="20"/>
              </w:rPr>
              <w:t>8.51</w:t>
            </w:r>
          </w:p>
        </w:tc>
        <w:tc>
          <w:tcPr>
            <w:tcW w:w="517" w:type="pct"/>
            <w:tcBorders>
              <w:top w:val="nil"/>
              <w:bottom w:val="nil"/>
            </w:tcBorders>
            <w:vAlign w:val="center"/>
          </w:tcPr>
          <w:p w:rsidR="00B94196" w:rsidRDefault="00B94196">
            <w:pPr>
              <w:jc w:val="center"/>
              <w:rPr>
                <w:rFonts w:cs="Arial"/>
                <w:sz w:val="20"/>
                <w:szCs w:val="20"/>
              </w:rPr>
            </w:pPr>
            <w:r>
              <w:rPr>
                <w:rFonts w:cs="Arial"/>
                <w:sz w:val="20"/>
                <w:szCs w:val="20"/>
              </w:rPr>
              <w:t>9.75</w:t>
            </w:r>
          </w:p>
        </w:tc>
        <w:tc>
          <w:tcPr>
            <w:tcW w:w="510" w:type="pct"/>
            <w:tcBorders>
              <w:top w:val="nil"/>
              <w:bottom w:val="nil"/>
            </w:tcBorders>
            <w:vAlign w:val="center"/>
          </w:tcPr>
          <w:p w:rsidR="00B94196" w:rsidRDefault="00B94196">
            <w:pPr>
              <w:jc w:val="center"/>
              <w:rPr>
                <w:rFonts w:cs="Arial"/>
                <w:sz w:val="20"/>
                <w:szCs w:val="20"/>
              </w:rPr>
            </w:pPr>
            <w:r>
              <w:rPr>
                <w:rFonts w:cs="Arial"/>
                <w:sz w:val="20"/>
                <w:szCs w:val="20"/>
              </w:rPr>
              <w:t>8.51</w:t>
            </w:r>
          </w:p>
        </w:tc>
        <w:tc>
          <w:tcPr>
            <w:tcW w:w="507" w:type="pct"/>
            <w:tcBorders>
              <w:top w:val="nil"/>
              <w:bottom w:val="nil"/>
            </w:tcBorders>
            <w:vAlign w:val="center"/>
          </w:tcPr>
          <w:p w:rsidR="00B94196" w:rsidRDefault="00B94196">
            <w:pPr>
              <w:jc w:val="center"/>
              <w:rPr>
                <w:rFonts w:cs="Arial"/>
                <w:sz w:val="20"/>
                <w:szCs w:val="20"/>
              </w:rPr>
            </w:pPr>
            <w:r>
              <w:rPr>
                <w:rFonts w:cs="Arial"/>
                <w:sz w:val="20"/>
                <w:szCs w:val="20"/>
              </w:rPr>
              <w:t>8.71</w:t>
            </w:r>
          </w:p>
        </w:tc>
        <w:tc>
          <w:tcPr>
            <w:tcW w:w="578" w:type="pct"/>
            <w:tcBorders>
              <w:top w:val="nil"/>
              <w:bottom w:val="nil"/>
            </w:tcBorders>
            <w:vAlign w:val="center"/>
          </w:tcPr>
          <w:p w:rsidR="00B94196" w:rsidRDefault="00B94196">
            <w:pPr>
              <w:jc w:val="center"/>
              <w:rPr>
                <w:rFonts w:cs="Arial"/>
                <w:sz w:val="20"/>
                <w:szCs w:val="20"/>
              </w:rPr>
            </w:pPr>
            <w:r>
              <w:rPr>
                <w:rFonts w:cs="Arial"/>
                <w:sz w:val="20"/>
                <w:szCs w:val="20"/>
              </w:rPr>
              <w:t>6.66</w:t>
            </w:r>
          </w:p>
        </w:tc>
      </w:tr>
      <w:tr w:rsidR="00B94196"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B94196" w:rsidRDefault="00B94196">
            <w:pPr>
              <w:rPr>
                <w:rFonts w:cs="Arial"/>
                <w:szCs w:val="20"/>
              </w:rPr>
            </w:pPr>
            <w:r>
              <w:rPr>
                <w:rFonts w:cs="Arial"/>
                <w:szCs w:val="20"/>
              </w:rPr>
              <w:t>Ex ante quantity (TJ)</w:t>
            </w:r>
          </w:p>
        </w:tc>
        <w:tc>
          <w:tcPr>
            <w:tcW w:w="580" w:type="pct"/>
            <w:tcBorders>
              <w:top w:val="nil"/>
              <w:bottom w:val="nil"/>
            </w:tcBorders>
            <w:vAlign w:val="center"/>
          </w:tcPr>
          <w:p w:rsidR="00B94196" w:rsidRDefault="00B94196">
            <w:pPr>
              <w:jc w:val="center"/>
              <w:rPr>
                <w:rFonts w:cs="Arial"/>
                <w:szCs w:val="20"/>
              </w:rPr>
            </w:pPr>
            <w:r>
              <w:rPr>
                <w:rFonts w:cs="Arial"/>
                <w:szCs w:val="20"/>
              </w:rPr>
              <w:t>187</w:t>
            </w:r>
          </w:p>
        </w:tc>
        <w:tc>
          <w:tcPr>
            <w:tcW w:w="508" w:type="pct"/>
            <w:tcBorders>
              <w:top w:val="nil"/>
              <w:bottom w:val="nil"/>
            </w:tcBorders>
            <w:vAlign w:val="center"/>
          </w:tcPr>
          <w:p w:rsidR="00B94196" w:rsidRDefault="00B94196">
            <w:pPr>
              <w:jc w:val="center"/>
              <w:rPr>
                <w:rFonts w:cs="Arial"/>
                <w:szCs w:val="20"/>
              </w:rPr>
            </w:pPr>
            <w:r>
              <w:rPr>
                <w:rFonts w:cs="Arial"/>
                <w:szCs w:val="20"/>
              </w:rPr>
              <w:t>189</w:t>
            </w:r>
          </w:p>
        </w:tc>
        <w:tc>
          <w:tcPr>
            <w:tcW w:w="589" w:type="pct"/>
            <w:tcBorders>
              <w:top w:val="nil"/>
              <w:bottom w:val="nil"/>
            </w:tcBorders>
            <w:vAlign w:val="center"/>
          </w:tcPr>
          <w:p w:rsidR="00B94196" w:rsidRDefault="00B94196">
            <w:pPr>
              <w:jc w:val="center"/>
              <w:rPr>
                <w:rFonts w:cs="Arial"/>
                <w:szCs w:val="20"/>
              </w:rPr>
            </w:pPr>
            <w:r>
              <w:rPr>
                <w:rFonts w:cs="Arial"/>
                <w:szCs w:val="20"/>
              </w:rPr>
              <w:t>201</w:t>
            </w:r>
          </w:p>
        </w:tc>
        <w:tc>
          <w:tcPr>
            <w:tcW w:w="517" w:type="pct"/>
            <w:tcBorders>
              <w:top w:val="nil"/>
              <w:bottom w:val="nil"/>
            </w:tcBorders>
            <w:vAlign w:val="center"/>
          </w:tcPr>
          <w:p w:rsidR="00B94196" w:rsidRDefault="00B94196">
            <w:pPr>
              <w:jc w:val="center"/>
              <w:rPr>
                <w:rFonts w:cs="Arial"/>
                <w:szCs w:val="20"/>
              </w:rPr>
            </w:pPr>
            <w:r>
              <w:rPr>
                <w:rFonts w:cs="Arial"/>
                <w:szCs w:val="20"/>
              </w:rPr>
              <w:t>223</w:t>
            </w:r>
          </w:p>
        </w:tc>
        <w:tc>
          <w:tcPr>
            <w:tcW w:w="510" w:type="pct"/>
            <w:tcBorders>
              <w:top w:val="nil"/>
              <w:bottom w:val="nil"/>
            </w:tcBorders>
            <w:vAlign w:val="center"/>
          </w:tcPr>
          <w:p w:rsidR="00B94196" w:rsidRDefault="00B94196">
            <w:pPr>
              <w:jc w:val="center"/>
              <w:rPr>
                <w:rFonts w:cs="Arial"/>
                <w:szCs w:val="20"/>
              </w:rPr>
            </w:pPr>
            <w:r>
              <w:rPr>
                <w:rFonts w:cs="Arial"/>
                <w:szCs w:val="20"/>
              </w:rPr>
              <w:t>222</w:t>
            </w:r>
          </w:p>
        </w:tc>
        <w:tc>
          <w:tcPr>
            <w:tcW w:w="507" w:type="pct"/>
            <w:tcBorders>
              <w:top w:val="nil"/>
              <w:bottom w:val="nil"/>
            </w:tcBorders>
            <w:vAlign w:val="center"/>
          </w:tcPr>
          <w:p w:rsidR="00B94196" w:rsidRDefault="00B94196">
            <w:pPr>
              <w:jc w:val="center"/>
              <w:rPr>
                <w:rFonts w:cs="Arial"/>
                <w:szCs w:val="20"/>
              </w:rPr>
            </w:pPr>
            <w:r>
              <w:rPr>
                <w:rFonts w:cs="Arial"/>
                <w:szCs w:val="20"/>
              </w:rPr>
              <w:t>225</w:t>
            </w:r>
          </w:p>
        </w:tc>
        <w:tc>
          <w:tcPr>
            <w:tcW w:w="578" w:type="pct"/>
            <w:tcBorders>
              <w:top w:val="nil"/>
              <w:bottom w:val="nil"/>
            </w:tcBorders>
            <w:vAlign w:val="center"/>
          </w:tcPr>
          <w:p w:rsidR="00B94196" w:rsidRDefault="00B94196">
            <w:pPr>
              <w:jc w:val="center"/>
              <w:rPr>
                <w:rFonts w:cs="Arial"/>
                <w:szCs w:val="20"/>
              </w:rPr>
            </w:pPr>
            <w:r>
              <w:rPr>
                <w:rFonts w:cs="Arial"/>
                <w:szCs w:val="20"/>
              </w:rPr>
              <w:t>192</w:t>
            </w:r>
          </w:p>
        </w:tc>
      </w:tr>
      <w:tr w:rsidR="00B94196" w:rsidRPr="00405CDE" w:rsidTr="00A226E9">
        <w:trPr>
          <w:trHeight w:val="510"/>
        </w:trPr>
        <w:tc>
          <w:tcPr>
            <w:tcW w:w="1211" w:type="pct"/>
            <w:tcBorders>
              <w:top w:val="nil"/>
              <w:bottom w:val="nil"/>
            </w:tcBorders>
            <w:vAlign w:val="center"/>
          </w:tcPr>
          <w:p w:rsidR="00B94196" w:rsidRDefault="00B94196">
            <w:pPr>
              <w:rPr>
                <w:rFonts w:cs="Arial"/>
                <w:sz w:val="20"/>
                <w:szCs w:val="20"/>
              </w:rPr>
            </w:pPr>
            <w:r>
              <w:rPr>
                <w:rFonts w:cs="Arial"/>
                <w:sz w:val="20"/>
                <w:szCs w:val="20"/>
              </w:rPr>
              <w:t>Ex post price ($/GJ)</w:t>
            </w:r>
          </w:p>
        </w:tc>
        <w:tc>
          <w:tcPr>
            <w:tcW w:w="580" w:type="pct"/>
            <w:tcBorders>
              <w:top w:val="nil"/>
              <w:bottom w:val="nil"/>
            </w:tcBorders>
            <w:vAlign w:val="center"/>
          </w:tcPr>
          <w:p w:rsidR="00B94196" w:rsidRDefault="00B94196">
            <w:pPr>
              <w:jc w:val="center"/>
              <w:rPr>
                <w:rFonts w:cs="Arial"/>
                <w:sz w:val="20"/>
                <w:szCs w:val="20"/>
              </w:rPr>
            </w:pPr>
            <w:r>
              <w:rPr>
                <w:rFonts w:cs="Arial"/>
                <w:sz w:val="20"/>
                <w:szCs w:val="20"/>
              </w:rPr>
              <w:t>6.61</w:t>
            </w:r>
          </w:p>
        </w:tc>
        <w:tc>
          <w:tcPr>
            <w:tcW w:w="508" w:type="pct"/>
            <w:tcBorders>
              <w:top w:val="nil"/>
              <w:bottom w:val="nil"/>
            </w:tcBorders>
            <w:vAlign w:val="center"/>
          </w:tcPr>
          <w:p w:rsidR="00B94196" w:rsidRDefault="00B94196">
            <w:pPr>
              <w:jc w:val="center"/>
              <w:rPr>
                <w:rFonts w:cs="Arial"/>
                <w:sz w:val="20"/>
                <w:szCs w:val="20"/>
              </w:rPr>
            </w:pPr>
            <w:r>
              <w:rPr>
                <w:rFonts w:cs="Arial"/>
                <w:sz w:val="20"/>
                <w:szCs w:val="20"/>
              </w:rPr>
              <w:t>7.79</w:t>
            </w:r>
          </w:p>
        </w:tc>
        <w:tc>
          <w:tcPr>
            <w:tcW w:w="589" w:type="pct"/>
            <w:tcBorders>
              <w:top w:val="nil"/>
              <w:bottom w:val="nil"/>
            </w:tcBorders>
            <w:vAlign w:val="center"/>
          </w:tcPr>
          <w:p w:rsidR="00B94196" w:rsidRDefault="00B94196">
            <w:pPr>
              <w:jc w:val="center"/>
              <w:rPr>
                <w:rFonts w:cs="Arial"/>
                <w:sz w:val="20"/>
                <w:szCs w:val="20"/>
              </w:rPr>
            </w:pPr>
            <w:r>
              <w:rPr>
                <w:rFonts w:cs="Arial"/>
                <w:sz w:val="20"/>
                <w:szCs w:val="20"/>
              </w:rPr>
              <w:t>6.61</w:t>
            </w:r>
          </w:p>
        </w:tc>
        <w:tc>
          <w:tcPr>
            <w:tcW w:w="517" w:type="pct"/>
            <w:tcBorders>
              <w:top w:val="nil"/>
              <w:bottom w:val="nil"/>
            </w:tcBorders>
            <w:vAlign w:val="center"/>
          </w:tcPr>
          <w:p w:rsidR="00B94196" w:rsidRDefault="00B94196">
            <w:pPr>
              <w:jc w:val="center"/>
              <w:rPr>
                <w:rFonts w:cs="Arial"/>
                <w:sz w:val="20"/>
                <w:szCs w:val="20"/>
              </w:rPr>
            </w:pPr>
            <w:r>
              <w:rPr>
                <w:rFonts w:cs="Arial"/>
                <w:sz w:val="20"/>
                <w:szCs w:val="20"/>
              </w:rPr>
              <w:t>7.39</w:t>
            </w:r>
          </w:p>
        </w:tc>
        <w:tc>
          <w:tcPr>
            <w:tcW w:w="510" w:type="pct"/>
            <w:tcBorders>
              <w:top w:val="nil"/>
              <w:bottom w:val="nil"/>
            </w:tcBorders>
            <w:vAlign w:val="center"/>
          </w:tcPr>
          <w:p w:rsidR="00B94196" w:rsidRDefault="00B94196">
            <w:pPr>
              <w:jc w:val="center"/>
              <w:rPr>
                <w:rFonts w:cs="Arial"/>
                <w:sz w:val="20"/>
                <w:szCs w:val="20"/>
              </w:rPr>
            </w:pPr>
            <w:r>
              <w:rPr>
                <w:rFonts w:cs="Arial"/>
                <w:sz w:val="20"/>
                <w:szCs w:val="20"/>
              </w:rPr>
              <w:t>7.50</w:t>
            </w:r>
          </w:p>
        </w:tc>
        <w:tc>
          <w:tcPr>
            <w:tcW w:w="507" w:type="pct"/>
            <w:tcBorders>
              <w:top w:val="nil"/>
              <w:bottom w:val="nil"/>
            </w:tcBorders>
            <w:vAlign w:val="center"/>
          </w:tcPr>
          <w:p w:rsidR="00B94196" w:rsidRDefault="00B94196">
            <w:pPr>
              <w:jc w:val="center"/>
              <w:rPr>
                <w:rFonts w:cs="Arial"/>
                <w:sz w:val="20"/>
                <w:szCs w:val="20"/>
              </w:rPr>
            </w:pPr>
            <w:r>
              <w:rPr>
                <w:rFonts w:cs="Arial"/>
                <w:sz w:val="20"/>
                <w:szCs w:val="20"/>
              </w:rPr>
              <w:t>7.31</w:t>
            </w:r>
          </w:p>
        </w:tc>
        <w:tc>
          <w:tcPr>
            <w:tcW w:w="578" w:type="pct"/>
            <w:tcBorders>
              <w:top w:val="nil"/>
              <w:bottom w:val="nil"/>
            </w:tcBorders>
            <w:vAlign w:val="center"/>
          </w:tcPr>
          <w:p w:rsidR="00B94196" w:rsidRDefault="00B94196">
            <w:pPr>
              <w:jc w:val="center"/>
              <w:rPr>
                <w:rFonts w:cs="Arial"/>
                <w:sz w:val="20"/>
                <w:szCs w:val="20"/>
              </w:rPr>
            </w:pPr>
            <w:r>
              <w:rPr>
                <w:rFonts w:cs="Arial"/>
                <w:sz w:val="20"/>
                <w:szCs w:val="20"/>
              </w:rPr>
              <w:t>6.66</w:t>
            </w:r>
          </w:p>
        </w:tc>
      </w:tr>
      <w:tr w:rsidR="00B94196"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B94196" w:rsidRDefault="00B94196">
            <w:pPr>
              <w:rPr>
                <w:rFonts w:cs="Arial"/>
                <w:szCs w:val="20"/>
              </w:rPr>
            </w:pPr>
            <w:r>
              <w:rPr>
                <w:rFonts w:cs="Arial"/>
                <w:szCs w:val="20"/>
              </w:rPr>
              <w:t>Ex post quantity (TJ)</w:t>
            </w:r>
          </w:p>
        </w:tc>
        <w:tc>
          <w:tcPr>
            <w:tcW w:w="580" w:type="pct"/>
            <w:tcBorders>
              <w:top w:val="nil"/>
              <w:bottom w:val="single" w:sz="4" w:space="0" w:color="auto"/>
            </w:tcBorders>
            <w:vAlign w:val="center"/>
          </w:tcPr>
          <w:p w:rsidR="00B94196" w:rsidRDefault="00B94196">
            <w:pPr>
              <w:jc w:val="center"/>
              <w:rPr>
                <w:rFonts w:cs="Arial"/>
                <w:szCs w:val="20"/>
              </w:rPr>
            </w:pPr>
            <w:r>
              <w:rPr>
                <w:rFonts w:cs="Arial"/>
                <w:szCs w:val="20"/>
              </w:rPr>
              <w:t>175</w:t>
            </w:r>
          </w:p>
        </w:tc>
        <w:tc>
          <w:tcPr>
            <w:tcW w:w="508" w:type="pct"/>
            <w:tcBorders>
              <w:top w:val="nil"/>
              <w:bottom w:val="single" w:sz="4" w:space="0" w:color="auto"/>
            </w:tcBorders>
            <w:vAlign w:val="center"/>
          </w:tcPr>
          <w:p w:rsidR="00B94196" w:rsidRDefault="00B94196">
            <w:pPr>
              <w:jc w:val="center"/>
              <w:rPr>
                <w:rFonts w:cs="Arial"/>
                <w:szCs w:val="20"/>
              </w:rPr>
            </w:pPr>
            <w:r>
              <w:rPr>
                <w:rFonts w:cs="Arial"/>
                <w:szCs w:val="20"/>
              </w:rPr>
              <w:t>184</w:t>
            </w:r>
          </w:p>
        </w:tc>
        <w:tc>
          <w:tcPr>
            <w:tcW w:w="589" w:type="pct"/>
            <w:tcBorders>
              <w:top w:val="nil"/>
              <w:bottom w:val="single" w:sz="4" w:space="0" w:color="auto"/>
            </w:tcBorders>
            <w:vAlign w:val="center"/>
          </w:tcPr>
          <w:p w:rsidR="00B94196" w:rsidRDefault="00B94196">
            <w:pPr>
              <w:jc w:val="center"/>
              <w:rPr>
                <w:rFonts w:cs="Arial"/>
                <w:szCs w:val="20"/>
              </w:rPr>
            </w:pPr>
            <w:r>
              <w:rPr>
                <w:rFonts w:cs="Arial"/>
                <w:szCs w:val="20"/>
              </w:rPr>
              <w:t>183</w:t>
            </w:r>
          </w:p>
        </w:tc>
        <w:tc>
          <w:tcPr>
            <w:tcW w:w="517" w:type="pct"/>
            <w:tcBorders>
              <w:top w:val="nil"/>
              <w:bottom w:val="single" w:sz="4" w:space="0" w:color="auto"/>
            </w:tcBorders>
            <w:vAlign w:val="center"/>
          </w:tcPr>
          <w:p w:rsidR="00B94196" w:rsidRDefault="00B94196">
            <w:pPr>
              <w:jc w:val="center"/>
              <w:rPr>
                <w:rFonts w:cs="Arial"/>
                <w:szCs w:val="20"/>
              </w:rPr>
            </w:pPr>
            <w:r>
              <w:rPr>
                <w:rFonts w:cs="Arial"/>
                <w:szCs w:val="20"/>
              </w:rPr>
              <w:t>197</w:t>
            </w:r>
          </w:p>
        </w:tc>
        <w:tc>
          <w:tcPr>
            <w:tcW w:w="510" w:type="pct"/>
            <w:tcBorders>
              <w:top w:val="nil"/>
              <w:bottom w:val="single" w:sz="4" w:space="0" w:color="auto"/>
            </w:tcBorders>
            <w:vAlign w:val="center"/>
          </w:tcPr>
          <w:p w:rsidR="00B94196" w:rsidRDefault="00B94196">
            <w:pPr>
              <w:jc w:val="center"/>
              <w:rPr>
                <w:rFonts w:cs="Arial"/>
                <w:szCs w:val="20"/>
              </w:rPr>
            </w:pPr>
            <w:r>
              <w:rPr>
                <w:rFonts w:cs="Arial"/>
                <w:szCs w:val="20"/>
              </w:rPr>
              <w:t>212</w:t>
            </w:r>
          </w:p>
        </w:tc>
        <w:tc>
          <w:tcPr>
            <w:tcW w:w="507" w:type="pct"/>
            <w:tcBorders>
              <w:top w:val="nil"/>
              <w:bottom w:val="single" w:sz="4" w:space="0" w:color="auto"/>
            </w:tcBorders>
            <w:vAlign w:val="center"/>
          </w:tcPr>
          <w:p w:rsidR="00B94196" w:rsidRDefault="00B94196">
            <w:pPr>
              <w:jc w:val="center"/>
              <w:rPr>
                <w:rFonts w:cs="Arial"/>
                <w:szCs w:val="20"/>
              </w:rPr>
            </w:pPr>
            <w:r>
              <w:rPr>
                <w:rFonts w:cs="Arial"/>
                <w:szCs w:val="20"/>
              </w:rPr>
              <w:t>217</w:t>
            </w:r>
          </w:p>
        </w:tc>
        <w:tc>
          <w:tcPr>
            <w:tcW w:w="578" w:type="pct"/>
            <w:tcBorders>
              <w:top w:val="nil"/>
              <w:bottom w:val="single" w:sz="4" w:space="0" w:color="auto"/>
            </w:tcBorders>
            <w:vAlign w:val="center"/>
          </w:tcPr>
          <w:p w:rsidR="00B94196" w:rsidRDefault="00B94196">
            <w:pPr>
              <w:jc w:val="center"/>
              <w:rPr>
                <w:rFonts w:cs="Arial"/>
                <w:szCs w:val="20"/>
              </w:rPr>
            </w:pPr>
            <w:r>
              <w:rPr>
                <w:rFonts w:cs="Arial"/>
                <w:szCs w:val="20"/>
              </w:rPr>
              <w:t>190</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B94196" w:rsidP="00EC2CB1">
      <w:r w:rsidRPr="00B94196">
        <w:rPr>
          <w:noProof/>
          <w:lang w:eastAsia="en-AU"/>
        </w:rPr>
        <w:drawing>
          <wp:inline distT="0" distB="0" distL="0" distR="0" wp14:anchorId="232381FD" wp14:editId="243E7B96">
            <wp:extent cx="5731510" cy="2046203"/>
            <wp:effectExtent l="0" t="0" r="0" b="0"/>
            <wp:docPr id="21" name="Picture 21" descr="Figure 2.2 shows the daily hub offers and bid in within certain price bands in Sydney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B94196" w:rsidP="00EC2CB1">
      <w:r w:rsidRPr="00B94196">
        <w:rPr>
          <w:noProof/>
          <w:lang w:eastAsia="en-AU"/>
        </w:rPr>
        <w:drawing>
          <wp:inline distT="0" distB="0" distL="0" distR="0" wp14:anchorId="0D523337" wp14:editId="2583814D">
            <wp:extent cx="5731510" cy="2555336"/>
            <wp:effectExtent l="0" t="0" r="2540" b="0"/>
            <wp:docPr id="22" name="Picture 22" descr="Figure 2.3 shows the daily scheduled and allocated quantities sorted by facility for Sydney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8"/>
      </w:r>
    </w:p>
    <w:p w:rsidR="00EC2CB1" w:rsidRDefault="00B94196" w:rsidP="00EC2CB1">
      <w:r w:rsidRPr="00B94196">
        <w:rPr>
          <w:noProof/>
          <w:lang w:eastAsia="en-AU"/>
        </w:rPr>
        <w:drawing>
          <wp:inline distT="0" distB="0" distL="0" distR="0" wp14:anchorId="1CDC247B" wp14:editId="44703975">
            <wp:extent cx="5731510" cy="2175613"/>
            <wp:effectExtent l="0" t="0" r="2540" b="0"/>
            <wp:docPr id="23" name="Picture 23" descr="Figure 2.4 shows the daily MOS allocations sorted by facility for each facility in Sydney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B94196" w:rsidRPr="00405CDE" w:rsidTr="00A226E9">
        <w:trPr>
          <w:trHeight w:val="389"/>
        </w:trPr>
        <w:tc>
          <w:tcPr>
            <w:tcW w:w="1152" w:type="pct"/>
            <w:tcBorders>
              <w:top w:val="nil"/>
              <w:bottom w:val="nil"/>
            </w:tcBorders>
            <w:vAlign w:val="center"/>
          </w:tcPr>
          <w:p w:rsidR="00B94196" w:rsidRDefault="00B94196">
            <w:pPr>
              <w:rPr>
                <w:rFonts w:cs="Arial"/>
                <w:sz w:val="20"/>
                <w:szCs w:val="20"/>
              </w:rPr>
            </w:pPr>
            <w:r>
              <w:rPr>
                <w:rFonts w:cs="Arial"/>
                <w:sz w:val="20"/>
                <w:szCs w:val="20"/>
              </w:rPr>
              <w:t>Ex ante price ($/GJ)</w:t>
            </w:r>
          </w:p>
        </w:tc>
        <w:tc>
          <w:tcPr>
            <w:tcW w:w="589" w:type="pct"/>
            <w:tcBorders>
              <w:top w:val="nil"/>
              <w:bottom w:val="nil"/>
            </w:tcBorders>
            <w:vAlign w:val="center"/>
          </w:tcPr>
          <w:p w:rsidR="00B94196" w:rsidRDefault="00B94196">
            <w:pPr>
              <w:jc w:val="center"/>
              <w:rPr>
                <w:rFonts w:cs="Arial"/>
                <w:sz w:val="20"/>
                <w:szCs w:val="20"/>
              </w:rPr>
            </w:pPr>
            <w:r>
              <w:rPr>
                <w:rFonts w:cs="Arial"/>
                <w:sz w:val="20"/>
                <w:szCs w:val="20"/>
              </w:rPr>
              <w:t>9.51</w:t>
            </w:r>
          </w:p>
        </w:tc>
        <w:tc>
          <w:tcPr>
            <w:tcW w:w="516" w:type="pct"/>
            <w:tcBorders>
              <w:top w:val="nil"/>
              <w:bottom w:val="nil"/>
            </w:tcBorders>
            <w:vAlign w:val="center"/>
          </w:tcPr>
          <w:p w:rsidR="00B94196" w:rsidRDefault="00B94196">
            <w:pPr>
              <w:jc w:val="center"/>
              <w:rPr>
                <w:rFonts w:cs="Arial"/>
                <w:sz w:val="20"/>
                <w:szCs w:val="20"/>
              </w:rPr>
            </w:pPr>
            <w:r>
              <w:rPr>
                <w:rFonts w:cs="Arial"/>
                <w:sz w:val="20"/>
                <w:szCs w:val="20"/>
              </w:rPr>
              <w:t>9.51</w:t>
            </w:r>
          </w:p>
        </w:tc>
        <w:tc>
          <w:tcPr>
            <w:tcW w:w="598" w:type="pct"/>
            <w:tcBorders>
              <w:top w:val="nil"/>
              <w:bottom w:val="nil"/>
            </w:tcBorders>
            <w:vAlign w:val="center"/>
          </w:tcPr>
          <w:p w:rsidR="00B94196" w:rsidRDefault="00B94196">
            <w:pPr>
              <w:jc w:val="center"/>
              <w:rPr>
                <w:rFonts w:cs="Arial"/>
                <w:sz w:val="20"/>
                <w:szCs w:val="20"/>
              </w:rPr>
            </w:pPr>
            <w:r>
              <w:rPr>
                <w:rFonts w:cs="Arial"/>
                <w:sz w:val="20"/>
                <w:szCs w:val="20"/>
              </w:rPr>
              <w:t>9.43</w:t>
            </w:r>
          </w:p>
        </w:tc>
        <w:tc>
          <w:tcPr>
            <w:tcW w:w="525" w:type="pct"/>
            <w:tcBorders>
              <w:top w:val="nil"/>
              <w:bottom w:val="nil"/>
            </w:tcBorders>
            <w:vAlign w:val="center"/>
          </w:tcPr>
          <w:p w:rsidR="00B94196" w:rsidRDefault="00B94196">
            <w:pPr>
              <w:jc w:val="center"/>
              <w:rPr>
                <w:rFonts w:cs="Arial"/>
                <w:sz w:val="20"/>
                <w:szCs w:val="20"/>
              </w:rPr>
            </w:pPr>
            <w:r>
              <w:rPr>
                <w:rFonts w:cs="Arial"/>
                <w:sz w:val="20"/>
                <w:szCs w:val="20"/>
              </w:rPr>
              <w:t>9.50</w:t>
            </w:r>
          </w:p>
        </w:tc>
        <w:tc>
          <w:tcPr>
            <w:tcW w:w="518" w:type="pct"/>
            <w:tcBorders>
              <w:top w:val="nil"/>
              <w:bottom w:val="nil"/>
            </w:tcBorders>
            <w:vAlign w:val="center"/>
          </w:tcPr>
          <w:p w:rsidR="00B94196" w:rsidRDefault="00B94196">
            <w:pPr>
              <w:jc w:val="center"/>
              <w:rPr>
                <w:rFonts w:cs="Arial"/>
                <w:sz w:val="20"/>
                <w:szCs w:val="20"/>
              </w:rPr>
            </w:pPr>
            <w:r>
              <w:rPr>
                <w:rFonts w:cs="Arial"/>
                <w:sz w:val="20"/>
                <w:szCs w:val="20"/>
              </w:rPr>
              <w:t>9.50</w:t>
            </w:r>
          </w:p>
        </w:tc>
        <w:tc>
          <w:tcPr>
            <w:tcW w:w="515" w:type="pct"/>
            <w:tcBorders>
              <w:top w:val="nil"/>
              <w:bottom w:val="nil"/>
            </w:tcBorders>
            <w:vAlign w:val="center"/>
          </w:tcPr>
          <w:p w:rsidR="00B94196" w:rsidRDefault="00B94196">
            <w:pPr>
              <w:jc w:val="center"/>
              <w:rPr>
                <w:rFonts w:cs="Arial"/>
                <w:sz w:val="20"/>
                <w:szCs w:val="20"/>
              </w:rPr>
            </w:pPr>
            <w:r>
              <w:rPr>
                <w:rFonts w:cs="Arial"/>
                <w:sz w:val="20"/>
                <w:szCs w:val="20"/>
              </w:rPr>
              <w:t>8.78</w:t>
            </w:r>
          </w:p>
        </w:tc>
        <w:tc>
          <w:tcPr>
            <w:tcW w:w="587" w:type="pct"/>
            <w:tcBorders>
              <w:top w:val="nil"/>
              <w:bottom w:val="nil"/>
            </w:tcBorders>
            <w:vAlign w:val="center"/>
          </w:tcPr>
          <w:p w:rsidR="00B94196" w:rsidRDefault="00B94196">
            <w:pPr>
              <w:jc w:val="center"/>
              <w:rPr>
                <w:rFonts w:cs="Arial"/>
                <w:sz w:val="20"/>
                <w:szCs w:val="20"/>
              </w:rPr>
            </w:pPr>
            <w:r>
              <w:rPr>
                <w:rFonts w:cs="Arial"/>
                <w:sz w:val="20"/>
                <w:szCs w:val="20"/>
              </w:rPr>
              <w:t>9.60</w:t>
            </w:r>
          </w:p>
        </w:tc>
      </w:tr>
      <w:tr w:rsidR="00B94196"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B94196" w:rsidRDefault="00B94196">
            <w:pPr>
              <w:rPr>
                <w:rFonts w:cs="Arial"/>
                <w:szCs w:val="20"/>
              </w:rPr>
            </w:pPr>
            <w:r>
              <w:rPr>
                <w:rFonts w:cs="Arial"/>
                <w:szCs w:val="20"/>
              </w:rPr>
              <w:t>Ex ante quantity (TJ)</w:t>
            </w:r>
          </w:p>
        </w:tc>
        <w:tc>
          <w:tcPr>
            <w:tcW w:w="589" w:type="pct"/>
            <w:tcBorders>
              <w:top w:val="nil"/>
              <w:bottom w:val="nil"/>
            </w:tcBorders>
            <w:vAlign w:val="center"/>
          </w:tcPr>
          <w:p w:rsidR="00B94196" w:rsidRDefault="00B94196">
            <w:pPr>
              <w:jc w:val="center"/>
              <w:rPr>
                <w:rFonts w:cs="Arial"/>
                <w:szCs w:val="20"/>
              </w:rPr>
            </w:pPr>
            <w:r>
              <w:rPr>
                <w:rFonts w:cs="Arial"/>
                <w:szCs w:val="20"/>
              </w:rPr>
              <w:t>35</w:t>
            </w:r>
          </w:p>
        </w:tc>
        <w:tc>
          <w:tcPr>
            <w:tcW w:w="516" w:type="pct"/>
            <w:tcBorders>
              <w:top w:val="nil"/>
              <w:bottom w:val="nil"/>
            </w:tcBorders>
            <w:vAlign w:val="center"/>
          </w:tcPr>
          <w:p w:rsidR="00B94196" w:rsidRDefault="00B94196">
            <w:pPr>
              <w:jc w:val="center"/>
              <w:rPr>
                <w:rFonts w:cs="Arial"/>
                <w:szCs w:val="20"/>
              </w:rPr>
            </w:pPr>
            <w:r>
              <w:rPr>
                <w:rFonts w:cs="Arial"/>
                <w:szCs w:val="20"/>
              </w:rPr>
              <w:t>49</w:t>
            </w:r>
          </w:p>
        </w:tc>
        <w:tc>
          <w:tcPr>
            <w:tcW w:w="598" w:type="pct"/>
            <w:tcBorders>
              <w:top w:val="nil"/>
              <w:bottom w:val="nil"/>
            </w:tcBorders>
            <w:vAlign w:val="center"/>
          </w:tcPr>
          <w:p w:rsidR="00B94196" w:rsidRDefault="00B94196">
            <w:pPr>
              <w:jc w:val="center"/>
              <w:rPr>
                <w:rFonts w:cs="Arial"/>
                <w:szCs w:val="20"/>
              </w:rPr>
            </w:pPr>
            <w:r>
              <w:rPr>
                <w:rFonts w:cs="Arial"/>
                <w:szCs w:val="20"/>
              </w:rPr>
              <w:t>46</w:t>
            </w:r>
          </w:p>
        </w:tc>
        <w:tc>
          <w:tcPr>
            <w:tcW w:w="525" w:type="pct"/>
            <w:tcBorders>
              <w:top w:val="nil"/>
              <w:bottom w:val="nil"/>
            </w:tcBorders>
            <w:vAlign w:val="center"/>
          </w:tcPr>
          <w:p w:rsidR="00B94196" w:rsidRDefault="00B94196">
            <w:pPr>
              <w:jc w:val="center"/>
              <w:rPr>
                <w:rFonts w:cs="Arial"/>
                <w:szCs w:val="20"/>
              </w:rPr>
            </w:pPr>
            <w:r>
              <w:rPr>
                <w:rFonts w:cs="Arial"/>
                <w:szCs w:val="20"/>
              </w:rPr>
              <w:t>47</w:t>
            </w:r>
          </w:p>
        </w:tc>
        <w:tc>
          <w:tcPr>
            <w:tcW w:w="518" w:type="pct"/>
            <w:tcBorders>
              <w:top w:val="nil"/>
              <w:bottom w:val="nil"/>
            </w:tcBorders>
            <w:vAlign w:val="center"/>
          </w:tcPr>
          <w:p w:rsidR="00B94196" w:rsidRDefault="00B94196">
            <w:pPr>
              <w:jc w:val="center"/>
              <w:rPr>
                <w:rFonts w:cs="Arial"/>
                <w:szCs w:val="20"/>
              </w:rPr>
            </w:pPr>
            <w:r>
              <w:rPr>
                <w:rFonts w:cs="Arial"/>
                <w:szCs w:val="20"/>
              </w:rPr>
              <w:t>45</w:t>
            </w:r>
          </w:p>
        </w:tc>
        <w:tc>
          <w:tcPr>
            <w:tcW w:w="515" w:type="pct"/>
            <w:tcBorders>
              <w:top w:val="nil"/>
              <w:bottom w:val="nil"/>
            </w:tcBorders>
            <w:vAlign w:val="center"/>
          </w:tcPr>
          <w:p w:rsidR="00B94196" w:rsidRDefault="00B94196">
            <w:pPr>
              <w:jc w:val="center"/>
              <w:rPr>
                <w:rFonts w:cs="Arial"/>
                <w:szCs w:val="20"/>
              </w:rPr>
            </w:pPr>
            <w:r>
              <w:rPr>
                <w:rFonts w:cs="Arial"/>
                <w:szCs w:val="20"/>
              </w:rPr>
              <w:t>45</w:t>
            </w:r>
          </w:p>
        </w:tc>
        <w:tc>
          <w:tcPr>
            <w:tcW w:w="587" w:type="pct"/>
            <w:tcBorders>
              <w:top w:val="nil"/>
              <w:bottom w:val="nil"/>
            </w:tcBorders>
            <w:vAlign w:val="center"/>
          </w:tcPr>
          <w:p w:rsidR="00B94196" w:rsidRDefault="00B94196">
            <w:pPr>
              <w:jc w:val="center"/>
              <w:rPr>
                <w:rFonts w:cs="Arial"/>
                <w:szCs w:val="20"/>
              </w:rPr>
            </w:pPr>
            <w:r>
              <w:rPr>
                <w:rFonts w:cs="Arial"/>
                <w:szCs w:val="20"/>
              </w:rPr>
              <w:t>36</w:t>
            </w:r>
          </w:p>
        </w:tc>
      </w:tr>
      <w:tr w:rsidR="00B94196" w:rsidRPr="00405CDE" w:rsidTr="00A226E9">
        <w:trPr>
          <w:trHeight w:val="87"/>
        </w:trPr>
        <w:tc>
          <w:tcPr>
            <w:tcW w:w="1152" w:type="pct"/>
            <w:tcBorders>
              <w:top w:val="nil"/>
              <w:bottom w:val="nil"/>
            </w:tcBorders>
            <w:vAlign w:val="center"/>
          </w:tcPr>
          <w:p w:rsidR="00B94196" w:rsidRDefault="00B94196">
            <w:pPr>
              <w:rPr>
                <w:rFonts w:cs="Arial"/>
                <w:sz w:val="20"/>
                <w:szCs w:val="20"/>
              </w:rPr>
            </w:pPr>
            <w:r>
              <w:rPr>
                <w:rFonts w:cs="Arial"/>
                <w:sz w:val="20"/>
                <w:szCs w:val="20"/>
              </w:rPr>
              <w:t>Ex post price ($/GJ)</w:t>
            </w:r>
          </w:p>
        </w:tc>
        <w:tc>
          <w:tcPr>
            <w:tcW w:w="589" w:type="pct"/>
            <w:tcBorders>
              <w:top w:val="nil"/>
              <w:bottom w:val="nil"/>
            </w:tcBorders>
            <w:vAlign w:val="center"/>
          </w:tcPr>
          <w:p w:rsidR="00B94196" w:rsidRDefault="00B94196">
            <w:pPr>
              <w:jc w:val="center"/>
              <w:rPr>
                <w:rFonts w:cs="Arial"/>
                <w:sz w:val="20"/>
                <w:szCs w:val="20"/>
              </w:rPr>
            </w:pPr>
            <w:r>
              <w:rPr>
                <w:rFonts w:cs="Arial"/>
                <w:sz w:val="20"/>
                <w:szCs w:val="20"/>
              </w:rPr>
              <w:t>9.69</w:t>
            </w:r>
          </w:p>
        </w:tc>
        <w:tc>
          <w:tcPr>
            <w:tcW w:w="516" w:type="pct"/>
            <w:tcBorders>
              <w:top w:val="nil"/>
              <w:bottom w:val="nil"/>
            </w:tcBorders>
            <w:vAlign w:val="center"/>
          </w:tcPr>
          <w:p w:rsidR="00B94196" w:rsidRDefault="00B94196">
            <w:pPr>
              <w:jc w:val="center"/>
              <w:rPr>
                <w:rFonts w:cs="Arial"/>
                <w:sz w:val="20"/>
                <w:szCs w:val="20"/>
              </w:rPr>
            </w:pPr>
            <w:r>
              <w:rPr>
                <w:rFonts w:cs="Arial"/>
                <w:sz w:val="20"/>
                <w:szCs w:val="20"/>
              </w:rPr>
              <w:t>9.51</w:t>
            </w:r>
          </w:p>
        </w:tc>
        <w:tc>
          <w:tcPr>
            <w:tcW w:w="598" w:type="pct"/>
            <w:tcBorders>
              <w:top w:val="nil"/>
              <w:bottom w:val="nil"/>
            </w:tcBorders>
            <w:vAlign w:val="center"/>
          </w:tcPr>
          <w:p w:rsidR="00B94196" w:rsidRDefault="00B94196">
            <w:pPr>
              <w:jc w:val="center"/>
              <w:rPr>
                <w:rFonts w:cs="Arial"/>
                <w:sz w:val="20"/>
                <w:szCs w:val="20"/>
              </w:rPr>
            </w:pPr>
            <w:r>
              <w:rPr>
                <w:rFonts w:cs="Arial"/>
                <w:sz w:val="20"/>
                <w:szCs w:val="20"/>
              </w:rPr>
              <w:t>9.49</w:t>
            </w:r>
          </w:p>
        </w:tc>
        <w:tc>
          <w:tcPr>
            <w:tcW w:w="525" w:type="pct"/>
            <w:tcBorders>
              <w:top w:val="nil"/>
              <w:bottom w:val="nil"/>
            </w:tcBorders>
            <w:vAlign w:val="center"/>
          </w:tcPr>
          <w:p w:rsidR="00B94196" w:rsidRDefault="00B94196">
            <w:pPr>
              <w:jc w:val="center"/>
              <w:rPr>
                <w:rFonts w:cs="Arial"/>
                <w:sz w:val="20"/>
                <w:szCs w:val="20"/>
              </w:rPr>
            </w:pPr>
            <w:r>
              <w:rPr>
                <w:rFonts w:cs="Arial"/>
                <w:sz w:val="20"/>
                <w:szCs w:val="20"/>
              </w:rPr>
              <w:t>9.50</w:t>
            </w:r>
          </w:p>
        </w:tc>
        <w:tc>
          <w:tcPr>
            <w:tcW w:w="518" w:type="pct"/>
            <w:tcBorders>
              <w:top w:val="nil"/>
              <w:bottom w:val="nil"/>
            </w:tcBorders>
            <w:vAlign w:val="center"/>
          </w:tcPr>
          <w:p w:rsidR="00B94196" w:rsidRDefault="00B94196">
            <w:pPr>
              <w:jc w:val="center"/>
              <w:rPr>
                <w:rFonts w:cs="Arial"/>
                <w:sz w:val="20"/>
                <w:szCs w:val="20"/>
              </w:rPr>
            </w:pPr>
            <w:r>
              <w:rPr>
                <w:rFonts w:cs="Arial"/>
                <w:sz w:val="20"/>
                <w:szCs w:val="20"/>
              </w:rPr>
              <w:t>9.50</w:t>
            </w:r>
          </w:p>
        </w:tc>
        <w:tc>
          <w:tcPr>
            <w:tcW w:w="515" w:type="pct"/>
            <w:tcBorders>
              <w:top w:val="nil"/>
              <w:bottom w:val="nil"/>
            </w:tcBorders>
            <w:vAlign w:val="center"/>
          </w:tcPr>
          <w:p w:rsidR="00B94196" w:rsidRDefault="00B94196">
            <w:pPr>
              <w:jc w:val="center"/>
              <w:rPr>
                <w:rFonts w:cs="Arial"/>
                <w:sz w:val="20"/>
                <w:szCs w:val="20"/>
              </w:rPr>
            </w:pPr>
            <w:r>
              <w:rPr>
                <w:rFonts w:cs="Arial"/>
                <w:sz w:val="20"/>
                <w:szCs w:val="20"/>
              </w:rPr>
              <w:t>8.78</w:t>
            </w:r>
          </w:p>
        </w:tc>
        <w:tc>
          <w:tcPr>
            <w:tcW w:w="587" w:type="pct"/>
            <w:tcBorders>
              <w:top w:val="nil"/>
              <w:bottom w:val="nil"/>
            </w:tcBorders>
            <w:vAlign w:val="center"/>
          </w:tcPr>
          <w:p w:rsidR="00B94196" w:rsidRDefault="00B94196">
            <w:pPr>
              <w:jc w:val="center"/>
              <w:rPr>
                <w:rFonts w:cs="Arial"/>
                <w:sz w:val="20"/>
                <w:szCs w:val="20"/>
              </w:rPr>
            </w:pPr>
            <w:r>
              <w:rPr>
                <w:rFonts w:cs="Arial"/>
                <w:sz w:val="20"/>
                <w:szCs w:val="20"/>
              </w:rPr>
              <w:t>9.60</w:t>
            </w:r>
          </w:p>
        </w:tc>
      </w:tr>
      <w:tr w:rsidR="00B94196"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B94196" w:rsidRDefault="00B94196">
            <w:pPr>
              <w:rPr>
                <w:rFonts w:cs="Arial"/>
                <w:szCs w:val="20"/>
              </w:rPr>
            </w:pPr>
            <w:r>
              <w:rPr>
                <w:rFonts w:cs="Arial"/>
                <w:szCs w:val="20"/>
              </w:rPr>
              <w:t>Ex post quantity (TJ)</w:t>
            </w:r>
          </w:p>
        </w:tc>
        <w:tc>
          <w:tcPr>
            <w:tcW w:w="589" w:type="pct"/>
            <w:tcBorders>
              <w:top w:val="nil"/>
              <w:bottom w:val="single" w:sz="4" w:space="0" w:color="auto"/>
            </w:tcBorders>
            <w:vAlign w:val="center"/>
          </w:tcPr>
          <w:p w:rsidR="00B94196" w:rsidRDefault="00B94196">
            <w:pPr>
              <w:jc w:val="center"/>
              <w:rPr>
                <w:rFonts w:cs="Arial"/>
                <w:szCs w:val="20"/>
              </w:rPr>
            </w:pPr>
            <w:r>
              <w:rPr>
                <w:rFonts w:cs="Arial"/>
                <w:szCs w:val="20"/>
              </w:rPr>
              <w:t>39</w:t>
            </w:r>
          </w:p>
        </w:tc>
        <w:tc>
          <w:tcPr>
            <w:tcW w:w="516" w:type="pct"/>
            <w:tcBorders>
              <w:top w:val="nil"/>
              <w:bottom w:val="single" w:sz="4" w:space="0" w:color="auto"/>
            </w:tcBorders>
            <w:vAlign w:val="center"/>
          </w:tcPr>
          <w:p w:rsidR="00B94196" w:rsidRDefault="00B94196">
            <w:pPr>
              <w:jc w:val="center"/>
              <w:rPr>
                <w:rFonts w:cs="Arial"/>
                <w:szCs w:val="20"/>
              </w:rPr>
            </w:pPr>
            <w:r>
              <w:rPr>
                <w:rFonts w:cs="Arial"/>
                <w:szCs w:val="20"/>
              </w:rPr>
              <w:t>46</w:t>
            </w:r>
          </w:p>
        </w:tc>
        <w:tc>
          <w:tcPr>
            <w:tcW w:w="598" w:type="pct"/>
            <w:tcBorders>
              <w:top w:val="nil"/>
              <w:bottom w:val="single" w:sz="4" w:space="0" w:color="auto"/>
            </w:tcBorders>
            <w:vAlign w:val="center"/>
          </w:tcPr>
          <w:p w:rsidR="00B94196" w:rsidRDefault="00B94196">
            <w:pPr>
              <w:jc w:val="center"/>
              <w:rPr>
                <w:rFonts w:cs="Arial"/>
                <w:szCs w:val="20"/>
              </w:rPr>
            </w:pPr>
            <w:r>
              <w:rPr>
                <w:rFonts w:cs="Arial"/>
                <w:szCs w:val="20"/>
              </w:rPr>
              <w:t>47</w:t>
            </w:r>
          </w:p>
        </w:tc>
        <w:tc>
          <w:tcPr>
            <w:tcW w:w="525" w:type="pct"/>
            <w:tcBorders>
              <w:top w:val="nil"/>
              <w:bottom w:val="single" w:sz="4" w:space="0" w:color="auto"/>
            </w:tcBorders>
            <w:vAlign w:val="center"/>
          </w:tcPr>
          <w:p w:rsidR="00B94196" w:rsidRDefault="00B94196">
            <w:pPr>
              <w:jc w:val="center"/>
              <w:rPr>
                <w:rFonts w:cs="Arial"/>
                <w:szCs w:val="20"/>
              </w:rPr>
            </w:pPr>
            <w:r>
              <w:rPr>
                <w:rFonts w:cs="Arial"/>
                <w:szCs w:val="20"/>
              </w:rPr>
              <w:t>50</w:t>
            </w:r>
          </w:p>
        </w:tc>
        <w:tc>
          <w:tcPr>
            <w:tcW w:w="518" w:type="pct"/>
            <w:tcBorders>
              <w:top w:val="nil"/>
              <w:bottom w:val="single" w:sz="4" w:space="0" w:color="auto"/>
            </w:tcBorders>
            <w:vAlign w:val="center"/>
          </w:tcPr>
          <w:p w:rsidR="00B94196" w:rsidRDefault="00B94196">
            <w:pPr>
              <w:jc w:val="center"/>
              <w:rPr>
                <w:rFonts w:cs="Arial"/>
                <w:szCs w:val="20"/>
              </w:rPr>
            </w:pPr>
            <w:r>
              <w:rPr>
                <w:rFonts w:cs="Arial"/>
                <w:szCs w:val="20"/>
              </w:rPr>
              <w:t>48</w:t>
            </w:r>
          </w:p>
        </w:tc>
        <w:tc>
          <w:tcPr>
            <w:tcW w:w="515" w:type="pct"/>
            <w:tcBorders>
              <w:top w:val="nil"/>
              <w:bottom w:val="single" w:sz="4" w:space="0" w:color="auto"/>
            </w:tcBorders>
            <w:vAlign w:val="center"/>
          </w:tcPr>
          <w:p w:rsidR="00B94196" w:rsidRDefault="00B94196">
            <w:pPr>
              <w:jc w:val="center"/>
              <w:rPr>
                <w:rFonts w:cs="Arial"/>
                <w:szCs w:val="20"/>
              </w:rPr>
            </w:pPr>
            <w:r>
              <w:rPr>
                <w:rFonts w:cs="Arial"/>
                <w:szCs w:val="20"/>
              </w:rPr>
              <w:t>46</w:t>
            </w:r>
          </w:p>
        </w:tc>
        <w:tc>
          <w:tcPr>
            <w:tcW w:w="587" w:type="pct"/>
            <w:tcBorders>
              <w:top w:val="nil"/>
              <w:bottom w:val="single" w:sz="4" w:space="0" w:color="auto"/>
            </w:tcBorders>
            <w:vAlign w:val="center"/>
          </w:tcPr>
          <w:p w:rsidR="00B94196" w:rsidRDefault="00B94196">
            <w:pPr>
              <w:jc w:val="center"/>
              <w:rPr>
                <w:rFonts w:cs="Arial"/>
                <w:szCs w:val="20"/>
              </w:rPr>
            </w:pPr>
            <w:r>
              <w:rPr>
                <w:rFonts w:cs="Arial"/>
                <w:szCs w:val="20"/>
              </w:rPr>
              <w:t>38</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B94196" w:rsidP="00EC2CB1">
      <w:r w:rsidRPr="00B94196">
        <w:rPr>
          <w:noProof/>
          <w:lang w:eastAsia="en-AU"/>
        </w:rPr>
        <w:drawing>
          <wp:inline distT="0" distB="0" distL="0" distR="0" wp14:anchorId="19B87313" wp14:editId="54234F55">
            <wp:extent cx="5731510" cy="1739923"/>
            <wp:effectExtent l="0" t="0" r="2540" b="0"/>
            <wp:docPr id="24" name="Picture 24" descr="Figure 3.2 shows the daily hub offers and bid in within certain price bands in Adelaid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B94196" w:rsidP="00EC2CB1">
      <w:r w:rsidRPr="00B94196">
        <w:rPr>
          <w:noProof/>
          <w:lang w:eastAsia="en-AU"/>
        </w:rPr>
        <w:drawing>
          <wp:inline distT="0" distB="0" distL="0" distR="0" wp14:anchorId="774A9D3D" wp14:editId="047F2AF8">
            <wp:extent cx="5731510" cy="1511607"/>
            <wp:effectExtent l="0" t="0" r="2540" b="0"/>
            <wp:docPr id="27" name="Picture 27" descr="Figure 3.3 shows the daily scheduled and allocated quantities sorted by facility for Adelaid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B94196" w:rsidP="00A226E9">
      <w:r w:rsidRPr="00B94196">
        <w:rPr>
          <w:noProof/>
          <w:lang w:eastAsia="en-AU"/>
        </w:rPr>
        <w:drawing>
          <wp:inline distT="0" distB="0" distL="0" distR="0" wp14:anchorId="64591D93" wp14:editId="49D07A20">
            <wp:extent cx="5731510" cy="1802652"/>
            <wp:effectExtent l="0" t="0" r="2540" b="7620"/>
            <wp:docPr id="28" name="Picture 28" descr="Figure 3.4 shows the daily MOS allocations sorted by facility for each facility in Adelaid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B94196" w:rsidRPr="00405CDE" w:rsidTr="00A226E9">
        <w:trPr>
          <w:trHeight w:val="510"/>
        </w:trPr>
        <w:tc>
          <w:tcPr>
            <w:tcW w:w="1152" w:type="pct"/>
            <w:tcBorders>
              <w:top w:val="nil"/>
              <w:bottom w:val="nil"/>
            </w:tcBorders>
            <w:vAlign w:val="center"/>
          </w:tcPr>
          <w:p w:rsidR="00B94196" w:rsidRDefault="00B94196">
            <w:pPr>
              <w:rPr>
                <w:rFonts w:cs="Arial"/>
                <w:sz w:val="20"/>
                <w:szCs w:val="20"/>
              </w:rPr>
            </w:pPr>
            <w:r>
              <w:rPr>
                <w:rFonts w:cs="Arial"/>
                <w:sz w:val="20"/>
                <w:szCs w:val="20"/>
              </w:rPr>
              <w:t>Ex ante price ($/GJ)</w:t>
            </w:r>
          </w:p>
        </w:tc>
        <w:tc>
          <w:tcPr>
            <w:tcW w:w="589" w:type="pct"/>
            <w:tcBorders>
              <w:top w:val="nil"/>
              <w:bottom w:val="nil"/>
            </w:tcBorders>
            <w:vAlign w:val="center"/>
          </w:tcPr>
          <w:p w:rsidR="00B94196" w:rsidRDefault="00B94196">
            <w:pPr>
              <w:jc w:val="center"/>
              <w:rPr>
                <w:rFonts w:cs="Arial"/>
                <w:sz w:val="20"/>
                <w:szCs w:val="20"/>
              </w:rPr>
            </w:pPr>
            <w:r>
              <w:rPr>
                <w:rFonts w:cs="Arial"/>
                <w:sz w:val="20"/>
                <w:szCs w:val="20"/>
              </w:rPr>
              <w:t>8.17</w:t>
            </w:r>
          </w:p>
        </w:tc>
        <w:tc>
          <w:tcPr>
            <w:tcW w:w="516" w:type="pct"/>
            <w:tcBorders>
              <w:top w:val="nil"/>
              <w:bottom w:val="nil"/>
            </w:tcBorders>
            <w:vAlign w:val="center"/>
          </w:tcPr>
          <w:p w:rsidR="00B94196" w:rsidRDefault="00B94196">
            <w:pPr>
              <w:jc w:val="center"/>
              <w:rPr>
                <w:rFonts w:cs="Arial"/>
                <w:sz w:val="20"/>
                <w:szCs w:val="20"/>
              </w:rPr>
            </w:pPr>
            <w:r>
              <w:rPr>
                <w:rFonts w:cs="Arial"/>
                <w:sz w:val="20"/>
                <w:szCs w:val="20"/>
              </w:rPr>
              <w:t>9.99</w:t>
            </w:r>
          </w:p>
        </w:tc>
        <w:tc>
          <w:tcPr>
            <w:tcW w:w="598" w:type="pct"/>
            <w:tcBorders>
              <w:top w:val="nil"/>
              <w:bottom w:val="nil"/>
            </w:tcBorders>
            <w:vAlign w:val="center"/>
          </w:tcPr>
          <w:p w:rsidR="00B94196" w:rsidRDefault="00B94196">
            <w:pPr>
              <w:jc w:val="center"/>
              <w:rPr>
                <w:rFonts w:cs="Arial"/>
                <w:sz w:val="20"/>
                <w:szCs w:val="20"/>
              </w:rPr>
            </w:pPr>
            <w:r>
              <w:rPr>
                <w:rFonts w:cs="Arial"/>
                <w:sz w:val="20"/>
                <w:szCs w:val="20"/>
              </w:rPr>
              <w:t>8.86</w:t>
            </w:r>
          </w:p>
        </w:tc>
        <w:tc>
          <w:tcPr>
            <w:tcW w:w="525" w:type="pct"/>
            <w:tcBorders>
              <w:top w:val="nil"/>
              <w:bottom w:val="nil"/>
            </w:tcBorders>
            <w:vAlign w:val="center"/>
          </w:tcPr>
          <w:p w:rsidR="00B94196" w:rsidRDefault="00B94196">
            <w:pPr>
              <w:jc w:val="center"/>
              <w:rPr>
                <w:rFonts w:cs="Arial"/>
                <w:sz w:val="20"/>
                <w:szCs w:val="20"/>
              </w:rPr>
            </w:pPr>
            <w:r>
              <w:rPr>
                <w:rFonts w:cs="Arial"/>
                <w:sz w:val="20"/>
                <w:szCs w:val="20"/>
              </w:rPr>
              <w:t>9.78</w:t>
            </w:r>
          </w:p>
        </w:tc>
        <w:tc>
          <w:tcPr>
            <w:tcW w:w="518" w:type="pct"/>
            <w:tcBorders>
              <w:top w:val="nil"/>
              <w:bottom w:val="nil"/>
            </w:tcBorders>
            <w:vAlign w:val="center"/>
          </w:tcPr>
          <w:p w:rsidR="00B94196" w:rsidRDefault="00B94196">
            <w:pPr>
              <w:jc w:val="center"/>
              <w:rPr>
                <w:rFonts w:cs="Arial"/>
                <w:sz w:val="20"/>
                <w:szCs w:val="20"/>
              </w:rPr>
            </w:pPr>
            <w:r>
              <w:rPr>
                <w:rFonts w:cs="Arial"/>
                <w:sz w:val="20"/>
                <w:szCs w:val="20"/>
              </w:rPr>
              <w:t>8.31</w:t>
            </w:r>
          </w:p>
        </w:tc>
        <w:tc>
          <w:tcPr>
            <w:tcW w:w="515" w:type="pct"/>
            <w:tcBorders>
              <w:top w:val="nil"/>
              <w:bottom w:val="nil"/>
            </w:tcBorders>
            <w:vAlign w:val="center"/>
          </w:tcPr>
          <w:p w:rsidR="00B94196" w:rsidRDefault="00B94196">
            <w:pPr>
              <w:jc w:val="center"/>
              <w:rPr>
                <w:rFonts w:cs="Arial"/>
                <w:sz w:val="20"/>
                <w:szCs w:val="20"/>
              </w:rPr>
            </w:pPr>
            <w:r>
              <w:rPr>
                <w:rFonts w:cs="Arial"/>
                <w:sz w:val="20"/>
                <w:szCs w:val="20"/>
              </w:rPr>
              <w:t>9.98</w:t>
            </w:r>
          </w:p>
        </w:tc>
        <w:tc>
          <w:tcPr>
            <w:tcW w:w="587" w:type="pct"/>
            <w:tcBorders>
              <w:top w:val="nil"/>
              <w:bottom w:val="nil"/>
            </w:tcBorders>
            <w:vAlign w:val="center"/>
          </w:tcPr>
          <w:p w:rsidR="00B94196" w:rsidRDefault="00B94196">
            <w:pPr>
              <w:jc w:val="center"/>
              <w:rPr>
                <w:rFonts w:cs="Arial"/>
                <w:sz w:val="20"/>
                <w:szCs w:val="20"/>
              </w:rPr>
            </w:pPr>
            <w:r>
              <w:rPr>
                <w:rFonts w:cs="Arial"/>
                <w:sz w:val="20"/>
                <w:szCs w:val="20"/>
              </w:rPr>
              <w:t>11.51</w:t>
            </w:r>
          </w:p>
        </w:tc>
      </w:tr>
      <w:tr w:rsidR="00B94196"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B94196" w:rsidRDefault="00B94196">
            <w:pPr>
              <w:rPr>
                <w:rFonts w:cs="Arial"/>
                <w:szCs w:val="20"/>
              </w:rPr>
            </w:pPr>
            <w:r>
              <w:rPr>
                <w:rFonts w:cs="Arial"/>
                <w:szCs w:val="20"/>
              </w:rPr>
              <w:t>Ex ante quantity (TJ)</w:t>
            </w:r>
          </w:p>
        </w:tc>
        <w:tc>
          <w:tcPr>
            <w:tcW w:w="589" w:type="pct"/>
            <w:tcBorders>
              <w:top w:val="nil"/>
              <w:bottom w:val="nil"/>
            </w:tcBorders>
            <w:vAlign w:val="center"/>
          </w:tcPr>
          <w:p w:rsidR="00B94196" w:rsidRDefault="00B94196">
            <w:pPr>
              <w:jc w:val="center"/>
              <w:rPr>
                <w:rFonts w:cs="Arial"/>
                <w:szCs w:val="20"/>
              </w:rPr>
            </w:pPr>
            <w:r>
              <w:rPr>
                <w:rFonts w:cs="Arial"/>
                <w:szCs w:val="20"/>
              </w:rPr>
              <w:t>71</w:t>
            </w:r>
          </w:p>
        </w:tc>
        <w:tc>
          <w:tcPr>
            <w:tcW w:w="516" w:type="pct"/>
            <w:tcBorders>
              <w:top w:val="nil"/>
              <w:bottom w:val="nil"/>
            </w:tcBorders>
            <w:vAlign w:val="center"/>
          </w:tcPr>
          <w:p w:rsidR="00B94196" w:rsidRDefault="00B94196">
            <w:pPr>
              <w:jc w:val="center"/>
              <w:rPr>
                <w:rFonts w:cs="Arial"/>
                <w:szCs w:val="20"/>
              </w:rPr>
            </w:pPr>
            <w:r>
              <w:rPr>
                <w:rFonts w:cs="Arial"/>
                <w:szCs w:val="20"/>
              </w:rPr>
              <w:t>87</w:t>
            </w:r>
          </w:p>
        </w:tc>
        <w:tc>
          <w:tcPr>
            <w:tcW w:w="598" w:type="pct"/>
            <w:tcBorders>
              <w:top w:val="nil"/>
              <w:bottom w:val="nil"/>
            </w:tcBorders>
            <w:vAlign w:val="center"/>
          </w:tcPr>
          <w:p w:rsidR="00B94196" w:rsidRDefault="00B94196">
            <w:pPr>
              <w:jc w:val="center"/>
              <w:rPr>
                <w:rFonts w:cs="Arial"/>
                <w:szCs w:val="20"/>
              </w:rPr>
            </w:pPr>
            <w:r>
              <w:rPr>
                <w:rFonts w:cs="Arial"/>
                <w:szCs w:val="20"/>
              </w:rPr>
              <w:t>92</w:t>
            </w:r>
          </w:p>
        </w:tc>
        <w:tc>
          <w:tcPr>
            <w:tcW w:w="525" w:type="pct"/>
            <w:tcBorders>
              <w:top w:val="nil"/>
              <w:bottom w:val="nil"/>
            </w:tcBorders>
            <w:vAlign w:val="center"/>
          </w:tcPr>
          <w:p w:rsidR="00B94196" w:rsidRDefault="00B94196">
            <w:pPr>
              <w:jc w:val="center"/>
              <w:rPr>
                <w:rFonts w:cs="Arial"/>
                <w:szCs w:val="20"/>
              </w:rPr>
            </w:pPr>
            <w:r>
              <w:rPr>
                <w:rFonts w:cs="Arial"/>
                <w:szCs w:val="20"/>
              </w:rPr>
              <w:t>92</w:t>
            </w:r>
          </w:p>
        </w:tc>
        <w:tc>
          <w:tcPr>
            <w:tcW w:w="518" w:type="pct"/>
            <w:tcBorders>
              <w:top w:val="nil"/>
              <w:bottom w:val="nil"/>
            </w:tcBorders>
            <w:vAlign w:val="center"/>
          </w:tcPr>
          <w:p w:rsidR="00B94196" w:rsidRDefault="00B94196">
            <w:pPr>
              <w:jc w:val="center"/>
              <w:rPr>
                <w:rFonts w:cs="Arial"/>
                <w:szCs w:val="20"/>
              </w:rPr>
            </w:pPr>
            <w:r>
              <w:rPr>
                <w:rFonts w:cs="Arial"/>
                <w:szCs w:val="20"/>
              </w:rPr>
              <w:t>93</w:t>
            </w:r>
          </w:p>
        </w:tc>
        <w:tc>
          <w:tcPr>
            <w:tcW w:w="515" w:type="pct"/>
            <w:tcBorders>
              <w:top w:val="nil"/>
              <w:bottom w:val="nil"/>
            </w:tcBorders>
            <w:vAlign w:val="center"/>
          </w:tcPr>
          <w:p w:rsidR="00B94196" w:rsidRDefault="00B94196">
            <w:pPr>
              <w:jc w:val="center"/>
              <w:rPr>
                <w:rFonts w:cs="Arial"/>
                <w:szCs w:val="20"/>
              </w:rPr>
            </w:pPr>
            <w:r>
              <w:rPr>
                <w:rFonts w:cs="Arial"/>
                <w:szCs w:val="20"/>
              </w:rPr>
              <w:t>84</w:t>
            </w:r>
          </w:p>
        </w:tc>
        <w:tc>
          <w:tcPr>
            <w:tcW w:w="587" w:type="pct"/>
            <w:tcBorders>
              <w:top w:val="nil"/>
              <w:bottom w:val="nil"/>
            </w:tcBorders>
            <w:vAlign w:val="center"/>
          </w:tcPr>
          <w:p w:rsidR="00B94196" w:rsidRDefault="00B94196">
            <w:pPr>
              <w:jc w:val="center"/>
              <w:rPr>
                <w:rFonts w:cs="Arial"/>
                <w:szCs w:val="20"/>
              </w:rPr>
            </w:pPr>
            <w:r>
              <w:rPr>
                <w:rFonts w:cs="Arial"/>
                <w:szCs w:val="20"/>
              </w:rPr>
              <w:t>73</w:t>
            </w:r>
          </w:p>
        </w:tc>
      </w:tr>
      <w:tr w:rsidR="00B94196" w:rsidRPr="00405CDE" w:rsidTr="00A226E9">
        <w:trPr>
          <w:trHeight w:val="510"/>
        </w:trPr>
        <w:tc>
          <w:tcPr>
            <w:tcW w:w="1152" w:type="pct"/>
            <w:tcBorders>
              <w:top w:val="nil"/>
              <w:bottom w:val="nil"/>
            </w:tcBorders>
            <w:vAlign w:val="center"/>
          </w:tcPr>
          <w:p w:rsidR="00B94196" w:rsidRDefault="00B94196">
            <w:pPr>
              <w:rPr>
                <w:rFonts w:cs="Arial"/>
                <w:sz w:val="20"/>
                <w:szCs w:val="20"/>
              </w:rPr>
            </w:pPr>
            <w:r>
              <w:rPr>
                <w:rFonts w:cs="Arial"/>
                <w:sz w:val="20"/>
                <w:szCs w:val="20"/>
              </w:rPr>
              <w:t>Ex post price ($/GJ)</w:t>
            </w:r>
          </w:p>
        </w:tc>
        <w:tc>
          <w:tcPr>
            <w:tcW w:w="589" w:type="pct"/>
            <w:tcBorders>
              <w:top w:val="nil"/>
              <w:bottom w:val="nil"/>
            </w:tcBorders>
            <w:vAlign w:val="center"/>
          </w:tcPr>
          <w:p w:rsidR="00B94196" w:rsidRDefault="00B94196">
            <w:pPr>
              <w:jc w:val="center"/>
              <w:rPr>
                <w:rFonts w:cs="Arial"/>
                <w:sz w:val="20"/>
                <w:szCs w:val="20"/>
              </w:rPr>
            </w:pPr>
            <w:r>
              <w:rPr>
                <w:rFonts w:cs="Arial"/>
                <w:sz w:val="20"/>
                <w:szCs w:val="20"/>
              </w:rPr>
              <w:t>8.17</w:t>
            </w:r>
          </w:p>
        </w:tc>
        <w:tc>
          <w:tcPr>
            <w:tcW w:w="516" w:type="pct"/>
            <w:tcBorders>
              <w:top w:val="nil"/>
              <w:bottom w:val="nil"/>
            </w:tcBorders>
            <w:vAlign w:val="center"/>
          </w:tcPr>
          <w:p w:rsidR="00B94196" w:rsidRDefault="00B94196">
            <w:pPr>
              <w:jc w:val="center"/>
              <w:rPr>
                <w:rFonts w:cs="Arial"/>
                <w:sz w:val="20"/>
                <w:szCs w:val="20"/>
              </w:rPr>
            </w:pPr>
            <w:r>
              <w:rPr>
                <w:rFonts w:cs="Arial"/>
                <w:sz w:val="20"/>
                <w:szCs w:val="20"/>
              </w:rPr>
              <w:t>8.77</w:t>
            </w:r>
          </w:p>
        </w:tc>
        <w:tc>
          <w:tcPr>
            <w:tcW w:w="598" w:type="pct"/>
            <w:tcBorders>
              <w:top w:val="nil"/>
              <w:bottom w:val="nil"/>
            </w:tcBorders>
            <w:vAlign w:val="center"/>
          </w:tcPr>
          <w:p w:rsidR="00B94196" w:rsidRDefault="00B94196">
            <w:pPr>
              <w:jc w:val="center"/>
              <w:rPr>
                <w:rFonts w:cs="Arial"/>
                <w:sz w:val="20"/>
                <w:szCs w:val="20"/>
              </w:rPr>
            </w:pPr>
            <w:r>
              <w:rPr>
                <w:rFonts w:cs="Arial"/>
                <w:sz w:val="20"/>
                <w:szCs w:val="20"/>
              </w:rPr>
              <w:t>8.86</w:t>
            </w:r>
          </w:p>
        </w:tc>
        <w:tc>
          <w:tcPr>
            <w:tcW w:w="525" w:type="pct"/>
            <w:tcBorders>
              <w:top w:val="nil"/>
              <w:bottom w:val="nil"/>
            </w:tcBorders>
            <w:vAlign w:val="center"/>
          </w:tcPr>
          <w:p w:rsidR="00B94196" w:rsidRDefault="00B94196">
            <w:pPr>
              <w:jc w:val="center"/>
              <w:rPr>
                <w:rFonts w:cs="Arial"/>
                <w:sz w:val="20"/>
                <w:szCs w:val="20"/>
              </w:rPr>
            </w:pPr>
            <w:r>
              <w:rPr>
                <w:rFonts w:cs="Arial"/>
                <w:sz w:val="20"/>
                <w:szCs w:val="20"/>
              </w:rPr>
              <w:t>9.50</w:t>
            </w:r>
          </w:p>
        </w:tc>
        <w:tc>
          <w:tcPr>
            <w:tcW w:w="518" w:type="pct"/>
            <w:tcBorders>
              <w:top w:val="nil"/>
              <w:bottom w:val="nil"/>
            </w:tcBorders>
            <w:vAlign w:val="center"/>
          </w:tcPr>
          <w:p w:rsidR="00B94196" w:rsidRDefault="00B94196">
            <w:pPr>
              <w:jc w:val="center"/>
              <w:rPr>
                <w:rFonts w:cs="Arial"/>
                <w:sz w:val="20"/>
                <w:szCs w:val="20"/>
              </w:rPr>
            </w:pPr>
            <w:r>
              <w:rPr>
                <w:rFonts w:cs="Arial"/>
                <w:sz w:val="20"/>
                <w:szCs w:val="20"/>
              </w:rPr>
              <w:t>8.16</w:t>
            </w:r>
          </w:p>
        </w:tc>
        <w:tc>
          <w:tcPr>
            <w:tcW w:w="515" w:type="pct"/>
            <w:tcBorders>
              <w:top w:val="nil"/>
              <w:bottom w:val="nil"/>
            </w:tcBorders>
            <w:vAlign w:val="center"/>
          </w:tcPr>
          <w:p w:rsidR="00B94196" w:rsidRDefault="00B94196">
            <w:pPr>
              <w:jc w:val="center"/>
              <w:rPr>
                <w:rFonts w:cs="Arial"/>
                <w:sz w:val="20"/>
                <w:szCs w:val="20"/>
              </w:rPr>
            </w:pPr>
            <w:r>
              <w:rPr>
                <w:rFonts w:cs="Arial"/>
                <w:sz w:val="20"/>
                <w:szCs w:val="20"/>
              </w:rPr>
              <w:t>9.50</w:t>
            </w:r>
          </w:p>
        </w:tc>
        <w:tc>
          <w:tcPr>
            <w:tcW w:w="587" w:type="pct"/>
            <w:tcBorders>
              <w:top w:val="nil"/>
              <w:bottom w:val="nil"/>
            </w:tcBorders>
            <w:vAlign w:val="center"/>
          </w:tcPr>
          <w:p w:rsidR="00B94196" w:rsidRDefault="00B94196">
            <w:pPr>
              <w:jc w:val="center"/>
              <w:rPr>
                <w:rFonts w:cs="Arial"/>
                <w:sz w:val="20"/>
                <w:szCs w:val="20"/>
              </w:rPr>
            </w:pPr>
            <w:r>
              <w:rPr>
                <w:rFonts w:cs="Arial"/>
                <w:sz w:val="20"/>
                <w:szCs w:val="20"/>
              </w:rPr>
              <w:t>11.51</w:t>
            </w:r>
          </w:p>
        </w:tc>
      </w:tr>
      <w:tr w:rsidR="00B94196"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B94196" w:rsidRDefault="00B94196">
            <w:pPr>
              <w:rPr>
                <w:rFonts w:cs="Arial"/>
                <w:szCs w:val="20"/>
              </w:rPr>
            </w:pPr>
            <w:r>
              <w:rPr>
                <w:rFonts w:cs="Arial"/>
                <w:szCs w:val="20"/>
              </w:rPr>
              <w:t>Ex post quantity (TJ)</w:t>
            </w:r>
          </w:p>
        </w:tc>
        <w:tc>
          <w:tcPr>
            <w:tcW w:w="589" w:type="pct"/>
            <w:tcBorders>
              <w:top w:val="nil"/>
              <w:bottom w:val="single" w:sz="4" w:space="0" w:color="auto"/>
            </w:tcBorders>
            <w:vAlign w:val="center"/>
          </w:tcPr>
          <w:p w:rsidR="00B94196" w:rsidRDefault="00B94196">
            <w:pPr>
              <w:jc w:val="center"/>
              <w:rPr>
                <w:rFonts w:cs="Arial"/>
                <w:szCs w:val="20"/>
              </w:rPr>
            </w:pPr>
            <w:r>
              <w:rPr>
                <w:rFonts w:cs="Arial"/>
                <w:szCs w:val="20"/>
              </w:rPr>
              <w:t>73</w:t>
            </w:r>
          </w:p>
        </w:tc>
        <w:tc>
          <w:tcPr>
            <w:tcW w:w="516" w:type="pct"/>
            <w:tcBorders>
              <w:top w:val="nil"/>
              <w:bottom w:val="single" w:sz="4" w:space="0" w:color="auto"/>
            </w:tcBorders>
            <w:vAlign w:val="center"/>
          </w:tcPr>
          <w:p w:rsidR="00B94196" w:rsidRDefault="00B94196">
            <w:pPr>
              <w:jc w:val="center"/>
              <w:rPr>
                <w:rFonts w:cs="Arial"/>
                <w:szCs w:val="20"/>
              </w:rPr>
            </w:pPr>
            <w:r>
              <w:rPr>
                <w:rFonts w:cs="Arial"/>
                <w:szCs w:val="20"/>
              </w:rPr>
              <w:t>84</w:t>
            </w:r>
          </w:p>
        </w:tc>
        <w:tc>
          <w:tcPr>
            <w:tcW w:w="598" w:type="pct"/>
            <w:tcBorders>
              <w:top w:val="nil"/>
              <w:bottom w:val="single" w:sz="4" w:space="0" w:color="auto"/>
            </w:tcBorders>
            <w:vAlign w:val="center"/>
          </w:tcPr>
          <w:p w:rsidR="00B94196" w:rsidRDefault="00B94196">
            <w:pPr>
              <w:jc w:val="center"/>
              <w:rPr>
                <w:rFonts w:cs="Arial"/>
                <w:szCs w:val="20"/>
              </w:rPr>
            </w:pPr>
            <w:r>
              <w:rPr>
                <w:rFonts w:cs="Arial"/>
                <w:szCs w:val="20"/>
              </w:rPr>
              <w:t>87</w:t>
            </w:r>
          </w:p>
        </w:tc>
        <w:tc>
          <w:tcPr>
            <w:tcW w:w="525" w:type="pct"/>
            <w:tcBorders>
              <w:top w:val="nil"/>
              <w:bottom w:val="single" w:sz="4" w:space="0" w:color="auto"/>
            </w:tcBorders>
            <w:vAlign w:val="center"/>
          </w:tcPr>
          <w:p w:rsidR="00B94196" w:rsidRDefault="00B94196">
            <w:pPr>
              <w:jc w:val="center"/>
              <w:rPr>
                <w:rFonts w:cs="Arial"/>
                <w:szCs w:val="20"/>
              </w:rPr>
            </w:pPr>
            <w:r>
              <w:rPr>
                <w:rFonts w:cs="Arial"/>
                <w:szCs w:val="20"/>
              </w:rPr>
              <w:t>90</w:t>
            </w:r>
          </w:p>
        </w:tc>
        <w:tc>
          <w:tcPr>
            <w:tcW w:w="518" w:type="pct"/>
            <w:tcBorders>
              <w:top w:val="nil"/>
              <w:bottom w:val="single" w:sz="4" w:space="0" w:color="auto"/>
            </w:tcBorders>
            <w:vAlign w:val="center"/>
          </w:tcPr>
          <w:p w:rsidR="00B94196" w:rsidRDefault="00B94196">
            <w:pPr>
              <w:jc w:val="center"/>
              <w:rPr>
                <w:rFonts w:cs="Arial"/>
                <w:szCs w:val="20"/>
              </w:rPr>
            </w:pPr>
            <w:r>
              <w:rPr>
                <w:rFonts w:cs="Arial"/>
                <w:szCs w:val="20"/>
              </w:rPr>
              <w:t>89</w:t>
            </w:r>
          </w:p>
        </w:tc>
        <w:tc>
          <w:tcPr>
            <w:tcW w:w="515" w:type="pct"/>
            <w:tcBorders>
              <w:top w:val="nil"/>
              <w:bottom w:val="single" w:sz="4" w:space="0" w:color="auto"/>
            </w:tcBorders>
            <w:vAlign w:val="center"/>
          </w:tcPr>
          <w:p w:rsidR="00B94196" w:rsidRDefault="00B94196">
            <w:pPr>
              <w:jc w:val="center"/>
              <w:rPr>
                <w:rFonts w:cs="Arial"/>
                <w:szCs w:val="20"/>
              </w:rPr>
            </w:pPr>
            <w:r>
              <w:rPr>
                <w:rFonts w:cs="Arial"/>
                <w:szCs w:val="20"/>
              </w:rPr>
              <w:t>84</w:t>
            </w:r>
          </w:p>
        </w:tc>
        <w:tc>
          <w:tcPr>
            <w:tcW w:w="587" w:type="pct"/>
            <w:tcBorders>
              <w:top w:val="nil"/>
              <w:bottom w:val="single" w:sz="4" w:space="0" w:color="auto"/>
            </w:tcBorders>
            <w:vAlign w:val="center"/>
          </w:tcPr>
          <w:p w:rsidR="00B94196" w:rsidRDefault="00B94196">
            <w:pPr>
              <w:jc w:val="center"/>
              <w:rPr>
                <w:rFonts w:cs="Arial"/>
                <w:szCs w:val="20"/>
              </w:rPr>
            </w:pPr>
            <w:r>
              <w:rPr>
                <w:rFonts w:cs="Arial"/>
                <w:szCs w:val="20"/>
              </w:rPr>
              <w:t>69</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B94196" w:rsidP="00EC2CB1">
      <w:r w:rsidRPr="00B94196">
        <w:rPr>
          <w:noProof/>
          <w:lang w:eastAsia="en-AU"/>
        </w:rPr>
        <w:drawing>
          <wp:inline distT="0" distB="0" distL="0" distR="0" wp14:anchorId="25D04DD3" wp14:editId="43465552">
            <wp:extent cx="5731510" cy="1725905"/>
            <wp:effectExtent l="0" t="0" r="2540" b="0"/>
            <wp:docPr id="32" name="Picture 32" descr="Figure 4.2 shows the daily hub offers and bid in within certain price bands in Brisban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B94196" w:rsidP="00EC2CB1">
      <w:r w:rsidRPr="00B94196">
        <w:rPr>
          <w:noProof/>
          <w:lang w:eastAsia="en-AU"/>
        </w:rPr>
        <w:drawing>
          <wp:inline distT="0" distB="0" distL="0" distR="0" wp14:anchorId="3A6EF9CC" wp14:editId="4E71E30C">
            <wp:extent cx="5731510" cy="1475616"/>
            <wp:effectExtent l="0" t="0" r="2540" b="0"/>
            <wp:docPr id="33" name="Picture 33" descr="Figure 4.3 shows the daily scheduled and allocated quantities sorted by facility for Brisbane this week. For a more detailed description of this figure, please refer to the user gu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616"/>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B94196" w:rsidP="00A226E9">
      <w:r w:rsidRPr="00B94196">
        <w:rPr>
          <w:noProof/>
          <w:lang w:eastAsia="en-AU"/>
        </w:rPr>
        <w:drawing>
          <wp:inline distT="0" distB="0" distL="0" distR="0" wp14:anchorId="67084248" wp14:editId="42E39F0B">
            <wp:extent cx="5731510" cy="1883137"/>
            <wp:effectExtent l="0" t="0" r="2540" b="3175"/>
            <wp:docPr id="34" name="Picture 34" descr="Figure 4.4 shows the daily MOS allocations sorted by facility for each facility in Brisban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596DE3" w:rsidRDefault="00596DE3" w:rsidP="00596DE3">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9"/>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0"/>
      </w:r>
      <w:r>
        <w:t xml:space="preserve"> are provided for gas markets and gas supply hubs. Average daily quantities are provided for gas powered generation for each region.</w:t>
      </w:r>
    </w:p>
    <w:p w:rsidR="00596DE3" w:rsidRDefault="00596DE3" w:rsidP="00596DE3">
      <w:pPr>
        <w:pStyle w:val="Caption"/>
        <w:numPr>
          <w:ilvl w:val="0"/>
          <w:numId w:val="33"/>
        </w:numPr>
        <w:ind w:left="1418" w:hanging="1418"/>
        <w:rPr>
          <w:color w:val="2272A3"/>
          <w:szCs w:val="24"/>
        </w:rPr>
      </w:pPr>
      <w:r w:rsidRPr="00DD0358">
        <w:rPr>
          <w:color w:val="2272A3"/>
          <w:szCs w:val="24"/>
        </w:rPr>
        <w:t xml:space="preserve">Gas market data ($/GJ, TJ); </w:t>
      </w:r>
      <w:r>
        <w:rPr>
          <w:color w:val="2272A3"/>
          <w:szCs w:val="24"/>
        </w:rPr>
        <w:t>Bulletin Board</w:t>
      </w:r>
      <w:r w:rsidRPr="00DD0358">
        <w:rPr>
          <w:color w:val="2272A3"/>
          <w:szCs w:val="24"/>
        </w:rPr>
        <w:t xml:space="preserve"> flows (TJ)</w:t>
      </w:r>
      <w:r>
        <w:rPr>
          <w:rStyle w:val="FootnoteReference"/>
          <w:color w:val="2272A3"/>
          <w:szCs w:val="24"/>
        </w:rPr>
        <w:footnoteReference w:id="11"/>
      </w:r>
    </w:p>
    <w:p w:rsidR="00665C0C" w:rsidRDefault="00D81A7E" w:rsidP="00596DE3">
      <w:pPr>
        <w:spacing w:line="240" w:lineRule="auto"/>
      </w:pPr>
      <w:r>
        <w:rPr>
          <w:b/>
          <w:bCs/>
          <w:noProof/>
          <w:lang w:eastAsia="en-AU"/>
        </w:rPr>
        <w:drawing>
          <wp:inline distT="0" distB="0" distL="0" distR="0">
            <wp:extent cx="5731510" cy="6263162"/>
            <wp:effectExtent l="0" t="0" r="2540" b="4445"/>
            <wp:docPr id="5" name="Picture 5"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263162"/>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596DE3" w:rsidRDefault="00596DE3" w:rsidP="00596DE3">
      <w:pPr>
        <w:jc w:val="both"/>
        <w:rPr>
          <w:color w:val="FF0000"/>
        </w:rPr>
      </w:pPr>
      <w:r w:rsidRPr="00DD0DBA">
        <w:t xml:space="preserve">The gas supply hub was established at Wallumbilla in March 2014 to facilitate the voluntary trading of gas between participants, with products listed for sale and purchase at delivery points on three major connecting pipelines at Wallumbilla – the </w:t>
      </w:r>
      <w:r w:rsidRPr="00DD0DBA">
        <w:rPr>
          <w:b/>
        </w:rPr>
        <w:t>QGP</w:t>
      </w:r>
      <w:r w:rsidRPr="00DD0DBA">
        <w:t xml:space="preserve">, the </w:t>
      </w:r>
      <w:r w:rsidRPr="00DD0DBA">
        <w:rPr>
          <w:b/>
        </w:rPr>
        <w:t>SWQP</w:t>
      </w:r>
      <w:r w:rsidRPr="00DD0DBA">
        <w:t xml:space="preserve"> and the </w:t>
      </w:r>
      <w:r w:rsidRPr="00DD0DBA">
        <w:rPr>
          <w:b/>
        </w:rPr>
        <w:t>RBP</w:t>
      </w:r>
      <w:r w:rsidRPr="00DD0DBA">
        <w:t xml:space="preserve">. </w:t>
      </w:r>
      <w:r w:rsidRPr="00552F68">
        <w:t>There are separate products for each pipeline (</w:t>
      </w:r>
      <w:r>
        <w:t>trading location</w:t>
      </w:r>
      <w:r w:rsidRPr="00552F68">
        <w:t>) and delivery period (daily, day-ahead, balance-of-day, weekly and monthly products).</w:t>
      </w:r>
      <w:r>
        <w:rPr>
          <w:rStyle w:val="FootnoteReference"/>
        </w:rPr>
        <w:footnoteReference w:id="12"/>
      </w:r>
      <w:r w:rsidRPr="00552F68">
        <w:rPr>
          <w:color w:val="FF0000"/>
        </w:rPr>
        <w:t xml:space="preserve"> </w:t>
      </w:r>
    </w:p>
    <w:p w:rsidR="00596DE3" w:rsidRDefault="00596DE3" w:rsidP="00596DE3">
      <w:pPr>
        <w:jc w:val="both"/>
      </w:pPr>
      <w:r w:rsidRPr="00DD0DBA">
        <w:t xml:space="preserve">The Moomba hub commenced operation from June 2016 to further facilitate trading on the </w:t>
      </w:r>
      <w:r w:rsidRPr="00DD0DBA">
        <w:rPr>
          <w:b/>
        </w:rPr>
        <w:t>MAP</w:t>
      </w:r>
      <w:r w:rsidRPr="00DD0DBA">
        <w:t xml:space="preserve"> and </w:t>
      </w:r>
      <w:r w:rsidRPr="00DD0DBA">
        <w:rPr>
          <w:b/>
        </w:rPr>
        <w:t>MSP</w:t>
      </w:r>
      <w:r w:rsidRPr="00DD0DBA">
        <w:t xml:space="preserve">, with trading between the two hubs </w:t>
      </w:r>
      <w:r>
        <w:t xml:space="preserve">on </w:t>
      </w:r>
      <w:r w:rsidRPr="00DD0DBA">
        <w:t>the SWQP</w:t>
      </w:r>
      <w:r>
        <w:t xml:space="preserve"> via a spread product (representing the price differential between the hubs). From October 2016, the addition of a Wallumbilla Compression Product was introduced to facilitate</w:t>
      </w:r>
      <w:r w:rsidRPr="003804B2">
        <w:t xml:space="preserve"> </w:t>
      </w:r>
      <w:r>
        <w:t xml:space="preserve">the supply </w:t>
      </w:r>
      <w:r w:rsidRPr="004A7BD7">
        <w:t>hub’s transition from three different trading locations into one</w:t>
      </w:r>
      <w:r>
        <w:t xml:space="preserve">. </w:t>
      </w:r>
    </w:p>
    <w:p w:rsidR="00AC4BF5" w:rsidRPr="00324FDD" w:rsidRDefault="00596DE3" w:rsidP="00551D6B">
      <w:pPr>
        <w:jc w:val="both"/>
      </w:pPr>
      <w:r w:rsidRPr="00324FDD">
        <w:t xml:space="preserve">This week in the Wallumbilla hub there were </w:t>
      </w:r>
      <w:r w:rsidR="006E4EB1" w:rsidRPr="00324FDD">
        <w:t>22</w:t>
      </w:r>
      <w:r w:rsidRPr="00324FDD">
        <w:t xml:space="preserve"> trades for </w:t>
      </w:r>
      <w:r w:rsidR="006E4EB1" w:rsidRPr="00324FDD">
        <w:t>173.98</w:t>
      </w:r>
      <w:r w:rsidRPr="00324FDD">
        <w:t xml:space="preserve"> TJ of gas at </w:t>
      </w:r>
      <w:r w:rsidR="006E4EB1" w:rsidRPr="00324FDD">
        <w:t>a volume weighted price of $11.31</w:t>
      </w:r>
      <w:r w:rsidRPr="00324FDD">
        <w:t>/GJ. There were balan</w:t>
      </w:r>
      <w:r w:rsidR="006E4EB1" w:rsidRPr="00324FDD">
        <w:t>ce-of-day</w:t>
      </w:r>
      <w:r w:rsidR="003E1881" w:rsidRPr="00324FDD">
        <w:t xml:space="preserve">, day-ahead, </w:t>
      </w:r>
      <w:r w:rsidR="00324FDD" w:rsidRPr="00324FDD">
        <w:t xml:space="preserve">daily </w:t>
      </w:r>
      <w:r w:rsidR="003E1881" w:rsidRPr="00324FDD">
        <w:t xml:space="preserve">and </w:t>
      </w:r>
      <w:r w:rsidR="00324FDD" w:rsidRPr="00324FDD">
        <w:t xml:space="preserve">weekly </w:t>
      </w:r>
      <w:r w:rsidR="006E4EB1" w:rsidRPr="00324FDD">
        <w:t xml:space="preserve">trades on </w:t>
      </w:r>
      <w:r w:rsidR="00324FDD" w:rsidRPr="00324FDD">
        <w:t xml:space="preserve">both the </w:t>
      </w:r>
      <w:r w:rsidR="006E4EB1" w:rsidRPr="00324FDD">
        <w:t>SWQP (25.7 TJ at $11.</w:t>
      </w:r>
      <w:r w:rsidR="00324FDD" w:rsidRPr="00324FDD">
        <w:t>01</w:t>
      </w:r>
      <w:r w:rsidRPr="00324FDD">
        <w:t xml:space="preserve">/GJ) and </w:t>
      </w:r>
      <w:r w:rsidR="006E4EB1" w:rsidRPr="00324FDD">
        <w:t>the RBP (</w:t>
      </w:r>
      <w:r w:rsidR="00FB6F65" w:rsidRPr="00324FDD">
        <w:t>97.28</w:t>
      </w:r>
      <w:r w:rsidR="006E4EB1" w:rsidRPr="00324FDD">
        <w:t> TJ at $11.55</w:t>
      </w:r>
      <w:r w:rsidRPr="00324FDD">
        <w:t>/GJ).</w:t>
      </w:r>
    </w:p>
    <w:p w:rsidR="000C1A94" w:rsidRPr="00E06937" w:rsidRDefault="00596DE3" w:rsidP="00551D6B">
      <w:pPr>
        <w:jc w:val="both"/>
      </w:pPr>
      <w:r w:rsidRPr="00552F68">
        <w:t>Figure 6.1 shows the quantity of gas traded by product type for each trading day on pipeline trading locations in the Wallumbilla and Moomba Gas Supply Hubs.</w:t>
      </w:r>
      <w:r>
        <w:rPr>
          <w:rStyle w:val="FootnoteReference"/>
        </w:rPr>
        <w:footnoteReference w:id="13"/>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D81A7E" w:rsidP="00E16EDC">
      <w:r w:rsidRPr="00D81A7E">
        <w:rPr>
          <w:noProof/>
          <w:lang w:eastAsia="en-AU"/>
        </w:rPr>
        <w:drawing>
          <wp:inline distT="0" distB="0" distL="0" distR="0" wp14:anchorId="3AA3E4D8" wp14:editId="3C8F05DD">
            <wp:extent cx="5731510" cy="3124386"/>
            <wp:effectExtent l="0" t="0" r="2540" b="0"/>
            <wp:docPr id="3" name="Picture 3" descr="Figure 6.1 shows the daily quantity of gas traded during the week at each trading location. In the Moomba hub, trading locations include registered facilities at MSP (SWQP) and MAP. In the Wallumbilla hub, trading locations include registered facilities at RBP, SWQP and QGP, and registered/alternate delivery points for non-netted product trades (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4386"/>
                    </a:xfrm>
                    <a:prstGeom prst="rect">
                      <a:avLst/>
                    </a:prstGeom>
                    <a:noFill/>
                    <a:ln>
                      <a:noFill/>
                    </a:ln>
                  </pic:spPr>
                </pic:pic>
              </a:graphicData>
            </a:graphic>
          </wp:inline>
        </w:drawing>
      </w:r>
    </w:p>
    <w:bookmarkEnd w:id="0"/>
    <w:bookmarkEnd w:id="1"/>
    <w:bookmarkEnd w:id="2"/>
    <w:bookmarkEnd w:id="3"/>
    <w:bookmarkEnd w:id="4"/>
    <w:bookmarkEnd w:id="5"/>
    <w:p w:rsidR="00275002" w:rsidRPr="002E5158" w:rsidRDefault="00275002" w:rsidP="00783D4E">
      <w:pPr>
        <w:pStyle w:val="Heading4notnumbered"/>
        <w:rPr>
          <w:b w:val="0"/>
        </w:rPr>
      </w:pPr>
      <w:r w:rsidRPr="00D92E07">
        <w:t>Australian Energy Regulator</w:t>
      </w:r>
      <w:r w:rsidR="005B0EF5" w:rsidRPr="00D92E07">
        <w:br/>
      </w:r>
      <w:r w:rsidR="00D81A7E">
        <w:t>February</w:t>
      </w:r>
      <w:r w:rsidR="00D81A7E" w:rsidRPr="002E5158">
        <w:t xml:space="preserve"> </w:t>
      </w:r>
      <w:r w:rsidR="002E5158" w:rsidRPr="002E5158">
        <w:t>2017</w:t>
      </w:r>
    </w:p>
    <w:sectPr w:rsidR="00275002" w:rsidRPr="002E5158"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784" w:rsidRDefault="00770784" w:rsidP="004B4412">
      <w:pPr>
        <w:spacing w:before="0"/>
      </w:pPr>
      <w:r>
        <w:separator/>
      </w:r>
    </w:p>
  </w:endnote>
  <w:endnote w:type="continuationSeparator" w:id="0">
    <w:p w:rsidR="00770784" w:rsidRDefault="00770784"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B16" w:rsidRPr="00A91A9E" w:rsidRDefault="00546B16"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546B16" w:rsidRDefault="00546B16"/>
  <w:p w:rsidR="00546B16" w:rsidRDefault="00546B1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B16" w:rsidRPr="00A94D89" w:rsidRDefault="00546B16"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FA75E3">
      <w:rPr>
        <w:rFonts w:cs="Arial"/>
        <w:i/>
        <w:noProof/>
      </w:rPr>
      <w:t>12</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B16" w:rsidRPr="00A94D89" w:rsidRDefault="00546B16"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FA75E3">
      <w:rPr>
        <w:rFonts w:cs="Arial"/>
        <w:i/>
        <w:noProof/>
      </w:rPr>
      <w:t>1</w:t>
    </w:r>
    <w:r w:rsidRPr="001F1B78">
      <w:rPr>
        <w:rFonts w:cs="Arial"/>
        <w:i/>
        <w:noProof/>
      </w:rPr>
      <w:fldChar w:fldCharType="end"/>
    </w:r>
    <w:r w:rsidRPr="00F52F00">
      <w:rPr>
        <w:rFonts w:cs="Arial"/>
        <w:i/>
      </w:rPr>
      <w:tab/>
      <w:t>AER reference: 392</w:t>
    </w:r>
    <w:r w:rsidR="00026E0A">
      <w:rPr>
        <w:rFonts w:cs="Arial"/>
        <w:i/>
      </w:rPr>
      <w:t>7</w:t>
    </w:r>
    <w:r w:rsidRPr="00F52F00">
      <w:rPr>
        <w:rFonts w:cs="Arial"/>
        <w:i/>
      </w:rPr>
      <w:t xml:space="preserve">0 – </w:t>
    </w:r>
    <w:r w:rsidRPr="007F43CB">
      <w:rPr>
        <w:rFonts w:cs="Arial"/>
        <w:i/>
        <w:szCs w:val="18"/>
      </w:rPr>
      <w:t>D1</w:t>
    </w:r>
    <w:r w:rsidR="00596DE3">
      <w:rPr>
        <w:rFonts w:cs="Arial"/>
        <w:i/>
        <w:szCs w:val="18"/>
      </w:rPr>
      <w:t>7</w:t>
    </w:r>
    <w:r w:rsidRPr="007F43CB">
      <w:rPr>
        <w:rFonts w:cs="Arial"/>
        <w:i/>
        <w:szCs w:val="18"/>
      </w:rPr>
      <w:t>/</w:t>
    </w:r>
    <w:r w:rsidR="00D81A7E">
      <w:rPr>
        <w:rFonts w:cs="Arial"/>
        <w:i/>
        <w:szCs w:val="18"/>
      </w:rPr>
      <w:t>10677</w:t>
    </w:r>
  </w:p>
  <w:p w:rsidR="00546B16" w:rsidRDefault="00546B1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784" w:rsidRDefault="00770784" w:rsidP="004B4412">
      <w:pPr>
        <w:spacing w:before="0"/>
      </w:pPr>
      <w:r>
        <w:separator/>
      </w:r>
    </w:p>
  </w:footnote>
  <w:footnote w:type="continuationSeparator" w:id="0">
    <w:p w:rsidR="00770784" w:rsidRDefault="00770784" w:rsidP="004B4412">
      <w:pPr>
        <w:spacing w:before="0"/>
      </w:pPr>
      <w:r>
        <w:continuationSeparator/>
      </w:r>
    </w:p>
  </w:footnote>
  <w:footnote w:id="1">
    <w:p w:rsidR="00546B16" w:rsidRPr="000835F4" w:rsidRDefault="00546B16" w:rsidP="000835F4">
      <w:pPr>
        <w:pStyle w:val="FootnoteText"/>
        <w:spacing w:before="0"/>
        <w:ind w:left="709" w:hanging="709"/>
        <w:jc w:val="both"/>
        <w:rPr>
          <w:szCs w:val="16"/>
        </w:rPr>
      </w:pPr>
      <w:r w:rsidRPr="00EC137F">
        <w:rPr>
          <w:rStyle w:val="FootnoteReference"/>
        </w:rPr>
        <w:footnoteRef/>
      </w:r>
      <w:r w:rsidRPr="00EC137F">
        <w:t xml:space="preserve"> </w:t>
      </w:r>
      <w:r w:rsidRPr="00EC137F">
        <w:tab/>
      </w:r>
      <w:r w:rsidR="003106BC" w:rsidRPr="00EC137F">
        <w:t>Average daily quantities are displayed for each region, with the ex</w:t>
      </w:r>
      <w:r w:rsidR="006621AB" w:rsidRPr="00EC137F">
        <w:t>ception of Gas Supply Hubs (GSH</w:t>
      </w:r>
      <w:r w:rsidR="003106BC" w:rsidRPr="00EC137F">
        <w:t xml:space="preserve">). </w:t>
      </w:r>
      <w:r w:rsidRPr="00EC137F">
        <w:rPr>
          <w:szCs w:val="16"/>
        </w:rPr>
        <w:t>The weighted average daily imbalance price applies for Victoria. The prices</w:t>
      </w:r>
      <w:r w:rsidR="003106BC" w:rsidRPr="00EC137F">
        <w:rPr>
          <w:szCs w:val="16"/>
        </w:rPr>
        <w:t xml:space="preserve"> shown for the </w:t>
      </w:r>
      <w:r w:rsidR="006621AB" w:rsidRPr="00EC137F">
        <w:rPr>
          <w:szCs w:val="16"/>
        </w:rPr>
        <w:t>GSH</w:t>
      </w:r>
      <w:r w:rsidRPr="00EC137F">
        <w:rPr>
          <w:szCs w:val="16"/>
        </w:rPr>
        <w:t xml:space="preserve"> in Wallumbilla and Moomba are volume weighted average prices for all products traded across the period.</w:t>
      </w:r>
      <w:r w:rsidR="003106BC" w:rsidRPr="00EC137F">
        <w:rPr>
          <w:szCs w:val="16"/>
        </w:rPr>
        <w:t xml:space="preserve"> The total quantity contributing to the weighted price is displayed for the</w:t>
      </w:r>
      <w:r w:rsidR="006621AB" w:rsidRPr="00EC137F">
        <w:rPr>
          <w:szCs w:val="16"/>
        </w:rPr>
        <w:t>se GSH</w:t>
      </w:r>
      <w:r w:rsidR="003106BC" w:rsidRPr="00EC137F">
        <w:rPr>
          <w:szCs w:val="16"/>
        </w:rPr>
        <w:t>.</w:t>
      </w:r>
    </w:p>
  </w:footnote>
  <w:footnote w:id="2">
    <w:p w:rsidR="00E41F54" w:rsidRDefault="00E41F54" w:rsidP="00E41F54">
      <w:pPr>
        <w:pStyle w:val="FootnoteText"/>
        <w:ind w:left="709" w:hanging="709"/>
        <w:jc w:val="both"/>
      </w:pPr>
      <w:r>
        <w:rPr>
          <w:rStyle w:val="FootnoteReference"/>
        </w:rPr>
        <w:footnoteRef/>
      </w:r>
      <w:r>
        <w:t xml:space="preserve"> </w:t>
      </w:r>
      <w:r>
        <w:tab/>
        <w:t>For more information about this pricing mechanism, please refer to the</w:t>
      </w:r>
      <w:r w:rsidRPr="00794126">
        <w:t xml:space="preserve"> </w:t>
      </w:r>
      <w:hyperlink r:id="rId1" w:history="1">
        <w:r w:rsidRPr="00552A9F">
          <w:rPr>
            <w:rStyle w:val="Hyperlink"/>
            <w:sz w:val="16"/>
          </w:rPr>
          <w:t>6</w:t>
        </w:r>
        <w:r>
          <w:rPr>
            <w:rStyle w:val="Hyperlink"/>
            <w:sz w:val="16"/>
          </w:rPr>
          <w:t xml:space="preserve"> – </w:t>
        </w:r>
        <w:r w:rsidRPr="00552A9F">
          <w:rPr>
            <w:rStyle w:val="Hyperlink"/>
            <w:sz w:val="16"/>
          </w:rPr>
          <w:t>12</w:t>
        </w:r>
        <w:r>
          <w:rPr>
            <w:rStyle w:val="Hyperlink"/>
            <w:sz w:val="16"/>
          </w:rPr>
          <w:t xml:space="preserve"> N</w:t>
        </w:r>
        <w:r w:rsidRPr="00552A9F">
          <w:rPr>
            <w:rStyle w:val="Hyperlink"/>
            <w:sz w:val="16"/>
          </w:rPr>
          <w:t>ovembe</w:t>
        </w:r>
        <w:r>
          <w:rPr>
            <w:rStyle w:val="Hyperlink"/>
            <w:sz w:val="16"/>
          </w:rPr>
          <w:t>r 2016</w:t>
        </w:r>
      </w:hyperlink>
      <w:r>
        <w:t xml:space="preserve"> weekly report.</w:t>
      </w:r>
    </w:p>
  </w:footnote>
  <w:footnote w:id="3">
    <w:p w:rsidR="00546B16" w:rsidRPr="00EC2CB1" w:rsidRDefault="00546B16"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4">
    <w:p w:rsidR="00546B16" w:rsidRPr="00EC2CB1" w:rsidRDefault="00546B16"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5">
    <w:p w:rsidR="00546B16" w:rsidRPr="00EC2CB1" w:rsidRDefault="00546B16"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6">
    <w:p w:rsidR="00546B16" w:rsidRPr="00551D6B" w:rsidRDefault="00546B16"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7">
    <w:p w:rsidR="00546B16" w:rsidRPr="00551D6B" w:rsidRDefault="00546B16"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8">
    <w:p w:rsidR="00546B16" w:rsidRPr="00552F68" w:rsidRDefault="00546B16"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9">
    <w:p w:rsidR="00596DE3" w:rsidRPr="0087350F" w:rsidRDefault="00596DE3"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b/>
          <w:szCs w:val="16"/>
        </w:rPr>
        <w:t>Domestic gas flows</w:t>
      </w:r>
      <w:r w:rsidRPr="0087350F">
        <w:rPr>
          <w:szCs w:val="16"/>
        </w:rPr>
        <w:t xml:space="preserve"> are calculated as the total of:  </w:t>
      </w:r>
      <w:r w:rsidRPr="0087350F">
        <w:rPr>
          <w:b/>
          <w:szCs w:val="16"/>
        </w:rPr>
        <w:t>SA</w:t>
      </w:r>
      <w:r w:rsidRPr="0087350F">
        <w:rPr>
          <w:szCs w:val="16"/>
        </w:rPr>
        <w:t xml:space="preserve"> = MAP + SEAGAS; </w:t>
      </w:r>
      <w:r w:rsidRPr="0087350F">
        <w:rPr>
          <w:b/>
          <w:szCs w:val="16"/>
        </w:rPr>
        <w:t>VIC</w:t>
      </w:r>
      <w:r w:rsidRPr="0087350F">
        <w:rPr>
          <w:szCs w:val="16"/>
        </w:rPr>
        <w:t xml:space="preserve"> = SWP + LMP + (absolute quantity of negative flows only on the ‘NSW-VIC interconnect’); </w:t>
      </w:r>
      <w:r w:rsidRPr="0087350F">
        <w:rPr>
          <w:b/>
          <w:szCs w:val="16"/>
        </w:rPr>
        <w:t>NSW/ACT</w:t>
      </w:r>
      <w:r w:rsidRPr="0087350F">
        <w:rPr>
          <w:szCs w:val="16"/>
        </w:rPr>
        <w:t xml:space="preserve"> = EGP + MSP; </w:t>
      </w:r>
      <w:r w:rsidRPr="0087350F">
        <w:rPr>
          <w:b/>
          <w:szCs w:val="16"/>
        </w:rPr>
        <w:t>TAS</w:t>
      </w:r>
      <w:r w:rsidRPr="0087350F">
        <w:rPr>
          <w:szCs w:val="16"/>
        </w:rPr>
        <w:t xml:space="preserve"> = TGP; </w:t>
      </w:r>
      <w:r w:rsidRPr="0087350F">
        <w:rPr>
          <w:b/>
          <w:szCs w:val="16"/>
        </w:rPr>
        <w:t>QLD (Brisbane)</w:t>
      </w:r>
      <w:r w:rsidRPr="0087350F">
        <w:rPr>
          <w:szCs w:val="16"/>
        </w:rPr>
        <w:t xml:space="preserve"> = RBP; </w:t>
      </w:r>
      <w:r w:rsidRPr="0087350F">
        <w:rPr>
          <w:b/>
          <w:szCs w:val="16"/>
        </w:rPr>
        <w:t>QLD (Mt Isa)</w:t>
      </w:r>
      <w:r w:rsidRPr="0087350F">
        <w:rPr>
          <w:szCs w:val="16"/>
        </w:rPr>
        <w:t xml:space="preserve"> = CGP; and </w:t>
      </w:r>
      <w:r w:rsidRPr="0087350F">
        <w:rPr>
          <w:b/>
          <w:szCs w:val="16"/>
        </w:rPr>
        <w:t>QLD (Gladstone)</w:t>
      </w:r>
      <w:r w:rsidRPr="0087350F">
        <w:rPr>
          <w:szCs w:val="16"/>
        </w:rPr>
        <w:t xml:space="preserve"> = QGP. </w:t>
      </w:r>
    </w:p>
    <w:p w:rsidR="00596DE3" w:rsidRPr="0087350F" w:rsidRDefault="00596DE3" w:rsidP="00596DE3">
      <w:pPr>
        <w:pStyle w:val="FootnoteText"/>
        <w:spacing w:before="0"/>
        <w:ind w:left="709"/>
        <w:jc w:val="both"/>
        <w:rPr>
          <w:szCs w:val="16"/>
        </w:rPr>
      </w:pPr>
      <w:r w:rsidRPr="0087350F">
        <w:rPr>
          <w:b/>
          <w:szCs w:val="16"/>
        </w:rPr>
        <w:t xml:space="preserve">Export gas flows </w:t>
      </w:r>
      <w:r w:rsidRPr="0087350F">
        <w:rPr>
          <w:szCs w:val="16"/>
        </w:rPr>
        <w:t>are calculated as the total of: the APLNG pipeline; the GLNG pipeline; and the Wallumbilla to Gladstone pipeline.</w:t>
      </w:r>
    </w:p>
    <w:p w:rsidR="00596DE3" w:rsidRPr="0087350F" w:rsidRDefault="00596DE3" w:rsidP="00596DE3">
      <w:pPr>
        <w:pStyle w:val="FootnoteText"/>
        <w:spacing w:before="0"/>
        <w:ind w:left="709"/>
        <w:jc w:val="both"/>
        <w:rPr>
          <w:szCs w:val="16"/>
        </w:rPr>
      </w:pPr>
      <w:r w:rsidRPr="0087350F">
        <w:rPr>
          <w:b/>
          <w:szCs w:val="16"/>
        </w:rPr>
        <w:t>GPG volumes</w:t>
      </w:r>
      <w:r w:rsidRPr="0087350F">
        <w:rPr>
          <w:szCs w:val="16"/>
        </w:rPr>
        <w:t xml:space="preserve"> may include gas usage that does not show up on Bulletin Board pipeline flows.</w:t>
      </w:r>
    </w:p>
  </w:footnote>
  <w:footnote w:id="10">
    <w:p w:rsidR="00596DE3" w:rsidRPr="0087350F" w:rsidRDefault="00596DE3"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szCs w:val="16"/>
        </w:rPr>
        <w:t>GSH supply is the average daily volume of gas ‘traded’, while price is a volume weighted average.</w:t>
      </w:r>
      <w:r>
        <w:rPr>
          <w:szCs w:val="16"/>
        </w:rPr>
        <w:t xml:space="preserve"> Optional hub services (for compression and redirection) are shown separately from commodity trades.</w:t>
      </w:r>
    </w:p>
  </w:footnote>
  <w:footnote w:id="11">
    <w:p w:rsidR="00596DE3" w:rsidRDefault="00596DE3" w:rsidP="00596DE3">
      <w:pPr>
        <w:pStyle w:val="FootnoteText"/>
      </w:pPr>
      <w:r w:rsidRPr="00596DE3">
        <w:rPr>
          <w:rStyle w:val="FootnoteReference"/>
          <w:sz w:val="20"/>
        </w:rPr>
        <w:footnoteRef/>
      </w:r>
      <w:r w:rsidRPr="00596DE3">
        <w:rPr>
          <w:sz w:val="20"/>
        </w:rPr>
        <w:t xml:space="preserve"> </w:t>
      </w:r>
      <w:r w:rsidRPr="00596DE3">
        <w:rPr>
          <w:sz w:val="20"/>
        </w:rPr>
        <w:tab/>
      </w:r>
      <w:r>
        <w:t xml:space="preserve">Net flows are shown for Bulletin Board facilities, as outlined in the </w:t>
      </w:r>
      <w:hyperlink r:id="rId2" w:history="1">
        <w:r w:rsidRPr="00A952AA">
          <w:rPr>
            <w:rStyle w:val="Hyperlink"/>
            <w:sz w:val="16"/>
          </w:rPr>
          <w:t>user guide</w:t>
        </w:r>
      </w:hyperlink>
      <w:r>
        <w:t>.</w:t>
      </w:r>
    </w:p>
  </w:footnote>
  <w:footnote w:id="12">
    <w:p w:rsidR="00596DE3" w:rsidRDefault="00596DE3"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 xml:space="preserve">Additional information on trading locations and available products is detailed in the </w:t>
      </w:r>
      <w:hyperlink r:id="rId3" w:history="1">
        <w:r w:rsidRPr="00A952AA">
          <w:rPr>
            <w:rStyle w:val="Hyperlink"/>
            <w:sz w:val="16"/>
          </w:rPr>
          <w:t>user guide</w:t>
        </w:r>
      </w:hyperlink>
      <w:r>
        <w:t>.</w:t>
      </w:r>
    </w:p>
  </w:footnote>
  <w:footnote w:id="13">
    <w:p w:rsidR="00596DE3" w:rsidRDefault="00596DE3"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Non-netted (off-market) trades, allowing the selection of specific delivery point at a trading location, are denoted as WAL*.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removePersonalInformation/>
  <w:removeDateAndTime/>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10572\D17 10677  20170108 - 20170114 gas weekly report.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6E0A"/>
    <w:rsid w:val="00030794"/>
    <w:rsid w:val="000308B1"/>
    <w:rsid w:val="000312E6"/>
    <w:rsid w:val="000316E7"/>
    <w:rsid w:val="00033902"/>
    <w:rsid w:val="00033BE8"/>
    <w:rsid w:val="000345C8"/>
    <w:rsid w:val="00034A40"/>
    <w:rsid w:val="0003564D"/>
    <w:rsid w:val="0003578C"/>
    <w:rsid w:val="00035A9A"/>
    <w:rsid w:val="00037A6F"/>
    <w:rsid w:val="00037EB9"/>
    <w:rsid w:val="00040E4C"/>
    <w:rsid w:val="00041A89"/>
    <w:rsid w:val="000422AB"/>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A241B"/>
    <w:rsid w:val="000A29ED"/>
    <w:rsid w:val="000A4529"/>
    <w:rsid w:val="000A62B4"/>
    <w:rsid w:val="000A62D6"/>
    <w:rsid w:val="000A6F14"/>
    <w:rsid w:val="000B0311"/>
    <w:rsid w:val="000B364C"/>
    <w:rsid w:val="000B3C8A"/>
    <w:rsid w:val="000B3DFB"/>
    <w:rsid w:val="000C0472"/>
    <w:rsid w:val="000C1A94"/>
    <w:rsid w:val="000C52E2"/>
    <w:rsid w:val="000D122C"/>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100142"/>
    <w:rsid w:val="00102B64"/>
    <w:rsid w:val="00105281"/>
    <w:rsid w:val="00105AF3"/>
    <w:rsid w:val="001107FF"/>
    <w:rsid w:val="00113430"/>
    <w:rsid w:val="00113AE0"/>
    <w:rsid w:val="001158FE"/>
    <w:rsid w:val="00115CCB"/>
    <w:rsid w:val="00116EB2"/>
    <w:rsid w:val="00117195"/>
    <w:rsid w:val="00117DC1"/>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232E"/>
    <w:rsid w:val="00173AE6"/>
    <w:rsid w:val="00173DC1"/>
    <w:rsid w:val="00174102"/>
    <w:rsid w:val="001756AF"/>
    <w:rsid w:val="001778E3"/>
    <w:rsid w:val="00180157"/>
    <w:rsid w:val="00181C46"/>
    <w:rsid w:val="001832C7"/>
    <w:rsid w:val="001840C6"/>
    <w:rsid w:val="00186831"/>
    <w:rsid w:val="00186F77"/>
    <w:rsid w:val="001901A4"/>
    <w:rsid w:val="00190F24"/>
    <w:rsid w:val="00191C6F"/>
    <w:rsid w:val="00192441"/>
    <w:rsid w:val="001926A4"/>
    <w:rsid w:val="001934E9"/>
    <w:rsid w:val="0019393B"/>
    <w:rsid w:val="00193ED7"/>
    <w:rsid w:val="001968BD"/>
    <w:rsid w:val="001A2C0A"/>
    <w:rsid w:val="001A3CDA"/>
    <w:rsid w:val="001A6790"/>
    <w:rsid w:val="001B0C3B"/>
    <w:rsid w:val="001B2363"/>
    <w:rsid w:val="001B3ABC"/>
    <w:rsid w:val="001B45A0"/>
    <w:rsid w:val="001B4A7D"/>
    <w:rsid w:val="001B520A"/>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D26"/>
    <w:rsid w:val="00231C73"/>
    <w:rsid w:val="00232A71"/>
    <w:rsid w:val="00232FBD"/>
    <w:rsid w:val="002338A0"/>
    <w:rsid w:val="0023490B"/>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5486"/>
    <w:rsid w:val="0026772D"/>
    <w:rsid w:val="00270A51"/>
    <w:rsid w:val="00270AF4"/>
    <w:rsid w:val="0027318A"/>
    <w:rsid w:val="00275002"/>
    <w:rsid w:val="00275927"/>
    <w:rsid w:val="002762EA"/>
    <w:rsid w:val="00276A9F"/>
    <w:rsid w:val="00277570"/>
    <w:rsid w:val="002817AB"/>
    <w:rsid w:val="002828A0"/>
    <w:rsid w:val="00283BF8"/>
    <w:rsid w:val="0028440E"/>
    <w:rsid w:val="0028521F"/>
    <w:rsid w:val="00285B8A"/>
    <w:rsid w:val="00286866"/>
    <w:rsid w:val="00286874"/>
    <w:rsid w:val="00291658"/>
    <w:rsid w:val="0029246F"/>
    <w:rsid w:val="00294653"/>
    <w:rsid w:val="00294D01"/>
    <w:rsid w:val="00296B65"/>
    <w:rsid w:val="00296CDF"/>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C224E"/>
    <w:rsid w:val="002C2278"/>
    <w:rsid w:val="002C2A63"/>
    <w:rsid w:val="002C341F"/>
    <w:rsid w:val="002C3E5B"/>
    <w:rsid w:val="002C42B0"/>
    <w:rsid w:val="002C4965"/>
    <w:rsid w:val="002C581B"/>
    <w:rsid w:val="002C621D"/>
    <w:rsid w:val="002C6B96"/>
    <w:rsid w:val="002C6DD3"/>
    <w:rsid w:val="002D1734"/>
    <w:rsid w:val="002D37FB"/>
    <w:rsid w:val="002D484E"/>
    <w:rsid w:val="002D4A1F"/>
    <w:rsid w:val="002E0418"/>
    <w:rsid w:val="002E29A0"/>
    <w:rsid w:val="002E5158"/>
    <w:rsid w:val="002E5E33"/>
    <w:rsid w:val="002E6254"/>
    <w:rsid w:val="002E64AB"/>
    <w:rsid w:val="002F02A4"/>
    <w:rsid w:val="002F22FD"/>
    <w:rsid w:val="002F2481"/>
    <w:rsid w:val="002F3D02"/>
    <w:rsid w:val="002F4F34"/>
    <w:rsid w:val="002F7986"/>
    <w:rsid w:val="00300C0B"/>
    <w:rsid w:val="00302D83"/>
    <w:rsid w:val="003061FA"/>
    <w:rsid w:val="003062C2"/>
    <w:rsid w:val="00306DD8"/>
    <w:rsid w:val="00307F6D"/>
    <w:rsid w:val="003105F5"/>
    <w:rsid w:val="003106BC"/>
    <w:rsid w:val="0031318F"/>
    <w:rsid w:val="003152BD"/>
    <w:rsid w:val="003153EB"/>
    <w:rsid w:val="003171C6"/>
    <w:rsid w:val="003177A2"/>
    <w:rsid w:val="00317A81"/>
    <w:rsid w:val="003208C0"/>
    <w:rsid w:val="0032157B"/>
    <w:rsid w:val="00321853"/>
    <w:rsid w:val="00322300"/>
    <w:rsid w:val="00323CE7"/>
    <w:rsid w:val="003243B4"/>
    <w:rsid w:val="00324FDD"/>
    <w:rsid w:val="003271B5"/>
    <w:rsid w:val="003274A9"/>
    <w:rsid w:val="0032770E"/>
    <w:rsid w:val="00331264"/>
    <w:rsid w:val="00332F5D"/>
    <w:rsid w:val="00334C8D"/>
    <w:rsid w:val="00336D50"/>
    <w:rsid w:val="003375A4"/>
    <w:rsid w:val="00337F4F"/>
    <w:rsid w:val="003401B9"/>
    <w:rsid w:val="00341169"/>
    <w:rsid w:val="00342870"/>
    <w:rsid w:val="00343BF7"/>
    <w:rsid w:val="00346F05"/>
    <w:rsid w:val="0035089F"/>
    <w:rsid w:val="00350AA7"/>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5744"/>
    <w:rsid w:val="00366515"/>
    <w:rsid w:val="003705AE"/>
    <w:rsid w:val="003715C8"/>
    <w:rsid w:val="00371F3A"/>
    <w:rsid w:val="003749F7"/>
    <w:rsid w:val="00375E24"/>
    <w:rsid w:val="00376373"/>
    <w:rsid w:val="00383C6B"/>
    <w:rsid w:val="003846F1"/>
    <w:rsid w:val="00384A55"/>
    <w:rsid w:val="00384B54"/>
    <w:rsid w:val="00386C86"/>
    <w:rsid w:val="003874F8"/>
    <w:rsid w:val="003904D2"/>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1881"/>
    <w:rsid w:val="003E3C33"/>
    <w:rsid w:val="003E47DC"/>
    <w:rsid w:val="003E521D"/>
    <w:rsid w:val="003E74FF"/>
    <w:rsid w:val="003E78A9"/>
    <w:rsid w:val="003F004E"/>
    <w:rsid w:val="003F0289"/>
    <w:rsid w:val="003F3672"/>
    <w:rsid w:val="003F54CB"/>
    <w:rsid w:val="003F57F1"/>
    <w:rsid w:val="003F5F74"/>
    <w:rsid w:val="003F66C5"/>
    <w:rsid w:val="003F75C8"/>
    <w:rsid w:val="00401B53"/>
    <w:rsid w:val="00402142"/>
    <w:rsid w:val="00403473"/>
    <w:rsid w:val="00403479"/>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2731"/>
    <w:rsid w:val="0042429B"/>
    <w:rsid w:val="00424809"/>
    <w:rsid w:val="004253D6"/>
    <w:rsid w:val="004303EE"/>
    <w:rsid w:val="00436F76"/>
    <w:rsid w:val="00440D85"/>
    <w:rsid w:val="00441A99"/>
    <w:rsid w:val="00442767"/>
    <w:rsid w:val="0044413C"/>
    <w:rsid w:val="00444A48"/>
    <w:rsid w:val="00450611"/>
    <w:rsid w:val="004507A1"/>
    <w:rsid w:val="0045129B"/>
    <w:rsid w:val="004518EA"/>
    <w:rsid w:val="00453327"/>
    <w:rsid w:val="00456C20"/>
    <w:rsid w:val="00462CFF"/>
    <w:rsid w:val="00465210"/>
    <w:rsid w:val="00470AF4"/>
    <w:rsid w:val="00470EE9"/>
    <w:rsid w:val="0047130B"/>
    <w:rsid w:val="00471992"/>
    <w:rsid w:val="00471E68"/>
    <w:rsid w:val="0047346C"/>
    <w:rsid w:val="00477821"/>
    <w:rsid w:val="0048018F"/>
    <w:rsid w:val="00480B4B"/>
    <w:rsid w:val="00480DA9"/>
    <w:rsid w:val="004831F8"/>
    <w:rsid w:val="00485752"/>
    <w:rsid w:val="00485DC4"/>
    <w:rsid w:val="00487C10"/>
    <w:rsid w:val="004923CD"/>
    <w:rsid w:val="00492A06"/>
    <w:rsid w:val="00493B02"/>
    <w:rsid w:val="00494036"/>
    <w:rsid w:val="00495574"/>
    <w:rsid w:val="0049751C"/>
    <w:rsid w:val="004A0AB5"/>
    <w:rsid w:val="004A1061"/>
    <w:rsid w:val="004A1184"/>
    <w:rsid w:val="004A13A6"/>
    <w:rsid w:val="004A2770"/>
    <w:rsid w:val="004A364A"/>
    <w:rsid w:val="004B104F"/>
    <w:rsid w:val="004B1708"/>
    <w:rsid w:val="004B231C"/>
    <w:rsid w:val="004B42A7"/>
    <w:rsid w:val="004B4412"/>
    <w:rsid w:val="004B5B3F"/>
    <w:rsid w:val="004C28B2"/>
    <w:rsid w:val="004C348C"/>
    <w:rsid w:val="004C4E90"/>
    <w:rsid w:val="004C571B"/>
    <w:rsid w:val="004C63B9"/>
    <w:rsid w:val="004C6486"/>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4240"/>
    <w:rsid w:val="005177C0"/>
    <w:rsid w:val="00522360"/>
    <w:rsid w:val="00522486"/>
    <w:rsid w:val="00522668"/>
    <w:rsid w:val="00523AD2"/>
    <w:rsid w:val="00524513"/>
    <w:rsid w:val="0052560B"/>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6C73"/>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96DE3"/>
    <w:rsid w:val="005A1287"/>
    <w:rsid w:val="005A1339"/>
    <w:rsid w:val="005A3B2C"/>
    <w:rsid w:val="005A3F7E"/>
    <w:rsid w:val="005A404D"/>
    <w:rsid w:val="005A42D5"/>
    <w:rsid w:val="005A5657"/>
    <w:rsid w:val="005A6CB0"/>
    <w:rsid w:val="005A6F22"/>
    <w:rsid w:val="005A731B"/>
    <w:rsid w:val="005B0080"/>
    <w:rsid w:val="005B0461"/>
    <w:rsid w:val="005B0EF5"/>
    <w:rsid w:val="005B1402"/>
    <w:rsid w:val="005B1E3C"/>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D24A9"/>
    <w:rsid w:val="005D2FBD"/>
    <w:rsid w:val="005D5ECD"/>
    <w:rsid w:val="005D69AF"/>
    <w:rsid w:val="005E0B7E"/>
    <w:rsid w:val="005E0FBF"/>
    <w:rsid w:val="005E2086"/>
    <w:rsid w:val="005E6FFA"/>
    <w:rsid w:val="005E7718"/>
    <w:rsid w:val="005F0661"/>
    <w:rsid w:val="005F0CD5"/>
    <w:rsid w:val="005F1A79"/>
    <w:rsid w:val="005F69C4"/>
    <w:rsid w:val="005F6ADE"/>
    <w:rsid w:val="005F702C"/>
    <w:rsid w:val="005F7247"/>
    <w:rsid w:val="00600B2D"/>
    <w:rsid w:val="00602A58"/>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7180B"/>
    <w:rsid w:val="00673D15"/>
    <w:rsid w:val="006741D4"/>
    <w:rsid w:val="00675E21"/>
    <w:rsid w:val="00676679"/>
    <w:rsid w:val="00677233"/>
    <w:rsid w:val="006777D7"/>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29CF"/>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4EB1"/>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7011"/>
    <w:rsid w:val="00707563"/>
    <w:rsid w:val="00711BF6"/>
    <w:rsid w:val="00712D03"/>
    <w:rsid w:val="00714DBC"/>
    <w:rsid w:val="00716355"/>
    <w:rsid w:val="0071735A"/>
    <w:rsid w:val="0072073C"/>
    <w:rsid w:val="00720AB2"/>
    <w:rsid w:val="0072348C"/>
    <w:rsid w:val="007241D7"/>
    <w:rsid w:val="007247EC"/>
    <w:rsid w:val="00724827"/>
    <w:rsid w:val="00724A37"/>
    <w:rsid w:val="00724BF3"/>
    <w:rsid w:val="00727D4D"/>
    <w:rsid w:val="007303C3"/>
    <w:rsid w:val="00731F13"/>
    <w:rsid w:val="0073214E"/>
    <w:rsid w:val="0073561F"/>
    <w:rsid w:val="007356A7"/>
    <w:rsid w:val="00740ADA"/>
    <w:rsid w:val="00741247"/>
    <w:rsid w:val="00741D03"/>
    <w:rsid w:val="007426D5"/>
    <w:rsid w:val="00743223"/>
    <w:rsid w:val="00743977"/>
    <w:rsid w:val="00746063"/>
    <w:rsid w:val="00746E01"/>
    <w:rsid w:val="00747D2F"/>
    <w:rsid w:val="00751821"/>
    <w:rsid w:val="007532DD"/>
    <w:rsid w:val="00753ADA"/>
    <w:rsid w:val="00760FD8"/>
    <w:rsid w:val="007618A3"/>
    <w:rsid w:val="00762D41"/>
    <w:rsid w:val="00763E5D"/>
    <w:rsid w:val="00764C7F"/>
    <w:rsid w:val="007672E0"/>
    <w:rsid w:val="00767740"/>
    <w:rsid w:val="00770784"/>
    <w:rsid w:val="00771822"/>
    <w:rsid w:val="00772A95"/>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C78"/>
    <w:rsid w:val="00796D6A"/>
    <w:rsid w:val="007A1135"/>
    <w:rsid w:val="007A1428"/>
    <w:rsid w:val="007A1AB0"/>
    <w:rsid w:val="007A33E8"/>
    <w:rsid w:val="007A6656"/>
    <w:rsid w:val="007A7264"/>
    <w:rsid w:val="007B1732"/>
    <w:rsid w:val="007B2C72"/>
    <w:rsid w:val="007B3F68"/>
    <w:rsid w:val="007B497F"/>
    <w:rsid w:val="007B57F8"/>
    <w:rsid w:val="007B742A"/>
    <w:rsid w:val="007B78AB"/>
    <w:rsid w:val="007C1C53"/>
    <w:rsid w:val="007C2EE8"/>
    <w:rsid w:val="007C62FE"/>
    <w:rsid w:val="007C6FE2"/>
    <w:rsid w:val="007D1133"/>
    <w:rsid w:val="007D2028"/>
    <w:rsid w:val="007D47B2"/>
    <w:rsid w:val="007D53A8"/>
    <w:rsid w:val="007D6FC9"/>
    <w:rsid w:val="007E1516"/>
    <w:rsid w:val="007E2A64"/>
    <w:rsid w:val="007E4904"/>
    <w:rsid w:val="007E4CB5"/>
    <w:rsid w:val="007E5597"/>
    <w:rsid w:val="007E74E0"/>
    <w:rsid w:val="007E7C4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53D"/>
    <w:rsid w:val="00812E7B"/>
    <w:rsid w:val="0081351D"/>
    <w:rsid w:val="00813CE4"/>
    <w:rsid w:val="0081592A"/>
    <w:rsid w:val="00816EF6"/>
    <w:rsid w:val="00817724"/>
    <w:rsid w:val="008238B2"/>
    <w:rsid w:val="008245E2"/>
    <w:rsid w:val="008257CA"/>
    <w:rsid w:val="008301E7"/>
    <w:rsid w:val="00831483"/>
    <w:rsid w:val="008344B4"/>
    <w:rsid w:val="008344F6"/>
    <w:rsid w:val="0083510F"/>
    <w:rsid w:val="008366CD"/>
    <w:rsid w:val="00836890"/>
    <w:rsid w:val="00840C6C"/>
    <w:rsid w:val="00840FCC"/>
    <w:rsid w:val="008445D3"/>
    <w:rsid w:val="00845396"/>
    <w:rsid w:val="00847ED9"/>
    <w:rsid w:val="00851209"/>
    <w:rsid w:val="0085188E"/>
    <w:rsid w:val="00851B46"/>
    <w:rsid w:val="00852B3D"/>
    <w:rsid w:val="008556A5"/>
    <w:rsid w:val="00856965"/>
    <w:rsid w:val="00857917"/>
    <w:rsid w:val="00861AED"/>
    <w:rsid w:val="00864A9F"/>
    <w:rsid w:val="00867506"/>
    <w:rsid w:val="008707C1"/>
    <w:rsid w:val="00870903"/>
    <w:rsid w:val="00871BF2"/>
    <w:rsid w:val="0087280A"/>
    <w:rsid w:val="0087308C"/>
    <w:rsid w:val="0087350F"/>
    <w:rsid w:val="008736CD"/>
    <w:rsid w:val="00873B1F"/>
    <w:rsid w:val="0087479D"/>
    <w:rsid w:val="008837AC"/>
    <w:rsid w:val="00884D30"/>
    <w:rsid w:val="0088604D"/>
    <w:rsid w:val="00886662"/>
    <w:rsid w:val="00886BAB"/>
    <w:rsid w:val="00886CEC"/>
    <w:rsid w:val="00886FA8"/>
    <w:rsid w:val="00887EBF"/>
    <w:rsid w:val="008909FD"/>
    <w:rsid w:val="008934F4"/>
    <w:rsid w:val="00895878"/>
    <w:rsid w:val="00896C79"/>
    <w:rsid w:val="008A147B"/>
    <w:rsid w:val="008A157D"/>
    <w:rsid w:val="008A4DB6"/>
    <w:rsid w:val="008A587D"/>
    <w:rsid w:val="008A59AB"/>
    <w:rsid w:val="008A6198"/>
    <w:rsid w:val="008A7580"/>
    <w:rsid w:val="008A7E37"/>
    <w:rsid w:val="008B0D4C"/>
    <w:rsid w:val="008B22BE"/>
    <w:rsid w:val="008B416B"/>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E0645"/>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32528"/>
    <w:rsid w:val="00932606"/>
    <w:rsid w:val="009335AE"/>
    <w:rsid w:val="00933B55"/>
    <w:rsid w:val="00936740"/>
    <w:rsid w:val="009377D8"/>
    <w:rsid w:val="00940393"/>
    <w:rsid w:val="0094150C"/>
    <w:rsid w:val="00941935"/>
    <w:rsid w:val="00942863"/>
    <w:rsid w:val="00944863"/>
    <w:rsid w:val="009456DC"/>
    <w:rsid w:val="00947919"/>
    <w:rsid w:val="00950B15"/>
    <w:rsid w:val="0095158D"/>
    <w:rsid w:val="00952CCE"/>
    <w:rsid w:val="00952CF7"/>
    <w:rsid w:val="00953534"/>
    <w:rsid w:val="00953807"/>
    <w:rsid w:val="009540FA"/>
    <w:rsid w:val="00956C19"/>
    <w:rsid w:val="00957591"/>
    <w:rsid w:val="0095772E"/>
    <w:rsid w:val="00960AC5"/>
    <w:rsid w:val="00960C83"/>
    <w:rsid w:val="00963914"/>
    <w:rsid w:val="00963EC7"/>
    <w:rsid w:val="009661DE"/>
    <w:rsid w:val="009721AF"/>
    <w:rsid w:val="00972A40"/>
    <w:rsid w:val="00974CDB"/>
    <w:rsid w:val="009777E3"/>
    <w:rsid w:val="00981578"/>
    <w:rsid w:val="00981E7F"/>
    <w:rsid w:val="00982FEB"/>
    <w:rsid w:val="009837D1"/>
    <w:rsid w:val="00983EEC"/>
    <w:rsid w:val="009856B7"/>
    <w:rsid w:val="00985A66"/>
    <w:rsid w:val="0098646A"/>
    <w:rsid w:val="009920D2"/>
    <w:rsid w:val="009928BC"/>
    <w:rsid w:val="009937B4"/>
    <w:rsid w:val="0099572C"/>
    <w:rsid w:val="00995879"/>
    <w:rsid w:val="009A090B"/>
    <w:rsid w:val="009A0A73"/>
    <w:rsid w:val="009A0EDF"/>
    <w:rsid w:val="009A14D0"/>
    <w:rsid w:val="009A3598"/>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C5E"/>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A79"/>
    <w:rsid w:val="009F1D03"/>
    <w:rsid w:val="009F1E42"/>
    <w:rsid w:val="009F2CAC"/>
    <w:rsid w:val="009F4806"/>
    <w:rsid w:val="009F4940"/>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632A"/>
    <w:rsid w:val="00A42006"/>
    <w:rsid w:val="00A42B9E"/>
    <w:rsid w:val="00A432BC"/>
    <w:rsid w:val="00A433FB"/>
    <w:rsid w:val="00A4478A"/>
    <w:rsid w:val="00A44852"/>
    <w:rsid w:val="00A45EAC"/>
    <w:rsid w:val="00A47A03"/>
    <w:rsid w:val="00A523B2"/>
    <w:rsid w:val="00A52A18"/>
    <w:rsid w:val="00A5631E"/>
    <w:rsid w:val="00A56534"/>
    <w:rsid w:val="00A575E8"/>
    <w:rsid w:val="00A57D04"/>
    <w:rsid w:val="00A57D69"/>
    <w:rsid w:val="00A60A26"/>
    <w:rsid w:val="00A61598"/>
    <w:rsid w:val="00A61DCF"/>
    <w:rsid w:val="00A645F9"/>
    <w:rsid w:val="00A64EBB"/>
    <w:rsid w:val="00A672B8"/>
    <w:rsid w:val="00A6730F"/>
    <w:rsid w:val="00A679F2"/>
    <w:rsid w:val="00A70908"/>
    <w:rsid w:val="00A71AA6"/>
    <w:rsid w:val="00A75AAA"/>
    <w:rsid w:val="00A81710"/>
    <w:rsid w:val="00A81EF8"/>
    <w:rsid w:val="00A8219E"/>
    <w:rsid w:val="00A84149"/>
    <w:rsid w:val="00A84E2D"/>
    <w:rsid w:val="00A84F46"/>
    <w:rsid w:val="00A871F4"/>
    <w:rsid w:val="00A87F90"/>
    <w:rsid w:val="00A912B1"/>
    <w:rsid w:val="00A91A4B"/>
    <w:rsid w:val="00A923DD"/>
    <w:rsid w:val="00A9455D"/>
    <w:rsid w:val="00A94D89"/>
    <w:rsid w:val="00A956AD"/>
    <w:rsid w:val="00A96CE0"/>
    <w:rsid w:val="00A971A0"/>
    <w:rsid w:val="00AA0CEB"/>
    <w:rsid w:val="00AA12D3"/>
    <w:rsid w:val="00AA39C0"/>
    <w:rsid w:val="00AA3A2C"/>
    <w:rsid w:val="00AA476F"/>
    <w:rsid w:val="00AA649A"/>
    <w:rsid w:val="00AA73F0"/>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F0CA1"/>
    <w:rsid w:val="00AF0DD2"/>
    <w:rsid w:val="00AF0ED5"/>
    <w:rsid w:val="00AF3A41"/>
    <w:rsid w:val="00AF46F3"/>
    <w:rsid w:val="00AF66A7"/>
    <w:rsid w:val="00AF7058"/>
    <w:rsid w:val="00AF7C0E"/>
    <w:rsid w:val="00B01BD3"/>
    <w:rsid w:val="00B02ED5"/>
    <w:rsid w:val="00B03817"/>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273"/>
    <w:rsid w:val="00B26AAA"/>
    <w:rsid w:val="00B276D9"/>
    <w:rsid w:val="00B302BF"/>
    <w:rsid w:val="00B30D82"/>
    <w:rsid w:val="00B31071"/>
    <w:rsid w:val="00B33C7F"/>
    <w:rsid w:val="00B35810"/>
    <w:rsid w:val="00B35937"/>
    <w:rsid w:val="00B3773B"/>
    <w:rsid w:val="00B4128D"/>
    <w:rsid w:val="00B41686"/>
    <w:rsid w:val="00B44E99"/>
    <w:rsid w:val="00B474EE"/>
    <w:rsid w:val="00B52EC8"/>
    <w:rsid w:val="00B55C24"/>
    <w:rsid w:val="00B56CF6"/>
    <w:rsid w:val="00B56E03"/>
    <w:rsid w:val="00B6278D"/>
    <w:rsid w:val="00B62BB5"/>
    <w:rsid w:val="00B63E2C"/>
    <w:rsid w:val="00B64DF7"/>
    <w:rsid w:val="00B652AF"/>
    <w:rsid w:val="00B65CAC"/>
    <w:rsid w:val="00B66E74"/>
    <w:rsid w:val="00B673A4"/>
    <w:rsid w:val="00B70A7F"/>
    <w:rsid w:val="00B70CA5"/>
    <w:rsid w:val="00B7397E"/>
    <w:rsid w:val="00B73C3A"/>
    <w:rsid w:val="00B752C5"/>
    <w:rsid w:val="00B8080B"/>
    <w:rsid w:val="00B82845"/>
    <w:rsid w:val="00B85D8A"/>
    <w:rsid w:val="00B87C39"/>
    <w:rsid w:val="00B87DD6"/>
    <w:rsid w:val="00B904FF"/>
    <w:rsid w:val="00B91BE8"/>
    <w:rsid w:val="00B92CD5"/>
    <w:rsid w:val="00B94196"/>
    <w:rsid w:val="00B956D7"/>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4CD2"/>
    <w:rsid w:val="00BC614B"/>
    <w:rsid w:val="00BC6398"/>
    <w:rsid w:val="00BC675F"/>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4065"/>
    <w:rsid w:val="00C35876"/>
    <w:rsid w:val="00C361EB"/>
    <w:rsid w:val="00C41237"/>
    <w:rsid w:val="00C420D7"/>
    <w:rsid w:val="00C420EB"/>
    <w:rsid w:val="00C43C4F"/>
    <w:rsid w:val="00C452B9"/>
    <w:rsid w:val="00C466B4"/>
    <w:rsid w:val="00C46AB5"/>
    <w:rsid w:val="00C4709E"/>
    <w:rsid w:val="00C4712A"/>
    <w:rsid w:val="00C47D4C"/>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72E0"/>
    <w:rsid w:val="00C70205"/>
    <w:rsid w:val="00C725A6"/>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3ED8"/>
    <w:rsid w:val="00C9478B"/>
    <w:rsid w:val="00C950AF"/>
    <w:rsid w:val="00C9660A"/>
    <w:rsid w:val="00C96A92"/>
    <w:rsid w:val="00CA04F2"/>
    <w:rsid w:val="00CA0ECB"/>
    <w:rsid w:val="00CA4C32"/>
    <w:rsid w:val="00CA4EE0"/>
    <w:rsid w:val="00CA51FE"/>
    <w:rsid w:val="00CA6B3A"/>
    <w:rsid w:val="00CA771A"/>
    <w:rsid w:val="00CA7D3F"/>
    <w:rsid w:val="00CB0FA5"/>
    <w:rsid w:val="00CB45EC"/>
    <w:rsid w:val="00CB666B"/>
    <w:rsid w:val="00CB695E"/>
    <w:rsid w:val="00CC1AC0"/>
    <w:rsid w:val="00CC1D64"/>
    <w:rsid w:val="00CC2C03"/>
    <w:rsid w:val="00CC2CA1"/>
    <w:rsid w:val="00CC3B19"/>
    <w:rsid w:val="00CC6516"/>
    <w:rsid w:val="00CC656F"/>
    <w:rsid w:val="00CC6738"/>
    <w:rsid w:val="00CD2754"/>
    <w:rsid w:val="00CD40AD"/>
    <w:rsid w:val="00CD4E7F"/>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4DFD"/>
    <w:rsid w:val="00CF5382"/>
    <w:rsid w:val="00CF62CA"/>
    <w:rsid w:val="00CF6F3C"/>
    <w:rsid w:val="00CF7D47"/>
    <w:rsid w:val="00D01CF0"/>
    <w:rsid w:val="00D0442A"/>
    <w:rsid w:val="00D05840"/>
    <w:rsid w:val="00D07128"/>
    <w:rsid w:val="00D10120"/>
    <w:rsid w:val="00D10E76"/>
    <w:rsid w:val="00D11721"/>
    <w:rsid w:val="00D11CB3"/>
    <w:rsid w:val="00D1516F"/>
    <w:rsid w:val="00D1614C"/>
    <w:rsid w:val="00D16710"/>
    <w:rsid w:val="00D22BD4"/>
    <w:rsid w:val="00D22E23"/>
    <w:rsid w:val="00D2306D"/>
    <w:rsid w:val="00D250AC"/>
    <w:rsid w:val="00D26CE4"/>
    <w:rsid w:val="00D270E1"/>
    <w:rsid w:val="00D323D0"/>
    <w:rsid w:val="00D32684"/>
    <w:rsid w:val="00D32767"/>
    <w:rsid w:val="00D33489"/>
    <w:rsid w:val="00D372FA"/>
    <w:rsid w:val="00D40B44"/>
    <w:rsid w:val="00D43663"/>
    <w:rsid w:val="00D44037"/>
    <w:rsid w:val="00D4594F"/>
    <w:rsid w:val="00D4681D"/>
    <w:rsid w:val="00D5111E"/>
    <w:rsid w:val="00D5124C"/>
    <w:rsid w:val="00D53F55"/>
    <w:rsid w:val="00D61388"/>
    <w:rsid w:val="00D613F3"/>
    <w:rsid w:val="00D615F9"/>
    <w:rsid w:val="00D61A54"/>
    <w:rsid w:val="00D62BAD"/>
    <w:rsid w:val="00D64DEA"/>
    <w:rsid w:val="00D65E49"/>
    <w:rsid w:val="00D67D07"/>
    <w:rsid w:val="00D70F71"/>
    <w:rsid w:val="00D71771"/>
    <w:rsid w:val="00D725C2"/>
    <w:rsid w:val="00D73D17"/>
    <w:rsid w:val="00D74261"/>
    <w:rsid w:val="00D74971"/>
    <w:rsid w:val="00D80893"/>
    <w:rsid w:val="00D81A7E"/>
    <w:rsid w:val="00D839A7"/>
    <w:rsid w:val="00D86899"/>
    <w:rsid w:val="00D87097"/>
    <w:rsid w:val="00D90FB7"/>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15C2"/>
    <w:rsid w:val="00DD27EA"/>
    <w:rsid w:val="00DD33DE"/>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07BFC"/>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279F"/>
    <w:rsid w:val="00E32A8C"/>
    <w:rsid w:val="00E333EF"/>
    <w:rsid w:val="00E334A4"/>
    <w:rsid w:val="00E35AE8"/>
    <w:rsid w:val="00E3678B"/>
    <w:rsid w:val="00E3724C"/>
    <w:rsid w:val="00E37F0B"/>
    <w:rsid w:val="00E40426"/>
    <w:rsid w:val="00E40B9C"/>
    <w:rsid w:val="00E41F54"/>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569F"/>
    <w:rsid w:val="00E86851"/>
    <w:rsid w:val="00E91678"/>
    <w:rsid w:val="00E91BED"/>
    <w:rsid w:val="00E926FC"/>
    <w:rsid w:val="00E95390"/>
    <w:rsid w:val="00E95CA7"/>
    <w:rsid w:val="00E96EFF"/>
    <w:rsid w:val="00EA1DEE"/>
    <w:rsid w:val="00EA3D42"/>
    <w:rsid w:val="00EA4DD9"/>
    <w:rsid w:val="00EA6B1B"/>
    <w:rsid w:val="00EB049F"/>
    <w:rsid w:val="00EB100D"/>
    <w:rsid w:val="00EB456D"/>
    <w:rsid w:val="00EB540F"/>
    <w:rsid w:val="00EB7D7F"/>
    <w:rsid w:val="00EC05BF"/>
    <w:rsid w:val="00EC0D58"/>
    <w:rsid w:val="00EC10A1"/>
    <w:rsid w:val="00EC137F"/>
    <w:rsid w:val="00EC24B0"/>
    <w:rsid w:val="00EC2CB1"/>
    <w:rsid w:val="00EC317E"/>
    <w:rsid w:val="00EC67D4"/>
    <w:rsid w:val="00EC7EB1"/>
    <w:rsid w:val="00ED3C5B"/>
    <w:rsid w:val="00ED4A25"/>
    <w:rsid w:val="00ED6E24"/>
    <w:rsid w:val="00EE164B"/>
    <w:rsid w:val="00EE28F3"/>
    <w:rsid w:val="00EE347F"/>
    <w:rsid w:val="00EE42C2"/>
    <w:rsid w:val="00EE46CE"/>
    <w:rsid w:val="00EE575A"/>
    <w:rsid w:val="00EE7920"/>
    <w:rsid w:val="00EF013A"/>
    <w:rsid w:val="00EF0E42"/>
    <w:rsid w:val="00EF0FE6"/>
    <w:rsid w:val="00EF1961"/>
    <w:rsid w:val="00EF3FB8"/>
    <w:rsid w:val="00EF5110"/>
    <w:rsid w:val="00EF62CA"/>
    <w:rsid w:val="00EF69CB"/>
    <w:rsid w:val="00F00587"/>
    <w:rsid w:val="00F019C5"/>
    <w:rsid w:val="00F02425"/>
    <w:rsid w:val="00F02D9B"/>
    <w:rsid w:val="00F031FE"/>
    <w:rsid w:val="00F05EAD"/>
    <w:rsid w:val="00F06B5B"/>
    <w:rsid w:val="00F072C7"/>
    <w:rsid w:val="00F10CDA"/>
    <w:rsid w:val="00F113FD"/>
    <w:rsid w:val="00F13B99"/>
    <w:rsid w:val="00F13EAA"/>
    <w:rsid w:val="00F1535C"/>
    <w:rsid w:val="00F15882"/>
    <w:rsid w:val="00F15AB9"/>
    <w:rsid w:val="00F15B71"/>
    <w:rsid w:val="00F167CF"/>
    <w:rsid w:val="00F16858"/>
    <w:rsid w:val="00F1785E"/>
    <w:rsid w:val="00F17B76"/>
    <w:rsid w:val="00F20BD3"/>
    <w:rsid w:val="00F21355"/>
    <w:rsid w:val="00F248D0"/>
    <w:rsid w:val="00F26128"/>
    <w:rsid w:val="00F27967"/>
    <w:rsid w:val="00F32D35"/>
    <w:rsid w:val="00F336DF"/>
    <w:rsid w:val="00F3590E"/>
    <w:rsid w:val="00F36430"/>
    <w:rsid w:val="00F373A5"/>
    <w:rsid w:val="00F376D3"/>
    <w:rsid w:val="00F40AEC"/>
    <w:rsid w:val="00F42DB4"/>
    <w:rsid w:val="00F45B2F"/>
    <w:rsid w:val="00F47559"/>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F41"/>
    <w:rsid w:val="00F74CBC"/>
    <w:rsid w:val="00F75A26"/>
    <w:rsid w:val="00F766B3"/>
    <w:rsid w:val="00F77336"/>
    <w:rsid w:val="00F77D49"/>
    <w:rsid w:val="00F8021A"/>
    <w:rsid w:val="00F805F3"/>
    <w:rsid w:val="00F83FAD"/>
    <w:rsid w:val="00F87EBA"/>
    <w:rsid w:val="00F90A80"/>
    <w:rsid w:val="00F91BC0"/>
    <w:rsid w:val="00F93027"/>
    <w:rsid w:val="00F946BA"/>
    <w:rsid w:val="00F94788"/>
    <w:rsid w:val="00F952A0"/>
    <w:rsid w:val="00F965FC"/>
    <w:rsid w:val="00F978C8"/>
    <w:rsid w:val="00FA25D4"/>
    <w:rsid w:val="00FA34E6"/>
    <w:rsid w:val="00FA3830"/>
    <w:rsid w:val="00FA3C7F"/>
    <w:rsid w:val="00FA75E3"/>
    <w:rsid w:val="00FA7736"/>
    <w:rsid w:val="00FA7920"/>
    <w:rsid w:val="00FB153F"/>
    <w:rsid w:val="00FB265D"/>
    <w:rsid w:val="00FB2690"/>
    <w:rsid w:val="00FB4068"/>
    <w:rsid w:val="00FB411D"/>
    <w:rsid w:val="00FB41E6"/>
    <w:rsid w:val="00FB45CF"/>
    <w:rsid w:val="00FB6C59"/>
    <w:rsid w:val="00FB6F65"/>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59889630">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ww.aer.gov.au/system/files/User%20guide%20to%20the%20AER%20gas%20weekly%20report%20-%20November%202016.pdf" TargetMode="External"/><Relationship Id="rId2" Type="http://schemas.openxmlformats.org/officeDocument/2006/relationships/hyperlink" Target="https://www.aer.gov.au/system/files/User%20guide%20to%20the%20AER%20gas%20weekly%20report%20-%20November%202016.pdf" TargetMode="External"/><Relationship Id="rId1" Type="http://schemas.openxmlformats.org/officeDocument/2006/relationships/hyperlink" Target="https://www.aer.gov.au/wholesale-markets/market-performance/gas-report-6-12-november-2016"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DF1A62-16DB-44BE-951A-5861474C0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B1E2AED4.dotm</Template>
  <TotalTime>0</TotalTime>
  <Pages>12</Pages>
  <Words>1748</Words>
  <Characters>9967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2017-01-31T05:48:00Z</dcterms:created>
  <dcterms:modified xsi:type="dcterms:W3CDTF">2017-01-31T05:48:00Z</dcterms:modified>
</cp:coreProperties>
</file>