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9A4B69" w:rsidP="00286866">
      <w:pPr>
        <w:pStyle w:val="Heading2"/>
        <w:rPr>
          <w:i/>
        </w:rPr>
      </w:pPr>
      <w:r>
        <w:rPr>
          <w:sz w:val="36"/>
          <w:szCs w:val="36"/>
        </w:rPr>
        <w:t>9 – 15</w:t>
      </w:r>
      <w:r w:rsidR="000C1215">
        <w:rPr>
          <w:sz w:val="36"/>
          <w:szCs w:val="36"/>
        </w:rPr>
        <w:t xml:space="preserve"> April 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640C69" w:rsidRPr="000A4066" w:rsidRDefault="00B9281D" w:rsidP="00F26128">
      <w:pPr>
        <w:jc w:val="both"/>
      </w:pPr>
      <w:r w:rsidRPr="000A4066">
        <w:t>This week</w:t>
      </w:r>
      <w:r w:rsidR="00262F9F" w:rsidRPr="000A4066">
        <w:t>,</w:t>
      </w:r>
      <w:r w:rsidRPr="000A4066">
        <w:t xml:space="preserve"> there was little change to price and demand profiles across </w:t>
      </w:r>
      <w:r w:rsidR="00262F9F" w:rsidRPr="000A4066">
        <w:t>Short Term Trading Markets (STTMs) and Victoria’s Declared Wholesale Gas Market (DWGM).</w:t>
      </w:r>
    </w:p>
    <w:p w:rsidR="00B9281D" w:rsidRPr="000A4066" w:rsidRDefault="00F9568E" w:rsidP="00F26128">
      <w:pPr>
        <w:jc w:val="both"/>
      </w:pPr>
      <w:r w:rsidRPr="000A4066">
        <w:t>Volumes traded through Wall</w:t>
      </w:r>
      <w:bookmarkStart w:id="6" w:name="_GoBack"/>
      <w:bookmarkEnd w:id="6"/>
      <w:r w:rsidRPr="000A4066">
        <w:t>umbilla were significantly down on the previous week (</w:t>
      </w:r>
      <w:r w:rsidR="001B6D96">
        <w:noBreakHyphen/>
      </w:r>
      <w:r w:rsidR="002165D7" w:rsidRPr="000A4066">
        <w:t>72</w:t>
      </w:r>
      <w:r w:rsidR="001B6D96">
        <w:t> per cent</w:t>
      </w:r>
      <w:r w:rsidR="00640C69" w:rsidRPr="000A4066">
        <w:t>), as were</w:t>
      </w:r>
      <w:r w:rsidRPr="000A4066">
        <w:t xml:space="preserve"> volumes traded </w:t>
      </w:r>
      <w:r w:rsidR="002165D7" w:rsidRPr="000A4066">
        <w:t>at</w:t>
      </w:r>
      <w:r w:rsidRPr="000A4066">
        <w:t xml:space="preserve"> S</w:t>
      </w:r>
      <w:r w:rsidR="00B9281D" w:rsidRPr="000A4066">
        <w:t xml:space="preserve">outh </w:t>
      </w:r>
      <w:r w:rsidRPr="000A4066">
        <w:t>E</w:t>
      </w:r>
      <w:r w:rsidR="00B9281D" w:rsidRPr="000A4066">
        <w:t xml:space="preserve">ast </w:t>
      </w:r>
      <w:r w:rsidRPr="000A4066">
        <w:t>Q</w:t>
      </w:r>
      <w:r w:rsidR="00B9281D" w:rsidRPr="000A4066">
        <w:t>ueensland</w:t>
      </w:r>
      <w:r w:rsidR="002165D7" w:rsidRPr="000A4066">
        <w:t xml:space="preserve"> (</w:t>
      </w:r>
      <w:r w:rsidR="00B9281D" w:rsidRPr="000A4066">
        <w:t>-</w:t>
      </w:r>
      <w:r w:rsidR="002165D7" w:rsidRPr="000A4066">
        <w:t>33</w:t>
      </w:r>
      <w:r w:rsidR="001B6D96">
        <w:t xml:space="preserve"> per cent</w:t>
      </w:r>
      <w:r w:rsidR="002165D7" w:rsidRPr="000A4066">
        <w:t>)</w:t>
      </w:r>
      <w:r w:rsidR="00B9281D" w:rsidRPr="000A4066">
        <w:t>.</w:t>
      </w:r>
    </w:p>
    <w:p w:rsidR="00B9281D" w:rsidRPr="000A4066" w:rsidRDefault="003F42D6" w:rsidP="00F26128">
      <w:pPr>
        <w:jc w:val="both"/>
      </w:pPr>
      <w:r w:rsidRPr="000A4066">
        <w:t>There was a significant increase in ancillary service payments</w:t>
      </w:r>
      <w:r w:rsidR="00026341" w:rsidRPr="000A4066">
        <w:t xml:space="preserve"> for the Adelaide hub (Figure </w:t>
      </w:r>
      <w:r w:rsidRPr="000A4066">
        <w:t>4) a</w:t>
      </w:r>
      <w:r w:rsidR="00026341" w:rsidRPr="000A4066">
        <w:t xml:space="preserve">ssociated with </w:t>
      </w:r>
      <w:r w:rsidR="00761E85" w:rsidRPr="000A4066">
        <w:t>one</w:t>
      </w:r>
      <w:r w:rsidRPr="000A4066">
        <w:t xml:space="preserve"> large </w:t>
      </w:r>
      <w:r w:rsidR="00640C69" w:rsidRPr="000A4066">
        <w:t>Market Operator Service (</w:t>
      </w:r>
      <w:r w:rsidR="00B9281D" w:rsidRPr="000A4066">
        <w:t>MOS</w:t>
      </w:r>
      <w:r w:rsidR="00640C69" w:rsidRPr="000A4066">
        <w:t>)</w:t>
      </w:r>
      <w:r w:rsidR="00026341" w:rsidRPr="000A4066">
        <w:t xml:space="preserve"> payment on 14</w:t>
      </w:r>
      <w:r w:rsidR="001B6D96">
        <w:t> </w:t>
      </w:r>
      <w:r w:rsidR="00026341" w:rsidRPr="000A4066">
        <w:t>April.</w:t>
      </w:r>
      <w:r w:rsidR="008841D4" w:rsidRPr="000A4066">
        <w:t xml:space="preserve"> </w:t>
      </w:r>
    </w:p>
    <w:p w:rsidR="00026341" w:rsidRPr="000A4066" w:rsidRDefault="00026341" w:rsidP="00F26128">
      <w:pPr>
        <w:jc w:val="both"/>
      </w:pPr>
      <w:r w:rsidRPr="000A4066">
        <w:t xml:space="preserve">The gas held at Victoria’s Underground Gas </w:t>
      </w:r>
      <w:r w:rsidR="001B6D96">
        <w:t>S</w:t>
      </w:r>
      <w:r w:rsidRPr="000A4066">
        <w:t xml:space="preserve">torage facility increased by </w:t>
      </w:r>
      <w:r w:rsidR="001B6D96">
        <w:t>191 </w:t>
      </w:r>
      <w:r w:rsidRPr="000A4066">
        <w:t>TJ</w:t>
      </w:r>
      <w:r w:rsidR="008841D4" w:rsidRPr="000A4066">
        <w:t xml:space="preserve"> to 21,</w:t>
      </w:r>
      <w:r w:rsidR="001B6D96">
        <w:t>285 </w:t>
      </w:r>
      <w:r w:rsidR="008841D4" w:rsidRPr="000A4066">
        <w:t>TJ</w:t>
      </w:r>
      <w:r w:rsidR="001B6D96">
        <w:t xml:space="preserve"> by the end of the week</w:t>
      </w:r>
      <w:r w:rsidR="008841D4" w:rsidRPr="000A4066">
        <w:t xml:space="preserve">. This is in advance of a full </w:t>
      </w:r>
      <w:r w:rsidR="00761E85" w:rsidRPr="000A4066">
        <w:t xml:space="preserve">(two-week) </w:t>
      </w:r>
      <w:r w:rsidR="008841D4" w:rsidRPr="000A4066">
        <w:t>plant shutdown, commencing 17 April.</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p>
    <w:p w:rsidR="000835F4" w:rsidRDefault="000835F4" w:rsidP="000835F4">
      <w:pPr>
        <w:pStyle w:val="Caption"/>
        <w:rPr>
          <w:color w:val="2272A3"/>
          <w:szCs w:val="24"/>
        </w:rPr>
      </w:pPr>
      <w:r w:rsidRPr="00BE2075">
        <w:t xml:space="preserve">Figure </w:t>
      </w:r>
      <w:r w:rsidR="00EB7FF2">
        <w:fldChar w:fldCharType="begin"/>
      </w:r>
      <w:r w:rsidR="00EB7FF2">
        <w:instrText xml:space="preserve"> SEQ Figure \* ARABIC </w:instrText>
      </w:r>
      <w:r w:rsidR="00EB7FF2">
        <w:fldChar w:fldCharType="separate"/>
      </w:r>
      <w:r w:rsidR="001521CB">
        <w:rPr>
          <w:noProof/>
        </w:rPr>
        <w:t>1</w:t>
      </w:r>
      <w:r w:rsidR="00EB7FF2">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09" w:type="pct"/>
        <w:tblLayout w:type="fixed"/>
        <w:tblLook w:val="04A0" w:firstRow="1" w:lastRow="0" w:firstColumn="1" w:lastColumn="0" w:noHBand="0" w:noVBand="1"/>
      </w:tblPr>
      <w:tblGrid>
        <w:gridCol w:w="1924"/>
        <w:gridCol w:w="1009"/>
        <w:gridCol w:w="849"/>
        <w:gridCol w:w="864"/>
        <w:gridCol w:w="851"/>
        <w:gridCol w:w="907"/>
        <w:gridCol w:w="849"/>
        <w:gridCol w:w="846"/>
        <w:gridCol w:w="975"/>
      </w:tblGrid>
      <w:tr w:rsidR="00DD5D65" w:rsidRPr="002861A9" w:rsidTr="009A4B69">
        <w:trPr>
          <w:cnfStyle w:val="100000000000" w:firstRow="1" w:lastRow="0" w:firstColumn="0" w:lastColumn="0" w:oddVBand="0" w:evenVBand="0" w:oddHBand="0" w:evenHBand="0" w:firstRowFirstColumn="0" w:firstRowLastColumn="0" w:lastRowFirstColumn="0" w:lastRowLastColumn="0"/>
          <w:trHeight w:val="404"/>
          <w:tblHeader/>
        </w:trPr>
        <w:tc>
          <w:tcPr>
            <w:tcW w:w="1060" w:type="pct"/>
            <w:tcBorders>
              <w:bottom w:val="nil"/>
            </w:tcBorders>
            <w:vAlign w:val="center"/>
          </w:tcPr>
          <w:p w:rsidR="00674600" w:rsidRPr="00E16EDC" w:rsidRDefault="00674600" w:rsidP="00674600">
            <w:pPr>
              <w:pStyle w:val="TableHeading"/>
              <w:spacing w:before="120" w:after="0" w:line="240" w:lineRule="auto"/>
              <w:jc w:val="center"/>
              <w:rPr>
                <w:rFonts w:cs="Arial"/>
                <w:sz w:val="20"/>
                <w:szCs w:val="20"/>
              </w:rPr>
            </w:pPr>
          </w:p>
        </w:tc>
        <w:tc>
          <w:tcPr>
            <w:tcW w:w="102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945"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968"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1003"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r>
      <w:tr w:rsidR="00DD5D65" w:rsidRPr="002861A9" w:rsidTr="009A4B69">
        <w:trPr>
          <w:cnfStyle w:val="100000000000" w:firstRow="1" w:lastRow="0" w:firstColumn="0" w:lastColumn="0" w:oddVBand="0" w:evenVBand="0" w:oddHBand="0" w:evenHBand="0" w:firstRowFirstColumn="0" w:firstRowLastColumn="0" w:lastRowFirstColumn="0" w:lastRowLastColumn="0"/>
          <w:tblHeader/>
        </w:trPr>
        <w:tc>
          <w:tcPr>
            <w:tcW w:w="1060" w:type="pct"/>
            <w:tcBorders>
              <w:bottom w:val="nil"/>
            </w:tcBorders>
            <w:vAlign w:val="center"/>
            <w:hideMark/>
          </w:tcPr>
          <w:p w:rsidR="00674600" w:rsidRPr="00A226E9" w:rsidRDefault="00674600" w:rsidP="00674600">
            <w:pPr>
              <w:spacing w:before="0" w:line="240" w:lineRule="auto"/>
              <w:rPr>
                <w:rFonts w:cs="Arial"/>
                <w:sz w:val="20"/>
                <w:szCs w:val="20"/>
                <w:highlight w:val="yellow"/>
              </w:rPr>
            </w:pPr>
          </w:p>
        </w:tc>
        <w:tc>
          <w:tcPr>
            <w:tcW w:w="55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7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9"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500"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66"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537"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r>
      <w:tr w:rsidR="009A4B69" w:rsidRPr="006A7228" w:rsidTr="009A4B69">
        <w:trPr>
          <w:trHeight w:val="510"/>
        </w:trPr>
        <w:tc>
          <w:tcPr>
            <w:tcW w:w="1060" w:type="pct"/>
            <w:tcBorders>
              <w:top w:val="nil"/>
              <w:bottom w:val="nil"/>
            </w:tcBorders>
            <w:vAlign w:val="center"/>
          </w:tcPr>
          <w:p w:rsidR="009A4B69" w:rsidRDefault="009A4B69">
            <w:pPr>
              <w:rPr>
                <w:rFonts w:cs="Arial"/>
                <w:sz w:val="16"/>
                <w:szCs w:val="16"/>
              </w:rPr>
            </w:pPr>
            <w:r>
              <w:rPr>
                <w:rFonts w:cs="Arial"/>
                <w:sz w:val="16"/>
                <w:szCs w:val="16"/>
              </w:rPr>
              <w:t>09 Apr - 15 Apr 2017</w:t>
            </w:r>
          </w:p>
        </w:tc>
        <w:tc>
          <w:tcPr>
            <w:tcW w:w="556" w:type="pct"/>
            <w:tcBorders>
              <w:top w:val="nil"/>
              <w:bottom w:val="nil"/>
            </w:tcBorders>
            <w:vAlign w:val="center"/>
          </w:tcPr>
          <w:p w:rsidR="009A4B69" w:rsidRDefault="009A4B69">
            <w:pPr>
              <w:jc w:val="center"/>
              <w:rPr>
                <w:rFonts w:cs="Arial"/>
                <w:sz w:val="20"/>
                <w:szCs w:val="20"/>
              </w:rPr>
            </w:pPr>
            <w:r>
              <w:rPr>
                <w:rFonts w:cs="Arial"/>
                <w:sz w:val="20"/>
                <w:szCs w:val="20"/>
              </w:rPr>
              <w:t>9.02</w:t>
            </w:r>
          </w:p>
        </w:tc>
        <w:tc>
          <w:tcPr>
            <w:tcW w:w="468" w:type="pct"/>
            <w:tcBorders>
              <w:top w:val="nil"/>
              <w:bottom w:val="nil"/>
            </w:tcBorders>
            <w:vAlign w:val="center"/>
          </w:tcPr>
          <w:p w:rsidR="009A4B69" w:rsidRDefault="009A4B69">
            <w:pPr>
              <w:jc w:val="center"/>
              <w:rPr>
                <w:rFonts w:cs="Arial"/>
                <w:sz w:val="20"/>
                <w:szCs w:val="20"/>
              </w:rPr>
            </w:pPr>
            <w:r>
              <w:rPr>
                <w:rFonts w:cs="Arial"/>
                <w:sz w:val="20"/>
                <w:szCs w:val="20"/>
              </w:rPr>
              <w:t>519</w:t>
            </w:r>
          </w:p>
        </w:tc>
        <w:tc>
          <w:tcPr>
            <w:tcW w:w="476" w:type="pct"/>
            <w:tcBorders>
              <w:top w:val="nil"/>
              <w:bottom w:val="nil"/>
            </w:tcBorders>
            <w:vAlign w:val="center"/>
          </w:tcPr>
          <w:p w:rsidR="009A4B69" w:rsidRDefault="009A4B69">
            <w:pPr>
              <w:jc w:val="center"/>
              <w:rPr>
                <w:rFonts w:cs="Arial"/>
                <w:sz w:val="20"/>
                <w:szCs w:val="20"/>
              </w:rPr>
            </w:pPr>
            <w:r>
              <w:rPr>
                <w:rFonts w:cs="Arial"/>
                <w:sz w:val="20"/>
                <w:szCs w:val="20"/>
              </w:rPr>
              <w:t>9.60</w:t>
            </w:r>
          </w:p>
        </w:tc>
        <w:tc>
          <w:tcPr>
            <w:tcW w:w="469" w:type="pct"/>
            <w:tcBorders>
              <w:top w:val="nil"/>
              <w:bottom w:val="nil"/>
            </w:tcBorders>
            <w:vAlign w:val="center"/>
          </w:tcPr>
          <w:p w:rsidR="009A4B69" w:rsidRDefault="009A4B69">
            <w:pPr>
              <w:jc w:val="center"/>
              <w:rPr>
                <w:rFonts w:cs="Arial"/>
                <w:sz w:val="20"/>
                <w:szCs w:val="20"/>
              </w:rPr>
            </w:pPr>
            <w:r>
              <w:rPr>
                <w:rFonts w:cs="Arial"/>
                <w:sz w:val="20"/>
                <w:szCs w:val="20"/>
              </w:rPr>
              <w:t>203</w:t>
            </w:r>
          </w:p>
        </w:tc>
        <w:tc>
          <w:tcPr>
            <w:tcW w:w="500" w:type="pct"/>
            <w:tcBorders>
              <w:top w:val="nil"/>
              <w:bottom w:val="nil"/>
            </w:tcBorders>
            <w:vAlign w:val="center"/>
          </w:tcPr>
          <w:p w:rsidR="009A4B69" w:rsidRDefault="009A4B69">
            <w:pPr>
              <w:jc w:val="center"/>
              <w:rPr>
                <w:rFonts w:cs="Arial"/>
                <w:sz w:val="20"/>
                <w:szCs w:val="20"/>
              </w:rPr>
            </w:pPr>
            <w:r>
              <w:rPr>
                <w:rFonts w:cs="Arial"/>
                <w:sz w:val="20"/>
                <w:szCs w:val="20"/>
              </w:rPr>
              <w:t>8.65</w:t>
            </w:r>
          </w:p>
        </w:tc>
        <w:tc>
          <w:tcPr>
            <w:tcW w:w="468" w:type="pct"/>
            <w:tcBorders>
              <w:top w:val="nil"/>
              <w:bottom w:val="nil"/>
            </w:tcBorders>
            <w:vAlign w:val="center"/>
          </w:tcPr>
          <w:p w:rsidR="009A4B69" w:rsidRDefault="009A4B69">
            <w:pPr>
              <w:jc w:val="center"/>
              <w:rPr>
                <w:rFonts w:cs="Arial"/>
                <w:sz w:val="20"/>
                <w:szCs w:val="20"/>
              </w:rPr>
            </w:pPr>
            <w:r>
              <w:rPr>
                <w:rFonts w:cs="Arial"/>
                <w:sz w:val="20"/>
                <w:szCs w:val="20"/>
              </w:rPr>
              <w:t>55</w:t>
            </w:r>
          </w:p>
        </w:tc>
        <w:tc>
          <w:tcPr>
            <w:tcW w:w="466" w:type="pct"/>
            <w:tcBorders>
              <w:top w:val="nil"/>
              <w:bottom w:val="nil"/>
            </w:tcBorders>
            <w:vAlign w:val="center"/>
          </w:tcPr>
          <w:p w:rsidR="009A4B69" w:rsidRDefault="009A4B69">
            <w:pPr>
              <w:jc w:val="center"/>
              <w:rPr>
                <w:rFonts w:cs="Arial"/>
                <w:sz w:val="20"/>
                <w:szCs w:val="20"/>
              </w:rPr>
            </w:pPr>
            <w:r>
              <w:rPr>
                <w:rFonts w:cs="Arial"/>
                <w:sz w:val="20"/>
                <w:szCs w:val="20"/>
              </w:rPr>
              <w:t>9.61</w:t>
            </w:r>
          </w:p>
        </w:tc>
        <w:tc>
          <w:tcPr>
            <w:tcW w:w="537" w:type="pct"/>
            <w:tcBorders>
              <w:top w:val="nil"/>
              <w:bottom w:val="nil"/>
            </w:tcBorders>
            <w:vAlign w:val="center"/>
          </w:tcPr>
          <w:p w:rsidR="009A4B69" w:rsidRDefault="009A4B69">
            <w:pPr>
              <w:jc w:val="center"/>
              <w:rPr>
                <w:rFonts w:cs="Arial"/>
                <w:sz w:val="20"/>
                <w:szCs w:val="20"/>
              </w:rPr>
            </w:pPr>
            <w:r>
              <w:rPr>
                <w:rFonts w:cs="Arial"/>
                <w:sz w:val="20"/>
                <w:szCs w:val="20"/>
              </w:rPr>
              <w:t>84</w:t>
            </w:r>
          </w:p>
        </w:tc>
      </w:tr>
      <w:tr w:rsidR="009A4B69" w:rsidRPr="006A7228" w:rsidTr="009A4B69">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nil"/>
            </w:tcBorders>
            <w:vAlign w:val="center"/>
          </w:tcPr>
          <w:p w:rsidR="009A4B69" w:rsidRDefault="009A4B69">
            <w:pPr>
              <w:rPr>
                <w:rFonts w:cs="Arial"/>
                <w:sz w:val="16"/>
                <w:szCs w:val="16"/>
              </w:rPr>
            </w:pPr>
            <w:r>
              <w:rPr>
                <w:rFonts w:cs="Arial"/>
                <w:sz w:val="16"/>
                <w:szCs w:val="16"/>
              </w:rPr>
              <w:t>% change from previous week</w:t>
            </w:r>
          </w:p>
        </w:tc>
        <w:tc>
          <w:tcPr>
            <w:tcW w:w="556" w:type="pct"/>
            <w:tcBorders>
              <w:top w:val="nil"/>
              <w:bottom w:val="nil"/>
            </w:tcBorders>
            <w:vAlign w:val="center"/>
          </w:tcPr>
          <w:p w:rsidR="009A4B69" w:rsidRDefault="009A4B69">
            <w:pPr>
              <w:jc w:val="center"/>
              <w:rPr>
                <w:rFonts w:cs="Arial"/>
                <w:szCs w:val="20"/>
              </w:rPr>
            </w:pPr>
            <w:r>
              <w:rPr>
                <w:rFonts w:cs="Arial"/>
                <w:szCs w:val="20"/>
              </w:rPr>
              <w:t>0</w:t>
            </w:r>
          </w:p>
        </w:tc>
        <w:tc>
          <w:tcPr>
            <w:tcW w:w="468" w:type="pct"/>
            <w:tcBorders>
              <w:top w:val="nil"/>
              <w:bottom w:val="nil"/>
            </w:tcBorders>
            <w:vAlign w:val="center"/>
          </w:tcPr>
          <w:p w:rsidR="009A4B69" w:rsidRDefault="009A4B69">
            <w:pPr>
              <w:jc w:val="center"/>
              <w:rPr>
                <w:rFonts w:cs="Arial"/>
                <w:szCs w:val="20"/>
              </w:rPr>
            </w:pPr>
            <w:r>
              <w:rPr>
                <w:rFonts w:cs="Arial"/>
                <w:szCs w:val="20"/>
              </w:rPr>
              <w:t>14</w:t>
            </w:r>
          </w:p>
        </w:tc>
        <w:tc>
          <w:tcPr>
            <w:tcW w:w="476" w:type="pct"/>
            <w:tcBorders>
              <w:top w:val="nil"/>
              <w:bottom w:val="nil"/>
            </w:tcBorders>
            <w:vAlign w:val="center"/>
          </w:tcPr>
          <w:p w:rsidR="009A4B69" w:rsidRDefault="009A4B69">
            <w:pPr>
              <w:jc w:val="center"/>
              <w:rPr>
                <w:rFonts w:cs="Arial"/>
                <w:szCs w:val="20"/>
              </w:rPr>
            </w:pPr>
            <w:r>
              <w:rPr>
                <w:rFonts w:cs="Arial"/>
                <w:szCs w:val="20"/>
              </w:rPr>
              <w:t>-10</w:t>
            </w:r>
          </w:p>
        </w:tc>
        <w:tc>
          <w:tcPr>
            <w:tcW w:w="469" w:type="pct"/>
            <w:tcBorders>
              <w:top w:val="nil"/>
              <w:bottom w:val="nil"/>
            </w:tcBorders>
            <w:vAlign w:val="center"/>
          </w:tcPr>
          <w:p w:rsidR="009A4B69" w:rsidRDefault="009A4B69">
            <w:pPr>
              <w:jc w:val="center"/>
              <w:rPr>
                <w:rFonts w:cs="Arial"/>
                <w:szCs w:val="20"/>
              </w:rPr>
            </w:pPr>
            <w:r>
              <w:rPr>
                <w:rFonts w:cs="Arial"/>
                <w:szCs w:val="20"/>
              </w:rPr>
              <w:t>-3</w:t>
            </w:r>
          </w:p>
        </w:tc>
        <w:tc>
          <w:tcPr>
            <w:tcW w:w="500" w:type="pct"/>
            <w:tcBorders>
              <w:top w:val="nil"/>
              <w:bottom w:val="nil"/>
            </w:tcBorders>
            <w:vAlign w:val="center"/>
          </w:tcPr>
          <w:p w:rsidR="009A4B69" w:rsidRDefault="009A4B69">
            <w:pPr>
              <w:jc w:val="center"/>
              <w:rPr>
                <w:rFonts w:cs="Arial"/>
                <w:szCs w:val="20"/>
              </w:rPr>
            </w:pPr>
            <w:r>
              <w:rPr>
                <w:rFonts w:cs="Arial"/>
                <w:szCs w:val="20"/>
              </w:rPr>
              <w:t>3</w:t>
            </w:r>
          </w:p>
        </w:tc>
        <w:tc>
          <w:tcPr>
            <w:tcW w:w="468" w:type="pct"/>
            <w:tcBorders>
              <w:top w:val="nil"/>
              <w:bottom w:val="nil"/>
            </w:tcBorders>
            <w:vAlign w:val="center"/>
          </w:tcPr>
          <w:p w:rsidR="009A4B69" w:rsidRDefault="009A4B69">
            <w:pPr>
              <w:jc w:val="center"/>
              <w:rPr>
                <w:rFonts w:cs="Arial"/>
                <w:szCs w:val="20"/>
              </w:rPr>
            </w:pPr>
            <w:r>
              <w:rPr>
                <w:rFonts w:cs="Arial"/>
                <w:szCs w:val="20"/>
              </w:rPr>
              <w:t>27</w:t>
            </w:r>
          </w:p>
        </w:tc>
        <w:tc>
          <w:tcPr>
            <w:tcW w:w="466" w:type="pct"/>
            <w:tcBorders>
              <w:top w:val="nil"/>
              <w:bottom w:val="nil"/>
            </w:tcBorders>
            <w:vAlign w:val="center"/>
          </w:tcPr>
          <w:p w:rsidR="009A4B69" w:rsidRDefault="009A4B69">
            <w:pPr>
              <w:jc w:val="center"/>
              <w:rPr>
                <w:rFonts w:cs="Arial"/>
                <w:szCs w:val="20"/>
              </w:rPr>
            </w:pPr>
            <w:r>
              <w:rPr>
                <w:rFonts w:cs="Arial"/>
                <w:szCs w:val="20"/>
              </w:rPr>
              <w:t>4</w:t>
            </w:r>
          </w:p>
        </w:tc>
        <w:tc>
          <w:tcPr>
            <w:tcW w:w="537" w:type="pct"/>
            <w:tcBorders>
              <w:top w:val="nil"/>
              <w:bottom w:val="nil"/>
            </w:tcBorders>
            <w:vAlign w:val="center"/>
          </w:tcPr>
          <w:p w:rsidR="009A4B69" w:rsidRDefault="009A4B69">
            <w:pPr>
              <w:jc w:val="center"/>
              <w:rPr>
                <w:rFonts w:cs="Arial"/>
                <w:szCs w:val="20"/>
              </w:rPr>
            </w:pPr>
            <w:r>
              <w:rPr>
                <w:rFonts w:cs="Arial"/>
                <w:szCs w:val="20"/>
              </w:rPr>
              <w:t>-2</w:t>
            </w:r>
          </w:p>
        </w:tc>
      </w:tr>
      <w:tr w:rsidR="009A4B69" w:rsidRPr="006A7228" w:rsidTr="009A4B69">
        <w:trPr>
          <w:trHeight w:val="510"/>
        </w:trPr>
        <w:tc>
          <w:tcPr>
            <w:tcW w:w="1060" w:type="pct"/>
            <w:tcBorders>
              <w:top w:val="nil"/>
              <w:bottom w:val="nil"/>
            </w:tcBorders>
            <w:vAlign w:val="center"/>
          </w:tcPr>
          <w:p w:rsidR="009A4B69" w:rsidRDefault="009A4B69">
            <w:pPr>
              <w:rPr>
                <w:rFonts w:cs="Arial"/>
                <w:sz w:val="16"/>
                <w:szCs w:val="16"/>
              </w:rPr>
            </w:pPr>
            <w:r>
              <w:rPr>
                <w:rFonts w:cs="Arial"/>
                <w:sz w:val="16"/>
                <w:szCs w:val="16"/>
              </w:rPr>
              <w:t>16-17 financial YTD</w:t>
            </w:r>
          </w:p>
        </w:tc>
        <w:tc>
          <w:tcPr>
            <w:tcW w:w="556" w:type="pct"/>
            <w:tcBorders>
              <w:top w:val="nil"/>
              <w:bottom w:val="nil"/>
            </w:tcBorders>
            <w:vAlign w:val="center"/>
          </w:tcPr>
          <w:p w:rsidR="009A4B69" w:rsidRDefault="009A4B69">
            <w:pPr>
              <w:jc w:val="center"/>
              <w:rPr>
                <w:rFonts w:cs="Arial"/>
                <w:sz w:val="20"/>
                <w:szCs w:val="20"/>
              </w:rPr>
            </w:pPr>
            <w:r>
              <w:rPr>
                <w:rFonts w:cs="Arial"/>
                <w:sz w:val="20"/>
                <w:szCs w:val="20"/>
              </w:rPr>
              <w:t>8.30</w:t>
            </w:r>
          </w:p>
        </w:tc>
        <w:tc>
          <w:tcPr>
            <w:tcW w:w="468" w:type="pct"/>
            <w:tcBorders>
              <w:top w:val="nil"/>
              <w:bottom w:val="nil"/>
            </w:tcBorders>
            <w:vAlign w:val="center"/>
          </w:tcPr>
          <w:p w:rsidR="009A4B69" w:rsidRDefault="009A4B69">
            <w:pPr>
              <w:jc w:val="center"/>
              <w:rPr>
                <w:rFonts w:cs="Arial"/>
                <w:sz w:val="20"/>
                <w:szCs w:val="20"/>
              </w:rPr>
            </w:pPr>
            <w:r>
              <w:rPr>
                <w:rFonts w:cs="Arial"/>
                <w:sz w:val="20"/>
                <w:szCs w:val="20"/>
              </w:rPr>
              <w:t>517</w:t>
            </w:r>
          </w:p>
        </w:tc>
        <w:tc>
          <w:tcPr>
            <w:tcW w:w="476" w:type="pct"/>
            <w:tcBorders>
              <w:top w:val="nil"/>
              <w:bottom w:val="nil"/>
            </w:tcBorders>
            <w:vAlign w:val="center"/>
          </w:tcPr>
          <w:p w:rsidR="009A4B69" w:rsidRDefault="009A4B69">
            <w:pPr>
              <w:jc w:val="center"/>
              <w:rPr>
                <w:rFonts w:cs="Arial"/>
                <w:sz w:val="20"/>
                <w:szCs w:val="20"/>
              </w:rPr>
            </w:pPr>
            <w:r>
              <w:rPr>
                <w:rFonts w:cs="Arial"/>
                <w:sz w:val="20"/>
                <w:szCs w:val="20"/>
              </w:rPr>
              <w:t>8.42</w:t>
            </w:r>
          </w:p>
        </w:tc>
        <w:tc>
          <w:tcPr>
            <w:tcW w:w="469" w:type="pct"/>
            <w:tcBorders>
              <w:top w:val="nil"/>
              <w:bottom w:val="nil"/>
            </w:tcBorders>
            <w:vAlign w:val="center"/>
          </w:tcPr>
          <w:p w:rsidR="009A4B69" w:rsidRDefault="009A4B69">
            <w:pPr>
              <w:jc w:val="center"/>
              <w:rPr>
                <w:rFonts w:cs="Arial"/>
                <w:sz w:val="20"/>
                <w:szCs w:val="20"/>
              </w:rPr>
            </w:pPr>
            <w:r>
              <w:rPr>
                <w:rFonts w:cs="Arial"/>
                <w:sz w:val="20"/>
                <w:szCs w:val="20"/>
              </w:rPr>
              <w:t>238</w:t>
            </w:r>
          </w:p>
        </w:tc>
        <w:tc>
          <w:tcPr>
            <w:tcW w:w="500" w:type="pct"/>
            <w:tcBorders>
              <w:top w:val="nil"/>
              <w:bottom w:val="nil"/>
            </w:tcBorders>
            <w:vAlign w:val="center"/>
          </w:tcPr>
          <w:p w:rsidR="009A4B69" w:rsidRDefault="009A4B69">
            <w:pPr>
              <w:jc w:val="center"/>
              <w:rPr>
                <w:rFonts w:cs="Arial"/>
                <w:sz w:val="20"/>
                <w:szCs w:val="20"/>
              </w:rPr>
            </w:pPr>
            <w:r>
              <w:rPr>
                <w:rFonts w:cs="Arial"/>
                <w:sz w:val="20"/>
                <w:szCs w:val="20"/>
              </w:rPr>
              <w:t>8.73</w:t>
            </w:r>
          </w:p>
        </w:tc>
        <w:tc>
          <w:tcPr>
            <w:tcW w:w="468" w:type="pct"/>
            <w:tcBorders>
              <w:top w:val="nil"/>
              <w:bottom w:val="nil"/>
            </w:tcBorders>
            <w:vAlign w:val="center"/>
          </w:tcPr>
          <w:p w:rsidR="009A4B69" w:rsidRDefault="009A4B69">
            <w:pPr>
              <w:jc w:val="center"/>
              <w:rPr>
                <w:rFonts w:cs="Arial"/>
                <w:sz w:val="20"/>
                <w:szCs w:val="20"/>
              </w:rPr>
            </w:pPr>
            <w:r>
              <w:rPr>
                <w:rFonts w:cs="Arial"/>
                <w:sz w:val="20"/>
                <w:szCs w:val="20"/>
              </w:rPr>
              <w:t>60</w:t>
            </w:r>
          </w:p>
        </w:tc>
        <w:tc>
          <w:tcPr>
            <w:tcW w:w="466" w:type="pct"/>
            <w:tcBorders>
              <w:top w:val="nil"/>
              <w:bottom w:val="nil"/>
            </w:tcBorders>
            <w:vAlign w:val="center"/>
          </w:tcPr>
          <w:p w:rsidR="009A4B69" w:rsidRDefault="009A4B69">
            <w:pPr>
              <w:jc w:val="center"/>
              <w:rPr>
                <w:rFonts w:cs="Arial"/>
                <w:sz w:val="20"/>
                <w:szCs w:val="20"/>
              </w:rPr>
            </w:pPr>
            <w:r>
              <w:rPr>
                <w:rFonts w:cs="Arial"/>
                <w:sz w:val="20"/>
                <w:szCs w:val="20"/>
              </w:rPr>
              <w:t>8.28</w:t>
            </w:r>
          </w:p>
        </w:tc>
        <w:tc>
          <w:tcPr>
            <w:tcW w:w="537" w:type="pct"/>
            <w:tcBorders>
              <w:top w:val="nil"/>
              <w:bottom w:val="nil"/>
            </w:tcBorders>
            <w:vAlign w:val="center"/>
          </w:tcPr>
          <w:p w:rsidR="009A4B69" w:rsidRDefault="009A4B69">
            <w:pPr>
              <w:jc w:val="center"/>
              <w:rPr>
                <w:rFonts w:cs="Arial"/>
                <w:sz w:val="20"/>
                <w:szCs w:val="20"/>
              </w:rPr>
            </w:pPr>
            <w:r>
              <w:rPr>
                <w:rFonts w:cs="Arial"/>
                <w:sz w:val="20"/>
                <w:szCs w:val="20"/>
              </w:rPr>
              <w:t>84</w:t>
            </w:r>
          </w:p>
        </w:tc>
      </w:tr>
      <w:tr w:rsidR="009A4B69" w:rsidRPr="006A7228" w:rsidTr="009A4B69">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single" w:sz="4" w:space="0" w:color="auto"/>
            </w:tcBorders>
            <w:vAlign w:val="center"/>
          </w:tcPr>
          <w:p w:rsidR="009A4B69" w:rsidRDefault="009A4B69">
            <w:pPr>
              <w:rPr>
                <w:rFonts w:cs="Arial"/>
                <w:sz w:val="16"/>
                <w:szCs w:val="16"/>
              </w:rPr>
            </w:pPr>
            <w:r>
              <w:rPr>
                <w:rFonts w:cs="Arial"/>
                <w:sz w:val="16"/>
                <w:szCs w:val="16"/>
              </w:rPr>
              <w:t>% change from previous financial YTD</w:t>
            </w:r>
          </w:p>
        </w:tc>
        <w:tc>
          <w:tcPr>
            <w:tcW w:w="556" w:type="pct"/>
            <w:tcBorders>
              <w:top w:val="nil"/>
              <w:bottom w:val="single" w:sz="4" w:space="0" w:color="auto"/>
            </w:tcBorders>
            <w:vAlign w:val="center"/>
          </w:tcPr>
          <w:p w:rsidR="009A4B69" w:rsidRDefault="009A4B69">
            <w:pPr>
              <w:jc w:val="center"/>
              <w:rPr>
                <w:rFonts w:cs="Arial"/>
                <w:szCs w:val="20"/>
              </w:rPr>
            </w:pPr>
            <w:r>
              <w:rPr>
                <w:rFonts w:cs="Arial"/>
                <w:szCs w:val="20"/>
              </w:rPr>
              <w:t>86</w:t>
            </w:r>
          </w:p>
        </w:tc>
        <w:tc>
          <w:tcPr>
            <w:tcW w:w="468" w:type="pct"/>
            <w:tcBorders>
              <w:top w:val="nil"/>
              <w:bottom w:val="single" w:sz="4" w:space="0" w:color="auto"/>
            </w:tcBorders>
            <w:vAlign w:val="center"/>
          </w:tcPr>
          <w:p w:rsidR="009A4B69" w:rsidRDefault="009A4B69">
            <w:pPr>
              <w:jc w:val="center"/>
              <w:rPr>
                <w:rFonts w:cs="Arial"/>
                <w:szCs w:val="20"/>
              </w:rPr>
            </w:pPr>
            <w:r>
              <w:rPr>
                <w:rFonts w:cs="Arial"/>
                <w:szCs w:val="20"/>
              </w:rPr>
              <w:t>-2</w:t>
            </w:r>
          </w:p>
        </w:tc>
        <w:tc>
          <w:tcPr>
            <w:tcW w:w="476" w:type="pct"/>
            <w:tcBorders>
              <w:top w:val="nil"/>
              <w:bottom w:val="single" w:sz="4" w:space="0" w:color="auto"/>
            </w:tcBorders>
            <w:vAlign w:val="center"/>
          </w:tcPr>
          <w:p w:rsidR="009A4B69" w:rsidRDefault="009A4B69">
            <w:pPr>
              <w:jc w:val="center"/>
              <w:rPr>
                <w:rFonts w:cs="Arial"/>
                <w:szCs w:val="20"/>
              </w:rPr>
            </w:pPr>
            <w:r>
              <w:rPr>
                <w:rFonts w:cs="Arial"/>
                <w:szCs w:val="20"/>
              </w:rPr>
              <w:t>83</w:t>
            </w:r>
          </w:p>
        </w:tc>
        <w:tc>
          <w:tcPr>
            <w:tcW w:w="469" w:type="pct"/>
            <w:tcBorders>
              <w:top w:val="nil"/>
              <w:bottom w:val="single" w:sz="4" w:space="0" w:color="auto"/>
            </w:tcBorders>
            <w:vAlign w:val="center"/>
          </w:tcPr>
          <w:p w:rsidR="009A4B69" w:rsidRDefault="009A4B69">
            <w:pPr>
              <w:jc w:val="center"/>
              <w:rPr>
                <w:rFonts w:cs="Arial"/>
                <w:szCs w:val="20"/>
              </w:rPr>
            </w:pPr>
            <w:r>
              <w:rPr>
                <w:rFonts w:cs="Arial"/>
                <w:szCs w:val="20"/>
              </w:rPr>
              <w:t>2</w:t>
            </w:r>
          </w:p>
        </w:tc>
        <w:tc>
          <w:tcPr>
            <w:tcW w:w="500" w:type="pct"/>
            <w:tcBorders>
              <w:top w:val="nil"/>
              <w:bottom w:val="single" w:sz="4" w:space="0" w:color="auto"/>
            </w:tcBorders>
            <w:vAlign w:val="center"/>
          </w:tcPr>
          <w:p w:rsidR="009A4B69" w:rsidRDefault="009A4B69">
            <w:pPr>
              <w:jc w:val="center"/>
              <w:rPr>
                <w:rFonts w:cs="Arial"/>
                <w:szCs w:val="20"/>
              </w:rPr>
            </w:pPr>
            <w:r>
              <w:rPr>
                <w:rFonts w:cs="Arial"/>
                <w:szCs w:val="20"/>
              </w:rPr>
              <w:t>68</w:t>
            </w:r>
          </w:p>
        </w:tc>
        <w:tc>
          <w:tcPr>
            <w:tcW w:w="468" w:type="pct"/>
            <w:tcBorders>
              <w:top w:val="nil"/>
              <w:bottom w:val="single" w:sz="4" w:space="0" w:color="auto"/>
            </w:tcBorders>
            <w:vAlign w:val="center"/>
          </w:tcPr>
          <w:p w:rsidR="009A4B69" w:rsidRDefault="009A4B69">
            <w:pPr>
              <w:jc w:val="center"/>
              <w:rPr>
                <w:rFonts w:cs="Arial"/>
                <w:szCs w:val="20"/>
              </w:rPr>
            </w:pPr>
            <w:r>
              <w:rPr>
                <w:rFonts w:cs="Arial"/>
                <w:szCs w:val="20"/>
              </w:rPr>
              <w:t>2</w:t>
            </w:r>
          </w:p>
        </w:tc>
        <w:tc>
          <w:tcPr>
            <w:tcW w:w="466" w:type="pct"/>
            <w:tcBorders>
              <w:top w:val="nil"/>
              <w:bottom w:val="single" w:sz="4" w:space="0" w:color="auto"/>
            </w:tcBorders>
            <w:vAlign w:val="center"/>
          </w:tcPr>
          <w:p w:rsidR="009A4B69" w:rsidRDefault="009A4B69">
            <w:pPr>
              <w:jc w:val="center"/>
              <w:rPr>
                <w:rFonts w:cs="Arial"/>
                <w:szCs w:val="20"/>
              </w:rPr>
            </w:pPr>
            <w:r>
              <w:rPr>
                <w:rFonts w:cs="Arial"/>
                <w:szCs w:val="20"/>
              </w:rPr>
              <w:t>98</w:t>
            </w:r>
          </w:p>
        </w:tc>
        <w:tc>
          <w:tcPr>
            <w:tcW w:w="537" w:type="pct"/>
            <w:tcBorders>
              <w:top w:val="nil"/>
              <w:bottom w:val="single" w:sz="4" w:space="0" w:color="auto"/>
            </w:tcBorders>
            <w:vAlign w:val="center"/>
          </w:tcPr>
          <w:p w:rsidR="009A4B69" w:rsidRDefault="009A4B69">
            <w:pPr>
              <w:jc w:val="center"/>
              <w:rPr>
                <w:rFonts w:cs="Arial"/>
                <w:szCs w:val="20"/>
              </w:rPr>
            </w:pPr>
            <w:r>
              <w:rPr>
                <w:rFonts w:cs="Arial"/>
                <w:szCs w:val="20"/>
              </w:rPr>
              <w:t>1</w:t>
            </w:r>
          </w:p>
        </w:tc>
      </w:tr>
    </w:tbl>
    <w:p w:rsidR="00674600" w:rsidRDefault="00674600" w:rsidP="00674600">
      <w:pPr>
        <w:jc w:val="both"/>
      </w:pPr>
      <w:r>
        <w:lastRenderedPageBreak/>
        <w:t>Figure 2 sets out p</w:t>
      </w:r>
      <w:r w:rsidRPr="00EC137F">
        <w:t xml:space="preserve">rice and demand information is also shown for the voluntary Wallumbilla and Moomba Gas Supply Hubs </w:t>
      </w:r>
      <w:r w:rsidRPr="00EC137F">
        <w:rPr>
          <w:b/>
        </w:rPr>
        <w:t>(GSH)</w:t>
      </w:r>
      <w:r w:rsidRPr="00EC137F">
        <w:t>.</w:t>
      </w:r>
    </w:p>
    <w:p w:rsidR="00674600" w:rsidRDefault="00674600" w:rsidP="00674600">
      <w:pPr>
        <w:pStyle w:val="Caption"/>
        <w:rPr>
          <w:color w:val="2272A3"/>
          <w:szCs w:val="24"/>
        </w:rPr>
      </w:pPr>
      <w:r w:rsidRPr="00BE2075">
        <w:t xml:space="preserve">Figure </w:t>
      </w:r>
      <w:r w:rsidR="00EB7FF2">
        <w:fldChar w:fldCharType="begin"/>
      </w:r>
      <w:r w:rsidR="00EB7FF2">
        <w:instrText xml:space="preserve"> SEQ Figure \* ARABIC </w:instrText>
      </w:r>
      <w:r w:rsidR="00EB7FF2">
        <w:fldChar w:fldCharType="separate"/>
      </w:r>
      <w:r>
        <w:rPr>
          <w:noProof/>
        </w:rPr>
        <w:t>2</w:t>
      </w:r>
      <w:r w:rsidR="00EB7FF2">
        <w:rPr>
          <w:noProof/>
        </w:rPr>
        <w:fldChar w:fldCharType="end"/>
      </w:r>
      <w:r w:rsidRPr="00BE2075">
        <w:t xml:space="preserve">: </w:t>
      </w:r>
      <w:r w:rsidRPr="006E7E57">
        <w:rPr>
          <w:color w:val="2272A3"/>
          <w:szCs w:val="24"/>
        </w:rPr>
        <w:t>Average prices</w:t>
      </w:r>
      <w:r>
        <w:rPr>
          <w:color w:val="2272A3"/>
          <w:szCs w:val="24"/>
        </w:rPr>
        <w:t xml:space="preserve"> and </w:t>
      </w:r>
      <w:r w:rsidR="0060313E">
        <w:rPr>
          <w:color w:val="2272A3"/>
          <w:szCs w:val="24"/>
        </w:rPr>
        <w:t xml:space="preserve">total </w:t>
      </w:r>
      <w:r w:rsidR="009904FF">
        <w:rPr>
          <w:color w:val="2272A3"/>
          <w:szCs w:val="24"/>
        </w:rPr>
        <w:t>quantity</w:t>
      </w:r>
      <w:r w:rsidRPr="006E7E57">
        <w:rPr>
          <w:color w:val="2272A3"/>
          <w:szCs w:val="24"/>
        </w:rPr>
        <w:t xml:space="preserve"> – </w:t>
      </w:r>
      <w:r w:rsidR="008D7D94">
        <w:rPr>
          <w:color w:val="2272A3"/>
          <w:szCs w:val="24"/>
        </w:rPr>
        <w:t>Gas supply hub</w:t>
      </w:r>
      <w:r w:rsidRPr="006E7E57">
        <w:rPr>
          <w:color w:val="2272A3"/>
          <w:szCs w:val="24"/>
        </w:rPr>
        <w:t xml:space="preserve"> ($/GJ</w:t>
      </w:r>
      <w:r w:rsidRPr="00EC137F">
        <w:rPr>
          <w:color w:val="2272A3"/>
          <w:szCs w:val="24"/>
        </w:rPr>
        <w:t>, TJ)</w:t>
      </w:r>
      <w:r w:rsidRPr="00EC137F">
        <w:rPr>
          <w:color w:val="2272A3"/>
          <w:szCs w:val="24"/>
          <w:vertAlign w:val="superscript"/>
        </w:rPr>
        <w:footnoteReference w:id="2"/>
      </w:r>
    </w:p>
    <w:tbl>
      <w:tblPr>
        <w:tblStyle w:val="AERTable-Text"/>
        <w:tblW w:w="5000" w:type="pct"/>
        <w:tblLayout w:type="fixed"/>
        <w:tblLook w:val="04A0" w:firstRow="1" w:lastRow="0" w:firstColumn="1" w:lastColumn="0" w:noHBand="0" w:noVBand="1"/>
      </w:tblPr>
      <w:tblGrid>
        <w:gridCol w:w="1891"/>
        <w:gridCol w:w="1336"/>
        <w:gridCol w:w="1174"/>
        <w:gridCol w:w="1237"/>
        <w:gridCol w:w="1253"/>
        <w:gridCol w:w="1155"/>
        <w:gridCol w:w="1196"/>
      </w:tblGrid>
      <w:tr w:rsidR="008D7D94" w:rsidRPr="002861A9" w:rsidTr="0041779F">
        <w:trPr>
          <w:cnfStyle w:val="100000000000" w:firstRow="1" w:lastRow="0" w:firstColumn="0" w:lastColumn="0" w:oddVBand="0" w:evenVBand="0" w:oddHBand="0" w:evenHBand="0" w:firstRowFirstColumn="0" w:firstRowLastColumn="0" w:lastRowFirstColumn="0" w:lastRowLastColumn="0"/>
          <w:trHeight w:val="404"/>
          <w:tblHeader/>
        </w:trPr>
        <w:tc>
          <w:tcPr>
            <w:tcW w:w="1023" w:type="pct"/>
            <w:tcBorders>
              <w:top w:val="nil"/>
              <w:left w:val="nil"/>
              <w:bottom w:val="nil"/>
              <w:right w:val="nil"/>
            </w:tcBorders>
            <w:vAlign w:val="center"/>
          </w:tcPr>
          <w:p w:rsidR="008D7D94" w:rsidRPr="00E16EDC" w:rsidRDefault="008D7D94" w:rsidP="0041779F">
            <w:pPr>
              <w:pStyle w:val="TableHeading"/>
              <w:spacing w:before="120" w:after="0" w:line="240" w:lineRule="auto"/>
              <w:jc w:val="center"/>
              <w:rPr>
                <w:rFonts w:cs="Arial"/>
                <w:sz w:val="20"/>
                <w:szCs w:val="20"/>
              </w:rPr>
            </w:pPr>
          </w:p>
        </w:tc>
        <w:tc>
          <w:tcPr>
            <w:tcW w:w="1358" w:type="pct"/>
            <w:gridSpan w:val="2"/>
            <w:tcBorders>
              <w:top w:val="nil"/>
              <w:left w:val="nil"/>
              <w:bottom w:val="nil"/>
              <w:right w:val="nil"/>
            </w:tcBorders>
            <w:vAlign w:val="center"/>
          </w:tcPr>
          <w:p w:rsidR="008D7D94" w:rsidRPr="00E95390" w:rsidRDefault="008D7D94" w:rsidP="0041779F">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Moomba</w:t>
            </w:r>
          </w:p>
        </w:tc>
        <w:tc>
          <w:tcPr>
            <w:tcW w:w="1347" w:type="pct"/>
            <w:gridSpan w:val="2"/>
            <w:tcBorders>
              <w:top w:val="nil"/>
              <w:left w:val="nil"/>
              <w:bottom w:val="nil"/>
              <w:right w:val="nil"/>
            </w:tcBorders>
            <w:vAlign w:val="center"/>
          </w:tcPr>
          <w:p w:rsidR="008D7D94" w:rsidRPr="00E95390" w:rsidRDefault="008D7D94" w:rsidP="0041779F">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South East Queensland</w:t>
            </w:r>
          </w:p>
        </w:tc>
        <w:tc>
          <w:tcPr>
            <w:tcW w:w="1272" w:type="pct"/>
            <w:gridSpan w:val="2"/>
            <w:tcBorders>
              <w:top w:val="nil"/>
              <w:left w:val="nil"/>
              <w:bottom w:val="nil"/>
              <w:right w:val="nil"/>
            </w:tcBorders>
            <w:vAlign w:val="center"/>
          </w:tcPr>
          <w:p w:rsidR="008D7D94" w:rsidRPr="00E95390" w:rsidRDefault="008D7D94" w:rsidP="0041779F">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Wallumbilla</w:t>
            </w:r>
          </w:p>
        </w:tc>
      </w:tr>
      <w:tr w:rsidR="008D7D94" w:rsidRPr="002861A9" w:rsidTr="0041779F">
        <w:trPr>
          <w:cnfStyle w:val="100000000000" w:firstRow="1" w:lastRow="0" w:firstColumn="0" w:lastColumn="0" w:oddVBand="0" w:evenVBand="0" w:oddHBand="0" w:evenHBand="0" w:firstRowFirstColumn="0" w:firstRowLastColumn="0" w:lastRowFirstColumn="0" w:lastRowLastColumn="0"/>
          <w:tblHeader/>
        </w:trPr>
        <w:tc>
          <w:tcPr>
            <w:tcW w:w="1023" w:type="pct"/>
            <w:tcBorders>
              <w:top w:val="nil"/>
              <w:left w:val="nil"/>
              <w:bottom w:val="nil"/>
              <w:right w:val="nil"/>
            </w:tcBorders>
            <w:vAlign w:val="center"/>
            <w:hideMark/>
          </w:tcPr>
          <w:p w:rsidR="008D7D94" w:rsidRPr="00A226E9" w:rsidRDefault="008D7D94" w:rsidP="0041779F">
            <w:pPr>
              <w:spacing w:before="0" w:line="240" w:lineRule="auto"/>
              <w:rPr>
                <w:rFonts w:cs="Arial"/>
                <w:sz w:val="20"/>
                <w:szCs w:val="20"/>
                <w:highlight w:val="yellow"/>
              </w:rPr>
            </w:pPr>
          </w:p>
        </w:tc>
        <w:tc>
          <w:tcPr>
            <w:tcW w:w="723" w:type="pct"/>
            <w:tcBorders>
              <w:top w:val="nil"/>
              <w:left w:val="nil"/>
              <w:bottom w:val="nil"/>
              <w:right w:val="nil"/>
            </w:tcBorders>
            <w:vAlign w:val="center"/>
            <w:hideMark/>
          </w:tcPr>
          <w:p w:rsidR="008D7D94" w:rsidRPr="00E16EDC" w:rsidRDefault="008D7D94" w:rsidP="0041779F">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35" w:type="pct"/>
            <w:tcBorders>
              <w:top w:val="nil"/>
              <w:left w:val="nil"/>
              <w:bottom w:val="nil"/>
              <w:right w:val="nil"/>
            </w:tcBorders>
            <w:vAlign w:val="center"/>
            <w:hideMark/>
          </w:tcPr>
          <w:p w:rsidR="008D7D94" w:rsidRPr="00E16EDC" w:rsidRDefault="009904FF" w:rsidP="0041779F">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69" w:type="pct"/>
            <w:tcBorders>
              <w:top w:val="nil"/>
              <w:left w:val="nil"/>
              <w:bottom w:val="nil"/>
              <w:right w:val="nil"/>
            </w:tcBorders>
            <w:vAlign w:val="center"/>
            <w:hideMark/>
          </w:tcPr>
          <w:p w:rsidR="008D7D94" w:rsidRPr="00E16EDC" w:rsidRDefault="008D7D94" w:rsidP="0041779F">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78" w:type="pct"/>
            <w:tcBorders>
              <w:top w:val="nil"/>
              <w:left w:val="nil"/>
              <w:bottom w:val="nil"/>
              <w:right w:val="nil"/>
            </w:tcBorders>
            <w:vAlign w:val="center"/>
          </w:tcPr>
          <w:p w:rsidR="008D7D94" w:rsidRPr="00E16EDC" w:rsidRDefault="009904FF" w:rsidP="0041779F">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25" w:type="pct"/>
            <w:tcBorders>
              <w:top w:val="nil"/>
              <w:left w:val="nil"/>
              <w:bottom w:val="nil"/>
              <w:right w:val="nil"/>
            </w:tcBorders>
            <w:vAlign w:val="center"/>
          </w:tcPr>
          <w:p w:rsidR="008D7D94" w:rsidRPr="00E16EDC" w:rsidRDefault="008D7D94" w:rsidP="0041779F">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47" w:type="pct"/>
            <w:tcBorders>
              <w:top w:val="nil"/>
              <w:left w:val="nil"/>
              <w:bottom w:val="nil"/>
              <w:right w:val="nil"/>
            </w:tcBorders>
            <w:vAlign w:val="center"/>
          </w:tcPr>
          <w:p w:rsidR="008D7D94" w:rsidRPr="00E16EDC" w:rsidRDefault="009904FF" w:rsidP="0041779F">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9A4B69" w:rsidRPr="006A7228" w:rsidTr="0041779F">
        <w:trPr>
          <w:trHeight w:val="510"/>
        </w:trPr>
        <w:tc>
          <w:tcPr>
            <w:tcW w:w="1023" w:type="pct"/>
            <w:tcBorders>
              <w:top w:val="nil"/>
              <w:bottom w:val="nil"/>
            </w:tcBorders>
            <w:vAlign w:val="center"/>
          </w:tcPr>
          <w:p w:rsidR="009A4B69" w:rsidRDefault="009A4B69">
            <w:pPr>
              <w:rPr>
                <w:rFonts w:cs="Arial"/>
                <w:sz w:val="16"/>
                <w:szCs w:val="16"/>
              </w:rPr>
            </w:pPr>
            <w:r>
              <w:rPr>
                <w:rFonts w:cs="Arial"/>
                <w:sz w:val="16"/>
                <w:szCs w:val="16"/>
              </w:rPr>
              <w:t>09 Apr - 15 Apr 2017</w:t>
            </w:r>
          </w:p>
        </w:tc>
        <w:tc>
          <w:tcPr>
            <w:tcW w:w="723" w:type="pct"/>
            <w:tcBorders>
              <w:top w:val="nil"/>
              <w:bottom w:val="nil"/>
            </w:tcBorders>
            <w:vAlign w:val="center"/>
          </w:tcPr>
          <w:p w:rsidR="009A4B69" w:rsidRDefault="009A4B69">
            <w:pPr>
              <w:jc w:val="center"/>
              <w:rPr>
                <w:rFonts w:cs="Arial"/>
                <w:sz w:val="20"/>
                <w:szCs w:val="20"/>
              </w:rPr>
            </w:pPr>
            <w:r>
              <w:rPr>
                <w:rFonts w:cs="Arial"/>
                <w:sz w:val="20"/>
                <w:szCs w:val="20"/>
              </w:rPr>
              <w:t>-</w:t>
            </w:r>
          </w:p>
        </w:tc>
        <w:tc>
          <w:tcPr>
            <w:tcW w:w="635" w:type="pct"/>
            <w:tcBorders>
              <w:top w:val="nil"/>
              <w:bottom w:val="nil"/>
            </w:tcBorders>
            <w:vAlign w:val="center"/>
          </w:tcPr>
          <w:p w:rsidR="009A4B69" w:rsidRDefault="009A4B69">
            <w:pPr>
              <w:jc w:val="center"/>
              <w:rPr>
                <w:rFonts w:cs="Arial"/>
                <w:sz w:val="20"/>
                <w:szCs w:val="20"/>
              </w:rPr>
            </w:pPr>
            <w:r>
              <w:rPr>
                <w:rFonts w:cs="Arial"/>
                <w:sz w:val="20"/>
                <w:szCs w:val="20"/>
              </w:rPr>
              <w:t>-</w:t>
            </w:r>
          </w:p>
        </w:tc>
        <w:tc>
          <w:tcPr>
            <w:tcW w:w="669" w:type="pct"/>
            <w:tcBorders>
              <w:top w:val="nil"/>
              <w:bottom w:val="nil"/>
            </w:tcBorders>
            <w:vAlign w:val="center"/>
          </w:tcPr>
          <w:p w:rsidR="009A4B69" w:rsidRDefault="009A4B69">
            <w:pPr>
              <w:jc w:val="center"/>
              <w:rPr>
                <w:rFonts w:cs="Arial"/>
                <w:sz w:val="20"/>
                <w:szCs w:val="20"/>
              </w:rPr>
            </w:pPr>
            <w:r>
              <w:rPr>
                <w:rFonts w:cs="Arial"/>
                <w:sz w:val="20"/>
                <w:szCs w:val="20"/>
              </w:rPr>
              <w:t>8.46</w:t>
            </w:r>
          </w:p>
        </w:tc>
        <w:tc>
          <w:tcPr>
            <w:tcW w:w="678" w:type="pct"/>
            <w:tcBorders>
              <w:top w:val="nil"/>
              <w:bottom w:val="nil"/>
            </w:tcBorders>
            <w:vAlign w:val="center"/>
          </w:tcPr>
          <w:p w:rsidR="009A4B69" w:rsidRDefault="009A4B69">
            <w:pPr>
              <w:jc w:val="center"/>
              <w:rPr>
                <w:rFonts w:cs="Arial"/>
                <w:sz w:val="20"/>
                <w:szCs w:val="20"/>
              </w:rPr>
            </w:pPr>
            <w:r>
              <w:rPr>
                <w:rFonts w:cs="Arial"/>
                <w:sz w:val="20"/>
                <w:szCs w:val="20"/>
              </w:rPr>
              <w:t>10</w:t>
            </w:r>
          </w:p>
        </w:tc>
        <w:tc>
          <w:tcPr>
            <w:tcW w:w="625" w:type="pct"/>
            <w:tcBorders>
              <w:top w:val="nil"/>
              <w:bottom w:val="nil"/>
            </w:tcBorders>
            <w:vAlign w:val="center"/>
          </w:tcPr>
          <w:p w:rsidR="009A4B69" w:rsidRDefault="009A4B69">
            <w:pPr>
              <w:jc w:val="center"/>
              <w:rPr>
                <w:rFonts w:cs="Arial"/>
                <w:sz w:val="20"/>
                <w:szCs w:val="20"/>
              </w:rPr>
            </w:pPr>
            <w:r>
              <w:rPr>
                <w:rFonts w:cs="Arial"/>
                <w:sz w:val="20"/>
                <w:szCs w:val="20"/>
              </w:rPr>
              <w:t>9.29</w:t>
            </w:r>
          </w:p>
        </w:tc>
        <w:tc>
          <w:tcPr>
            <w:tcW w:w="647" w:type="pct"/>
            <w:tcBorders>
              <w:top w:val="nil"/>
              <w:bottom w:val="nil"/>
            </w:tcBorders>
            <w:vAlign w:val="center"/>
          </w:tcPr>
          <w:p w:rsidR="009A4B69" w:rsidRDefault="009A4B69">
            <w:pPr>
              <w:jc w:val="center"/>
              <w:rPr>
                <w:rFonts w:cs="Arial"/>
                <w:sz w:val="20"/>
                <w:szCs w:val="20"/>
              </w:rPr>
            </w:pPr>
            <w:r>
              <w:rPr>
                <w:rFonts w:cs="Arial"/>
                <w:sz w:val="20"/>
                <w:szCs w:val="20"/>
              </w:rPr>
              <w:t>17</w:t>
            </w:r>
          </w:p>
        </w:tc>
      </w:tr>
      <w:tr w:rsidR="009A4B69" w:rsidRPr="006A7228" w:rsidTr="0041779F">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nil"/>
            </w:tcBorders>
            <w:vAlign w:val="center"/>
          </w:tcPr>
          <w:p w:rsidR="009A4B69" w:rsidRDefault="009A4B69">
            <w:pPr>
              <w:rPr>
                <w:rFonts w:cs="Arial"/>
                <w:sz w:val="16"/>
                <w:szCs w:val="16"/>
              </w:rPr>
            </w:pPr>
            <w:r>
              <w:rPr>
                <w:rFonts w:cs="Arial"/>
                <w:sz w:val="16"/>
                <w:szCs w:val="16"/>
              </w:rPr>
              <w:t>% change from previous week</w:t>
            </w:r>
          </w:p>
        </w:tc>
        <w:tc>
          <w:tcPr>
            <w:tcW w:w="723" w:type="pct"/>
            <w:tcBorders>
              <w:top w:val="nil"/>
              <w:bottom w:val="nil"/>
            </w:tcBorders>
            <w:vAlign w:val="center"/>
          </w:tcPr>
          <w:p w:rsidR="009A4B69" w:rsidRDefault="009A4B69">
            <w:pPr>
              <w:jc w:val="center"/>
              <w:rPr>
                <w:rFonts w:cs="Arial"/>
                <w:szCs w:val="20"/>
              </w:rPr>
            </w:pPr>
            <w:r>
              <w:rPr>
                <w:rFonts w:cs="Arial"/>
                <w:szCs w:val="20"/>
              </w:rPr>
              <w:t>-</w:t>
            </w:r>
          </w:p>
        </w:tc>
        <w:tc>
          <w:tcPr>
            <w:tcW w:w="635" w:type="pct"/>
            <w:tcBorders>
              <w:top w:val="nil"/>
              <w:bottom w:val="nil"/>
            </w:tcBorders>
            <w:vAlign w:val="center"/>
          </w:tcPr>
          <w:p w:rsidR="009A4B69" w:rsidRDefault="009A4B69">
            <w:pPr>
              <w:jc w:val="center"/>
              <w:rPr>
                <w:rFonts w:cs="Arial"/>
                <w:szCs w:val="20"/>
              </w:rPr>
            </w:pPr>
            <w:r>
              <w:rPr>
                <w:rFonts w:cs="Arial"/>
                <w:szCs w:val="20"/>
              </w:rPr>
              <w:t>-</w:t>
            </w:r>
          </w:p>
        </w:tc>
        <w:tc>
          <w:tcPr>
            <w:tcW w:w="669" w:type="pct"/>
            <w:tcBorders>
              <w:top w:val="nil"/>
              <w:bottom w:val="nil"/>
            </w:tcBorders>
            <w:vAlign w:val="center"/>
          </w:tcPr>
          <w:p w:rsidR="009A4B69" w:rsidRDefault="009A4B69">
            <w:pPr>
              <w:jc w:val="center"/>
              <w:rPr>
                <w:rFonts w:cs="Arial"/>
                <w:szCs w:val="20"/>
              </w:rPr>
            </w:pPr>
            <w:r>
              <w:rPr>
                <w:rFonts w:cs="Arial"/>
                <w:szCs w:val="20"/>
              </w:rPr>
              <w:t>0</w:t>
            </w:r>
          </w:p>
        </w:tc>
        <w:tc>
          <w:tcPr>
            <w:tcW w:w="678" w:type="pct"/>
            <w:tcBorders>
              <w:top w:val="nil"/>
              <w:bottom w:val="nil"/>
            </w:tcBorders>
            <w:vAlign w:val="center"/>
          </w:tcPr>
          <w:p w:rsidR="009A4B69" w:rsidRDefault="009A4B69">
            <w:pPr>
              <w:jc w:val="center"/>
              <w:rPr>
                <w:rFonts w:cs="Arial"/>
                <w:szCs w:val="20"/>
              </w:rPr>
            </w:pPr>
            <w:r>
              <w:rPr>
                <w:rFonts w:cs="Arial"/>
                <w:szCs w:val="20"/>
              </w:rPr>
              <w:t>-33</w:t>
            </w:r>
          </w:p>
        </w:tc>
        <w:tc>
          <w:tcPr>
            <w:tcW w:w="625" w:type="pct"/>
            <w:tcBorders>
              <w:top w:val="nil"/>
              <w:bottom w:val="nil"/>
            </w:tcBorders>
            <w:vAlign w:val="center"/>
          </w:tcPr>
          <w:p w:rsidR="009A4B69" w:rsidRDefault="009A4B69">
            <w:pPr>
              <w:jc w:val="center"/>
              <w:rPr>
                <w:rFonts w:cs="Arial"/>
                <w:szCs w:val="20"/>
              </w:rPr>
            </w:pPr>
            <w:r>
              <w:rPr>
                <w:rFonts w:cs="Arial"/>
                <w:szCs w:val="20"/>
              </w:rPr>
              <w:t>-6</w:t>
            </w:r>
          </w:p>
        </w:tc>
        <w:tc>
          <w:tcPr>
            <w:tcW w:w="647" w:type="pct"/>
            <w:tcBorders>
              <w:top w:val="nil"/>
              <w:bottom w:val="nil"/>
            </w:tcBorders>
            <w:vAlign w:val="center"/>
          </w:tcPr>
          <w:p w:rsidR="009A4B69" w:rsidRDefault="009A4B69">
            <w:pPr>
              <w:jc w:val="center"/>
              <w:rPr>
                <w:rFonts w:cs="Arial"/>
                <w:szCs w:val="20"/>
              </w:rPr>
            </w:pPr>
            <w:r>
              <w:rPr>
                <w:rFonts w:cs="Arial"/>
                <w:szCs w:val="20"/>
              </w:rPr>
              <w:t>-72</w:t>
            </w:r>
          </w:p>
        </w:tc>
      </w:tr>
      <w:tr w:rsidR="009A4B69" w:rsidRPr="006A7228" w:rsidTr="0041779F">
        <w:trPr>
          <w:trHeight w:val="510"/>
        </w:trPr>
        <w:tc>
          <w:tcPr>
            <w:tcW w:w="1023" w:type="pct"/>
            <w:tcBorders>
              <w:top w:val="nil"/>
              <w:bottom w:val="nil"/>
            </w:tcBorders>
            <w:vAlign w:val="center"/>
          </w:tcPr>
          <w:p w:rsidR="009A4B69" w:rsidRDefault="009A4B69">
            <w:pPr>
              <w:rPr>
                <w:rFonts w:cs="Arial"/>
                <w:sz w:val="16"/>
                <w:szCs w:val="16"/>
              </w:rPr>
            </w:pPr>
            <w:r>
              <w:rPr>
                <w:rFonts w:cs="Arial"/>
                <w:sz w:val="16"/>
                <w:szCs w:val="16"/>
              </w:rPr>
              <w:t>16-17 financial YTD</w:t>
            </w:r>
          </w:p>
        </w:tc>
        <w:tc>
          <w:tcPr>
            <w:tcW w:w="723" w:type="pct"/>
            <w:tcBorders>
              <w:top w:val="nil"/>
              <w:bottom w:val="nil"/>
            </w:tcBorders>
            <w:vAlign w:val="center"/>
          </w:tcPr>
          <w:p w:rsidR="009A4B69" w:rsidRDefault="009A4B69">
            <w:pPr>
              <w:jc w:val="center"/>
              <w:rPr>
                <w:rFonts w:cs="Arial"/>
                <w:sz w:val="20"/>
                <w:szCs w:val="20"/>
              </w:rPr>
            </w:pPr>
            <w:r>
              <w:rPr>
                <w:rFonts w:cs="Arial"/>
                <w:sz w:val="20"/>
                <w:szCs w:val="20"/>
              </w:rPr>
              <w:t>-</w:t>
            </w:r>
          </w:p>
        </w:tc>
        <w:tc>
          <w:tcPr>
            <w:tcW w:w="635" w:type="pct"/>
            <w:tcBorders>
              <w:top w:val="nil"/>
              <w:bottom w:val="nil"/>
            </w:tcBorders>
            <w:vAlign w:val="center"/>
          </w:tcPr>
          <w:p w:rsidR="009A4B69" w:rsidRDefault="009A4B69">
            <w:pPr>
              <w:jc w:val="center"/>
              <w:rPr>
                <w:rFonts w:cs="Arial"/>
                <w:sz w:val="20"/>
                <w:szCs w:val="20"/>
              </w:rPr>
            </w:pPr>
            <w:r>
              <w:rPr>
                <w:rFonts w:cs="Arial"/>
                <w:sz w:val="20"/>
                <w:szCs w:val="20"/>
              </w:rPr>
              <w:t>-</w:t>
            </w:r>
          </w:p>
        </w:tc>
        <w:tc>
          <w:tcPr>
            <w:tcW w:w="669" w:type="pct"/>
            <w:tcBorders>
              <w:top w:val="nil"/>
              <w:bottom w:val="nil"/>
            </w:tcBorders>
            <w:vAlign w:val="center"/>
          </w:tcPr>
          <w:p w:rsidR="009A4B69" w:rsidRDefault="009A4B69">
            <w:pPr>
              <w:jc w:val="center"/>
              <w:rPr>
                <w:rFonts w:cs="Arial"/>
                <w:sz w:val="20"/>
                <w:szCs w:val="20"/>
              </w:rPr>
            </w:pPr>
            <w:r>
              <w:rPr>
                <w:rFonts w:cs="Arial"/>
                <w:sz w:val="20"/>
                <w:szCs w:val="20"/>
              </w:rPr>
              <w:t>8.36</w:t>
            </w:r>
          </w:p>
        </w:tc>
        <w:tc>
          <w:tcPr>
            <w:tcW w:w="678" w:type="pct"/>
            <w:tcBorders>
              <w:top w:val="nil"/>
              <w:bottom w:val="nil"/>
            </w:tcBorders>
            <w:vAlign w:val="center"/>
          </w:tcPr>
          <w:p w:rsidR="009A4B69" w:rsidRDefault="009A4B69">
            <w:pPr>
              <w:jc w:val="center"/>
              <w:rPr>
                <w:rFonts w:cs="Arial"/>
                <w:sz w:val="20"/>
                <w:szCs w:val="20"/>
              </w:rPr>
            </w:pPr>
            <w:r>
              <w:rPr>
                <w:rFonts w:cs="Arial"/>
                <w:sz w:val="20"/>
                <w:szCs w:val="20"/>
              </w:rPr>
              <w:t>65</w:t>
            </w:r>
          </w:p>
        </w:tc>
        <w:tc>
          <w:tcPr>
            <w:tcW w:w="625" w:type="pct"/>
            <w:tcBorders>
              <w:top w:val="nil"/>
              <w:bottom w:val="nil"/>
            </w:tcBorders>
            <w:vAlign w:val="center"/>
          </w:tcPr>
          <w:p w:rsidR="009A4B69" w:rsidRDefault="009A4B69">
            <w:pPr>
              <w:jc w:val="center"/>
              <w:rPr>
                <w:rFonts w:cs="Arial"/>
                <w:sz w:val="20"/>
                <w:szCs w:val="20"/>
              </w:rPr>
            </w:pPr>
            <w:r>
              <w:rPr>
                <w:rFonts w:cs="Arial"/>
                <w:sz w:val="20"/>
                <w:szCs w:val="20"/>
              </w:rPr>
              <w:t>8.40</w:t>
            </w:r>
          </w:p>
        </w:tc>
        <w:tc>
          <w:tcPr>
            <w:tcW w:w="647" w:type="pct"/>
            <w:tcBorders>
              <w:top w:val="nil"/>
              <w:bottom w:val="nil"/>
            </w:tcBorders>
            <w:vAlign w:val="center"/>
          </w:tcPr>
          <w:p w:rsidR="009A4B69" w:rsidRDefault="009A4B69">
            <w:pPr>
              <w:jc w:val="center"/>
              <w:rPr>
                <w:rFonts w:cs="Arial"/>
                <w:sz w:val="20"/>
                <w:szCs w:val="20"/>
              </w:rPr>
            </w:pPr>
            <w:r>
              <w:rPr>
                <w:rFonts w:cs="Arial"/>
                <w:sz w:val="20"/>
                <w:szCs w:val="20"/>
              </w:rPr>
              <w:t>6539</w:t>
            </w:r>
          </w:p>
        </w:tc>
      </w:tr>
      <w:tr w:rsidR="009A4B69" w:rsidRPr="006A7228" w:rsidTr="0041779F">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single" w:sz="4" w:space="0" w:color="auto"/>
            </w:tcBorders>
            <w:vAlign w:val="center"/>
          </w:tcPr>
          <w:p w:rsidR="009A4B69" w:rsidRDefault="009A4B69">
            <w:pPr>
              <w:rPr>
                <w:rFonts w:cs="Arial"/>
                <w:sz w:val="16"/>
                <w:szCs w:val="16"/>
              </w:rPr>
            </w:pPr>
            <w:r>
              <w:rPr>
                <w:rFonts w:cs="Arial"/>
                <w:sz w:val="16"/>
                <w:szCs w:val="16"/>
              </w:rPr>
              <w:t>% change from previous financial YTD</w:t>
            </w:r>
          </w:p>
        </w:tc>
        <w:tc>
          <w:tcPr>
            <w:tcW w:w="723" w:type="pct"/>
            <w:tcBorders>
              <w:top w:val="nil"/>
              <w:bottom w:val="single" w:sz="4" w:space="0" w:color="auto"/>
            </w:tcBorders>
            <w:vAlign w:val="center"/>
          </w:tcPr>
          <w:p w:rsidR="009A4B69" w:rsidRDefault="009A4B69">
            <w:pPr>
              <w:jc w:val="center"/>
              <w:rPr>
                <w:rFonts w:cs="Arial"/>
                <w:szCs w:val="20"/>
              </w:rPr>
            </w:pPr>
            <w:r>
              <w:rPr>
                <w:rFonts w:cs="Arial"/>
                <w:szCs w:val="20"/>
              </w:rPr>
              <w:t>-</w:t>
            </w:r>
          </w:p>
        </w:tc>
        <w:tc>
          <w:tcPr>
            <w:tcW w:w="635" w:type="pct"/>
            <w:tcBorders>
              <w:top w:val="nil"/>
              <w:bottom w:val="single" w:sz="4" w:space="0" w:color="auto"/>
            </w:tcBorders>
            <w:vAlign w:val="center"/>
          </w:tcPr>
          <w:p w:rsidR="009A4B69" w:rsidRDefault="009A4B69">
            <w:pPr>
              <w:jc w:val="center"/>
              <w:rPr>
                <w:rFonts w:cs="Arial"/>
                <w:szCs w:val="20"/>
              </w:rPr>
            </w:pPr>
            <w:r>
              <w:rPr>
                <w:rFonts w:cs="Arial"/>
                <w:szCs w:val="20"/>
              </w:rPr>
              <w:t>-</w:t>
            </w:r>
          </w:p>
        </w:tc>
        <w:tc>
          <w:tcPr>
            <w:tcW w:w="669" w:type="pct"/>
            <w:tcBorders>
              <w:top w:val="nil"/>
              <w:bottom w:val="single" w:sz="4" w:space="0" w:color="auto"/>
            </w:tcBorders>
            <w:vAlign w:val="center"/>
          </w:tcPr>
          <w:p w:rsidR="009A4B69" w:rsidRDefault="009A4B69">
            <w:pPr>
              <w:jc w:val="center"/>
              <w:rPr>
                <w:rFonts w:cs="Arial"/>
                <w:szCs w:val="20"/>
              </w:rPr>
            </w:pPr>
            <w:r>
              <w:rPr>
                <w:rFonts w:cs="Arial"/>
                <w:szCs w:val="20"/>
              </w:rPr>
              <w:t>-</w:t>
            </w:r>
          </w:p>
        </w:tc>
        <w:tc>
          <w:tcPr>
            <w:tcW w:w="678" w:type="pct"/>
            <w:tcBorders>
              <w:top w:val="nil"/>
              <w:bottom w:val="single" w:sz="4" w:space="0" w:color="auto"/>
            </w:tcBorders>
            <w:vAlign w:val="center"/>
          </w:tcPr>
          <w:p w:rsidR="009A4B69" w:rsidRDefault="009A4B69">
            <w:pPr>
              <w:jc w:val="center"/>
              <w:rPr>
                <w:rFonts w:cs="Arial"/>
                <w:szCs w:val="20"/>
              </w:rPr>
            </w:pPr>
            <w:r>
              <w:rPr>
                <w:rFonts w:cs="Arial"/>
                <w:szCs w:val="20"/>
              </w:rPr>
              <w:t>-</w:t>
            </w:r>
          </w:p>
        </w:tc>
        <w:tc>
          <w:tcPr>
            <w:tcW w:w="625" w:type="pct"/>
            <w:tcBorders>
              <w:top w:val="nil"/>
              <w:bottom w:val="single" w:sz="4" w:space="0" w:color="auto"/>
            </w:tcBorders>
            <w:vAlign w:val="center"/>
          </w:tcPr>
          <w:p w:rsidR="009A4B69" w:rsidRDefault="009A4B69">
            <w:pPr>
              <w:jc w:val="center"/>
              <w:rPr>
                <w:rFonts w:cs="Arial"/>
                <w:szCs w:val="20"/>
              </w:rPr>
            </w:pPr>
            <w:r>
              <w:rPr>
                <w:rFonts w:cs="Arial"/>
                <w:szCs w:val="20"/>
              </w:rPr>
              <w:t>113</w:t>
            </w:r>
          </w:p>
        </w:tc>
        <w:tc>
          <w:tcPr>
            <w:tcW w:w="647" w:type="pct"/>
            <w:tcBorders>
              <w:top w:val="nil"/>
              <w:bottom w:val="single" w:sz="4" w:space="0" w:color="auto"/>
            </w:tcBorders>
            <w:vAlign w:val="center"/>
          </w:tcPr>
          <w:p w:rsidR="009A4B69" w:rsidRDefault="009A4B69">
            <w:pPr>
              <w:jc w:val="center"/>
              <w:rPr>
                <w:rFonts w:cs="Arial"/>
                <w:szCs w:val="20"/>
              </w:rPr>
            </w:pPr>
            <w:r>
              <w:rPr>
                <w:rFonts w:cs="Arial"/>
                <w:szCs w:val="20"/>
              </w:rPr>
              <w:t>-1</w:t>
            </w:r>
          </w:p>
        </w:tc>
      </w:tr>
    </w:tbl>
    <w:p w:rsidR="001521CB" w:rsidRPr="008D4DAB" w:rsidRDefault="00674600" w:rsidP="00D352AB">
      <w:pPr>
        <w:pStyle w:val="AERbodytext"/>
        <w:keepNext/>
        <w:spacing w:before="200"/>
      </w:pPr>
      <w:r w:rsidRPr="00EC137F">
        <w:t>Figure</w:t>
      </w:r>
      <w:r>
        <w:t> 3</w:t>
      </w:r>
      <w:r w:rsidRPr="00EC137F">
        <w:t xml:space="preserve"> </w:t>
      </w:r>
      <w:r w:rsidR="001521CB" w:rsidRPr="00EC137F">
        <w:t>illustrates the daily prices in each gas market</w:t>
      </w:r>
      <w:r w:rsidR="00580E72" w:rsidRPr="00EC137F">
        <w:t>, as defined in figure</w:t>
      </w:r>
      <w:r>
        <w:t>s</w:t>
      </w:r>
      <w:r w:rsidR="00580E72" w:rsidRPr="00EC137F">
        <w:t> 1</w:t>
      </w:r>
      <w:r>
        <w:t xml:space="preserve"> and 2</w:t>
      </w:r>
      <w:r w:rsidR="001521CB" w:rsidRPr="00EC137F">
        <w:t>.</w:t>
      </w:r>
    </w:p>
    <w:p w:rsidR="001521CB" w:rsidRPr="001521CB" w:rsidRDefault="001521CB" w:rsidP="001521CB">
      <w:pPr>
        <w:pStyle w:val="Caption"/>
      </w:pPr>
      <w:r w:rsidRPr="001521CB">
        <w:t xml:space="preserve">Figure </w:t>
      </w:r>
      <w:r w:rsidR="00EB7FF2">
        <w:fldChar w:fldCharType="begin"/>
      </w:r>
      <w:r w:rsidR="00EB7FF2">
        <w:instrText xml:space="preserve"> SEQ Figure \* ARABIC </w:instrText>
      </w:r>
      <w:r w:rsidR="00EB7FF2">
        <w:fldChar w:fldCharType="separate"/>
      </w:r>
      <w:r w:rsidR="00674600">
        <w:rPr>
          <w:noProof/>
        </w:rPr>
        <w:t>3</w:t>
      </w:r>
      <w:r w:rsidR="00EB7FF2">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9A4B69" w:rsidP="001521CB">
      <w:r w:rsidRPr="009A4B69">
        <w:rPr>
          <w:noProof/>
          <w:lang w:eastAsia="en-AU"/>
        </w:rPr>
        <w:drawing>
          <wp:inline distT="0" distB="0" distL="0" distR="0" wp14:anchorId="4FF3322A" wp14:editId="3FD84ECC">
            <wp:extent cx="5731510" cy="2107462"/>
            <wp:effectExtent l="0" t="0" r="2540" b="7620"/>
            <wp:docPr id="2" name="Picture 2" descr="Figure 3 shows the daily price of gas in the mandatory gas markets and voluntary gas supply hubs (GSH). The weighted average daily imbalance price applies for Victoria. The prices shown for the GSH in Wallumbilla and Moomba are volume weighted average prices for all commodity products traded on each day for each hub. The price shown for South East Queensland is the volume weighted average price for all commodity products traded on each day for that specific product location." title="Daily gas marke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07462"/>
                    </a:xfrm>
                    <a:prstGeom prst="rect">
                      <a:avLst/>
                    </a:prstGeom>
                    <a:noFill/>
                    <a:ln>
                      <a:noFill/>
                    </a:ln>
                  </pic:spPr>
                </pic:pic>
              </a:graphicData>
            </a:graphic>
          </wp:inline>
        </w:drawing>
      </w:r>
    </w:p>
    <w:p w:rsidR="001521CB" w:rsidRPr="008D4DAB" w:rsidRDefault="00674600" w:rsidP="00F26128">
      <w:pPr>
        <w:pStyle w:val="AERbodytext"/>
      </w:pPr>
      <w:r>
        <w:t>Figure 4</w:t>
      </w:r>
      <w:r w:rsidR="001521CB" w:rsidRPr="00EC137F">
        <w:t xml:space="preserve"> compares average ancillary market payments </w:t>
      </w:r>
      <w:r w:rsidR="006621AB" w:rsidRPr="00EC137F">
        <w:t xml:space="preserve">(VGM) </w:t>
      </w:r>
      <w:r w:rsidR="001521CB" w:rsidRPr="00EC137F">
        <w:t xml:space="preserve">and </w:t>
      </w:r>
      <w:r w:rsidR="006621AB" w:rsidRPr="00EC137F">
        <w:t xml:space="preserve">balancing gas service payments (STTM) </w:t>
      </w:r>
      <w:r w:rsidR="001521CB" w:rsidRPr="00EC137F">
        <w:t>against historical averages.</w:t>
      </w:r>
    </w:p>
    <w:p w:rsidR="001521CB" w:rsidRPr="001521CB" w:rsidRDefault="001521CB" w:rsidP="001521CB">
      <w:pPr>
        <w:pStyle w:val="Caption"/>
      </w:pPr>
      <w:r w:rsidRPr="001521CB">
        <w:t xml:space="preserve">Figure </w:t>
      </w:r>
      <w:r w:rsidR="00EB7FF2">
        <w:fldChar w:fldCharType="begin"/>
      </w:r>
      <w:r w:rsidR="00EB7FF2">
        <w:instrText xml:space="preserve"> SEQ Figure \* ARABIC </w:instrText>
      </w:r>
      <w:r w:rsidR="00EB7FF2">
        <w:fldChar w:fldCharType="separate"/>
      </w:r>
      <w:r w:rsidR="00674600">
        <w:rPr>
          <w:noProof/>
        </w:rPr>
        <w:t>4</w:t>
      </w:r>
      <w:r w:rsidR="00EB7FF2">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9A4B69" w:rsidRPr="00405CDE" w:rsidTr="00534DD9">
        <w:trPr>
          <w:trHeight w:val="510"/>
        </w:trPr>
        <w:tc>
          <w:tcPr>
            <w:tcW w:w="1585" w:type="pct"/>
            <w:tcBorders>
              <w:top w:val="nil"/>
              <w:bottom w:val="nil"/>
            </w:tcBorders>
            <w:vAlign w:val="center"/>
          </w:tcPr>
          <w:p w:rsidR="009A4B69" w:rsidRDefault="009A4B69">
            <w:pPr>
              <w:rPr>
                <w:rFonts w:cs="Arial"/>
                <w:sz w:val="16"/>
                <w:szCs w:val="16"/>
              </w:rPr>
            </w:pPr>
            <w:r>
              <w:rPr>
                <w:rFonts w:cs="Arial"/>
                <w:sz w:val="16"/>
                <w:szCs w:val="16"/>
              </w:rPr>
              <w:t>09 Apr - 15 Apr 2017</w:t>
            </w:r>
          </w:p>
        </w:tc>
        <w:tc>
          <w:tcPr>
            <w:tcW w:w="993" w:type="pct"/>
            <w:tcBorders>
              <w:top w:val="nil"/>
              <w:bottom w:val="nil"/>
            </w:tcBorders>
            <w:vAlign w:val="center"/>
          </w:tcPr>
          <w:p w:rsidR="009A4B69" w:rsidRDefault="009A4B69">
            <w:pPr>
              <w:jc w:val="center"/>
              <w:rPr>
                <w:rFonts w:cs="Arial"/>
                <w:sz w:val="20"/>
                <w:szCs w:val="20"/>
              </w:rPr>
            </w:pPr>
            <w:r>
              <w:rPr>
                <w:rFonts w:cs="Arial"/>
                <w:sz w:val="20"/>
                <w:szCs w:val="20"/>
              </w:rPr>
              <w:t>-</w:t>
            </w:r>
          </w:p>
        </w:tc>
        <w:tc>
          <w:tcPr>
            <w:tcW w:w="758" w:type="pct"/>
            <w:tcBorders>
              <w:top w:val="nil"/>
              <w:bottom w:val="nil"/>
            </w:tcBorders>
            <w:vAlign w:val="center"/>
          </w:tcPr>
          <w:p w:rsidR="009A4B69" w:rsidRDefault="009A4B69">
            <w:pPr>
              <w:jc w:val="center"/>
              <w:rPr>
                <w:rFonts w:cs="Arial"/>
                <w:sz w:val="20"/>
                <w:szCs w:val="20"/>
              </w:rPr>
            </w:pPr>
            <w:r>
              <w:rPr>
                <w:rFonts w:cs="Arial"/>
                <w:sz w:val="20"/>
                <w:szCs w:val="20"/>
              </w:rPr>
              <w:t>24.53</w:t>
            </w:r>
          </w:p>
        </w:tc>
        <w:tc>
          <w:tcPr>
            <w:tcW w:w="831" w:type="pct"/>
            <w:tcBorders>
              <w:top w:val="nil"/>
              <w:bottom w:val="nil"/>
            </w:tcBorders>
            <w:vAlign w:val="center"/>
          </w:tcPr>
          <w:p w:rsidR="009A4B69" w:rsidRDefault="009A4B69">
            <w:pPr>
              <w:jc w:val="center"/>
              <w:rPr>
                <w:rFonts w:cs="Arial"/>
                <w:sz w:val="20"/>
                <w:szCs w:val="20"/>
              </w:rPr>
            </w:pPr>
            <w:r>
              <w:rPr>
                <w:rFonts w:cs="Arial"/>
                <w:sz w:val="20"/>
                <w:szCs w:val="20"/>
              </w:rPr>
              <w:t>25.88</w:t>
            </w:r>
          </w:p>
        </w:tc>
        <w:tc>
          <w:tcPr>
            <w:tcW w:w="833" w:type="pct"/>
            <w:tcBorders>
              <w:top w:val="nil"/>
              <w:bottom w:val="nil"/>
            </w:tcBorders>
            <w:vAlign w:val="center"/>
          </w:tcPr>
          <w:p w:rsidR="009A4B69" w:rsidRDefault="009A4B69">
            <w:pPr>
              <w:jc w:val="center"/>
              <w:rPr>
                <w:rFonts w:cs="Arial"/>
                <w:sz w:val="20"/>
                <w:szCs w:val="20"/>
              </w:rPr>
            </w:pPr>
            <w:r>
              <w:rPr>
                <w:rFonts w:cs="Arial"/>
                <w:sz w:val="20"/>
                <w:szCs w:val="20"/>
              </w:rPr>
              <w:t>3.03</w:t>
            </w:r>
          </w:p>
        </w:tc>
      </w:tr>
      <w:tr w:rsidR="009A4B69"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9A4B69" w:rsidRDefault="009A4B69">
            <w:pPr>
              <w:rPr>
                <w:rFonts w:cs="Arial"/>
                <w:sz w:val="16"/>
                <w:szCs w:val="16"/>
              </w:rPr>
            </w:pPr>
            <w:r>
              <w:rPr>
                <w:rFonts w:cs="Arial"/>
                <w:sz w:val="16"/>
                <w:szCs w:val="16"/>
              </w:rPr>
              <w:t>% change from previous week</w:t>
            </w:r>
          </w:p>
        </w:tc>
        <w:tc>
          <w:tcPr>
            <w:tcW w:w="993" w:type="pct"/>
            <w:tcBorders>
              <w:top w:val="nil"/>
              <w:bottom w:val="nil"/>
            </w:tcBorders>
            <w:vAlign w:val="center"/>
          </w:tcPr>
          <w:p w:rsidR="009A4B69" w:rsidRDefault="009A4B69">
            <w:pPr>
              <w:jc w:val="center"/>
              <w:rPr>
                <w:rFonts w:cs="Arial"/>
                <w:szCs w:val="20"/>
              </w:rPr>
            </w:pPr>
            <w:r>
              <w:rPr>
                <w:rFonts w:cs="Arial"/>
                <w:szCs w:val="20"/>
              </w:rPr>
              <w:t>-</w:t>
            </w:r>
          </w:p>
        </w:tc>
        <w:tc>
          <w:tcPr>
            <w:tcW w:w="758" w:type="pct"/>
            <w:tcBorders>
              <w:top w:val="nil"/>
              <w:bottom w:val="nil"/>
            </w:tcBorders>
            <w:vAlign w:val="center"/>
          </w:tcPr>
          <w:p w:rsidR="009A4B69" w:rsidRDefault="009A4B69">
            <w:pPr>
              <w:jc w:val="center"/>
              <w:rPr>
                <w:rFonts w:cs="Arial"/>
                <w:szCs w:val="20"/>
              </w:rPr>
            </w:pPr>
            <w:r>
              <w:rPr>
                <w:rFonts w:cs="Arial"/>
                <w:szCs w:val="20"/>
              </w:rPr>
              <w:t>18</w:t>
            </w:r>
          </w:p>
        </w:tc>
        <w:tc>
          <w:tcPr>
            <w:tcW w:w="831" w:type="pct"/>
            <w:tcBorders>
              <w:top w:val="nil"/>
              <w:bottom w:val="nil"/>
            </w:tcBorders>
            <w:vAlign w:val="center"/>
          </w:tcPr>
          <w:p w:rsidR="009A4B69" w:rsidRDefault="009A4B69">
            <w:pPr>
              <w:jc w:val="center"/>
              <w:rPr>
                <w:rFonts w:cs="Arial"/>
                <w:szCs w:val="20"/>
              </w:rPr>
            </w:pPr>
            <w:r>
              <w:rPr>
                <w:rFonts w:cs="Arial"/>
                <w:szCs w:val="20"/>
              </w:rPr>
              <w:t>381</w:t>
            </w:r>
          </w:p>
        </w:tc>
        <w:tc>
          <w:tcPr>
            <w:tcW w:w="833" w:type="pct"/>
            <w:tcBorders>
              <w:top w:val="nil"/>
              <w:bottom w:val="nil"/>
            </w:tcBorders>
            <w:vAlign w:val="center"/>
          </w:tcPr>
          <w:p w:rsidR="009A4B69" w:rsidRDefault="009A4B69">
            <w:pPr>
              <w:jc w:val="center"/>
              <w:rPr>
                <w:rFonts w:cs="Arial"/>
                <w:szCs w:val="20"/>
              </w:rPr>
            </w:pPr>
            <w:r>
              <w:rPr>
                <w:rFonts w:cs="Arial"/>
                <w:szCs w:val="20"/>
              </w:rPr>
              <w:t>137</w:t>
            </w:r>
          </w:p>
        </w:tc>
      </w:tr>
      <w:tr w:rsidR="009A4B69" w:rsidRPr="00405CDE" w:rsidTr="00534DD9">
        <w:trPr>
          <w:trHeight w:val="510"/>
        </w:trPr>
        <w:tc>
          <w:tcPr>
            <w:tcW w:w="1585" w:type="pct"/>
            <w:tcBorders>
              <w:top w:val="nil"/>
              <w:bottom w:val="nil"/>
            </w:tcBorders>
            <w:vAlign w:val="center"/>
          </w:tcPr>
          <w:p w:rsidR="009A4B69" w:rsidRDefault="009A4B69">
            <w:pPr>
              <w:rPr>
                <w:rFonts w:cs="Arial"/>
                <w:sz w:val="16"/>
                <w:szCs w:val="16"/>
              </w:rPr>
            </w:pPr>
            <w:r>
              <w:rPr>
                <w:rFonts w:cs="Arial"/>
                <w:sz w:val="16"/>
                <w:szCs w:val="16"/>
              </w:rPr>
              <w:t>16-17 financial YTD</w:t>
            </w:r>
          </w:p>
        </w:tc>
        <w:tc>
          <w:tcPr>
            <w:tcW w:w="993" w:type="pct"/>
            <w:tcBorders>
              <w:top w:val="nil"/>
              <w:bottom w:val="nil"/>
            </w:tcBorders>
            <w:vAlign w:val="center"/>
          </w:tcPr>
          <w:p w:rsidR="009A4B69" w:rsidRDefault="009A4B69">
            <w:pPr>
              <w:jc w:val="center"/>
              <w:rPr>
                <w:rFonts w:cs="Arial"/>
                <w:sz w:val="20"/>
                <w:szCs w:val="20"/>
              </w:rPr>
            </w:pPr>
            <w:r>
              <w:rPr>
                <w:rFonts w:cs="Arial"/>
                <w:sz w:val="20"/>
                <w:szCs w:val="20"/>
              </w:rPr>
              <w:t> </w:t>
            </w:r>
          </w:p>
        </w:tc>
        <w:tc>
          <w:tcPr>
            <w:tcW w:w="758" w:type="pct"/>
            <w:tcBorders>
              <w:top w:val="nil"/>
              <w:bottom w:val="nil"/>
            </w:tcBorders>
            <w:vAlign w:val="center"/>
          </w:tcPr>
          <w:p w:rsidR="009A4B69" w:rsidRDefault="009A4B69">
            <w:pPr>
              <w:jc w:val="center"/>
              <w:rPr>
                <w:rFonts w:cs="Arial"/>
                <w:sz w:val="20"/>
                <w:szCs w:val="20"/>
              </w:rPr>
            </w:pPr>
            <w:r>
              <w:rPr>
                <w:rFonts w:cs="Arial"/>
                <w:sz w:val="20"/>
                <w:szCs w:val="20"/>
              </w:rPr>
              <w:t>49.31</w:t>
            </w:r>
          </w:p>
        </w:tc>
        <w:tc>
          <w:tcPr>
            <w:tcW w:w="831" w:type="pct"/>
            <w:tcBorders>
              <w:top w:val="nil"/>
              <w:bottom w:val="nil"/>
            </w:tcBorders>
            <w:vAlign w:val="center"/>
          </w:tcPr>
          <w:p w:rsidR="009A4B69" w:rsidRDefault="009A4B69">
            <w:pPr>
              <w:jc w:val="center"/>
              <w:rPr>
                <w:rFonts w:cs="Arial"/>
                <w:sz w:val="20"/>
                <w:szCs w:val="20"/>
              </w:rPr>
            </w:pPr>
            <w:r>
              <w:rPr>
                <w:rFonts w:cs="Arial"/>
                <w:sz w:val="20"/>
                <w:szCs w:val="20"/>
              </w:rPr>
              <w:t>19.80</w:t>
            </w:r>
          </w:p>
        </w:tc>
        <w:tc>
          <w:tcPr>
            <w:tcW w:w="833" w:type="pct"/>
            <w:tcBorders>
              <w:top w:val="nil"/>
              <w:bottom w:val="nil"/>
            </w:tcBorders>
            <w:vAlign w:val="center"/>
          </w:tcPr>
          <w:p w:rsidR="009A4B69" w:rsidRDefault="009A4B69">
            <w:pPr>
              <w:jc w:val="center"/>
              <w:rPr>
                <w:rFonts w:cs="Arial"/>
                <w:sz w:val="20"/>
                <w:szCs w:val="20"/>
              </w:rPr>
            </w:pPr>
            <w:r>
              <w:rPr>
                <w:rFonts w:cs="Arial"/>
                <w:sz w:val="20"/>
                <w:szCs w:val="20"/>
              </w:rPr>
              <w:t>1.69</w:t>
            </w:r>
          </w:p>
        </w:tc>
      </w:tr>
      <w:tr w:rsidR="009A4B69"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9A4B69" w:rsidRDefault="009A4B69">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9A4B69" w:rsidRDefault="009A4B69">
            <w:pPr>
              <w:jc w:val="center"/>
              <w:rPr>
                <w:rFonts w:cs="Arial"/>
                <w:szCs w:val="20"/>
              </w:rPr>
            </w:pPr>
            <w:r>
              <w:rPr>
                <w:rFonts w:cs="Arial"/>
                <w:szCs w:val="20"/>
              </w:rPr>
              <w:t> </w:t>
            </w:r>
          </w:p>
        </w:tc>
        <w:tc>
          <w:tcPr>
            <w:tcW w:w="758" w:type="pct"/>
            <w:tcBorders>
              <w:top w:val="nil"/>
              <w:bottom w:val="single" w:sz="4" w:space="0" w:color="auto"/>
            </w:tcBorders>
            <w:vAlign w:val="center"/>
          </w:tcPr>
          <w:p w:rsidR="009A4B69" w:rsidRDefault="009A4B69">
            <w:pPr>
              <w:jc w:val="center"/>
              <w:rPr>
                <w:rFonts w:cs="Arial"/>
                <w:szCs w:val="20"/>
              </w:rPr>
            </w:pPr>
            <w:r>
              <w:rPr>
                <w:rFonts w:cs="Arial"/>
                <w:szCs w:val="20"/>
              </w:rPr>
              <w:t>69</w:t>
            </w:r>
          </w:p>
        </w:tc>
        <w:tc>
          <w:tcPr>
            <w:tcW w:w="831" w:type="pct"/>
            <w:tcBorders>
              <w:top w:val="nil"/>
              <w:bottom w:val="single" w:sz="4" w:space="0" w:color="auto"/>
            </w:tcBorders>
            <w:vAlign w:val="center"/>
          </w:tcPr>
          <w:p w:rsidR="009A4B69" w:rsidRDefault="009A4B69">
            <w:pPr>
              <w:jc w:val="center"/>
              <w:rPr>
                <w:rFonts w:cs="Arial"/>
                <w:szCs w:val="20"/>
              </w:rPr>
            </w:pPr>
            <w:r>
              <w:rPr>
                <w:rFonts w:cs="Arial"/>
                <w:szCs w:val="20"/>
              </w:rPr>
              <w:t>135</w:t>
            </w:r>
          </w:p>
        </w:tc>
        <w:tc>
          <w:tcPr>
            <w:tcW w:w="833" w:type="pct"/>
            <w:tcBorders>
              <w:top w:val="nil"/>
              <w:bottom w:val="single" w:sz="4" w:space="0" w:color="auto"/>
            </w:tcBorders>
            <w:vAlign w:val="center"/>
          </w:tcPr>
          <w:p w:rsidR="009A4B69" w:rsidRDefault="009A4B69">
            <w:pPr>
              <w:jc w:val="center"/>
              <w:rPr>
                <w:rFonts w:cs="Arial"/>
                <w:szCs w:val="20"/>
              </w:rPr>
            </w:pPr>
            <w:r>
              <w:rPr>
                <w:rFonts w:cs="Arial"/>
                <w:szCs w:val="20"/>
              </w:rPr>
              <w:t>9</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lastRenderedPageBreak/>
        <w:t>More</w:t>
      </w:r>
      <w:r w:rsidRPr="00D329E0">
        <w:t xml:space="preserve"> </w:t>
      </w:r>
      <w:r>
        <w:t xml:space="preserve">detailed </w:t>
      </w:r>
      <w:r w:rsidRPr="00D329E0">
        <w:t xml:space="preserve">analysis on the </w:t>
      </w:r>
      <w:r>
        <w:t>VGM is provided in section 1</w:t>
      </w:r>
      <w:r w:rsidRPr="00D329E0">
        <w:t>.</w:t>
      </w:r>
    </w:p>
    <w:p w:rsidR="004C571B" w:rsidRPr="00552F68" w:rsidRDefault="00674600" w:rsidP="008D7D94">
      <w:pPr>
        <w:keepNext/>
        <w:jc w:val="both"/>
      </w:pPr>
      <w:r>
        <w:t>Figure 5</w:t>
      </w:r>
      <w:r w:rsidR="004C571B"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Moomba</w:t>
      </w:r>
      <w:r w:rsidR="00C370D1">
        <w:t>, South East Queensland and Wallumbilla</w:t>
      </w:r>
      <w:r w:rsidR="00A226E9" w:rsidRPr="00552F68">
        <w:t>.</w:t>
      </w:r>
    </w:p>
    <w:p w:rsidR="001521CB" w:rsidRDefault="001521CB" w:rsidP="001521CB">
      <w:pPr>
        <w:pStyle w:val="Caption"/>
        <w:rPr>
          <w:color w:val="2272A3"/>
          <w:szCs w:val="24"/>
        </w:rPr>
      </w:pPr>
      <w:r w:rsidRPr="00552F68">
        <w:t xml:space="preserve">Figure </w:t>
      </w:r>
      <w:r w:rsidR="00EB7FF2">
        <w:fldChar w:fldCharType="begin"/>
      </w:r>
      <w:r w:rsidR="00EB7FF2">
        <w:instrText xml:space="preserve"> SEQ Figure \* ARABIC </w:instrText>
      </w:r>
      <w:r w:rsidR="00EB7FF2">
        <w:fldChar w:fldCharType="separate"/>
      </w:r>
      <w:r w:rsidR="00C370D1">
        <w:rPr>
          <w:noProof/>
        </w:rPr>
        <w:t>5</w:t>
      </w:r>
      <w:r w:rsidR="00EB7FF2">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p>
    <w:tbl>
      <w:tblPr>
        <w:tblStyle w:val="AERTable-Text"/>
        <w:tblW w:w="4890" w:type="pct"/>
        <w:tblLayout w:type="fixed"/>
        <w:tblLook w:val="04A0" w:firstRow="1" w:lastRow="0" w:firstColumn="1" w:lastColumn="0" w:noHBand="0" w:noVBand="1"/>
      </w:tblPr>
      <w:tblGrid>
        <w:gridCol w:w="1655"/>
        <w:gridCol w:w="1265"/>
        <w:gridCol w:w="1159"/>
        <w:gridCol w:w="1314"/>
        <w:gridCol w:w="1264"/>
        <w:gridCol w:w="1124"/>
        <w:gridCol w:w="1258"/>
      </w:tblGrid>
      <w:tr w:rsidR="00FA5B9C" w:rsidRPr="002861A9" w:rsidTr="00EA6F25">
        <w:trPr>
          <w:cnfStyle w:val="100000000000" w:firstRow="1" w:lastRow="0" w:firstColumn="0" w:lastColumn="0" w:oddVBand="0" w:evenVBand="0" w:oddHBand="0" w:evenHBand="0" w:firstRowFirstColumn="0" w:firstRowLastColumn="0" w:lastRowFirstColumn="0" w:lastRowLastColumn="0"/>
          <w:trHeight w:val="404"/>
          <w:tblHeader/>
        </w:trPr>
        <w:tc>
          <w:tcPr>
            <w:tcW w:w="915" w:type="pct"/>
            <w:tcBorders>
              <w:bottom w:val="nil"/>
            </w:tcBorders>
            <w:vAlign w:val="center"/>
          </w:tcPr>
          <w:p w:rsidR="008D7D94" w:rsidRPr="00E16EDC" w:rsidRDefault="008D7D94" w:rsidP="0041779F">
            <w:pPr>
              <w:pStyle w:val="TableHeading"/>
              <w:spacing w:before="120" w:after="0" w:line="240" w:lineRule="auto"/>
              <w:jc w:val="center"/>
              <w:rPr>
                <w:rFonts w:cs="Arial"/>
                <w:sz w:val="20"/>
                <w:szCs w:val="20"/>
              </w:rPr>
            </w:pPr>
          </w:p>
        </w:tc>
        <w:tc>
          <w:tcPr>
            <w:tcW w:w="1341" w:type="pct"/>
            <w:gridSpan w:val="2"/>
            <w:tcBorders>
              <w:bottom w:val="nil"/>
            </w:tcBorders>
            <w:vAlign w:val="center"/>
          </w:tcPr>
          <w:p w:rsidR="008D7D94" w:rsidRPr="00E16EDC" w:rsidRDefault="008D7D94" w:rsidP="0041779F">
            <w:pPr>
              <w:spacing w:before="120" w:after="0" w:line="240" w:lineRule="auto"/>
              <w:jc w:val="center"/>
              <w:rPr>
                <w:rFonts w:cs="Arial"/>
                <w:bCs/>
                <w:color w:val="FFFFFF"/>
                <w:sz w:val="20"/>
                <w:szCs w:val="20"/>
              </w:rPr>
            </w:pPr>
            <w:r>
              <w:rPr>
                <w:rFonts w:cs="Arial"/>
                <w:bCs/>
                <w:color w:val="FFFFFF"/>
                <w:sz w:val="20"/>
                <w:szCs w:val="20"/>
              </w:rPr>
              <w:t>Moomba</w:t>
            </w:r>
          </w:p>
        </w:tc>
        <w:tc>
          <w:tcPr>
            <w:tcW w:w="1426" w:type="pct"/>
            <w:gridSpan w:val="2"/>
            <w:tcBorders>
              <w:bottom w:val="nil"/>
            </w:tcBorders>
            <w:vAlign w:val="center"/>
          </w:tcPr>
          <w:p w:rsidR="008D7D94" w:rsidRPr="00E16EDC" w:rsidRDefault="008D7D94" w:rsidP="0041779F">
            <w:pPr>
              <w:spacing w:before="120" w:after="0" w:line="240" w:lineRule="auto"/>
              <w:jc w:val="center"/>
              <w:rPr>
                <w:rFonts w:cs="Arial"/>
                <w:bCs/>
                <w:color w:val="FFFFFF"/>
                <w:sz w:val="20"/>
                <w:szCs w:val="20"/>
              </w:rPr>
            </w:pPr>
            <w:r>
              <w:rPr>
                <w:rFonts w:cs="Arial"/>
                <w:bCs/>
                <w:color w:val="FFFFFF"/>
                <w:sz w:val="20"/>
                <w:szCs w:val="20"/>
              </w:rPr>
              <w:t>South East Queensland</w:t>
            </w:r>
          </w:p>
        </w:tc>
        <w:tc>
          <w:tcPr>
            <w:tcW w:w="1318" w:type="pct"/>
            <w:gridSpan w:val="2"/>
            <w:tcBorders>
              <w:bottom w:val="nil"/>
            </w:tcBorders>
            <w:vAlign w:val="center"/>
          </w:tcPr>
          <w:p w:rsidR="008D7D94" w:rsidRPr="00E16EDC" w:rsidRDefault="008D7D94" w:rsidP="0041779F">
            <w:pPr>
              <w:spacing w:before="120" w:after="0" w:line="240" w:lineRule="auto"/>
              <w:jc w:val="center"/>
              <w:rPr>
                <w:rFonts w:cs="Arial"/>
                <w:bCs/>
                <w:color w:val="FFFFFF"/>
                <w:sz w:val="20"/>
                <w:szCs w:val="20"/>
              </w:rPr>
            </w:pPr>
            <w:r>
              <w:rPr>
                <w:rFonts w:cs="Arial"/>
                <w:bCs/>
                <w:color w:val="FFFFFF"/>
                <w:sz w:val="20"/>
                <w:szCs w:val="20"/>
              </w:rPr>
              <w:t>Wallumbilla</w:t>
            </w:r>
            <w:r w:rsidR="00C370D1">
              <w:rPr>
                <w:rFonts w:cs="Arial"/>
                <w:bCs/>
                <w:color w:val="FFFFFF"/>
                <w:sz w:val="20"/>
                <w:szCs w:val="20"/>
              </w:rPr>
              <w:t>*</w:t>
            </w:r>
          </w:p>
        </w:tc>
      </w:tr>
      <w:tr w:rsidR="008D7D94" w:rsidRPr="002861A9" w:rsidTr="00EA6F25">
        <w:trPr>
          <w:cnfStyle w:val="100000000000" w:firstRow="1" w:lastRow="0" w:firstColumn="0" w:lastColumn="0" w:oddVBand="0" w:evenVBand="0" w:oddHBand="0" w:evenHBand="0" w:firstRowFirstColumn="0" w:firstRowLastColumn="0" w:lastRowFirstColumn="0" w:lastRowLastColumn="0"/>
          <w:tblHeader/>
        </w:trPr>
        <w:tc>
          <w:tcPr>
            <w:tcW w:w="915" w:type="pct"/>
            <w:tcBorders>
              <w:bottom w:val="nil"/>
            </w:tcBorders>
            <w:vAlign w:val="center"/>
          </w:tcPr>
          <w:p w:rsidR="008D7D94" w:rsidRPr="00587CFB" w:rsidRDefault="008D7D94" w:rsidP="0041779F">
            <w:pPr>
              <w:pStyle w:val="TableHeading"/>
              <w:jc w:val="center"/>
              <w:rPr>
                <w:rFonts w:cs="Arial"/>
                <w:sz w:val="20"/>
                <w:szCs w:val="20"/>
              </w:rPr>
            </w:pPr>
          </w:p>
        </w:tc>
        <w:tc>
          <w:tcPr>
            <w:tcW w:w="700" w:type="pct"/>
            <w:tcBorders>
              <w:bottom w:val="nil"/>
            </w:tcBorders>
            <w:vAlign w:val="center"/>
            <w:hideMark/>
          </w:tcPr>
          <w:p w:rsidR="008D7D94" w:rsidRPr="00587CFB" w:rsidRDefault="008D7D94" w:rsidP="0041779F">
            <w:pPr>
              <w:jc w:val="center"/>
              <w:rPr>
                <w:rFonts w:cs="Arial"/>
                <w:bCs/>
                <w:color w:val="FFFFFF"/>
                <w:sz w:val="14"/>
                <w:szCs w:val="20"/>
                <w:highlight w:val="cyan"/>
              </w:rPr>
            </w:pPr>
            <w:r w:rsidRPr="00587CFB">
              <w:rPr>
                <w:rFonts w:cs="Arial"/>
                <w:bCs/>
                <w:color w:val="FFFFFF"/>
                <w:sz w:val="14"/>
                <w:szCs w:val="20"/>
              </w:rPr>
              <w:t>VWA price</w:t>
            </w:r>
          </w:p>
        </w:tc>
        <w:tc>
          <w:tcPr>
            <w:tcW w:w="641" w:type="pct"/>
            <w:tcBorders>
              <w:bottom w:val="nil"/>
            </w:tcBorders>
            <w:vAlign w:val="center"/>
            <w:hideMark/>
          </w:tcPr>
          <w:p w:rsidR="008D7D94" w:rsidRPr="00587CFB" w:rsidRDefault="008D7D94" w:rsidP="0041779F">
            <w:pPr>
              <w:jc w:val="center"/>
              <w:rPr>
                <w:rFonts w:cs="Arial"/>
                <w:bCs/>
                <w:color w:val="FFFFFF"/>
                <w:sz w:val="14"/>
                <w:szCs w:val="20"/>
                <w:highlight w:val="cyan"/>
              </w:rPr>
            </w:pPr>
            <w:r>
              <w:rPr>
                <w:rFonts w:cs="Arial"/>
                <w:bCs/>
                <w:color w:val="FFFFFF"/>
                <w:sz w:val="14"/>
                <w:szCs w:val="20"/>
              </w:rPr>
              <w:t>Quantity</w:t>
            </w:r>
          </w:p>
        </w:tc>
        <w:tc>
          <w:tcPr>
            <w:tcW w:w="727" w:type="pct"/>
            <w:tcBorders>
              <w:bottom w:val="nil"/>
            </w:tcBorders>
            <w:vAlign w:val="center"/>
            <w:hideMark/>
          </w:tcPr>
          <w:p w:rsidR="008D7D94" w:rsidRPr="00587CFB" w:rsidRDefault="008D7D94" w:rsidP="0041779F">
            <w:pPr>
              <w:jc w:val="center"/>
              <w:rPr>
                <w:rFonts w:cs="Arial"/>
                <w:bCs/>
                <w:color w:val="FFFFFF"/>
                <w:sz w:val="14"/>
                <w:szCs w:val="20"/>
                <w:highlight w:val="cyan"/>
              </w:rPr>
            </w:pPr>
            <w:r w:rsidRPr="00587CFB">
              <w:rPr>
                <w:rFonts w:cs="Arial"/>
                <w:bCs/>
                <w:color w:val="FFFFFF"/>
                <w:sz w:val="14"/>
                <w:szCs w:val="20"/>
              </w:rPr>
              <w:t>VWA price</w:t>
            </w:r>
          </w:p>
        </w:tc>
        <w:tc>
          <w:tcPr>
            <w:tcW w:w="699" w:type="pct"/>
            <w:tcBorders>
              <w:bottom w:val="nil"/>
            </w:tcBorders>
            <w:vAlign w:val="center"/>
          </w:tcPr>
          <w:p w:rsidR="008D7D94" w:rsidRPr="00587CFB" w:rsidRDefault="008D7D94" w:rsidP="0041779F">
            <w:pPr>
              <w:jc w:val="center"/>
              <w:rPr>
                <w:rFonts w:cs="Arial"/>
                <w:bCs/>
                <w:color w:val="FFFFFF"/>
                <w:sz w:val="14"/>
                <w:szCs w:val="20"/>
                <w:highlight w:val="cyan"/>
              </w:rPr>
            </w:pPr>
            <w:r>
              <w:rPr>
                <w:rFonts w:cs="Arial"/>
                <w:bCs/>
                <w:color w:val="FFFFFF"/>
                <w:sz w:val="14"/>
                <w:szCs w:val="20"/>
              </w:rPr>
              <w:t>Quantity</w:t>
            </w:r>
          </w:p>
        </w:tc>
        <w:tc>
          <w:tcPr>
            <w:tcW w:w="622" w:type="pct"/>
            <w:tcBorders>
              <w:bottom w:val="nil"/>
            </w:tcBorders>
            <w:vAlign w:val="center"/>
          </w:tcPr>
          <w:p w:rsidR="008D7D94" w:rsidRPr="00587CFB" w:rsidRDefault="008D7D94" w:rsidP="0041779F">
            <w:pPr>
              <w:jc w:val="center"/>
              <w:rPr>
                <w:rFonts w:cs="Arial"/>
                <w:bCs/>
                <w:color w:val="FFFFFF"/>
                <w:sz w:val="14"/>
                <w:szCs w:val="20"/>
                <w:highlight w:val="cyan"/>
              </w:rPr>
            </w:pPr>
            <w:r w:rsidRPr="00587CFB">
              <w:rPr>
                <w:rFonts w:cs="Arial"/>
                <w:bCs/>
                <w:color w:val="FFFFFF"/>
                <w:sz w:val="14"/>
                <w:szCs w:val="20"/>
              </w:rPr>
              <w:t>VWA price</w:t>
            </w:r>
          </w:p>
        </w:tc>
        <w:tc>
          <w:tcPr>
            <w:tcW w:w="696" w:type="pct"/>
            <w:tcBorders>
              <w:bottom w:val="nil"/>
            </w:tcBorders>
            <w:vAlign w:val="center"/>
          </w:tcPr>
          <w:p w:rsidR="008D7D94" w:rsidRPr="00587CFB" w:rsidRDefault="008D7D94" w:rsidP="0041779F">
            <w:pPr>
              <w:jc w:val="center"/>
              <w:rPr>
                <w:rFonts w:cs="Arial"/>
                <w:bCs/>
                <w:color w:val="FFFFFF"/>
                <w:sz w:val="14"/>
                <w:szCs w:val="20"/>
                <w:highlight w:val="cyan"/>
              </w:rPr>
            </w:pPr>
            <w:r>
              <w:rPr>
                <w:rFonts w:cs="Arial"/>
                <w:bCs/>
                <w:color w:val="FFFFFF"/>
                <w:sz w:val="14"/>
                <w:szCs w:val="20"/>
              </w:rPr>
              <w:t>Quantity</w:t>
            </w:r>
          </w:p>
        </w:tc>
      </w:tr>
      <w:tr w:rsidR="009A4B69" w:rsidRPr="006A7228" w:rsidTr="00EA6F25">
        <w:trPr>
          <w:trHeight w:val="510"/>
        </w:trPr>
        <w:tc>
          <w:tcPr>
            <w:tcW w:w="915" w:type="pct"/>
            <w:tcBorders>
              <w:top w:val="nil"/>
              <w:bottom w:val="nil"/>
            </w:tcBorders>
            <w:vAlign w:val="center"/>
          </w:tcPr>
          <w:p w:rsidR="009A4B69" w:rsidRDefault="009A4B69">
            <w:pPr>
              <w:rPr>
                <w:rFonts w:cs="Arial"/>
                <w:b/>
                <w:bCs/>
                <w:sz w:val="20"/>
                <w:szCs w:val="20"/>
              </w:rPr>
            </w:pPr>
            <w:r>
              <w:rPr>
                <w:rFonts w:cs="Arial"/>
                <w:b/>
                <w:bCs/>
                <w:sz w:val="20"/>
                <w:szCs w:val="20"/>
              </w:rPr>
              <w:t>Balance of day</w:t>
            </w:r>
          </w:p>
        </w:tc>
        <w:tc>
          <w:tcPr>
            <w:tcW w:w="700" w:type="pct"/>
            <w:tcBorders>
              <w:top w:val="nil"/>
              <w:bottom w:val="nil"/>
            </w:tcBorders>
            <w:vAlign w:val="center"/>
          </w:tcPr>
          <w:p w:rsidR="009A4B69" w:rsidRDefault="009A4B69">
            <w:pPr>
              <w:jc w:val="center"/>
              <w:rPr>
                <w:rFonts w:cs="Arial"/>
                <w:sz w:val="20"/>
                <w:szCs w:val="20"/>
              </w:rPr>
            </w:pPr>
            <w:r>
              <w:rPr>
                <w:rFonts w:cs="Arial"/>
                <w:sz w:val="20"/>
                <w:szCs w:val="20"/>
              </w:rPr>
              <w:t>-</w:t>
            </w:r>
          </w:p>
        </w:tc>
        <w:tc>
          <w:tcPr>
            <w:tcW w:w="641" w:type="pct"/>
            <w:tcBorders>
              <w:top w:val="nil"/>
              <w:bottom w:val="nil"/>
            </w:tcBorders>
            <w:vAlign w:val="center"/>
          </w:tcPr>
          <w:p w:rsidR="009A4B69" w:rsidRDefault="009A4B69">
            <w:pPr>
              <w:jc w:val="center"/>
              <w:rPr>
                <w:rFonts w:cs="Arial"/>
                <w:sz w:val="20"/>
                <w:szCs w:val="20"/>
              </w:rPr>
            </w:pPr>
            <w:r>
              <w:rPr>
                <w:rFonts w:cs="Arial"/>
                <w:sz w:val="20"/>
                <w:szCs w:val="20"/>
              </w:rPr>
              <w:t>-</w:t>
            </w:r>
          </w:p>
        </w:tc>
        <w:tc>
          <w:tcPr>
            <w:tcW w:w="727" w:type="pct"/>
            <w:tcBorders>
              <w:top w:val="nil"/>
              <w:bottom w:val="nil"/>
            </w:tcBorders>
            <w:vAlign w:val="center"/>
          </w:tcPr>
          <w:p w:rsidR="009A4B69" w:rsidRDefault="009A4B69">
            <w:pPr>
              <w:jc w:val="center"/>
              <w:rPr>
                <w:rFonts w:cs="Arial"/>
                <w:sz w:val="20"/>
                <w:szCs w:val="20"/>
              </w:rPr>
            </w:pPr>
            <w:r>
              <w:rPr>
                <w:rFonts w:cs="Arial"/>
                <w:sz w:val="20"/>
                <w:szCs w:val="20"/>
              </w:rPr>
              <w:t>-</w:t>
            </w:r>
          </w:p>
        </w:tc>
        <w:tc>
          <w:tcPr>
            <w:tcW w:w="699" w:type="pct"/>
            <w:tcBorders>
              <w:top w:val="nil"/>
              <w:bottom w:val="nil"/>
            </w:tcBorders>
            <w:vAlign w:val="center"/>
          </w:tcPr>
          <w:p w:rsidR="009A4B69" w:rsidRDefault="009A4B69">
            <w:pPr>
              <w:jc w:val="center"/>
              <w:rPr>
                <w:rFonts w:cs="Arial"/>
                <w:sz w:val="20"/>
                <w:szCs w:val="20"/>
              </w:rPr>
            </w:pPr>
            <w:r>
              <w:rPr>
                <w:rFonts w:cs="Arial"/>
                <w:sz w:val="20"/>
                <w:szCs w:val="20"/>
              </w:rPr>
              <w:t>-</w:t>
            </w:r>
          </w:p>
        </w:tc>
        <w:tc>
          <w:tcPr>
            <w:tcW w:w="622" w:type="pct"/>
            <w:tcBorders>
              <w:top w:val="nil"/>
              <w:bottom w:val="nil"/>
            </w:tcBorders>
            <w:vAlign w:val="center"/>
          </w:tcPr>
          <w:p w:rsidR="009A4B69" w:rsidRDefault="009A4B69">
            <w:pPr>
              <w:jc w:val="center"/>
              <w:rPr>
                <w:rFonts w:cs="Arial"/>
                <w:sz w:val="20"/>
                <w:szCs w:val="20"/>
              </w:rPr>
            </w:pPr>
            <w:r>
              <w:rPr>
                <w:rFonts w:cs="Arial"/>
                <w:sz w:val="20"/>
                <w:szCs w:val="20"/>
              </w:rPr>
              <w:t>10.25</w:t>
            </w:r>
          </w:p>
        </w:tc>
        <w:tc>
          <w:tcPr>
            <w:tcW w:w="696" w:type="pct"/>
            <w:tcBorders>
              <w:top w:val="nil"/>
              <w:bottom w:val="nil"/>
            </w:tcBorders>
            <w:vAlign w:val="center"/>
          </w:tcPr>
          <w:p w:rsidR="009A4B69" w:rsidRDefault="009A4B69">
            <w:pPr>
              <w:jc w:val="center"/>
              <w:rPr>
                <w:rFonts w:cs="Arial"/>
                <w:sz w:val="20"/>
                <w:szCs w:val="20"/>
              </w:rPr>
            </w:pPr>
            <w:r>
              <w:rPr>
                <w:rFonts w:cs="Arial"/>
                <w:sz w:val="20"/>
                <w:szCs w:val="20"/>
              </w:rPr>
              <w:t>2.0</w:t>
            </w:r>
          </w:p>
        </w:tc>
      </w:tr>
      <w:tr w:rsidR="009A4B69"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9A4B69" w:rsidRDefault="009A4B69">
            <w:pPr>
              <w:rPr>
                <w:rFonts w:cs="Arial"/>
                <w:b/>
                <w:bCs/>
                <w:szCs w:val="20"/>
              </w:rPr>
            </w:pPr>
            <w:r>
              <w:rPr>
                <w:rFonts w:cs="Arial"/>
                <w:b/>
                <w:bCs/>
                <w:szCs w:val="20"/>
              </w:rPr>
              <w:t>Daily</w:t>
            </w:r>
          </w:p>
        </w:tc>
        <w:tc>
          <w:tcPr>
            <w:tcW w:w="700" w:type="pct"/>
            <w:tcBorders>
              <w:top w:val="nil"/>
              <w:bottom w:val="nil"/>
            </w:tcBorders>
            <w:vAlign w:val="center"/>
          </w:tcPr>
          <w:p w:rsidR="009A4B69" w:rsidRDefault="009A4B69">
            <w:pPr>
              <w:jc w:val="center"/>
              <w:rPr>
                <w:rFonts w:cs="Arial"/>
                <w:szCs w:val="20"/>
              </w:rPr>
            </w:pPr>
            <w:r>
              <w:rPr>
                <w:rFonts w:cs="Arial"/>
                <w:szCs w:val="20"/>
              </w:rPr>
              <w:t>-</w:t>
            </w:r>
          </w:p>
        </w:tc>
        <w:tc>
          <w:tcPr>
            <w:tcW w:w="641" w:type="pct"/>
            <w:tcBorders>
              <w:top w:val="nil"/>
              <w:bottom w:val="nil"/>
            </w:tcBorders>
            <w:vAlign w:val="center"/>
          </w:tcPr>
          <w:p w:rsidR="009A4B69" w:rsidRDefault="009A4B69">
            <w:pPr>
              <w:jc w:val="center"/>
              <w:rPr>
                <w:rFonts w:cs="Arial"/>
                <w:szCs w:val="20"/>
              </w:rPr>
            </w:pPr>
            <w:r>
              <w:rPr>
                <w:rFonts w:cs="Arial"/>
                <w:szCs w:val="20"/>
              </w:rPr>
              <w:t>-</w:t>
            </w:r>
          </w:p>
        </w:tc>
        <w:tc>
          <w:tcPr>
            <w:tcW w:w="727" w:type="pct"/>
            <w:tcBorders>
              <w:top w:val="nil"/>
              <w:bottom w:val="nil"/>
            </w:tcBorders>
            <w:vAlign w:val="center"/>
          </w:tcPr>
          <w:p w:rsidR="009A4B69" w:rsidRDefault="009A4B69">
            <w:pPr>
              <w:jc w:val="center"/>
              <w:rPr>
                <w:rFonts w:cs="Arial"/>
                <w:szCs w:val="20"/>
              </w:rPr>
            </w:pPr>
            <w:r>
              <w:rPr>
                <w:rFonts w:cs="Arial"/>
                <w:szCs w:val="20"/>
              </w:rPr>
              <w:t>-</w:t>
            </w:r>
          </w:p>
        </w:tc>
        <w:tc>
          <w:tcPr>
            <w:tcW w:w="699" w:type="pct"/>
            <w:tcBorders>
              <w:top w:val="nil"/>
              <w:bottom w:val="nil"/>
            </w:tcBorders>
            <w:vAlign w:val="center"/>
          </w:tcPr>
          <w:p w:rsidR="009A4B69" w:rsidRDefault="009A4B69">
            <w:pPr>
              <w:jc w:val="center"/>
              <w:rPr>
                <w:rFonts w:cs="Arial"/>
                <w:szCs w:val="20"/>
              </w:rPr>
            </w:pPr>
            <w:r>
              <w:rPr>
                <w:rFonts w:cs="Arial"/>
                <w:szCs w:val="20"/>
              </w:rPr>
              <w:t>-</w:t>
            </w:r>
          </w:p>
        </w:tc>
        <w:tc>
          <w:tcPr>
            <w:tcW w:w="622" w:type="pct"/>
            <w:tcBorders>
              <w:top w:val="nil"/>
              <w:bottom w:val="nil"/>
            </w:tcBorders>
            <w:vAlign w:val="center"/>
          </w:tcPr>
          <w:p w:rsidR="009A4B69" w:rsidRDefault="009A4B69">
            <w:pPr>
              <w:jc w:val="center"/>
              <w:rPr>
                <w:rFonts w:cs="Arial"/>
                <w:szCs w:val="20"/>
              </w:rPr>
            </w:pPr>
            <w:r>
              <w:rPr>
                <w:rFonts w:cs="Arial"/>
                <w:szCs w:val="20"/>
              </w:rPr>
              <w:t>9.17</w:t>
            </w:r>
          </w:p>
        </w:tc>
        <w:tc>
          <w:tcPr>
            <w:tcW w:w="696" w:type="pct"/>
            <w:tcBorders>
              <w:top w:val="nil"/>
              <w:bottom w:val="nil"/>
            </w:tcBorders>
            <w:vAlign w:val="center"/>
          </w:tcPr>
          <w:p w:rsidR="009A4B69" w:rsidRDefault="009A4B69">
            <w:pPr>
              <w:jc w:val="center"/>
              <w:rPr>
                <w:rFonts w:cs="Arial"/>
                <w:szCs w:val="20"/>
              </w:rPr>
            </w:pPr>
            <w:r>
              <w:rPr>
                <w:rFonts w:cs="Arial"/>
                <w:szCs w:val="20"/>
              </w:rPr>
              <w:t>15.0</w:t>
            </w:r>
          </w:p>
        </w:tc>
      </w:tr>
      <w:tr w:rsidR="009A4B69" w:rsidRPr="006A7228" w:rsidTr="00EA6F25">
        <w:trPr>
          <w:trHeight w:val="510"/>
        </w:trPr>
        <w:tc>
          <w:tcPr>
            <w:tcW w:w="915" w:type="pct"/>
            <w:tcBorders>
              <w:top w:val="nil"/>
              <w:bottom w:val="nil"/>
            </w:tcBorders>
            <w:vAlign w:val="center"/>
          </w:tcPr>
          <w:p w:rsidR="009A4B69" w:rsidRDefault="009A4B69">
            <w:pPr>
              <w:rPr>
                <w:rFonts w:cs="Arial"/>
                <w:b/>
                <w:bCs/>
                <w:sz w:val="20"/>
                <w:szCs w:val="20"/>
              </w:rPr>
            </w:pPr>
            <w:r>
              <w:rPr>
                <w:rFonts w:cs="Arial"/>
                <w:b/>
                <w:bCs/>
                <w:sz w:val="20"/>
                <w:szCs w:val="20"/>
              </w:rPr>
              <w:t>Day ahead</w:t>
            </w:r>
          </w:p>
        </w:tc>
        <w:tc>
          <w:tcPr>
            <w:tcW w:w="700" w:type="pct"/>
            <w:tcBorders>
              <w:top w:val="nil"/>
              <w:bottom w:val="nil"/>
            </w:tcBorders>
            <w:vAlign w:val="center"/>
          </w:tcPr>
          <w:p w:rsidR="009A4B69" w:rsidRDefault="009A4B69">
            <w:pPr>
              <w:jc w:val="center"/>
              <w:rPr>
                <w:rFonts w:cs="Arial"/>
                <w:sz w:val="20"/>
                <w:szCs w:val="20"/>
              </w:rPr>
            </w:pPr>
            <w:r>
              <w:rPr>
                <w:rFonts w:cs="Arial"/>
                <w:sz w:val="20"/>
                <w:szCs w:val="20"/>
              </w:rPr>
              <w:t>-</w:t>
            </w:r>
          </w:p>
        </w:tc>
        <w:tc>
          <w:tcPr>
            <w:tcW w:w="641" w:type="pct"/>
            <w:tcBorders>
              <w:top w:val="nil"/>
              <w:bottom w:val="nil"/>
            </w:tcBorders>
            <w:vAlign w:val="center"/>
          </w:tcPr>
          <w:p w:rsidR="009A4B69" w:rsidRDefault="009A4B69">
            <w:pPr>
              <w:jc w:val="center"/>
              <w:rPr>
                <w:rFonts w:cs="Arial"/>
                <w:sz w:val="20"/>
                <w:szCs w:val="20"/>
              </w:rPr>
            </w:pPr>
            <w:r>
              <w:rPr>
                <w:rFonts w:cs="Arial"/>
                <w:sz w:val="20"/>
                <w:szCs w:val="20"/>
              </w:rPr>
              <w:t>-</w:t>
            </w:r>
          </w:p>
        </w:tc>
        <w:tc>
          <w:tcPr>
            <w:tcW w:w="727" w:type="pct"/>
            <w:tcBorders>
              <w:top w:val="nil"/>
              <w:bottom w:val="nil"/>
            </w:tcBorders>
            <w:vAlign w:val="center"/>
          </w:tcPr>
          <w:p w:rsidR="009A4B69" w:rsidRDefault="009A4B69">
            <w:pPr>
              <w:jc w:val="center"/>
              <w:rPr>
                <w:rFonts w:cs="Arial"/>
                <w:sz w:val="20"/>
                <w:szCs w:val="20"/>
              </w:rPr>
            </w:pPr>
            <w:r>
              <w:rPr>
                <w:rFonts w:cs="Arial"/>
                <w:sz w:val="20"/>
                <w:szCs w:val="20"/>
              </w:rPr>
              <w:t>8.46</w:t>
            </w:r>
          </w:p>
        </w:tc>
        <w:tc>
          <w:tcPr>
            <w:tcW w:w="699" w:type="pct"/>
            <w:tcBorders>
              <w:top w:val="nil"/>
              <w:bottom w:val="nil"/>
            </w:tcBorders>
            <w:vAlign w:val="center"/>
          </w:tcPr>
          <w:p w:rsidR="009A4B69" w:rsidRDefault="009A4B69">
            <w:pPr>
              <w:jc w:val="center"/>
              <w:rPr>
                <w:rFonts w:cs="Arial"/>
                <w:sz w:val="20"/>
                <w:szCs w:val="20"/>
              </w:rPr>
            </w:pPr>
            <w:r>
              <w:rPr>
                <w:rFonts w:cs="Arial"/>
                <w:sz w:val="20"/>
                <w:szCs w:val="20"/>
              </w:rPr>
              <w:t>10.0</w:t>
            </w:r>
          </w:p>
        </w:tc>
        <w:tc>
          <w:tcPr>
            <w:tcW w:w="622" w:type="pct"/>
            <w:tcBorders>
              <w:top w:val="nil"/>
              <w:bottom w:val="nil"/>
            </w:tcBorders>
            <w:vAlign w:val="center"/>
          </w:tcPr>
          <w:p w:rsidR="009A4B69" w:rsidRDefault="009A4B69">
            <w:pPr>
              <w:jc w:val="center"/>
              <w:rPr>
                <w:rFonts w:cs="Arial"/>
                <w:sz w:val="20"/>
                <w:szCs w:val="20"/>
              </w:rPr>
            </w:pPr>
            <w:r>
              <w:rPr>
                <w:rFonts w:cs="Arial"/>
                <w:sz w:val="20"/>
                <w:szCs w:val="20"/>
              </w:rPr>
              <w:t>-</w:t>
            </w:r>
          </w:p>
        </w:tc>
        <w:tc>
          <w:tcPr>
            <w:tcW w:w="696" w:type="pct"/>
            <w:tcBorders>
              <w:top w:val="nil"/>
              <w:bottom w:val="nil"/>
            </w:tcBorders>
            <w:vAlign w:val="center"/>
          </w:tcPr>
          <w:p w:rsidR="009A4B69" w:rsidRDefault="009A4B69">
            <w:pPr>
              <w:jc w:val="center"/>
              <w:rPr>
                <w:rFonts w:cs="Arial"/>
                <w:sz w:val="20"/>
                <w:szCs w:val="20"/>
              </w:rPr>
            </w:pPr>
            <w:r>
              <w:rPr>
                <w:rFonts w:cs="Arial"/>
                <w:sz w:val="20"/>
                <w:szCs w:val="20"/>
              </w:rPr>
              <w:t>-</w:t>
            </w:r>
          </w:p>
        </w:tc>
      </w:tr>
      <w:tr w:rsidR="009A4B69"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9A4B69" w:rsidRDefault="009A4B69">
            <w:pPr>
              <w:rPr>
                <w:rFonts w:cs="Arial"/>
                <w:b/>
                <w:bCs/>
                <w:szCs w:val="20"/>
              </w:rPr>
            </w:pPr>
            <w:r>
              <w:rPr>
                <w:rFonts w:cs="Arial"/>
                <w:b/>
                <w:bCs/>
                <w:szCs w:val="20"/>
              </w:rPr>
              <w:t>Weekly</w:t>
            </w:r>
          </w:p>
        </w:tc>
        <w:tc>
          <w:tcPr>
            <w:tcW w:w="700" w:type="pct"/>
            <w:tcBorders>
              <w:top w:val="nil"/>
              <w:bottom w:val="nil"/>
            </w:tcBorders>
            <w:vAlign w:val="center"/>
          </w:tcPr>
          <w:p w:rsidR="009A4B69" w:rsidRDefault="009A4B69">
            <w:pPr>
              <w:jc w:val="center"/>
              <w:rPr>
                <w:rFonts w:cs="Arial"/>
                <w:szCs w:val="20"/>
              </w:rPr>
            </w:pPr>
            <w:r>
              <w:rPr>
                <w:rFonts w:cs="Arial"/>
                <w:szCs w:val="20"/>
              </w:rPr>
              <w:t>-</w:t>
            </w:r>
          </w:p>
        </w:tc>
        <w:tc>
          <w:tcPr>
            <w:tcW w:w="641" w:type="pct"/>
            <w:tcBorders>
              <w:top w:val="nil"/>
              <w:bottom w:val="nil"/>
            </w:tcBorders>
            <w:vAlign w:val="center"/>
          </w:tcPr>
          <w:p w:rsidR="009A4B69" w:rsidRDefault="009A4B69">
            <w:pPr>
              <w:jc w:val="center"/>
              <w:rPr>
                <w:rFonts w:cs="Arial"/>
                <w:szCs w:val="20"/>
              </w:rPr>
            </w:pPr>
            <w:r>
              <w:rPr>
                <w:rFonts w:cs="Arial"/>
                <w:szCs w:val="20"/>
              </w:rPr>
              <w:t>-</w:t>
            </w:r>
          </w:p>
        </w:tc>
        <w:tc>
          <w:tcPr>
            <w:tcW w:w="727" w:type="pct"/>
            <w:tcBorders>
              <w:top w:val="nil"/>
              <w:bottom w:val="nil"/>
            </w:tcBorders>
            <w:vAlign w:val="center"/>
          </w:tcPr>
          <w:p w:rsidR="009A4B69" w:rsidRDefault="009A4B69">
            <w:pPr>
              <w:jc w:val="center"/>
              <w:rPr>
                <w:rFonts w:cs="Arial"/>
                <w:szCs w:val="20"/>
              </w:rPr>
            </w:pPr>
            <w:r>
              <w:rPr>
                <w:rFonts w:cs="Arial"/>
                <w:szCs w:val="20"/>
              </w:rPr>
              <w:t>-</w:t>
            </w:r>
          </w:p>
        </w:tc>
        <w:tc>
          <w:tcPr>
            <w:tcW w:w="699" w:type="pct"/>
            <w:tcBorders>
              <w:top w:val="nil"/>
              <w:bottom w:val="nil"/>
            </w:tcBorders>
            <w:vAlign w:val="center"/>
          </w:tcPr>
          <w:p w:rsidR="009A4B69" w:rsidRDefault="009A4B69">
            <w:pPr>
              <w:jc w:val="center"/>
              <w:rPr>
                <w:rFonts w:cs="Arial"/>
                <w:szCs w:val="20"/>
              </w:rPr>
            </w:pPr>
            <w:r>
              <w:rPr>
                <w:rFonts w:cs="Arial"/>
                <w:szCs w:val="20"/>
              </w:rPr>
              <w:t>-</w:t>
            </w:r>
          </w:p>
        </w:tc>
        <w:tc>
          <w:tcPr>
            <w:tcW w:w="622" w:type="pct"/>
            <w:tcBorders>
              <w:top w:val="nil"/>
              <w:bottom w:val="nil"/>
            </w:tcBorders>
            <w:vAlign w:val="center"/>
          </w:tcPr>
          <w:p w:rsidR="009A4B69" w:rsidRDefault="009A4B69">
            <w:pPr>
              <w:jc w:val="center"/>
              <w:rPr>
                <w:rFonts w:cs="Arial"/>
                <w:szCs w:val="20"/>
              </w:rPr>
            </w:pPr>
            <w:r>
              <w:rPr>
                <w:rFonts w:cs="Arial"/>
                <w:szCs w:val="20"/>
              </w:rPr>
              <w:t>-</w:t>
            </w:r>
          </w:p>
        </w:tc>
        <w:tc>
          <w:tcPr>
            <w:tcW w:w="696" w:type="pct"/>
            <w:tcBorders>
              <w:top w:val="nil"/>
              <w:bottom w:val="nil"/>
            </w:tcBorders>
            <w:vAlign w:val="center"/>
          </w:tcPr>
          <w:p w:rsidR="009A4B69" w:rsidRDefault="009A4B69">
            <w:pPr>
              <w:jc w:val="center"/>
              <w:rPr>
                <w:rFonts w:cs="Arial"/>
                <w:szCs w:val="20"/>
              </w:rPr>
            </w:pPr>
            <w:r>
              <w:rPr>
                <w:rFonts w:cs="Arial"/>
                <w:szCs w:val="20"/>
              </w:rPr>
              <w:t>-</w:t>
            </w:r>
          </w:p>
        </w:tc>
      </w:tr>
      <w:tr w:rsidR="009A4B69" w:rsidRPr="006A7228" w:rsidTr="00EA6F25">
        <w:trPr>
          <w:trHeight w:val="510"/>
        </w:trPr>
        <w:tc>
          <w:tcPr>
            <w:tcW w:w="915" w:type="pct"/>
            <w:tcBorders>
              <w:top w:val="nil"/>
              <w:bottom w:val="nil"/>
            </w:tcBorders>
            <w:vAlign w:val="center"/>
          </w:tcPr>
          <w:p w:rsidR="009A4B69" w:rsidRDefault="009A4B69">
            <w:pPr>
              <w:rPr>
                <w:rFonts w:cs="Arial"/>
                <w:b/>
                <w:bCs/>
                <w:sz w:val="20"/>
                <w:szCs w:val="20"/>
              </w:rPr>
            </w:pPr>
            <w:r>
              <w:rPr>
                <w:rFonts w:cs="Arial"/>
                <w:b/>
                <w:bCs/>
                <w:sz w:val="20"/>
                <w:szCs w:val="20"/>
              </w:rPr>
              <w:t>Monthly</w:t>
            </w:r>
          </w:p>
        </w:tc>
        <w:tc>
          <w:tcPr>
            <w:tcW w:w="700" w:type="pct"/>
            <w:tcBorders>
              <w:top w:val="nil"/>
              <w:bottom w:val="nil"/>
            </w:tcBorders>
            <w:vAlign w:val="center"/>
          </w:tcPr>
          <w:p w:rsidR="009A4B69" w:rsidRDefault="009A4B69">
            <w:pPr>
              <w:jc w:val="center"/>
              <w:rPr>
                <w:rFonts w:cs="Arial"/>
                <w:sz w:val="20"/>
                <w:szCs w:val="20"/>
              </w:rPr>
            </w:pPr>
            <w:r>
              <w:rPr>
                <w:rFonts w:cs="Arial"/>
                <w:sz w:val="20"/>
                <w:szCs w:val="20"/>
              </w:rPr>
              <w:t>-</w:t>
            </w:r>
          </w:p>
        </w:tc>
        <w:tc>
          <w:tcPr>
            <w:tcW w:w="641" w:type="pct"/>
            <w:tcBorders>
              <w:top w:val="nil"/>
              <w:bottom w:val="nil"/>
            </w:tcBorders>
            <w:vAlign w:val="center"/>
          </w:tcPr>
          <w:p w:rsidR="009A4B69" w:rsidRDefault="009A4B69">
            <w:pPr>
              <w:jc w:val="center"/>
              <w:rPr>
                <w:rFonts w:cs="Arial"/>
                <w:sz w:val="20"/>
                <w:szCs w:val="20"/>
              </w:rPr>
            </w:pPr>
            <w:r>
              <w:rPr>
                <w:rFonts w:cs="Arial"/>
                <w:sz w:val="20"/>
                <w:szCs w:val="20"/>
              </w:rPr>
              <w:t>-</w:t>
            </w:r>
          </w:p>
        </w:tc>
        <w:tc>
          <w:tcPr>
            <w:tcW w:w="727" w:type="pct"/>
            <w:tcBorders>
              <w:top w:val="nil"/>
              <w:bottom w:val="nil"/>
            </w:tcBorders>
            <w:vAlign w:val="center"/>
          </w:tcPr>
          <w:p w:rsidR="009A4B69" w:rsidRDefault="009A4B69">
            <w:pPr>
              <w:jc w:val="center"/>
              <w:rPr>
                <w:rFonts w:cs="Arial"/>
                <w:sz w:val="20"/>
                <w:szCs w:val="20"/>
              </w:rPr>
            </w:pPr>
            <w:r>
              <w:rPr>
                <w:rFonts w:cs="Arial"/>
                <w:sz w:val="20"/>
                <w:szCs w:val="20"/>
              </w:rPr>
              <w:t>-</w:t>
            </w:r>
          </w:p>
        </w:tc>
        <w:tc>
          <w:tcPr>
            <w:tcW w:w="699" w:type="pct"/>
            <w:tcBorders>
              <w:top w:val="nil"/>
              <w:bottom w:val="nil"/>
            </w:tcBorders>
            <w:vAlign w:val="center"/>
          </w:tcPr>
          <w:p w:rsidR="009A4B69" w:rsidRDefault="009A4B69">
            <w:pPr>
              <w:jc w:val="center"/>
              <w:rPr>
                <w:rFonts w:cs="Arial"/>
                <w:sz w:val="20"/>
                <w:szCs w:val="20"/>
              </w:rPr>
            </w:pPr>
            <w:r>
              <w:rPr>
                <w:rFonts w:cs="Arial"/>
                <w:sz w:val="20"/>
                <w:szCs w:val="20"/>
              </w:rPr>
              <w:t>-</w:t>
            </w:r>
          </w:p>
        </w:tc>
        <w:tc>
          <w:tcPr>
            <w:tcW w:w="622" w:type="pct"/>
            <w:tcBorders>
              <w:top w:val="nil"/>
              <w:bottom w:val="nil"/>
            </w:tcBorders>
            <w:vAlign w:val="center"/>
          </w:tcPr>
          <w:p w:rsidR="009A4B69" w:rsidRDefault="009A4B69">
            <w:pPr>
              <w:jc w:val="center"/>
              <w:rPr>
                <w:rFonts w:cs="Arial"/>
                <w:sz w:val="20"/>
                <w:szCs w:val="20"/>
              </w:rPr>
            </w:pPr>
            <w:r>
              <w:rPr>
                <w:rFonts w:cs="Arial"/>
                <w:sz w:val="20"/>
                <w:szCs w:val="20"/>
              </w:rPr>
              <w:t>-</w:t>
            </w:r>
          </w:p>
        </w:tc>
        <w:tc>
          <w:tcPr>
            <w:tcW w:w="696" w:type="pct"/>
            <w:tcBorders>
              <w:top w:val="nil"/>
              <w:bottom w:val="nil"/>
            </w:tcBorders>
            <w:vAlign w:val="center"/>
          </w:tcPr>
          <w:p w:rsidR="009A4B69" w:rsidRDefault="009A4B69">
            <w:pPr>
              <w:jc w:val="center"/>
              <w:rPr>
                <w:rFonts w:cs="Arial"/>
                <w:sz w:val="20"/>
                <w:szCs w:val="20"/>
              </w:rPr>
            </w:pPr>
            <w:r>
              <w:rPr>
                <w:rFonts w:cs="Arial"/>
                <w:sz w:val="20"/>
                <w:szCs w:val="20"/>
              </w:rPr>
              <w:t>-</w:t>
            </w:r>
          </w:p>
        </w:tc>
      </w:tr>
      <w:tr w:rsidR="009A4B69"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single" w:sz="4" w:space="0" w:color="auto"/>
            </w:tcBorders>
            <w:vAlign w:val="center"/>
          </w:tcPr>
          <w:p w:rsidR="009A4B69" w:rsidRDefault="009A4B69">
            <w:pPr>
              <w:rPr>
                <w:rFonts w:cs="Arial"/>
                <w:b/>
                <w:bCs/>
                <w:szCs w:val="20"/>
              </w:rPr>
            </w:pPr>
            <w:r>
              <w:rPr>
                <w:rFonts w:cs="Arial"/>
                <w:b/>
                <w:bCs/>
                <w:szCs w:val="20"/>
              </w:rPr>
              <w:t>Total</w:t>
            </w:r>
          </w:p>
        </w:tc>
        <w:tc>
          <w:tcPr>
            <w:tcW w:w="700" w:type="pct"/>
            <w:tcBorders>
              <w:top w:val="nil"/>
              <w:bottom w:val="single" w:sz="4" w:space="0" w:color="auto"/>
            </w:tcBorders>
            <w:vAlign w:val="center"/>
          </w:tcPr>
          <w:p w:rsidR="009A4B69" w:rsidRDefault="009A4B69">
            <w:pPr>
              <w:jc w:val="center"/>
              <w:rPr>
                <w:rFonts w:cs="Arial"/>
                <w:b/>
                <w:bCs/>
                <w:szCs w:val="20"/>
              </w:rPr>
            </w:pPr>
            <w:r>
              <w:rPr>
                <w:rFonts w:cs="Arial"/>
                <w:b/>
                <w:bCs/>
                <w:szCs w:val="20"/>
              </w:rPr>
              <w:t>-</w:t>
            </w:r>
          </w:p>
        </w:tc>
        <w:tc>
          <w:tcPr>
            <w:tcW w:w="641" w:type="pct"/>
            <w:tcBorders>
              <w:top w:val="nil"/>
              <w:bottom w:val="single" w:sz="4" w:space="0" w:color="auto"/>
            </w:tcBorders>
            <w:vAlign w:val="center"/>
          </w:tcPr>
          <w:p w:rsidR="009A4B69" w:rsidRDefault="009A4B69">
            <w:pPr>
              <w:jc w:val="center"/>
              <w:rPr>
                <w:rFonts w:cs="Arial"/>
                <w:b/>
                <w:bCs/>
                <w:szCs w:val="20"/>
              </w:rPr>
            </w:pPr>
            <w:r>
              <w:rPr>
                <w:rFonts w:cs="Arial"/>
                <w:b/>
                <w:bCs/>
                <w:szCs w:val="20"/>
              </w:rPr>
              <w:t>-</w:t>
            </w:r>
          </w:p>
        </w:tc>
        <w:tc>
          <w:tcPr>
            <w:tcW w:w="727" w:type="pct"/>
            <w:tcBorders>
              <w:top w:val="nil"/>
              <w:bottom w:val="single" w:sz="4" w:space="0" w:color="auto"/>
            </w:tcBorders>
            <w:vAlign w:val="center"/>
          </w:tcPr>
          <w:p w:rsidR="009A4B69" w:rsidRDefault="009A4B69">
            <w:pPr>
              <w:jc w:val="center"/>
              <w:rPr>
                <w:rFonts w:cs="Arial"/>
                <w:b/>
                <w:bCs/>
                <w:szCs w:val="20"/>
              </w:rPr>
            </w:pPr>
            <w:r>
              <w:rPr>
                <w:rFonts w:cs="Arial"/>
                <w:b/>
                <w:bCs/>
                <w:szCs w:val="20"/>
              </w:rPr>
              <w:t>8.46</w:t>
            </w:r>
          </w:p>
        </w:tc>
        <w:tc>
          <w:tcPr>
            <w:tcW w:w="699" w:type="pct"/>
            <w:tcBorders>
              <w:top w:val="nil"/>
              <w:bottom w:val="single" w:sz="4" w:space="0" w:color="auto"/>
            </w:tcBorders>
            <w:vAlign w:val="center"/>
          </w:tcPr>
          <w:p w:rsidR="009A4B69" w:rsidRDefault="009A4B69">
            <w:pPr>
              <w:jc w:val="center"/>
              <w:rPr>
                <w:rFonts w:cs="Arial"/>
                <w:b/>
                <w:bCs/>
                <w:szCs w:val="20"/>
              </w:rPr>
            </w:pPr>
            <w:r>
              <w:rPr>
                <w:rFonts w:cs="Arial"/>
                <w:b/>
                <w:bCs/>
                <w:szCs w:val="20"/>
              </w:rPr>
              <w:t>10.0</w:t>
            </w:r>
          </w:p>
        </w:tc>
        <w:tc>
          <w:tcPr>
            <w:tcW w:w="622" w:type="pct"/>
            <w:tcBorders>
              <w:top w:val="nil"/>
              <w:bottom w:val="single" w:sz="4" w:space="0" w:color="auto"/>
            </w:tcBorders>
            <w:vAlign w:val="center"/>
          </w:tcPr>
          <w:p w:rsidR="009A4B69" w:rsidRDefault="009A4B69">
            <w:pPr>
              <w:jc w:val="center"/>
              <w:rPr>
                <w:rFonts w:cs="Arial"/>
                <w:b/>
                <w:bCs/>
                <w:szCs w:val="20"/>
              </w:rPr>
            </w:pPr>
            <w:r>
              <w:rPr>
                <w:rFonts w:cs="Arial"/>
                <w:b/>
                <w:bCs/>
                <w:szCs w:val="20"/>
              </w:rPr>
              <w:t>9.29</w:t>
            </w:r>
          </w:p>
        </w:tc>
        <w:tc>
          <w:tcPr>
            <w:tcW w:w="696" w:type="pct"/>
            <w:tcBorders>
              <w:top w:val="nil"/>
              <w:bottom w:val="single" w:sz="4" w:space="0" w:color="auto"/>
            </w:tcBorders>
            <w:vAlign w:val="center"/>
          </w:tcPr>
          <w:p w:rsidR="009A4B69" w:rsidRDefault="009A4B69">
            <w:pPr>
              <w:jc w:val="center"/>
              <w:rPr>
                <w:rFonts w:cs="Arial"/>
                <w:b/>
                <w:bCs/>
                <w:szCs w:val="20"/>
              </w:rPr>
            </w:pPr>
            <w:r>
              <w:rPr>
                <w:rFonts w:cs="Arial"/>
                <w:b/>
                <w:bCs/>
                <w:szCs w:val="20"/>
              </w:rPr>
              <w:t>17.0</w:t>
            </w:r>
          </w:p>
        </w:tc>
      </w:tr>
    </w:tbl>
    <w:p w:rsidR="00410584" w:rsidRPr="00552F68" w:rsidRDefault="00410584" w:rsidP="00410584">
      <w:pPr>
        <w:pStyle w:val="AERbodytext"/>
        <w:rPr>
          <w:sz w:val="16"/>
        </w:rPr>
      </w:pPr>
      <w:r w:rsidRPr="00552F68">
        <w:rPr>
          <w:sz w:val="16"/>
        </w:rPr>
        <w:t xml:space="preserve">* </w:t>
      </w:r>
      <w:r w:rsidR="008D7D94">
        <w:rPr>
          <w:sz w:val="16"/>
        </w:rPr>
        <w:t>includes n</w:t>
      </w:r>
      <w:r w:rsidRPr="00552F68">
        <w:rPr>
          <w:sz w:val="16"/>
        </w:rPr>
        <w:t xml:space="preserve">on-netted </w:t>
      </w:r>
      <w:r w:rsidR="008D7D94">
        <w:rPr>
          <w:sz w:val="16"/>
        </w:rPr>
        <w:t>(off-market) trades</w:t>
      </w:r>
      <w:r w:rsidRPr="00552F68">
        <w:rPr>
          <w:sz w:val="16"/>
        </w:rPr>
        <w:t>.</w:t>
      </w:r>
    </w:p>
    <w:p w:rsidR="001934E9" w:rsidRDefault="00C370D1" w:rsidP="00A226E9">
      <w:pPr>
        <w:keepNext/>
      </w:pPr>
      <w:r>
        <w:t>Figure 6</w:t>
      </w:r>
      <w:r w:rsidR="001934E9"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EB7FF2">
        <w:fldChar w:fldCharType="begin"/>
      </w:r>
      <w:r w:rsidR="00EB7FF2">
        <w:instrText xml:space="preserve"> SEQ Figure \* ARABIC </w:instrText>
      </w:r>
      <w:r w:rsidR="00EB7FF2">
        <w:fldChar w:fldCharType="separate"/>
      </w:r>
      <w:r w:rsidR="00C370D1">
        <w:rPr>
          <w:noProof/>
        </w:rPr>
        <w:t>6</w:t>
      </w:r>
      <w:r w:rsidR="00EB7FF2">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9A4B69" w:rsidP="00E33530">
      <w:pPr>
        <w:keepNext/>
      </w:pPr>
      <w:r w:rsidRPr="009A4B69">
        <w:rPr>
          <w:noProof/>
          <w:lang w:eastAsia="en-AU"/>
        </w:rPr>
        <w:drawing>
          <wp:inline distT="0" distB="0" distL="0" distR="0" wp14:anchorId="1108B46A" wp14:editId="15FDF258">
            <wp:extent cx="5731510" cy="3179062"/>
            <wp:effectExtent l="0" t="0" r="2540" b="2540"/>
            <wp:docPr id="8" name="Picture 8" descr="Figure 6 shows the daily quantity of gas flowed on each of the three Queensland LNG export pipelines. Quantities of gas supplied by production facilities in the Roma region owned by these pipelines are also shown, grouped for each participant (APLNG, GLNG/Santos and QCLNG/QCG)." title="LNG export pipeline and production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BD5FF2" w:rsidRDefault="00BD5FF2">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640C69" w:rsidRPr="009724C4" w:rsidRDefault="001521CB" w:rsidP="009724C4">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lastRenderedPageBreak/>
        <w:t>Detailed market analysis</w:t>
      </w:r>
    </w:p>
    <w:p w:rsidR="00640C69" w:rsidRPr="000A4066" w:rsidRDefault="00640C69" w:rsidP="00640C69">
      <w:pPr>
        <w:jc w:val="both"/>
      </w:pPr>
      <w:r w:rsidRPr="000A4066">
        <w:t>There was a large Market Operator Service (MOS) payment</w:t>
      </w:r>
      <w:r w:rsidR="009724C4" w:rsidRPr="000A4066">
        <w:t>,</w:t>
      </w:r>
      <w:r w:rsidRPr="000A4066">
        <w:t xml:space="preserve"> of $78,574</w:t>
      </w:r>
      <w:r w:rsidR="009724C4" w:rsidRPr="000A4066">
        <w:t>,</w:t>
      </w:r>
      <w:r w:rsidRPr="000A4066">
        <w:t xml:space="preserve"> at the Adelaide hub on 14</w:t>
      </w:r>
      <w:r w:rsidR="00B801F2">
        <w:t> </w:t>
      </w:r>
      <w:r w:rsidRPr="000A4066">
        <w:t>April (</w:t>
      </w:r>
      <w:r w:rsidR="00B801F2">
        <w:t>f</w:t>
      </w:r>
      <w:r w:rsidRPr="000A4066">
        <w:t>igure</w:t>
      </w:r>
      <w:r w:rsidR="00B801F2">
        <w:t xml:space="preserve">s </w:t>
      </w:r>
      <w:r w:rsidRPr="000A4066">
        <w:t>4</w:t>
      </w:r>
      <w:r w:rsidR="00B801F2">
        <w:t xml:space="preserve"> and 3.4</w:t>
      </w:r>
      <w:r w:rsidRPr="000A4066">
        <w:t>).</w:t>
      </w:r>
      <w:r w:rsidR="009F1156" w:rsidRPr="000A4066">
        <w:t xml:space="preserve"> Although this was the highest payment </w:t>
      </w:r>
      <w:r w:rsidR="00B801F2">
        <w:t xml:space="preserve">in the hub </w:t>
      </w:r>
      <w:r w:rsidR="009F1156" w:rsidRPr="000A4066">
        <w:t>for the current calendar year, MOS service payments have been low in 2017 compared to 2016.</w:t>
      </w:r>
    </w:p>
    <w:p w:rsidR="009724C4" w:rsidRPr="000A4066" w:rsidRDefault="00640C69" w:rsidP="009724C4">
      <w:pPr>
        <w:jc w:val="both"/>
      </w:pPr>
      <w:r w:rsidRPr="000A4066">
        <w:t>Victoria’s Undergroun</w:t>
      </w:r>
      <w:r w:rsidR="009724C4" w:rsidRPr="000A4066">
        <w:t>d Gas Storage facility continued</w:t>
      </w:r>
      <w:r w:rsidRPr="000A4066">
        <w:t xml:space="preserve"> to fill in advance of the 2017 winter period. There was a decrease in the rate of injections (into the facility)</w:t>
      </w:r>
      <w:r w:rsidR="009724C4" w:rsidRPr="000A4066">
        <w:t xml:space="preserve"> from the previous week, corresponding</w:t>
      </w:r>
      <w:r w:rsidRPr="000A4066">
        <w:t xml:space="preserve"> with significant gas withdrawals on 10 April – a day of both high demand and reduced lower priced bids (see </w:t>
      </w:r>
      <w:r w:rsidR="00B801F2">
        <w:t>f</w:t>
      </w:r>
      <w:r w:rsidRPr="000A4066">
        <w:t>igure</w:t>
      </w:r>
      <w:r w:rsidR="00B801F2">
        <w:t> </w:t>
      </w:r>
      <w:r w:rsidRPr="000A4066">
        <w:t>1.4). Iona will undergo a full plant maintenance shutdown, between 17</w:t>
      </w:r>
      <w:r w:rsidR="00B801F2">
        <w:t> </w:t>
      </w:r>
      <w:r w:rsidRPr="000A4066">
        <w:t>April and 1</w:t>
      </w:r>
      <w:r w:rsidR="00B801F2">
        <w:t> </w:t>
      </w:r>
      <w:r w:rsidRPr="000A4066">
        <w:t>May, but is projected to be close to full capacity (26</w:t>
      </w:r>
      <w:r w:rsidR="00B801F2">
        <w:t> </w:t>
      </w:r>
      <w:r w:rsidRPr="000A4066">
        <w:t>PJ) for southern gas users over winter.</w:t>
      </w:r>
    </w:p>
    <w:p w:rsidR="00AB0F52" w:rsidRPr="000A4066" w:rsidRDefault="00AB0F52" w:rsidP="00AB0F52">
      <w:pPr>
        <w:jc w:val="both"/>
      </w:pPr>
      <w:r w:rsidRPr="000A4066">
        <w:t xml:space="preserve">Weekly flows on APLNG’s export pipeline have returned to their 2017 highs (see </w:t>
      </w:r>
      <w:r w:rsidR="00B801F2">
        <w:t>f</w:t>
      </w:r>
      <w:r w:rsidRPr="000A4066">
        <w:t>igure</w:t>
      </w:r>
      <w:r w:rsidR="00B801F2">
        <w:t> </w:t>
      </w:r>
      <w:r w:rsidRPr="000A4066">
        <w:t>6) following the completed maintenance and return-to-service of one of APLNG’s export trains the previous week.</w:t>
      </w:r>
      <w:r w:rsidR="008C341C">
        <w:rPr>
          <w:rStyle w:val="FootnoteReference"/>
        </w:rPr>
        <w:footnoteReference w:id="3"/>
      </w:r>
    </w:p>
    <w:p w:rsidR="00AB0F52" w:rsidRDefault="004541EC" w:rsidP="009724C4">
      <w:pPr>
        <w:jc w:val="both"/>
      </w:pPr>
      <w:r w:rsidRPr="004541EC">
        <w:t>Following the closure of the Hazelwood coal-fired generator in the NEM</w:t>
      </w:r>
      <w:r w:rsidRPr="004541EC">
        <w:rPr>
          <w:rStyle w:val="FootnoteReference"/>
        </w:rPr>
        <w:footnoteReference w:id="4"/>
      </w:r>
      <w:r w:rsidRPr="004541EC">
        <w:t xml:space="preserve"> on 29 March, gas usage for electricity generation in Victoria was higher across the current and previous week, particularly at Mortlake and Newport power stations.</w:t>
      </w:r>
    </w:p>
    <w:p w:rsidR="00010244" w:rsidRPr="004541EC" w:rsidRDefault="00010244" w:rsidP="009724C4">
      <w:pPr>
        <w:jc w:val="both"/>
      </w:pPr>
      <w:r>
        <w:t>Figure </w:t>
      </w:r>
      <w:r w:rsidR="00764D73">
        <w:t>7</w:t>
      </w:r>
      <w:r>
        <w:t xml:space="preserve"> shows the estimated</w:t>
      </w:r>
      <w:r>
        <w:rPr>
          <w:rStyle w:val="FootnoteReference"/>
        </w:rPr>
        <w:footnoteReference w:id="5"/>
      </w:r>
      <w:r>
        <w:t xml:space="preserve"> gas demand from gas-fired generators in Victoria. </w:t>
      </w:r>
    </w:p>
    <w:p w:rsidR="0069099B" w:rsidRDefault="0069099B" w:rsidP="0069099B">
      <w:pPr>
        <w:pStyle w:val="Caption"/>
        <w:rPr>
          <w:color w:val="2272A3"/>
          <w:szCs w:val="24"/>
        </w:rPr>
      </w:pPr>
      <w:r w:rsidRPr="001521CB">
        <w:t xml:space="preserve">Figure </w:t>
      </w:r>
      <w:r w:rsidR="00EB7FF2">
        <w:fldChar w:fldCharType="begin"/>
      </w:r>
      <w:r w:rsidR="00EB7FF2">
        <w:instrText xml:space="preserve"> SEQ Figure \* ARABIC </w:instrText>
      </w:r>
      <w:r w:rsidR="00EB7FF2">
        <w:fldChar w:fldCharType="separate"/>
      </w:r>
      <w:r w:rsidR="00764D73">
        <w:rPr>
          <w:noProof/>
        </w:rPr>
        <w:t>7</w:t>
      </w:r>
      <w:r w:rsidR="00EB7FF2">
        <w:rPr>
          <w:noProof/>
        </w:rPr>
        <w:fldChar w:fldCharType="end"/>
      </w:r>
      <w:r w:rsidRPr="001521CB">
        <w:t xml:space="preserve">: </w:t>
      </w:r>
      <w:r>
        <w:rPr>
          <w:color w:val="2272A3"/>
          <w:szCs w:val="24"/>
        </w:rPr>
        <w:t>Gas usage in Victoria</w:t>
      </w:r>
      <w:r w:rsidR="00010244">
        <w:rPr>
          <w:color w:val="2272A3"/>
          <w:szCs w:val="24"/>
        </w:rPr>
        <w:t xml:space="preserve"> (TJ)</w:t>
      </w:r>
    </w:p>
    <w:p w:rsidR="0069099B" w:rsidRPr="0069099B" w:rsidRDefault="00010244" w:rsidP="0069099B">
      <w:r w:rsidRPr="00010244">
        <w:rPr>
          <w:noProof/>
          <w:lang w:eastAsia="en-AU"/>
        </w:rPr>
        <w:drawing>
          <wp:inline distT="0" distB="0" distL="0" distR="0" wp14:anchorId="0EDBC17E" wp14:editId="1F9AAEF4">
            <wp:extent cx="5731510" cy="3518669"/>
            <wp:effectExtent l="0" t="0" r="2540" b="5715"/>
            <wp:docPr id="6" name="Picture 6" descr="Figure 6 shows the estimated gas demand from gas-fired generators in Victoria. Gas Powered Generation (GPG) has been grouped for a number of generators, while Mortlake and Newport are shown separately." title="Gas usage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518669"/>
                    </a:xfrm>
                    <a:prstGeom prst="rect">
                      <a:avLst/>
                    </a:prstGeom>
                    <a:noFill/>
                    <a:ln>
                      <a:noFill/>
                    </a:ln>
                  </pic:spPr>
                </pic:pic>
              </a:graphicData>
            </a:graphic>
          </wp:inline>
        </w:drawing>
      </w:r>
    </w:p>
    <w:p w:rsidR="001521CB" w:rsidRPr="004541EC" w:rsidRDefault="001521CB">
      <w:pPr>
        <w:spacing w:line="240" w:lineRule="auto"/>
        <w:rPr>
          <w:rFonts w:eastAsiaTheme="majorEastAsia" w:cstheme="majorBidi"/>
          <w:b/>
          <w:bCs/>
          <w:sz w:val="28"/>
          <w:szCs w:val="26"/>
        </w:rPr>
      </w:pPr>
      <w:r w:rsidRPr="004541EC">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6"/>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7"/>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8"/>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9A4B69" w:rsidP="003171C6">
      <w:r w:rsidRPr="009A4B69">
        <w:rPr>
          <w:noProof/>
          <w:lang w:eastAsia="en-AU"/>
        </w:rPr>
        <w:drawing>
          <wp:inline distT="0" distB="0" distL="0" distR="0" wp14:anchorId="7B4E4E41" wp14:editId="061D15FE">
            <wp:extent cx="5731510" cy="1650203"/>
            <wp:effectExtent l="0" t="0" r="2540" b="7620"/>
            <wp:docPr id="9" name="Picture 9" descr="Figure 1.1 shows the five Victorian schedule prices for each day this week. The marker indicates the daily imbalance weighted average price for each day. For a more detailed description of this figure, please refer to the user guide." title="Prices b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9A4B69" w:rsidP="003171C6">
      <w:r w:rsidRPr="009A4B69">
        <w:rPr>
          <w:noProof/>
          <w:lang w:eastAsia="en-AU"/>
        </w:rPr>
        <w:drawing>
          <wp:inline distT="0" distB="0" distL="0" distR="0" wp14:anchorId="56617310" wp14:editId="73880BBE">
            <wp:extent cx="5731510" cy="2132322"/>
            <wp:effectExtent l="0" t="0" r="2540" b="1905"/>
            <wp:docPr id="10" name="Picture 10" descr="Figure 1.2 shows the demand forecast used to calculate the five daily schedule prices for this week. For a more detailed description of this figure, please refer to the user guide." title="Demand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9A4B69" w:rsidP="003171C6">
      <w:r w:rsidRPr="009A4B69">
        <w:rPr>
          <w:noProof/>
          <w:lang w:eastAsia="en-AU"/>
        </w:rPr>
        <w:drawing>
          <wp:inline distT="0" distB="0" distL="0" distR="0" wp14:anchorId="07B4E1D4" wp14:editId="4148363E">
            <wp:extent cx="5731510" cy="2486687"/>
            <wp:effectExtent l="0" t="0" r="2540" b="8890"/>
            <wp:docPr id="11" name="Picture 11" descr="Figure 1.3 shows the injection bids within certain price bands for each trading interval in Victoria this week. For a more detailed description of this figure, please refer to the user guide." title="Injection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9A4B69" w:rsidP="003171C6">
      <w:r w:rsidRPr="009A4B69">
        <w:rPr>
          <w:noProof/>
          <w:lang w:eastAsia="en-AU"/>
        </w:rPr>
        <w:drawing>
          <wp:inline distT="0" distB="0" distL="0" distR="0" wp14:anchorId="204FD8F6" wp14:editId="32430ADE">
            <wp:extent cx="5731510" cy="1958582"/>
            <wp:effectExtent l="0" t="0" r="2540" b="3810"/>
            <wp:docPr id="12" name="Picture 12" descr="Figure 1.4 shows the withdrawal bids within certain price bands for each trading interval in Victoria this week. For a more detailed description of this figure, please refer to the user guide." title="Withdrawal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9A4B69" w:rsidP="003171C6">
      <w:r w:rsidRPr="009A4B69">
        <w:rPr>
          <w:noProof/>
          <w:lang w:eastAsia="en-AU"/>
        </w:rPr>
        <w:drawing>
          <wp:inline distT="0" distB="0" distL="0" distR="0" wp14:anchorId="4DDF6281" wp14:editId="0DD2CE07">
            <wp:extent cx="5731510" cy="2142691"/>
            <wp:effectExtent l="0" t="0" r="2540" b="0"/>
            <wp:docPr id="19" name="Picture 19" descr="Figure 1.5 shows the metered injections sorted by facility for each 4 hour interval in Victoria this week. For a more detailed description of this figure, please refer to the user guide." title="Metered system in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9"/>
      </w:r>
      <w:r w:rsidRPr="00EF58A8">
        <w:t xml:space="preserve"> Divergences in ex ante and ex post prices for a gas day may occur due to differences in scheduled (forecast) and allocated (actual) quantities.</w:t>
      </w:r>
      <w:r>
        <w:t xml:space="preserve"> Pipeline acronyms are defined in the </w:t>
      </w:r>
      <w:hyperlink r:id="rId22"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10"/>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9A4B69" w:rsidRPr="00405CDE" w:rsidTr="00A226E9">
        <w:trPr>
          <w:trHeight w:val="510"/>
        </w:trPr>
        <w:tc>
          <w:tcPr>
            <w:tcW w:w="1211" w:type="pct"/>
            <w:tcBorders>
              <w:top w:val="nil"/>
              <w:bottom w:val="nil"/>
            </w:tcBorders>
            <w:vAlign w:val="center"/>
          </w:tcPr>
          <w:p w:rsidR="009A4B69" w:rsidRDefault="009A4B69">
            <w:pPr>
              <w:rPr>
                <w:rFonts w:cs="Arial"/>
                <w:sz w:val="20"/>
                <w:szCs w:val="20"/>
              </w:rPr>
            </w:pPr>
            <w:r>
              <w:rPr>
                <w:rFonts w:cs="Arial"/>
                <w:sz w:val="20"/>
                <w:szCs w:val="20"/>
              </w:rPr>
              <w:t>Ex ante price ($/GJ)</w:t>
            </w:r>
          </w:p>
        </w:tc>
        <w:tc>
          <w:tcPr>
            <w:tcW w:w="580" w:type="pct"/>
            <w:tcBorders>
              <w:top w:val="nil"/>
              <w:bottom w:val="nil"/>
            </w:tcBorders>
            <w:vAlign w:val="center"/>
          </w:tcPr>
          <w:p w:rsidR="009A4B69" w:rsidRDefault="009A4B69">
            <w:pPr>
              <w:jc w:val="center"/>
              <w:rPr>
                <w:rFonts w:cs="Arial"/>
                <w:sz w:val="20"/>
                <w:szCs w:val="20"/>
              </w:rPr>
            </w:pPr>
            <w:r>
              <w:rPr>
                <w:rFonts w:cs="Arial"/>
                <w:sz w:val="20"/>
                <w:szCs w:val="20"/>
              </w:rPr>
              <w:t>10.56</w:t>
            </w:r>
          </w:p>
        </w:tc>
        <w:tc>
          <w:tcPr>
            <w:tcW w:w="508" w:type="pct"/>
            <w:tcBorders>
              <w:top w:val="nil"/>
              <w:bottom w:val="nil"/>
            </w:tcBorders>
            <w:vAlign w:val="center"/>
          </w:tcPr>
          <w:p w:rsidR="009A4B69" w:rsidRDefault="009A4B69">
            <w:pPr>
              <w:jc w:val="center"/>
              <w:rPr>
                <w:rFonts w:cs="Arial"/>
                <w:sz w:val="20"/>
                <w:szCs w:val="20"/>
              </w:rPr>
            </w:pPr>
            <w:r>
              <w:rPr>
                <w:rFonts w:cs="Arial"/>
                <w:sz w:val="20"/>
                <w:szCs w:val="20"/>
              </w:rPr>
              <w:t>9.24</w:t>
            </w:r>
          </w:p>
        </w:tc>
        <w:tc>
          <w:tcPr>
            <w:tcW w:w="589" w:type="pct"/>
            <w:tcBorders>
              <w:top w:val="nil"/>
              <w:bottom w:val="nil"/>
            </w:tcBorders>
            <w:vAlign w:val="center"/>
          </w:tcPr>
          <w:p w:rsidR="009A4B69" w:rsidRDefault="009A4B69">
            <w:pPr>
              <w:jc w:val="center"/>
              <w:rPr>
                <w:rFonts w:cs="Arial"/>
                <w:sz w:val="20"/>
                <w:szCs w:val="20"/>
              </w:rPr>
            </w:pPr>
            <w:r>
              <w:rPr>
                <w:rFonts w:cs="Arial"/>
                <w:sz w:val="20"/>
                <w:szCs w:val="20"/>
              </w:rPr>
              <w:t>9.96</w:t>
            </w:r>
          </w:p>
        </w:tc>
        <w:tc>
          <w:tcPr>
            <w:tcW w:w="517" w:type="pct"/>
            <w:tcBorders>
              <w:top w:val="nil"/>
              <w:bottom w:val="nil"/>
            </w:tcBorders>
            <w:vAlign w:val="center"/>
          </w:tcPr>
          <w:p w:rsidR="009A4B69" w:rsidRDefault="009A4B69">
            <w:pPr>
              <w:jc w:val="center"/>
              <w:rPr>
                <w:rFonts w:cs="Arial"/>
                <w:sz w:val="20"/>
                <w:szCs w:val="20"/>
              </w:rPr>
            </w:pPr>
            <w:r>
              <w:rPr>
                <w:rFonts w:cs="Arial"/>
                <w:sz w:val="20"/>
                <w:szCs w:val="20"/>
              </w:rPr>
              <w:t>10.04</w:t>
            </w:r>
          </w:p>
        </w:tc>
        <w:tc>
          <w:tcPr>
            <w:tcW w:w="510" w:type="pct"/>
            <w:tcBorders>
              <w:top w:val="nil"/>
              <w:bottom w:val="nil"/>
            </w:tcBorders>
            <w:vAlign w:val="center"/>
          </w:tcPr>
          <w:p w:rsidR="009A4B69" w:rsidRDefault="009A4B69">
            <w:pPr>
              <w:jc w:val="center"/>
              <w:rPr>
                <w:rFonts w:cs="Arial"/>
                <w:sz w:val="20"/>
                <w:szCs w:val="20"/>
              </w:rPr>
            </w:pPr>
            <w:r>
              <w:rPr>
                <w:rFonts w:cs="Arial"/>
                <w:sz w:val="20"/>
                <w:szCs w:val="20"/>
              </w:rPr>
              <w:t>9.49</w:t>
            </w:r>
          </w:p>
        </w:tc>
        <w:tc>
          <w:tcPr>
            <w:tcW w:w="507" w:type="pct"/>
            <w:tcBorders>
              <w:top w:val="nil"/>
              <w:bottom w:val="nil"/>
            </w:tcBorders>
            <w:vAlign w:val="center"/>
          </w:tcPr>
          <w:p w:rsidR="009A4B69" w:rsidRDefault="009A4B69">
            <w:pPr>
              <w:jc w:val="center"/>
              <w:rPr>
                <w:rFonts w:cs="Arial"/>
                <w:sz w:val="20"/>
                <w:szCs w:val="20"/>
              </w:rPr>
            </w:pPr>
            <w:r>
              <w:rPr>
                <w:rFonts w:cs="Arial"/>
                <w:sz w:val="20"/>
                <w:szCs w:val="20"/>
              </w:rPr>
              <w:t>8.69</w:t>
            </w:r>
          </w:p>
        </w:tc>
        <w:tc>
          <w:tcPr>
            <w:tcW w:w="578" w:type="pct"/>
            <w:tcBorders>
              <w:top w:val="nil"/>
              <w:bottom w:val="nil"/>
            </w:tcBorders>
            <w:vAlign w:val="center"/>
          </w:tcPr>
          <w:p w:rsidR="009A4B69" w:rsidRDefault="009A4B69">
            <w:pPr>
              <w:jc w:val="center"/>
              <w:rPr>
                <w:rFonts w:cs="Arial"/>
                <w:sz w:val="20"/>
                <w:szCs w:val="20"/>
              </w:rPr>
            </w:pPr>
            <w:r>
              <w:rPr>
                <w:rFonts w:cs="Arial"/>
                <w:sz w:val="20"/>
                <w:szCs w:val="20"/>
              </w:rPr>
              <w:t>9.20</w:t>
            </w:r>
          </w:p>
        </w:tc>
      </w:tr>
      <w:tr w:rsidR="009A4B69"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9A4B69" w:rsidRDefault="009A4B69">
            <w:pPr>
              <w:rPr>
                <w:rFonts w:cs="Arial"/>
                <w:szCs w:val="20"/>
              </w:rPr>
            </w:pPr>
            <w:r>
              <w:rPr>
                <w:rFonts w:cs="Arial"/>
                <w:szCs w:val="20"/>
              </w:rPr>
              <w:t>Ex ante quantity (TJ)</w:t>
            </w:r>
          </w:p>
        </w:tc>
        <w:tc>
          <w:tcPr>
            <w:tcW w:w="580" w:type="pct"/>
            <w:tcBorders>
              <w:top w:val="nil"/>
              <w:bottom w:val="nil"/>
            </w:tcBorders>
            <w:vAlign w:val="center"/>
          </w:tcPr>
          <w:p w:rsidR="009A4B69" w:rsidRDefault="009A4B69">
            <w:pPr>
              <w:jc w:val="center"/>
              <w:rPr>
                <w:rFonts w:cs="Arial"/>
                <w:szCs w:val="20"/>
              </w:rPr>
            </w:pPr>
            <w:r>
              <w:rPr>
                <w:rFonts w:cs="Arial"/>
                <w:szCs w:val="20"/>
              </w:rPr>
              <w:t>181</w:t>
            </w:r>
          </w:p>
        </w:tc>
        <w:tc>
          <w:tcPr>
            <w:tcW w:w="508" w:type="pct"/>
            <w:tcBorders>
              <w:top w:val="nil"/>
              <w:bottom w:val="nil"/>
            </w:tcBorders>
            <w:vAlign w:val="center"/>
          </w:tcPr>
          <w:p w:rsidR="009A4B69" w:rsidRDefault="009A4B69">
            <w:pPr>
              <w:jc w:val="center"/>
              <w:rPr>
                <w:rFonts w:cs="Arial"/>
                <w:szCs w:val="20"/>
              </w:rPr>
            </w:pPr>
            <w:r>
              <w:rPr>
                <w:rFonts w:cs="Arial"/>
                <w:szCs w:val="20"/>
              </w:rPr>
              <w:t>218</w:t>
            </w:r>
          </w:p>
        </w:tc>
        <w:tc>
          <w:tcPr>
            <w:tcW w:w="589" w:type="pct"/>
            <w:tcBorders>
              <w:top w:val="nil"/>
              <w:bottom w:val="nil"/>
            </w:tcBorders>
            <w:vAlign w:val="center"/>
          </w:tcPr>
          <w:p w:rsidR="009A4B69" w:rsidRDefault="009A4B69">
            <w:pPr>
              <w:jc w:val="center"/>
              <w:rPr>
                <w:rFonts w:cs="Arial"/>
                <w:szCs w:val="20"/>
              </w:rPr>
            </w:pPr>
            <w:r>
              <w:rPr>
                <w:rFonts w:cs="Arial"/>
                <w:szCs w:val="20"/>
              </w:rPr>
              <w:t>212</w:t>
            </w:r>
          </w:p>
        </w:tc>
        <w:tc>
          <w:tcPr>
            <w:tcW w:w="517" w:type="pct"/>
            <w:tcBorders>
              <w:top w:val="nil"/>
              <w:bottom w:val="nil"/>
            </w:tcBorders>
            <w:vAlign w:val="center"/>
          </w:tcPr>
          <w:p w:rsidR="009A4B69" w:rsidRDefault="009A4B69">
            <w:pPr>
              <w:jc w:val="center"/>
              <w:rPr>
                <w:rFonts w:cs="Arial"/>
                <w:szCs w:val="20"/>
              </w:rPr>
            </w:pPr>
            <w:r>
              <w:rPr>
                <w:rFonts w:cs="Arial"/>
                <w:szCs w:val="20"/>
              </w:rPr>
              <w:t>224</w:t>
            </w:r>
          </w:p>
        </w:tc>
        <w:tc>
          <w:tcPr>
            <w:tcW w:w="510" w:type="pct"/>
            <w:tcBorders>
              <w:top w:val="nil"/>
              <w:bottom w:val="nil"/>
            </w:tcBorders>
            <w:vAlign w:val="center"/>
          </w:tcPr>
          <w:p w:rsidR="009A4B69" w:rsidRDefault="009A4B69">
            <w:pPr>
              <w:jc w:val="center"/>
              <w:rPr>
                <w:rFonts w:cs="Arial"/>
                <w:szCs w:val="20"/>
              </w:rPr>
            </w:pPr>
            <w:r>
              <w:rPr>
                <w:rFonts w:cs="Arial"/>
                <w:szCs w:val="20"/>
              </w:rPr>
              <w:t>232</w:t>
            </w:r>
          </w:p>
        </w:tc>
        <w:tc>
          <w:tcPr>
            <w:tcW w:w="507" w:type="pct"/>
            <w:tcBorders>
              <w:top w:val="nil"/>
              <w:bottom w:val="nil"/>
            </w:tcBorders>
            <w:vAlign w:val="center"/>
          </w:tcPr>
          <w:p w:rsidR="009A4B69" w:rsidRDefault="009A4B69">
            <w:pPr>
              <w:jc w:val="center"/>
              <w:rPr>
                <w:rFonts w:cs="Arial"/>
                <w:szCs w:val="20"/>
              </w:rPr>
            </w:pPr>
            <w:r>
              <w:rPr>
                <w:rFonts w:cs="Arial"/>
                <w:szCs w:val="20"/>
              </w:rPr>
              <w:t>181</w:t>
            </w:r>
          </w:p>
        </w:tc>
        <w:tc>
          <w:tcPr>
            <w:tcW w:w="578" w:type="pct"/>
            <w:tcBorders>
              <w:top w:val="nil"/>
              <w:bottom w:val="nil"/>
            </w:tcBorders>
            <w:vAlign w:val="center"/>
          </w:tcPr>
          <w:p w:rsidR="009A4B69" w:rsidRDefault="009A4B69">
            <w:pPr>
              <w:jc w:val="center"/>
              <w:rPr>
                <w:rFonts w:cs="Arial"/>
                <w:szCs w:val="20"/>
              </w:rPr>
            </w:pPr>
            <w:r>
              <w:rPr>
                <w:rFonts w:cs="Arial"/>
                <w:szCs w:val="20"/>
              </w:rPr>
              <w:t>176</w:t>
            </w:r>
          </w:p>
        </w:tc>
      </w:tr>
      <w:tr w:rsidR="009A4B69" w:rsidRPr="00405CDE" w:rsidTr="00A226E9">
        <w:trPr>
          <w:trHeight w:val="510"/>
        </w:trPr>
        <w:tc>
          <w:tcPr>
            <w:tcW w:w="1211" w:type="pct"/>
            <w:tcBorders>
              <w:top w:val="nil"/>
              <w:bottom w:val="nil"/>
            </w:tcBorders>
            <w:vAlign w:val="center"/>
          </w:tcPr>
          <w:p w:rsidR="009A4B69" w:rsidRDefault="009A4B69">
            <w:pPr>
              <w:rPr>
                <w:rFonts w:cs="Arial"/>
                <w:sz w:val="20"/>
                <w:szCs w:val="20"/>
              </w:rPr>
            </w:pPr>
            <w:r>
              <w:rPr>
                <w:rFonts w:cs="Arial"/>
                <w:sz w:val="20"/>
                <w:szCs w:val="20"/>
              </w:rPr>
              <w:t>Ex post price ($/GJ)</w:t>
            </w:r>
          </w:p>
        </w:tc>
        <w:tc>
          <w:tcPr>
            <w:tcW w:w="580" w:type="pct"/>
            <w:tcBorders>
              <w:top w:val="nil"/>
              <w:bottom w:val="nil"/>
            </w:tcBorders>
            <w:vAlign w:val="center"/>
          </w:tcPr>
          <w:p w:rsidR="009A4B69" w:rsidRDefault="009A4B69">
            <w:pPr>
              <w:jc w:val="center"/>
              <w:rPr>
                <w:rFonts w:cs="Arial"/>
                <w:sz w:val="20"/>
                <w:szCs w:val="20"/>
              </w:rPr>
            </w:pPr>
            <w:r>
              <w:rPr>
                <w:rFonts w:cs="Arial"/>
                <w:sz w:val="20"/>
                <w:szCs w:val="20"/>
              </w:rPr>
              <w:t>10.30</w:t>
            </w:r>
          </w:p>
        </w:tc>
        <w:tc>
          <w:tcPr>
            <w:tcW w:w="508" w:type="pct"/>
            <w:tcBorders>
              <w:top w:val="nil"/>
              <w:bottom w:val="nil"/>
            </w:tcBorders>
            <w:vAlign w:val="center"/>
          </w:tcPr>
          <w:p w:rsidR="009A4B69" w:rsidRDefault="009A4B69">
            <w:pPr>
              <w:jc w:val="center"/>
              <w:rPr>
                <w:rFonts w:cs="Arial"/>
                <w:sz w:val="20"/>
                <w:szCs w:val="20"/>
              </w:rPr>
            </w:pPr>
            <w:r>
              <w:rPr>
                <w:rFonts w:cs="Arial"/>
                <w:sz w:val="20"/>
                <w:szCs w:val="20"/>
              </w:rPr>
              <w:t>9.96</w:t>
            </w:r>
          </w:p>
        </w:tc>
        <w:tc>
          <w:tcPr>
            <w:tcW w:w="589" w:type="pct"/>
            <w:tcBorders>
              <w:top w:val="nil"/>
              <w:bottom w:val="nil"/>
            </w:tcBorders>
            <w:vAlign w:val="center"/>
          </w:tcPr>
          <w:p w:rsidR="009A4B69" w:rsidRDefault="009A4B69">
            <w:pPr>
              <w:jc w:val="center"/>
              <w:rPr>
                <w:rFonts w:cs="Arial"/>
                <w:sz w:val="20"/>
                <w:szCs w:val="20"/>
              </w:rPr>
            </w:pPr>
            <w:r>
              <w:rPr>
                <w:rFonts w:cs="Arial"/>
                <w:sz w:val="20"/>
                <w:szCs w:val="20"/>
              </w:rPr>
              <w:t>9.24</w:t>
            </w:r>
          </w:p>
        </w:tc>
        <w:tc>
          <w:tcPr>
            <w:tcW w:w="517" w:type="pct"/>
            <w:tcBorders>
              <w:top w:val="nil"/>
              <w:bottom w:val="nil"/>
            </w:tcBorders>
            <w:vAlign w:val="center"/>
          </w:tcPr>
          <w:p w:rsidR="009A4B69" w:rsidRDefault="009A4B69">
            <w:pPr>
              <w:jc w:val="center"/>
              <w:rPr>
                <w:rFonts w:cs="Arial"/>
                <w:sz w:val="20"/>
                <w:szCs w:val="20"/>
              </w:rPr>
            </w:pPr>
            <w:r>
              <w:rPr>
                <w:rFonts w:cs="Arial"/>
                <w:sz w:val="20"/>
                <w:szCs w:val="20"/>
              </w:rPr>
              <w:t>9.97</w:t>
            </w:r>
          </w:p>
        </w:tc>
        <w:tc>
          <w:tcPr>
            <w:tcW w:w="510" w:type="pct"/>
            <w:tcBorders>
              <w:top w:val="nil"/>
              <w:bottom w:val="nil"/>
            </w:tcBorders>
            <w:vAlign w:val="center"/>
          </w:tcPr>
          <w:p w:rsidR="009A4B69" w:rsidRDefault="009A4B69">
            <w:pPr>
              <w:jc w:val="center"/>
              <w:rPr>
                <w:rFonts w:cs="Arial"/>
                <w:sz w:val="20"/>
                <w:szCs w:val="20"/>
              </w:rPr>
            </w:pPr>
            <w:r>
              <w:rPr>
                <w:rFonts w:cs="Arial"/>
                <w:sz w:val="20"/>
                <w:szCs w:val="20"/>
              </w:rPr>
              <w:t>8.69</w:t>
            </w:r>
          </w:p>
        </w:tc>
        <w:tc>
          <w:tcPr>
            <w:tcW w:w="507" w:type="pct"/>
            <w:tcBorders>
              <w:top w:val="nil"/>
              <w:bottom w:val="nil"/>
            </w:tcBorders>
            <w:vAlign w:val="center"/>
          </w:tcPr>
          <w:p w:rsidR="009A4B69" w:rsidRDefault="009A4B69">
            <w:pPr>
              <w:jc w:val="center"/>
              <w:rPr>
                <w:rFonts w:cs="Arial"/>
                <w:sz w:val="20"/>
                <w:szCs w:val="20"/>
              </w:rPr>
            </w:pPr>
            <w:r>
              <w:rPr>
                <w:rFonts w:cs="Arial"/>
                <w:sz w:val="20"/>
                <w:szCs w:val="20"/>
              </w:rPr>
              <w:t>8.56</w:t>
            </w:r>
          </w:p>
        </w:tc>
        <w:tc>
          <w:tcPr>
            <w:tcW w:w="578" w:type="pct"/>
            <w:tcBorders>
              <w:top w:val="nil"/>
              <w:bottom w:val="nil"/>
            </w:tcBorders>
            <w:vAlign w:val="center"/>
          </w:tcPr>
          <w:p w:rsidR="009A4B69" w:rsidRDefault="009A4B69">
            <w:pPr>
              <w:jc w:val="center"/>
              <w:rPr>
                <w:rFonts w:cs="Arial"/>
                <w:sz w:val="20"/>
                <w:szCs w:val="20"/>
              </w:rPr>
            </w:pPr>
            <w:r>
              <w:rPr>
                <w:rFonts w:cs="Arial"/>
                <w:sz w:val="20"/>
                <w:szCs w:val="20"/>
              </w:rPr>
              <w:t>8.69</w:t>
            </w:r>
          </w:p>
        </w:tc>
      </w:tr>
      <w:tr w:rsidR="009A4B69"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9A4B69" w:rsidRDefault="009A4B69">
            <w:pPr>
              <w:rPr>
                <w:rFonts w:cs="Arial"/>
                <w:szCs w:val="20"/>
              </w:rPr>
            </w:pPr>
            <w:r>
              <w:rPr>
                <w:rFonts w:cs="Arial"/>
                <w:szCs w:val="20"/>
              </w:rPr>
              <w:t>Ex post quantity (TJ)</w:t>
            </w:r>
          </w:p>
        </w:tc>
        <w:tc>
          <w:tcPr>
            <w:tcW w:w="580" w:type="pct"/>
            <w:tcBorders>
              <w:top w:val="nil"/>
              <w:bottom w:val="single" w:sz="4" w:space="0" w:color="auto"/>
            </w:tcBorders>
            <w:vAlign w:val="center"/>
          </w:tcPr>
          <w:p w:rsidR="009A4B69" w:rsidRDefault="009A4B69">
            <w:pPr>
              <w:jc w:val="center"/>
              <w:rPr>
                <w:rFonts w:cs="Arial"/>
                <w:szCs w:val="20"/>
              </w:rPr>
            </w:pPr>
            <w:r>
              <w:rPr>
                <w:rFonts w:cs="Arial"/>
                <w:szCs w:val="20"/>
              </w:rPr>
              <w:t>179</w:t>
            </w:r>
          </w:p>
        </w:tc>
        <w:tc>
          <w:tcPr>
            <w:tcW w:w="508" w:type="pct"/>
            <w:tcBorders>
              <w:top w:val="nil"/>
              <w:bottom w:val="single" w:sz="4" w:space="0" w:color="auto"/>
            </w:tcBorders>
            <w:vAlign w:val="center"/>
          </w:tcPr>
          <w:p w:rsidR="009A4B69" w:rsidRDefault="009A4B69">
            <w:pPr>
              <w:jc w:val="center"/>
              <w:rPr>
                <w:rFonts w:cs="Arial"/>
                <w:szCs w:val="20"/>
              </w:rPr>
            </w:pPr>
            <w:r>
              <w:rPr>
                <w:rFonts w:cs="Arial"/>
                <w:szCs w:val="20"/>
              </w:rPr>
              <w:t>221</w:t>
            </w:r>
          </w:p>
        </w:tc>
        <w:tc>
          <w:tcPr>
            <w:tcW w:w="589" w:type="pct"/>
            <w:tcBorders>
              <w:top w:val="nil"/>
              <w:bottom w:val="single" w:sz="4" w:space="0" w:color="auto"/>
            </w:tcBorders>
            <w:vAlign w:val="center"/>
          </w:tcPr>
          <w:p w:rsidR="009A4B69" w:rsidRDefault="009A4B69">
            <w:pPr>
              <w:jc w:val="center"/>
              <w:rPr>
                <w:rFonts w:cs="Arial"/>
                <w:szCs w:val="20"/>
              </w:rPr>
            </w:pPr>
            <w:r>
              <w:rPr>
                <w:rFonts w:cs="Arial"/>
                <w:szCs w:val="20"/>
              </w:rPr>
              <w:t>209</w:t>
            </w:r>
          </w:p>
        </w:tc>
        <w:tc>
          <w:tcPr>
            <w:tcW w:w="517" w:type="pct"/>
            <w:tcBorders>
              <w:top w:val="nil"/>
              <w:bottom w:val="single" w:sz="4" w:space="0" w:color="auto"/>
            </w:tcBorders>
            <w:vAlign w:val="center"/>
          </w:tcPr>
          <w:p w:rsidR="009A4B69" w:rsidRDefault="009A4B69">
            <w:pPr>
              <w:jc w:val="center"/>
              <w:rPr>
                <w:rFonts w:cs="Arial"/>
                <w:szCs w:val="20"/>
              </w:rPr>
            </w:pPr>
            <w:r>
              <w:rPr>
                <w:rFonts w:cs="Arial"/>
                <w:szCs w:val="20"/>
              </w:rPr>
              <w:t>220</w:t>
            </w:r>
          </w:p>
        </w:tc>
        <w:tc>
          <w:tcPr>
            <w:tcW w:w="510" w:type="pct"/>
            <w:tcBorders>
              <w:top w:val="nil"/>
              <w:bottom w:val="single" w:sz="4" w:space="0" w:color="auto"/>
            </w:tcBorders>
            <w:vAlign w:val="center"/>
          </w:tcPr>
          <w:p w:rsidR="009A4B69" w:rsidRDefault="009A4B69">
            <w:pPr>
              <w:jc w:val="center"/>
              <w:rPr>
                <w:rFonts w:cs="Arial"/>
                <w:szCs w:val="20"/>
              </w:rPr>
            </w:pPr>
            <w:r>
              <w:rPr>
                <w:rFonts w:cs="Arial"/>
                <w:szCs w:val="20"/>
              </w:rPr>
              <w:t>213</w:t>
            </w:r>
          </w:p>
        </w:tc>
        <w:tc>
          <w:tcPr>
            <w:tcW w:w="507" w:type="pct"/>
            <w:tcBorders>
              <w:top w:val="nil"/>
              <w:bottom w:val="single" w:sz="4" w:space="0" w:color="auto"/>
            </w:tcBorders>
            <w:vAlign w:val="center"/>
          </w:tcPr>
          <w:p w:rsidR="009A4B69" w:rsidRDefault="009A4B69">
            <w:pPr>
              <w:jc w:val="center"/>
              <w:rPr>
                <w:rFonts w:cs="Arial"/>
                <w:szCs w:val="20"/>
              </w:rPr>
            </w:pPr>
            <w:r>
              <w:rPr>
                <w:rFonts w:cs="Arial"/>
                <w:szCs w:val="20"/>
              </w:rPr>
              <w:t>173</w:t>
            </w:r>
          </w:p>
        </w:tc>
        <w:tc>
          <w:tcPr>
            <w:tcW w:w="578" w:type="pct"/>
            <w:tcBorders>
              <w:top w:val="nil"/>
              <w:bottom w:val="single" w:sz="4" w:space="0" w:color="auto"/>
            </w:tcBorders>
            <w:vAlign w:val="center"/>
          </w:tcPr>
          <w:p w:rsidR="009A4B69" w:rsidRDefault="009A4B69">
            <w:pPr>
              <w:jc w:val="center"/>
              <w:rPr>
                <w:rFonts w:cs="Arial"/>
                <w:szCs w:val="20"/>
              </w:rPr>
            </w:pPr>
            <w:r>
              <w:rPr>
                <w:rFonts w:cs="Arial"/>
                <w:szCs w:val="20"/>
              </w:rPr>
              <w:t>170</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9A4B69" w:rsidP="00EC2CB1">
      <w:r w:rsidRPr="009A4B69">
        <w:rPr>
          <w:noProof/>
          <w:lang w:eastAsia="en-AU"/>
        </w:rPr>
        <w:drawing>
          <wp:inline distT="0" distB="0" distL="0" distR="0" wp14:anchorId="78F0EEF2" wp14:editId="4E0BC548">
            <wp:extent cx="5731510" cy="2046203"/>
            <wp:effectExtent l="0" t="0" r="0" b="0"/>
            <wp:docPr id="21" name="Picture 21" descr="Figure 2.2 shows the daily hub offers and bid in within certain price bands in Sydney this week. The line indicates the scheduled quantity for each day. For a more detailed description of this figure, please refer to the user guide." title="Sydney daily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9A4B69" w:rsidP="00EC2CB1">
      <w:r w:rsidRPr="009A4B69">
        <w:rPr>
          <w:noProof/>
          <w:lang w:eastAsia="en-AU"/>
        </w:rPr>
        <w:drawing>
          <wp:inline distT="0" distB="0" distL="0" distR="0" wp14:anchorId="05FDA3C4" wp14:editId="6E803DFD">
            <wp:extent cx="5731510" cy="2555336"/>
            <wp:effectExtent l="0" t="0" r="2540" b="0"/>
            <wp:docPr id="22" name="Picture 22" descr="Figure 2.3 shows the daily scheduled and allocated quantities sorted by facility for Sydney this week. For a more detailed description of this figure, please refer to the user guide." title="Sydney scheduled and allocated hub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11"/>
      </w:r>
    </w:p>
    <w:p w:rsidR="00EC2CB1" w:rsidRDefault="00F878A4" w:rsidP="00EC2CB1">
      <w:r w:rsidRPr="00F878A4">
        <w:rPr>
          <w:noProof/>
          <w:lang w:eastAsia="en-AU"/>
        </w:rPr>
        <w:drawing>
          <wp:inline distT="0" distB="0" distL="0" distR="0" wp14:anchorId="2F99AFE5" wp14:editId="35FDC261">
            <wp:extent cx="5731510" cy="2175613"/>
            <wp:effectExtent l="0" t="0" r="2540" b="0"/>
            <wp:docPr id="23" name="Picture 23" descr="Figure 2.4 shows the daily MOS allocations sorted by facility for each facility in Sydney this week. The figure also shows the daily breakdown of costs associated with the MOS provided. For a more detailed description of this figure, please refer to the user guide." title="Sydney MOS allocations, service payments and commodity payments/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F878A4" w:rsidRPr="00405CDE" w:rsidTr="00A226E9">
        <w:trPr>
          <w:trHeight w:val="389"/>
        </w:trPr>
        <w:tc>
          <w:tcPr>
            <w:tcW w:w="1152" w:type="pct"/>
            <w:tcBorders>
              <w:top w:val="nil"/>
              <w:bottom w:val="nil"/>
            </w:tcBorders>
            <w:vAlign w:val="center"/>
          </w:tcPr>
          <w:p w:rsidR="00F878A4" w:rsidRDefault="00F878A4">
            <w:pPr>
              <w:rPr>
                <w:rFonts w:cs="Arial"/>
                <w:sz w:val="20"/>
                <w:szCs w:val="20"/>
              </w:rPr>
            </w:pPr>
            <w:r>
              <w:rPr>
                <w:rFonts w:cs="Arial"/>
                <w:sz w:val="20"/>
                <w:szCs w:val="20"/>
              </w:rPr>
              <w:t>Ex ante price ($/GJ)</w:t>
            </w:r>
          </w:p>
        </w:tc>
        <w:tc>
          <w:tcPr>
            <w:tcW w:w="589" w:type="pct"/>
            <w:tcBorders>
              <w:top w:val="nil"/>
              <w:bottom w:val="nil"/>
            </w:tcBorders>
            <w:vAlign w:val="center"/>
          </w:tcPr>
          <w:p w:rsidR="00F878A4" w:rsidRDefault="00F878A4">
            <w:pPr>
              <w:jc w:val="center"/>
              <w:rPr>
                <w:rFonts w:cs="Arial"/>
                <w:sz w:val="20"/>
                <w:szCs w:val="20"/>
              </w:rPr>
            </w:pPr>
            <w:r>
              <w:rPr>
                <w:rFonts w:cs="Arial"/>
                <w:sz w:val="20"/>
                <w:szCs w:val="20"/>
              </w:rPr>
              <w:t>8.50</w:t>
            </w:r>
          </w:p>
        </w:tc>
        <w:tc>
          <w:tcPr>
            <w:tcW w:w="516" w:type="pct"/>
            <w:tcBorders>
              <w:top w:val="nil"/>
              <w:bottom w:val="nil"/>
            </w:tcBorders>
            <w:vAlign w:val="center"/>
          </w:tcPr>
          <w:p w:rsidR="00F878A4" w:rsidRDefault="00F878A4">
            <w:pPr>
              <w:jc w:val="center"/>
              <w:rPr>
                <w:rFonts w:cs="Arial"/>
                <w:sz w:val="20"/>
                <w:szCs w:val="20"/>
              </w:rPr>
            </w:pPr>
            <w:r>
              <w:rPr>
                <w:rFonts w:cs="Arial"/>
                <w:sz w:val="20"/>
                <w:szCs w:val="20"/>
              </w:rPr>
              <w:t>9.01</w:t>
            </w:r>
          </w:p>
        </w:tc>
        <w:tc>
          <w:tcPr>
            <w:tcW w:w="598" w:type="pct"/>
            <w:tcBorders>
              <w:top w:val="nil"/>
              <w:bottom w:val="nil"/>
            </w:tcBorders>
            <w:vAlign w:val="center"/>
          </w:tcPr>
          <w:p w:rsidR="00F878A4" w:rsidRDefault="00F878A4">
            <w:pPr>
              <w:jc w:val="center"/>
              <w:rPr>
                <w:rFonts w:cs="Arial"/>
                <w:sz w:val="20"/>
                <w:szCs w:val="20"/>
              </w:rPr>
            </w:pPr>
            <w:r>
              <w:rPr>
                <w:rFonts w:cs="Arial"/>
                <w:sz w:val="20"/>
                <w:szCs w:val="20"/>
              </w:rPr>
              <w:t>8.91</w:t>
            </w:r>
          </w:p>
        </w:tc>
        <w:tc>
          <w:tcPr>
            <w:tcW w:w="525" w:type="pct"/>
            <w:tcBorders>
              <w:top w:val="nil"/>
              <w:bottom w:val="nil"/>
            </w:tcBorders>
            <w:vAlign w:val="center"/>
          </w:tcPr>
          <w:p w:rsidR="00F878A4" w:rsidRDefault="00F878A4">
            <w:pPr>
              <w:jc w:val="center"/>
              <w:rPr>
                <w:rFonts w:cs="Arial"/>
                <w:sz w:val="20"/>
                <w:szCs w:val="20"/>
              </w:rPr>
            </w:pPr>
            <w:r>
              <w:rPr>
                <w:rFonts w:cs="Arial"/>
                <w:sz w:val="20"/>
                <w:szCs w:val="20"/>
              </w:rPr>
              <w:t>8.77</w:t>
            </w:r>
          </w:p>
        </w:tc>
        <w:tc>
          <w:tcPr>
            <w:tcW w:w="518" w:type="pct"/>
            <w:tcBorders>
              <w:top w:val="nil"/>
              <w:bottom w:val="nil"/>
            </w:tcBorders>
            <w:vAlign w:val="center"/>
          </w:tcPr>
          <w:p w:rsidR="00F878A4" w:rsidRDefault="00F878A4">
            <w:pPr>
              <w:jc w:val="center"/>
              <w:rPr>
                <w:rFonts w:cs="Arial"/>
                <w:sz w:val="20"/>
                <w:szCs w:val="20"/>
              </w:rPr>
            </w:pPr>
            <w:r>
              <w:rPr>
                <w:rFonts w:cs="Arial"/>
                <w:sz w:val="20"/>
                <w:szCs w:val="20"/>
              </w:rPr>
              <w:t>8.31</w:t>
            </w:r>
          </w:p>
        </w:tc>
        <w:tc>
          <w:tcPr>
            <w:tcW w:w="515" w:type="pct"/>
            <w:tcBorders>
              <w:top w:val="nil"/>
              <w:bottom w:val="nil"/>
            </w:tcBorders>
            <w:vAlign w:val="center"/>
          </w:tcPr>
          <w:p w:rsidR="00F878A4" w:rsidRDefault="00F878A4">
            <w:pPr>
              <w:jc w:val="center"/>
              <w:rPr>
                <w:rFonts w:cs="Arial"/>
                <w:sz w:val="20"/>
                <w:szCs w:val="20"/>
              </w:rPr>
            </w:pPr>
            <w:r>
              <w:rPr>
                <w:rFonts w:cs="Arial"/>
                <w:sz w:val="20"/>
                <w:szCs w:val="20"/>
              </w:rPr>
              <w:t>8.31</w:t>
            </w:r>
          </w:p>
        </w:tc>
        <w:tc>
          <w:tcPr>
            <w:tcW w:w="587" w:type="pct"/>
            <w:tcBorders>
              <w:top w:val="nil"/>
              <w:bottom w:val="nil"/>
            </w:tcBorders>
            <w:vAlign w:val="center"/>
          </w:tcPr>
          <w:p w:rsidR="00F878A4" w:rsidRDefault="00F878A4">
            <w:pPr>
              <w:jc w:val="center"/>
              <w:rPr>
                <w:rFonts w:cs="Arial"/>
                <w:sz w:val="20"/>
                <w:szCs w:val="20"/>
              </w:rPr>
            </w:pPr>
            <w:r>
              <w:rPr>
                <w:rFonts w:cs="Arial"/>
                <w:sz w:val="20"/>
                <w:szCs w:val="20"/>
              </w:rPr>
              <w:t>8.74</w:t>
            </w:r>
          </w:p>
        </w:tc>
      </w:tr>
      <w:tr w:rsidR="00F878A4"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F878A4" w:rsidRDefault="00F878A4">
            <w:pPr>
              <w:rPr>
                <w:rFonts w:cs="Arial"/>
                <w:szCs w:val="20"/>
              </w:rPr>
            </w:pPr>
            <w:r>
              <w:rPr>
                <w:rFonts w:cs="Arial"/>
                <w:szCs w:val="20"/>
              </w:rPr>
              <w:t>Ex ante quantity (TJ)</w:t>
            </w:r>
          </w:p>
        </w:tc>
        <w:tc>
          <w:tcPr>
            <w:tcW w:w="589" w:type="pct"/>
            <w:tcBorders>
              <w:top w:val="nil"/>
              <w:bottom w:val="nil"/>
            </w:tcBorders>
            <w:vAlign w:val="center"/>
          </w:tcPr>
          <w:p w:rsidR="00F878A4" w:rsidRDefault="00F878A4">
            <w:pPr>
              <w:jc w:val="center"/>
              <w:rPr>
                <w:rFonts w:cs="Arial"/>
                <w:szCs w:val="20"/>
              </w:rPr>
            </w:pPr>
            <w:r>
              <w:rPr>
                <w:rFonts w:cs="Arial"/>
                <w:szCs w:val="20"/>
              </w:rPr>
              <w:t>44</w:t>
            </w:r>
          </w:p>
        </w:tc>
        <w:tc>
          <w:tcPr>
            <w:tcW w:w="516" w:type="pct"/>
            <w:tcBorders>
              <w:top w:val="nil"/>
              <w:bottom w:val="nil"/>
            </w:tcBorders>
            <w:vAlign w:val="center"/>
          </w:tcPr>
          <w:p w:rsidR="00F878A4" w:rsidRDefault="00F878A4">
            <w:pPr>
              <w:jc w:val="center"/>
              <w:rPr>
                <w:rFonts w:cs="Arial"/>
                <w:szCs w:val="20"/>
              </w:rPr>
            </w:pPr>
            <w:r>
              <w:rPr>
                <w:rFonts w:cs="Arial"/>
                <w:szCs w:val="20"/>
              </w:rPr>
              <w:t>66</w:t>
            </w:r>
          </w:p>
        </w:tc>
        <w:tc>
          <w:tcPr>
            <w:tcW w:w="598" w:type="pct"/>
            <w:tcBorders>
              <w:top w:val="nil"/>
              <w:bottom w:val="nil"/>
            </w:tcBorders>
            <w:vAlign w:val="center"/>
          </w:tcPr>
          <w:p w:rsidR="00F878A4" w:rsidRDefault="00F878A4">
            <w:pPr>
              <w:jc w:val="center"/>
              <w:rPr>
                <w:rFonts w:cs="Arial"/>
                <w:szCs w:val="20"/>
              </w:rPr>
            </w:pPr>
            <w:r>
              <w:rPr>
                <w:rFonts w:cs="Arial"/>
                <w:szCs w:val="20"/>
              </w:rPr>
              <w:t>62</w:t>
            </w:r>
          </w:p>
        </w:tc>
        <w:tc>
          <w:tcPr>
            <w:tcW w:w="525" w:type="pct"/>
            <w:tcBorders>
              <w:top w:val="nil"/>
              <w:bottom w:val="nil"/>
            </w:tcBorders>
            <w:vAlign w:val="center"/>
          </w:tcPr>
          <w:p w:rsidR="00F878A4" w:rsidRDefault="00F878A4">
            <w:pPr>
              <w:jc w:val="center"/>
              <w:rPr>
                <w:rFonts w:cs="Arial"/>
                <w:szCs w:val="20"/>
              </w:rPr>
            </w:pPr>
            <w:r>
              <w:rPr>
                <w:rFonts w:cs="Arial"/>
                <w:szCs w:val="20"/>
              </w:rPr>
              <w:t>60</w:t>
            </w:r>
          </w:p>
        </w:tc>
        <w:tc>
          <w:tcPr>
            <w:tcW w:w="518" w:type="pct"/>
            <w:tcBorders>
              <w:top w:val="nil"/>
              <w:bottom w:val="nil"/>
            </w:tcBorders>
            <w:vAlign w:val="center"/>
          </w:tcPr>
          <w:p w:rsidR="00F878A4" w:rsidRDefault="00F878A4">
            <w:pPr>
              <w:jc w:val="center"/>
              <w:rPr>
                <w:rFonts w:cs="Arial"/>
                <w:szCs w:val="20"/>
              </w:rPr>
            </w:pPr>
            <w:r>
              <w:rPr>
                <w:rFonts w:cs="Arial"/>
                <w:szCs w:val="20"/>
              </w:rPr>
              <w:t>59</w:t>
            </w:r>
          </w:p>
        </w:tc>
        <w:tc>
          <w:tcPr>
            <w:tcW w:w="515" w:type="pct"/>
            <w:tcBorders>
              <w:top w:val="nil"/>
              <w:bottom w:val="nil"/>
            </w:tcBorders>
            <w:vAlign w:val="center"/>
          </w:tcPr>
          <w:p w:rsidR="00F878A4" w:rsidRDefault="00F878A4">
            <w:pPr>
              <w:jc w:val="center"/>
              <w:rPr>
                <w:rFonts w:cs="Arial"/>
                <w:szCs w:val="20"/>
              </w:rPr>
            </w:pPr>
            <w:r>
              <w:rPr>
                <w:rFonts w:cs="Arial"/>
                <w:szCs w:val="20"/>
              </w:rPr>
              <w:t>46</w:t>
            </w:r>
          </w:p>
        </w:tc>
        <w:tc>
          <w:tcPr>
            <w:tcW w:w="587" w:type="pct"/>
            <w:tcBorders>
              <w:top w:val="nil"/>
              <w:bottom w:val="nil"/>
            </w:tcBorders>
            <w:vAlign w:val="center"/>
          </w:tcPr>
          <w:p w:rsidR="00F878A4" w:rsidRDefault="00F878A4">
            <w:pPr>
              <w:jc w:val="center"/>
              <w:rPr>
                <w:rFonts w:cs="Arial"/>
                <w:szCs w:val="20"/>
              </w:rPr>
            </w:pPr>
            <w:r>
              <w:rPr>
                <w:rFonts w:cs="Arial"/>
                <w:szCs w:val="20"/>
              </w:rPr>
              <w:t>47</w:t>
            </w:r>
          </w:p>
        </w:tc>
      </w:tr>
      <w:tr w:rsidR="00F878A4" w:rsidRPr="00405CDE" w:rsidTr="00A226E9">
        <w:trPr>
          <w:trHeight w:val="87"/>
        </w:trPr>
        <w:tc>
          <w:tcPr>
            <w:tcW w:w="1152" w:type="pct"/>
            <w:tcBorders>
              <w:top w:val="nil"/>
              <w:bottom w:val="nil"/>
            </w:tcBorders>
            <w:vAlign w:val="center"/>
          </w:tcPr>
          <w:p w:rsidR="00F878A4" w:rsidRDefault="00F878A4">
            <w:pPr>
              <w:rPr>
                <w:rFonts w:cs="Arial"/>
                <w:sz w:val="20"/>
                <w:szCs w:val="20"/>
              </w:rPr>
            </w:pPr>
            <w:r>
              <w:rPr>
                <w:rFonts w:cs="Arial"/>
                <w:sz w:val="20"/>
                <w:szCs w:val="20"/>
              </w:rPr>
              <w:t>Ex post price ($/GJ)</w:t>
            </w:r>
          </w:p>
        </w:tc>
        <w:tc>
          <w:tcPr>
            <w:tcW w:w="589" w:type="pct"/>
            <w:tcBorders>
              <w:top w:val="nil"/>
              <w:bottom w:val="nil"/>
            </w:tcBorders>
            <w:vAlign w:val="center"/>
          </w:tcPr>
          <w:p w:rsidR="00F878A4" w:rsidRDefault="00F878A4">
            <w:pPr>
              <w:jc w:val="center"/>
              <w:rPr>
                <w:rFonts w:cs="Arial"/>
                <w:sz w:val="20"/>
                <w:szCs w:val="20"/>
              </w:rPr>
            </w:pPr>
            <w:r>
              <w:rPr>
                <w:rFonts w:cs="Arial"/>
                <w:sz w:val="20"/>
                <w:szCs w:val="20"/>
              </w:rPr>
              <w:t>8.21</w:t>
            </w:r>
          </w:p>
        </w:tc>
        <w:tc>
          <w:tcPr>
            <w:tcW w:w="516" w:type="pct"/>
            <w:tcBorders>
              <w:top w:val="nil"/>
              <w:bottom w:val="nil"/>
            </w:tcBorders>
            <w:vAlign w:val="center"/>
          </w:tcPr>
          <w:p w:rsidR="00F878A4" w:rsidRDefault="00F878A4">
            <w:pPr>
              <w:jc w:val="center"/>
              <w:rPr>
                <w:rFonts w:cs="Arial"/>
                <w:sz w:val="20"/>
                <w:szCs w:val="20"/>
              </w:rPr>
            </w:pPr>
            <w:r>
              <w:rPr>
                <w:rFonts w:cs="Arial"/>
                <w:sz w:val="20"/>
                <w:szCs w:val="20"/>
              </w:rPr>
              <w:t>6.99</w:t>
            </w:r>
          </w:p>
        </w:tc>
        <w:tc>
          <w:tcPr>
            <w:tcW w:w="598" w:type="pct"/>
            <w:tcBorders>
              <w:top w:val="nil"/>
              <w:bottom w:val="nil"/>
            </w:tcBorders>
            <w:vAlign w:val="center"/>
          </w:tcPr>
          <w:p w:rsidR="00F878A4" w:rsidRDefault="00F878A4">
            <w:pPr>
              <w:jc w:val="center"/>
              <w:rPr>
                <w:rFonts w:cs="Arial"/>
                <w:sz w:val="20"/>
                <w:szCs w:val="20"/>
              </w:rPr>
            </w:pPr>
            <w:r>
              <w:rPr>
                <w:rFonts w:cs="Arial"/>
                <w:sz w:val="20"/>
                <w:szCs w:val="20"/>
              </w:rPr>
              <w:t>8.27</w:t>
            </w:r>
          </w:p>
        </w:tc>
        <w:tc>
          <w:tcPr>
            <w:tcW w:w="525" w:type="pct"/>
            <w:tcBorders>
              <w:top w:val="nil"/>
              <w:bottom w:val="nil"/>
            </w:tcBorders>
            <w:vAlign w:val="center"/>
          </w:tcPr>
          <w:p w:rsidR="00F878A4" w:rsidRDefault="00F878A4">
            <w:pPr>
              <w:jc w:val="center"/>
              <w:rPr>
                <w:rFonts w:cs="Arial"/>
                <w:sz w:val="20"/>
                <w:szCs w:val="20"/>
              </w:rPr>
            </w:pPr>
            <w:r>
              <w:rPr>
                <w:rFonts w:cs="Arial"/>
                <w:sz w:val="20"/>
                <w:szCs w:val="20"/>
              </w:rPr>
              <w:t>8.10</w:t>
            </w:r>
          </w:p>
        </w:tc>
        <w:tc>
          <w:tcPr>
            <w:tcW w:w="518" w:type="pct"/>
            <w:tcBorders>
              <w:top w:val="nil"/>
              <w:bottom w:val="nil"/>
            </w:tcBorders>
            <w:vAlign w:val="center"/>
          </w:tcPr>
          <w:p w:rsidR="00F878A4" w:rsidRDefault="00F878A4">
            <w:pPr>
              <w:jc w:val="center"/>
              <w:rPr>
                <w:rFonts w:cs="Arial"/>
                <w:sz w:val="20"/>
                <w:szCs w:val="20"/>
              </w:rPr>
            </w:pPr>
            <w:r>
              <w:rPr>
                <w:rFonts w:cs="Arial"/>
                <w:sz w:val="20"/>
                <w:szCs w:val="20"/>
              </w:rPr>
              <w:t>7.81</w:t>
            </w:r>
          </w:p>
        </w:tc>
        <w:tc>
          <w:tcPr>
            <w:tcW w:w="515" w:type="pct"/>
            <w:tcBorders>
              <w:top w:val="nil"/>
              <w:bottom w:val="nil"/>
            </w:tcBorders>
            <w:vAlign w:val="center"/>
          </w:tcPr>
          <w:p w:rsidR="00F878A4" w:rsidRDefault="00F878A4">
            <w:pPr>
              <w:jc w:val="center"/>
              <w:rPr>
                <w:rFonts w:cs="Arial"/>
                <w:sz w:val="20"/>
                <w:szCs w:val="20"/>
              </w:rPr>
            </w:pPr>
            <w:r>
              <w:rPr>
                <w:rFonts w:cs="Arial"/>
                <w:sz w:val="20"/>
                <w:szCs w:val="20"/>
              </w:rPr>
              <w:t>5.70</w:t>
            </w:r>
          </w:p>
        </w:tc>
        <w:tc>
          <w:tcPr>
            <w:tcW w:w="587" w:type="pct"/>
            <w:tcBorders>
              <w:top w:val="nil"/>
              <w:bottom w:val="nil"/>
            </w:tcBorders>
            <w:vAlign w:val="center"/>
          </w:tcPr>
          <w:p w:rsidR="00F878A4" w:rsidRDefault="00F878A4">
            <w:pPr>
              <w:jc w:val="center"/>
              <w:rPr>
                <w:rFonts w:cs="Arial"/>
                <w:sz w:val="20"/>
                <w:szCs w:val="20"/>
              </w:rPr>
            </w:pPr>
            <w:r>
              <w:rPr>
                <w:rFonts w:cs="Arial"/>
                <w:sz w:val="20"/>
                <w:szCs w:val="20"/>
              </w:rPr>
              <w:t>8.31</w:t>
            </w:r>
          </w:p>
        </w:tc>
      </w:tr>
      <w:tr w:rsidR="00F878A4"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F878A4" w:rsidRDefault="00F878A4">
            <w:pPr>
              <w:rPr>
                <w:rFonts w:cs="Arial"/>
                <w:szCs w:val="20"/>
              </w:rPr>
            </w:pPr>
            <w:r>
              <w:rPr>
                <w:rFonts w:cs="Arial"/>
                <w:szCs w:val="20"/>
              </w:rPr>
              <w:t>Ex post quantity (TJ)</w:t>
            </w:r>
          </w:p>
        </w:tc>
        <w:tc>
          <w:tcPr>
            <w:tcW w:w="589" w:type="pct"/>
            <w:tcBorders>
              <w:top w:val="nil"/>
              <w:bottom w:val="single" w:sz="4" w:space="0" w:color="auto"/>
            </w:tcBorders>
            <w:vAlign w:val="center"/>
          </w:tcPr>
          <w:p w:rsidR="00F878A4" w:rsidRDefault="00F878A4">
            <w:pPr>
              <w:jc w:val="center"/>
              <w:rPr>
                <w:rFonts w:cs="Arial"/>
                <w:szCs w:val="20"/>
              </w:rPr>
            </w:pPr>
            <w:r>
              <w:rPr>
                <w:rFonts w:cs="Arial"/>
                <w:szCs w:val="20"/>
              </w:rPr>
              <w:t>40</w:t>
            </w:r>
          </w:p>
        </w:tc>
        <w:tc>
          <w:tcPr>
            <w:tcW w:w="516" w:type="pct"/>
            <w:tcBorders>
              <w:top w:val="nil"/>
              <w:bottom w:val="single" w:sz="4" w:space="0" w:color="auto"/>
            </w:tcBorders>
            <w:vAlign w:val="center"/>
          </w:tcPr>
          <w:p w:rsidR="00F878A4" w:rsidRDefault="00F878A4">
            <w:pPr>
              <w:jc w:val="center"/>
              <w:rPr>
                <w:rFonts w:cs="Arial"/>
                <w:szCs w:val="20"/>
              </w:rPr>
            </w:pPr>
            <w:r>
              <w:rPr>
                <w:rFonts w:cs="Arial"/>
                <w:szCs w:val="20"/>
              </w:rPr>
              <w:t>53</w:t>
            </w:r>
          </w:p>
        </w:tc>
        <w:tc>
          <w:tcPr>
            <w:tcW w:w="598" w:type="pct"/>
            <w:tcBorders>
              <w:top w:val="nil"/>
              <w:bottom w:val="single" w:sz="4" w:space="0" w:color="auto"/>
            </w:tcBorders>
            <w:vAlign w:val="center"/>
          </w:tcPr>
          <w:p w:rsidR="00F878A4" w:rsidRDefault="00F878A4">
            <w:pPr>
              <w:jc w:val="center"/>
              <w:rPr>
                <w:rFonts w:cs="Arial"/>
                <w:szCs w:val="20"/>
              </w:rPr>
            </w:pPr>
            <w:r>
              <w:rPr>
                <w:rFonts w:cs="Arial"/>
                <w:szCs w:val="20"/>
              </w:rPr>
              <w:t>57</w:t>
            </w:r>
          </w:p>
        </w:tc>
        <w:tc>
          <w:tcPr>
            <w:tcW w:w="525" w:type="pct"/>
            <w:tcBorders>
              <w:top w:val="nil"/>
              <w:bottom w:val="single" w:sz="4" w:space="0" w:color="auto"/>
            </w:tcBorders>
            <w:vAlign w:val="center"/>
          </w:tcPr>
          <w:p w:rsidR="00F878A4" w:rsidRDefault="00F878A4">
            <w:pPr>
              <w:jc w:val="center"/>
              <w:rPr>
                <w:rFonts w:cs="Arial"/>
                <w:szCs w:val="20"/>
              </w:rPr>
            </w:pPr>
            <w:r>
              <w:rPr>
                <w:rFonts w:cs="Arial"/>
                <w:szCs w:val="20"/>
              </w:rPr>
              <w:t>55</w:t>
            </w:r>
          </w:p>
        </w:tc>
        <w:tc>
          <w:tcPr>
            <w:tcW w:w="518" w:type="pct"/>
            <w:tcBorders>
              <w:top w:val="nil"/>
              <w:bottom w:val="single" w:sz="4" w:space="0" w:color="auto"/>
            </w:tcBorders>
            <w:vAlign w:val="center"/>
          </w:tcPr>
          <w:p w:rsidR="00F878A4" w:rsidRDefault="00F878A4">
            <w:pPr>
              <w:jc w:val="center"/>
              <w:rPr>
                <w:rFonts w:cs="Arial"/>
                <w:szCs w:val="20"/>
              </w:rPr>
            </w:pPr>
            <w:r>
              <w:rPr>
                <w:rFonts w:cs="Arial"/>
                <w:szCs w:val="20"/>
              </w:rPr>
              <w:t>51</w:t>
            </w:r>
          </w:p>
        </w:tc>
        <w:tc>
          <w:tcPr>
            <w:tcW w:w="515" w:type="pct"/>
            <w:tcBorders>
              <w:top w:val="nil"/>
              <w:bottom w:val="single" w:sz="4" w:space="0" w:color="auto"/>
            </w:tcBorders>
            <w:vAlign w:val="center"/>
          </w:tcPr>
          <w:p w:rsidR="00F878A4" w:rsidRDefault="00F878A4">
            <w:pPr>
              <w:jc w:val="center"/>
              <w:rPr>
                <w:rFonts w:cs="Arial"/>
                <w:szCs w:val="20"/>
              </w:rPr>
            </w:pPr>
            <w:r>
              <w:rPr>
                <w:rFonts w:cs="Arial"/>
                <w:szCs w:val="20"/>
              </w:rPr>
              <w:t>34</w:t>
            </w:r>
          </w:p>
        </w:tc>
        <w:tc>
          <w:tcPr>
            <w:tcW w:w="587" w:type="pct"/>
            <w:tcBorders>
              <w:top w:val="nil"/>
              <w:bottom w:val="single" w:sz="4" w:space="0" w:color="auto"/>
            </w:tcBorders>
            <w:vAlign w:val="center"/>
          </w:tcPr>
          <w:p w:rsidR="00F878A4" w:rsidRDefault="00F878A4">
            <w:pPr>
              <w:jc w:val="center"/>
              <w:rPr>
                <w:rFonts w:cs="Arial"/>
                <w:szCs w:val="20"/>
              </w:rPr>
            </w:pPr>
            <w:r>
              <w:rPr>
                <w:rFonts w:cs="Arial"/>
                <w:szCs w:val="20"/>
              </w:rPr>
              <w:t>41</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F878A4" w:rsidP="00EC2CB1">
      <w:r w:rsidRPr="00F878A4">
        <w:rPr>
          <w:noProof/>
          <w:lang w:eastAsia="en-AU"/>
        </w:rPr>
        <w:drawing>
          <wp:inline distT="0" distB="0" distL="0" distR="0" wp14:anchorId="7C431225" wp14:editId="341C0E3A">
            <wp:extent cx="5731510" cy="1739923"/>
            <wp:effectExtent l="0" t="0" r="2540" b="0"/>
            <wp:docPr id="24" name="Picture 24" descr="Figure 3.2 shows the daily hub offers and bid in within certain price bands in Adelaide this week. The line indicates the scheduled quantity for each day. For a more detailed description of this figure, please refer to the user guide." title="Adelaide daily hub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F878A4" w:rsidP="00EC2CB1">
      <w:r w:rsidRPr="00F878A4">
        <w:rPr>
          <w:noProof/>
          <w:lang w:eastAsia="en-AU"/>
        </w:rPr>
        <w:drawing>
          <wp:inline distT="0" distB="0" distL="0" distR="0" wp14:anchorId="39ED04A0" wp14:editId="54D74B43">
            <wp:extent cx="5731510" cy="1511607"/>
            <wp:effectExtent l="0" t="0" r="2540" b="0"/>
            <wp:docPr id="28" name="Picture 28" descr="Figure 3.3 shows the daily scheduled and allocated quantities sorted by facility for Adelaide this week. For a more detailed description of this figure, please refer to the user guide." title="Adelaide scheduled and allocated gas hub supp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F878A4" w:rsidP="00A226E9">
      <w:r w:rsidRPr="00F878A4">
        <w:rPr>
          <w:noProof/>
          <w:lang w:eastAsia="en-AU"/>
        </w:rPr>
        <w:drawing>
          <wp:inline distT="0" distB="0" distL="0" distR="0" wp14:anchorId="0C79DB47" wp14:editId="39DDF39B">
            <wp:extent cx="5731510" cy="1802652"/>
            <wp:effectExtent l="0" t="0" r="2540" b="7620"/>
            <wp:docPr id="29" name="Picture 29" descr="Figure 3.4 shows the daily MOS allocations sorted by facility for each facility in Adelaide this week. The figure also shows the daily breakdown of costs associated with the MOS provided. For a more detailed description of this figure, please refer to the user guide." title="Adelaide MOS allocations, service payments and commodity payments/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F878A4" w:rsidRPr="00405CDE" w:rsidTr="00A226E9">
        <w:trPr>
          <w:trHeight w:val="510"/>
        </w:trPr>
        <w:tc>
          <w:tcPr>
            <w:tcW w:w="1152" w:type="pct"/>
            <w:tcBorders>
              <w:top w:val="nil"/>
              <w:bottom w:val="nil"/>
            </w:tcBorders>
            <w:vAlign w:val="center"/>
          </w:tcPr>
          <w:p w:rsidR="00F878A4" w:rsidRDefault="00F878A4">
            <w:pPr>
              <w:rPr>
                <w:rFonts w:cs="Arial"/>
                <w:sz w:val="20"/>
                <w:szCs w:val="20"/>
              </w:rPr>
            </w:pPr>
            <w:r>
              <w:rPr>
                <w:rFonts w:cs="Arial"/>
                <w:sz w:val="20"/>
                <w:szCs w:val="20"/>
              </w:rPr>
              <w:t>Ex ante price ($/GJ)</w:t>
            </w:r>
          </w:p>
        </w:tc>
        <w:tc>
          <w:tcPr>
            <w:tcW w:w="589" w:type="pct"/>
            <w:tcBorders>
              <w:top w:val="nil"/>
              <w:bottom w:val="nil"/>
            </w:tcBorders>
            <w:vAlign w:val="center"/>
          </w:tcPr>
          <w:p w:rsidR="00F878A4" w:rsidRDefault="00F878A4">
            <w:pPr>
              <w:jc w:val="center"/>
              <w:rPr>
                <w:rFonts w:cs="Arial"/>
                <w:sz w:val="20"/>
                <w:szCs w:val="20"/>
              </w:rPr>
            </w:pPr>
            <w:r>
              <w:rPr>
                <w:rFonts w:cs="Arial"/>
                <w:sz w:val="20"/>
                <w:szCs w:val="20"/>
              </w:rPr>
              <w:t>8.41</w:t>
            </w:r>
          </w:p>
        </w:tc>
        <w:tc>
          <w:tcPr>
            <w:tcW w:w="516" w:type="pct"/>
            <w:tcBorders>
              <w:top w:val="nil"/>
              <w:bottom w:val="nil"/>
            </w:tcBorders>
            <w:vAlign w:val="center"/>
          </w:tcPr>
          <w:p w:rsidR="00F878A4" w:rsidRDefault="00F878A4">
            <w:pPr>
              <w:jc w:val="center"/>
              <w:rPr>
                <w:rFonts w:cs="Arial"/>
                <w:sz w:val="20"/>
                <w:szCs w:val="20"/>
              </w:rPr>
            </w:pPr>
            <w:r>
              <w:rPr>
                <w:rFonts w:cs="Arial"/>
                <w:sz w:val="20"/>
                <w:szCs w:val="20"/>
              </w:rPr>
              <w:t>9.45</w:t>
            </w:r>
          </w:p>
        </w:tc>
        <w:tc>
          <w:tcPr>
            <w:tcW w:w="598" w:type="pct"/>
            <w:tcBorders>
              <w:top w:val="nil"/>
              <w:bottom w:val="nil"/>
            </w:tcBorders>
            <w:vAlign w:val="center"/>
          </w:tcPr>
          <w:p w:rsidR="00F878A4" w:rsidRDefault="00F878A4">
            <w:pPr>
              <w:jc w:val="center"/>
              <w:rPr>
                <w:rFonts w:cs="Arial"/>
                <w:sz w:val="20"/>
                <w:szCs w:val="20"/>
              </w:rPr>
            </w:pPr>
            <w:r>
              <w:rPr>
                <w:rFonts w:cs="Arial"/>
                <w:sz w:val="20"/>
                <w:szCs w:val="20"/>
              </w:rPr>
              <w:t>9.50</w:t>
            </w:r>
          </w:p>
        </w:tc>
        <w:tc>
          <w:tcPr>
            <w:tcW w:w="525" w:type="pct"/>
            <w:tcBorders>
              <w:top w:val="nil"/>
              <w:bottom w:val="nil"/>
            </w:tcBorders>
            <w:vAlign w:val="center"/>
          </w:tcPr>
          <w:p w:rsidR="00F878A4" w:rsidRDefault="00F878A4">
            <w:pPr>
              <w:jc w:val="center"/>
              <w:rPr>
                <w:rFonts w:cs="Arial"/>
                <w:sz w:val="20"/>
                <w:szCs w:val="20"/>
              </w:rPr>
            </w:pPr>
            <w:r>
              <w:rPr>
                <w:rFonts w:cs="Arial"/>
                <w:sz w:val="20"/>
                <w:szCs w:val="20"/>
              </w:rPr>
              <w:t>10.00</w:t>
            </w:r>
          </w:p>
        </w:tc>
        <w:tc>
          <w:tcPr>
            <w:tcW w:w="518" w:type="pct"/>
            <w:tcBorders>
              <w:top w:val="nil"/>
              <w:bottom w:val="nil"/>
            </w:tcBorders>
            <w:vAlign w:val="center"/>
          </w:tcPr>
          <w:p w:rsidR="00F878A4" w:rsidRDefault="00F878A4">
            <w:pPr>
              <w:jc w:val="center"/>
              <w:rPr>
                <w:rFonts w:cs="Arial"/>
                <w:sz w:val="20"/>
                <w:szCs w:val="20"/>
              </w:rPr>
            </w:pPr>
            <w:r>
              <w:rPr>
                <w:rFonts w:cs="Arial"/>
                <w:sz w:val="20"/>
                <w:szCs w:val="20"/>
              </w:rPr>
              <w:t>10.50</w:t>
            </w:r>
          </w:p>
        </w:tc>
        <w:tc>
          <w:tcPr>
            <w:tcW w:w="515" w:type="pct"/>
            <w:tcBorders>
              <w:top w:val="nil"/>
              <w:bottom w:val="nil"/>
            </w:tcBorders>
            <w:vAlign w:val="center"/>
          </w:tcPr>
          <w:p w:rsidR="00F878A4" w:rsidRDefault="00F878A4">
            <w:pPr>
              <w:jc w:val="center"/>
              <w:rPr>
                <w:rFonts w:cs="Arial"/>
                <w:sz w:val="20"/>
                <w:szCs w:val="20"/>
              </w:rPr>
            </w:pPr>
            <w:r>
              <w:rPr>
                <w:rFonts w:cs="Arial"/>
                <w:sz w:val="20"/>
                <w:szCs w:val="20"/>
              </w:rPr>
              <w:t>10.84</w:t>
            </w:r>
          </w:p>
        </w:tc>
        <w:tc>
          <w:tcPr>
            <w:tcW w:w="587" w:type="pct"/>
            <w:tcBorders>
              <w:top w:val="nil"/>
              <w:bottom w:val="nil"/>
            </w:tcBorders>
            <w:vAlign w:val="center"/>
          </w:tcPr>
          <w:p w:rsidR="00F878A4" w:rsidRDefault="00F878A4">
            <w:pPr>
              <w:jc w:val="center"/>
              <w:rPr>
                <w:rFonts w:cs="Arial"/>
                <w:sz w:val="20"/>
                <w:szCs w:val="20"/>
              </w:rPr>
            </w:pPr>
            <w:r>
              <w:rPr>
                <w:rFonts w:cs="Arial"/>
                <w:sz w:val="20"/>
                <w:szCs w:val="20"/>
              </w:rPr>
              <w:t>8.55</w:t>
            </w:r>
          </w:p>
        </w:tc>
      </w:tr>
      <w:tr w:rsidR="00F878A4"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F878A4" w:rsidRDefault="00F878A4">
            <w:pPr>
              <w:rPr>
                <w:rFonts w:cs="Arial"/>
                <w:szCs w:val="20"/>
              </w:rPr>
            </w:pPr>
            <w:r>
              <w:rPr>
                <w:rFonts w:cs="Arial"/>
                <w:szCs w:val="20"/>
              </w:rPr>
              <w:t>Ex ante quantity (TJ)</w:t>
            </w:r>
          </w:p>
        </w:tc>
        <w:tc>
          <w:tcPr>
            <w:tcW w:w="589" w:type="pct"/>
            <w:tcBorders>
              <w:top w:val="nil"/>
              <w:bottom w:val="nil"/>
            </w:tcBorders>
            <w:vAlign w:val="center"/>
          </w:tcPr>
          <w:p w:rsidR="00F878A4" w:rsidRDefault="00F878A4">
            <w:pPr>
              <w:jc w:val="center"/>
              <w:rPr>
                <w:rFonts w:cs="Arial"/>
                <w:szCs w:val="20"/>
              </w:rPr>
            </w:pPr>
            <w:r>
              <w:rPr>
                <w:rFonts w:cs="Arial"/>
                <w:szCs w:val="20"/>
              </w:rPr>
              <w:t>71</w:t>
            </w:r>
          </w:p>
        </w:tc>
        <w:tc>
          <w:tcPr>
            <w:tcW w:w="516" w:type="pct"/>
            <w:tcBorders>
              <w:top w:val="nil"/>
              <w:bottom w:val="nil"/>
            </w:tcBorders>
            <w:vAlign w:val="center"/>
          </w:tcPr>
          <w:p w:rsidR="00F878A4" w:rsidRDefault="00F878A4">
            <w:pPr>
              <w:jc w:val="center"/>
              <w:rPr>
                <w:rFonts w:cs="Arial"/>
                <w:szCs w:val="20"/>
              </w:rPr>
            </w:pPr>
            <w:r>
              <w:rPr>
                <w:rFonts w:cs="Arial"/>
                <w:szCs w:val="20"/>
              </w:rPr>
              <w:t>89</w:t>
            </w:r>
          </w:p>
        </w:tc>
        <w:tc>
          <w:tcPr>
            <w:tcW w:w="598" w:type="pct"/>
            <w:tcBorders>
              <w:top w:val="nil"/>
              <w:bottom w:val="nil"/>
            </w:tcBorders>
            <w:vAlign w:val="center"/>
          </w:tcPr>
          <w:p w:rsidR="00F878A4" w:rsidRDefault="00F878A4">
            <w:pPr>
              <w:jc w:val="center"/>
              <w:rPr>
                <w:rFonts w:cs="Arial"/>
                <w:szCs w:val="20"/>
              </w:rPr>
            </w:pPr>
            <w:r>
              <w:rPr>
                <w:rFonts w:cs="Arial"/>
                <w:szCs w:val="20"/>
              </w:rPr>
              <w:t>93</w:t>
            </w:r>
          </w:p>
        </w:tc>
        <w:tc>
          <w:tcPr>
            <w:tcW w:w="525" w:type="pct"/>
            <w:tcBorders>
              <w:top w:val="nil"/>
              <w:bottom w:val="nil"/>
            </w:tcBorders>
            <w:vAlign w:val="center"/>
          </w:tcPr>
          <w:p w:rsidR="00F878A4" w:rsidRDefault="00F878A4">
            <w:pPr>
              <w:jc w:val="center"/>
              <w:rPr>
                <w:rFonts w:cs="Arial"/>
                <w:szCs w:val="20"/>
              </w:rPr>
            </w:pPr>
            <w:r>
              <w:rPr>
                <w:rFonts w:cs="Arial"/>
                <w:szCs w:val="20"/>
              </w:rPr>
              <w:t>94</w:t>
            </w:r>
          </w:p>
        </w:tc>
        <w:tc>
          <w:tcPr>
            <w:tcW w:w="518" w:type="pct"/>
            <w:tcBorders>
              <w:top w:val="nil"/>
              <w:bottom w:val="nil"/>
            </w:tcBorders>
            <w:vAlign w:val="center"/>
          </w:tcPr>
          <w:p w:rsidR="00F878A4" w:rsidRDefault="00F878A4">
            <w:pPr>
              <w:jc w:val="center"/>
              <w:rPr>
                <w:rFonts w:cs="Arial"/>
                <w:szCs w:val="20"/>
              </w:rPr>
            </w:pPr>
            <w:r>
              <w:rPr>
                <w:rFonts w:cs="Arial"/>
                <w:szCs w:val="20"/>
              </w:rPr>
              <w:t>91</w:t>
            </w:r>
          </w:p>
        </w:tc>
        <w:tc>
          <w:tcPr>
            <w:tcW w:w="515" w:type="pct"/>
            <w:tcBorders>
              <w:top w:val="nil"/>
              <w:bottom w:val="nil"/>
            </w:tcBorders>
            <w:vAlign w:val="center"/>
          </w:tcPr>
          <w:p w:rsidR="00F878A4" w:rsidRDefault="00F878A4">
            <w:pPr>
              <w:jc w:val="center"/>
              <w:rPr>
                <w:rFonts w:cs="Arial"/>
                <w:szCs w:val="20"/>
              </w:rPr>
            </w:pPr>
            <w:r>
              <w:rPr>
                <w:rFonts w:cs="Arial"/>
                <w:szCs w:val="20"/>
              </w:rPr>
              <w:t>78</w:t>
            </w:r>
          </w:p>
        </w:tc>
        <w:tc>
          <w:tcPr>
            <w:tcW w:w="587" w:type="pct"/>
            <w:tcBorders>
              <w:top w:val="nil"/>
              <w:bottom w:val="nil"/>
            </w:tcBorders>
            <w:vAlign w:val="center"/>
          </w:tcPr>
          <w:p w:rsidR="00F878A4" w:rsidRDefault="00F878A4">
            <w:pPr>
              <w:jc w:val="center"/>
              <w:rPr>
                <w:rFonts w:cs="Arial"/>
                <w:szCs w:val="20"/>
              </w:rPr>
            </w:pPr>
            <w:r>
              <w:rPr>
                <w:rFonts w:cs="Arial"/>
                <w:szCs w:val="20"/>
              </w:rPr>
              <w:t>71</w:t>
            </w:r>
          </w:p>
        </w:tc>
      </w:tr>
      <w:tr w:rsidR="00F878A4" w:rsidRPr="00405CDE" w:rsidTr="00A226E9">
        <w:trPr>
          <w:trHeight w:val="510"/>
        </w:trPr>
        <w:tc>
          <w:tcPr>
            <w:tcW w:w="1152" w:type="pct"/>
            <w:tcBorders>
              <w:top w:val="nil"/>
              <w:bottom w:val="nil"/>
            </w:tcBorders>
            <w:vAlign w:val="center"/>
          </w:tcPr>
          <w:p w:rsidR="00F878A4" w:rsidRDefault="00F878A4">
            <w:pPr>
              <w:rPr>
                <w:rFonts w:cs="Arial"/>
                <w:sz w:val="20"/>
                <w:szCs w:val="20"/>
              </w:rPr>
            </w:pPr>
            <w:r>
              <w:rPr>
                <w:rFonts w:cs="Arial"/>
                <w:sz w:val="20"/>
                <w:szCs w:val="20"/>
              </w:rPr>
              <w:t>Ex post price ($/GJ)</w:t>
            </w:r>
          </w:p>
        </w:tc>
        <w:tc>
          <w:tcPr>
            <w:tcW w:w="589" w:type="pct"/>
            <w:tcBorders>
              <w:top w:val="nil"/>
              <w:bottom w:val="nil"/>
            </w:tcBorders>
            <w:vAlign w:val="center"/>
          </w:tcPr>
          <w:p w:rsidR="00F878A4" w:rsidRDefault="00F878A4">
            <w:pPr>
              <w:jc w:val="center"/>
              <w:rPr>
                <w:rFonts w:cs="Arial"/>
                <w:sz w:val="20"/>
                <w:szCs w:val="20"/>
              </w:rPr>
            </w:pPr>
            <w:r>
              <w:rPr>
                <w:rFonts w:cs="Arial"/>
                <w:sz w:val="20"/>
                <w:szCs w:val="20"/>
              </w:rPr>
              <w:t>9.45</w:t>
            </w:r>
          </w:p>
        </w:tc>
        <w:tc>
          <w:tcPr>
            <w:tcW w:w="516" w:type="pct"/>
            <w:tcBorders>
              <w:top w:val="nil"/>
              <w:bottom w:val="nil"/>
            </w:tcBorders>
            <w:vAlign w:val="center"/>
          </w:tcPr>
          <w:p w:rsidR="00F878A4" w:rsidRDefault="00F878A4">
            <w:pPr>
              <w:jc w:val="center"/>
              <w:rPr>
                <w:rFonts w:cs="Arial"/>
                <w:sz w:val="20"/>
                <w:szCs w:val="20"/>
              </w:rPr>
            </w:pPr>
            <w:r>
              <w:rPr>
                <w:rFonts w:cs="Arial"/>
                <w:sz w:val="20"/>
                <w:szCs w:val="20"/>
              </w:rPr>
              <w:t>9.50</w:t>
            </w:r>
          </w:p>
        </w:tc>
        <w:tc>
          <w:tcPr>
            <w:tcW w:w="598" w:type="pct"/>
            <w:tcBorders>
              <w:top w:val="nil"/>
              <w:bottom w:val="nil"/>
            </w:tcBorders>
            <w:vAlign w:val="center"/>
          </w:tcPr>
          <w:p w:rsidR="00F878A4" w:rsidRDefault="00F878A4">
            <w:pPr>
              <w:jc w:val="center"/>
              <w:rPr>
                <w:rFonts w:cs="Arial"/>
                <w:sz w:val="20"/>
                <w:szCs w:val="20"/>
              </w:rPr>
            </w:pPr>
            <w:r>
              <w:rPr>
                <w:rFonts w:cs="Arial"/>
                <w:sz w:val="20"/>
                <w:szCs w:val="20"/>
              </w:rPr>
              <w:t>9.50</w:t>
            </w:r>
          </w:p>
        </w:tc>
        <w:tc>
          <w:tcPr>
            <w:tcW w:w="525" w:type="pct"/>
            <w:tcBorders>
              <w:top w:val="nil"/>
              <w:bottom w:val="nil"/>
            </w:tcBorders>
            <w:vAlign w:val="center"/>
          </w:tcPr>
          <w:p w:rsidR="00F878A4" w:rsidRDefault="00F878A4">
            <w:pPr>
              <w:jc w:val="center"/>
              <w:rPr>
                <w:rFonts w:cs="Arial"/>
                <w:sz w:val="20"/>
                <w:szCs w:val="20"/>
              </w:rPr>
            </w:pPr>
            <w:r>
              <w:rPr>
                <w:rFonts w:cs="Arial"/>
                <w:sz w:val="20"/>
                <w:szCs w:val="20"/>
              </w:rPr>
              <w:t>10.50</w:t>
            </w:r>
          </w:p>
        </w:tc>
        <w:tc>
          <w:tcPr>
            <w:tcW w:w="518" w:type="pct"/>
            <w:tcBorders>
              <w:top w:val="nil"/>
              <w:bottom w:val="nil"/>
            </w:tcBorders>
            <w:vAlign w:val="center"/>
          </w:tcPr>
          <w:p w:rsidR="00F878A4" w:rsidRDefault="00F878A4">
            <w:pPr>
              <w:jc w:val="center"/>
              <w:rPr>
                <w:rFonts w:cs="Arial"/>
                <w:sz w:val="20"/>
                <w:szCs w:val="20"/>
              </w:rPr>
            </w:pPr>
            <w:r>
              <w:rPr>
                <w:rFonts w:cs="Arial"/>
                <w:sz w:val="20"/>
                <w:szCs w:val="20"/>
              </w:rPr>
              <w:t>8.50</w:t>
            </w:r>
          </w:p>
        </w:tc>
        <w:tc>
          <w:tcPr>
            <w:tcW w:w="515" w:type="pct"/>
            <w:tcBorders>
              <w:top w:val="nil"/>
              <w:bottom w:val="nil"/>
            </w:tcBorders>
            <w:vAlign w:val="center"/>
          </w:tcPr>
          <w:p w:rsidR="00F878A4" w:rsidRDefault="00F878A4">
            <w:pPr>
              <w:jc w:val="center"/>
              <w:rPr>
                <w:rFonts w:cs="Arial"/>
                <w:sz w:val="20"/>
                <w:szCs w:val="20"/>
              </w:rPr>
            </w:pPr>
            <w:r>
              <w:rPr>
                <w:rFonts w:cs="Arial"/>
                <w:sz w:val="20"/>
                <w:szCs w:val="20"/>
              </w:rPr>
              <w:t>8.22</w:t>
            </w:r>
          </w:p>
        </w:tc>
        <w:tc>
          <w:tcPr>
            <w:tcW w:w="587" w:type="pct"/>
            <w:tcBorders>
              <w:top w:val="nil"/>
              <w:bottom w:val="nil"/>
            </w:tcBorders>
            <w:vAlign w:val="center"/>
          </w:tcPr>
          <w:p w:rsidR="00F878A4" w:rsidRDefault="00F878A4">
            <w:pPr>
              <w:jc w:val="center"/>
              <w:rPr>
                <w:rFonts w:cs="Arial"/>
                <w:sz w:val="20"/>
                <w:szCs w:val="20"/>
              </w:rPr>
            </w:pPr>
            <w:r>
              <w:rPr>
                <w:rFonts w:cs="Arial"/>
                <w:sz w:val="20"/>
                <w:szCs w:val="20"/>
              </w:rPr>
              <w:t>8.56</w:t>
            </w:r>
          </w:p>
        </w:tc>
      </w:tr>
      <w:tr w:rsidR="00F878A4"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F878A4" w:rsidRDefault="00F878A4">
            <w:pPr>
              <w:rPr>
                <w:rFonts w:cs="Arial"/>
                <w:szCs w:val="20"/>
              </w:rPr>
            </w:pPr>
            <w:r>
              <w:rPr>
                <w:rFonts w:cs="Arial"/>
                <w:szCs w:val="20"/>
              </w:rPr>
              <w:t>Ex post quantity (TJ)</w:t>
            </w:r>
          </w:p>
        </w:tc>
        <w:tc>
          <w:tcPr>
            <w:tcW w:w="589" w:type="pct"/>
            <w:tcBorders>
              <w:top w:val="nil"/>
              <w:bottom w:val="single" w:sz="4" w:space="0" w:color="auto"/>
            </w:tcBorders>
            <w:vAlign w:val="center"/>
          </w:tcPr>
          <w:p w:rsidR="00F878A4" w:rsidRDefault="00F878A4">
            <w:pPr>
              <w:jc w:val="center"/>
              <w:rPr>
                <w:rFonts w:cs="Arial"/>
                <w:szCs w:val="20"/>
              </w:rPr>
            </w:pPr>
            <w:r>
              <w:rPr>
                <w:rFonts w:cs="Arial"/>
                <w:szCs w:val="20"/>
              </w:rPr>
              <w:t>80</w:t>
            </w:r>
          </w:p>
        </w:tc>
        <w:tc>
          <w:tcPr>
            <w:tcW w:w="516" w:type="pct"/>
            <w:tcBorders>
              <w:top w:val="nil"/>
              <w:bottom w:val="single" w:sz="4" w:space="0" w:color="auto"/>
            </w:tcBorders>
            <w:vAlign w:val="center"/>
          </w:tcPr>
          <w:p w:rsidR="00F878A4" w:rsidRDefault="00F878A4">
            <w:pPr>
              <w:jc w:val="center"/>
              <w:rPr>
                <w:rFonts w:cs="Arial"/>
                <w:szCs w:val="20"/>
              </w:rPr>
            </w:pPr>
            <w:r>
              <w:rPr>
                <w:rFonts w:cs="Arial"/>
                <w:szCs w:val="20"/>
              </w:rPr>
              <w:t>98</w:t>
            </w:r>
          </w:p>
        </w:tc>
        <w:tc>
          <w:tcPr>
            <w:tcW w:w="598" w:type="pct"/>
            <w:tcBorders>
              <w:top w:val="nil"/>
              <w:bottom w:val="single" w:sz="4" w:space="0" w:color="auto"/>
            </w:tcBorders>
            <w:vAlign w:val="center"/>
          </w:tcPr>
          <w:p w:rsidR="00F878A4" w:rsidRDefault="00F878A4">
            <w:pPr>
              <w:jc w:val="center"/>
              <w:rPr>
                <w:rFonts w:cs="Arial"/>
                <w:szCs w:val="20"/>
              </w:rPr>
            </w:pPr>
            <w:r>
              <w:rPr>
                <w:rFonts w:cs="Arial"/>
                <w:szCs w:val="20"/>
              </w:rPr>
              <w:t>100</w:t>
            </w:r>
          </w:p>
        </w:tc>
        <w:tc>
          <w:tcPr>
            <w:tcW w:w="525" w:type="pct"/>
            <w:tcBorders>
              <w:top w:val="nil"/>
              <w:bottom w:val="single" w:sz="4" w:space="0" w:color="auto"/>
            </w:tcBorders>
            <w:vAlign w:val="center"/>
          </w:tcPr>
          <w:p w:rsidR="00F878A4" w:rsidRDefault="00F878A4">
            <w:pPr>
              <w:jc w:val="center"/>
              <w:rPr>
                <w:rFonts w:cs="Arial"/>
                <w:szCs w:val="20"/>
              </w:rPr>
            </w:pPr>
            <w:r>
              <w:rPr>
                <w:rFonts w:cs="Arial"/>
                <w:szCs w:val="20"/>
              </w:rPr>
              <w:t>98</w:t>
            </w:r>
          </w:p>
        </w:tc>
        <w:tc>
          <w:tcPr>
            <w:tcW w:w="518" w:type="pct"/>
            <w:tcBorders>
              <w:top w:val="nil"/>
              <w:bottom w:val="single" w:sz="4" w:space="0" w:color="auto"/>
            </w:tcBorders>
            <w:vAlign w:val="center"/>
          </w:tcPr>
          <w:p w:rsidR="00F878A4" w:rsidRDefault="00F878A4">
            <w:pPr>
              <w:jc w:val="center"/>
              <w:rPr>
                <w:rFonts w:cs="Arial"/>
                <w:szCs w:val="20"/>
              </w:rPr>
            </w:pPr>
            <w:r>
              <w:rPr>
                <w:rFonts w:cs="Arial"/>
                <w:szCs w:val="20"/>
              </w:rPr>
              <w:t>77</w:t>
            </w:r>
          </w:p>
        </w:tc>
        <w:tc>
          <w:tcPr>
            <w:tcW w:w="515" w:type="pct"/>
            <w:tcBorders>
              <w:top w:val="nil"/>
              <w:bottom w:val="single" w:sz="4" w:space="0" w:color="auto"/>
            </w:tcBorders>
            <w:vAlign w:val="center"/>
          </w:tcPr>
          <w:p w:rsidR="00F878A4" w:rsidRDefault="00F878A4">
            <w:pPr>
              <w:jc w:val="center"/>
              <w:rPr>
                <w:rFonts w:cs="Arial"/>
                <w:szCs w:val="20"/>
              </w:rPr>
            </w:pPr>
            <w:r>
              <w:rPr>
                <w:rFonts w:cs="Arial"/>
                <w:szCs w:val="20"/>
              </w:rPr>
              <w:t>61</w:t>
            </w:r>
          </w:p>
        </w:tc>
        <w:tc>
          <w:tcPr>
            <w:tcW w:w="587" w:type="pct"/>
            <w:tcBorders>
              <w:top w:val="nil"/>
              <w:bottom w:val="single" w:sz="4" w:space="0" w:color="auto"/>
            </w:tcBorders>
            <w:vAlign w:val="center"/>
          </w:tcPr>
          <w:p w:rsidR="00F878A4" w:rsidRDefault="00F878A4">
            <w:pPr>
              <w:jc w:val="center"/>
              <w:rPr>
                <w:rFonts w:cs="Arial"/>
                <w:szCs w:val="20"/>
              </w:rPr>
            </w:pPr>
            <w:r>
              <w:rPr>
                <w:rFonts w:cs="Arial"/>
                <w:szCs w:val="20"/>
              </w:rPr>
              <w:t>74</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F878A4" w:rsidP="00EC2CB1">
      <w:r w:rsidRPr="00F878A4">
        <w:rPr>
          <w:noProof/>
          <w:lang w:eastAsia="en-AU"/>
        </w:rPr>
        <w:drawing>
          <wp:inline distT="0" distB="0" distL="0" distR="0" wp14:anchorId="25B5BB69" wp14:editId="47E3630A">
            <wp:extent cx="5731510" cy="1725905"/>
            <wp:effectExtent l="0" t="0" r="2540" b="0"/>
            <wp:docPr id="33" name="Picture 33" descr="Figure 4.2 shows the daily hub offers and bid in within certain price bands in Brisbane this week. The line indicates the scheduled quantity for each day. For a more detailed description of this figure, please refer to the user guide." title="Brisbane daily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8979BF" w:rsidP="00EC2CB1">
      <w:r w:rsidRPr="008979BF">
        <w:rPr>
          <w:noProof/>
          <w:lang w:eastAsia="en-AU"/>
        </w:rPr>
        <w:drawing>
          <wp:inline distT="0" distB="0" distL="0" distR="0" wp14:anchorId="1692FC31" wp14:editId="1FE1AB49">
            <wp:extent cx="5731510" cy="1472171"/>
            <wp:effectExtent l="0" t="0" r="2540" b="0"/>
            <wp:docPr id="3" name="Picture 3" descr="Figure 4.3 shows the daily scheduled and allocated quantities sorted by facility for Brisbane this week. For a more detailed description of this figure, please refer to the user guide." title="Brisbane scheduled and allocated gas hub supp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472171"/>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F878A4" w:rsidP="00A226E9">
      <w:r w:rsidRPr="00F878A4">
        <w:rPr>
          <w:noProof/>
          <w:lang w:eastAsia="en-AU"/>
        </w:rPr>
        <w:drawing>
          <wp:inline distT="0" distB="0" distL="0" distR="0" wp14:anchorId="6B7C3DC6" wp14:editId="185AB5AA">
            <wp:extent cx="5731510" cy="1883137"/>
            <wp:effectExtent l="0" t="0" r="2540" b="3175"/>
            <wp:docPr id="38" name="Picture 38" descr="Figure 4.4 shows the daily MOS allocations sorted by facility for each facility in Brisbane this week. The figure also shows the daily breakdown of costs associated with the MOS provided. For a more detailed description of this figure, please refer to the user guide." title="Brisbane MOS allocations, service payments and commodity payments/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2"/>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3"/>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4"/>
      </w:r>
    </w:p>
    <w:p w:rsidR="00665C0C" w:rsidRDefault="00F878A4" w:rsidP="00596DE3">
      <w:pPr>
        <w:spacing w:line="240" w:lineRule="auto"/>
      </w:pPr>
      <w:r w:rsidRPr="00F878A4">
        <w:rPr>
          <w:noProof/>
          <w:lang w:eastAsia="en-AU"/>
        </w:rPr>
        <w:drawing>
          <wp:inline distT="0" distB="0" distL="0" distR="0" wp14:anchorId="63CC12B2" wp14:editId="26F62915">
            <wp:extent cx="5731510" cy="6276637"/>
            <wp:effectExtent l="0" t="0" r="2540" b="0"/>
            <wp:docPr id="40" name="Picture 40"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title="Gas bulletin boar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6276637"/>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t>
      </w:r>
      <w:r w:rsidRPr="00552F68">
        <w:t xml:space="preserve">There are separate products for each </w:t>
      </w:r>
      <w:r>
        <w:t>trading location</w:t>
      </w:r>
      <w:r w:rsidRPr="00552F68">
        <w:t xml:space="preserve"> and delivery period (daily, day-ahead, balance-of-day, weekly and monthly products).</w:t>
      </w:r>
      <w:r>
        <w:rPr>
          <w:rStyle w:val="FootnoteReference"/>
        </w:rPr>
        <w:footnoteReference w:id="15"/>
      </w:r>
      <w:r w:rsidRPr="00552F68">
        <w:rPr>
          <w:color w:val="FF0000"/>
        </w:rPr>
        <w:t xml:space="preserve"> </w:t>
      </w:r>
    </w:p>
    <w:p w:rsidR="00596DE3" w:rsidRDefault="00596DE3" w:rsidP="00596DE3">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r w:rsidR="00760B4D">
        <w:t>From March 2017, Wallumbilla transitioned into an optional hub services model, replacing the three trading locations (QGP, SWQP and RB</w:t>
      </w:r>
      <w:r w:rsidR="00B050A6">
        <w:t>P</w:t>
      </w:r>
      <w:r w:rsidR="00760B4D">
        <w:t xml:space="preserve">) with a single product at Wallumbilla </w:t>
      </w:r>
      <w:r w:rsidR="00760B4D">
        <w:rPr>
          <w:b/>
        </w:rPr>
        <w:t>(WAL)</w:t>
      </w:r>
      <w:r w:rsidR="00760B4D">
        <w:t xml:space="preserve"> and an in-pipe RBP trading location at South East Queensland </w:t>
      </w:r>
      <w:r w:rsidR="00760B4D">
        <w:rPr>
          <w:b/>
        </w:rPr>
        <w:t>(SEQ)</w:t>
      </w:r>
      <w:r w:rsidR="00760B4D">
        <w:t>.</w:t>
      </w:r>
    </w:p>
    <w:p w:rsidR="00AC4BF5" w:rsidRPr="00B05487" w:rsidRDefault="00682C3F" w:rsidP="00551D6B">
      <w:pPr>
        <w:jc w:val="both"/>
      </w:pPr>
      <w:r w:rsidRPr="00B05487">
        <w:t xml:space="preserve">This week there were </w:t>
      </w:r>
      <w:r w:rsidR="002F39B8" w:rsidRPr="00B05487">
        <w:t>6</w:t>
      </w:r>
      <w:r w:rsidRPr="00B05487">
        <w:t xml:space="preserve"> trades for </w:t>
      </w:r>
      <w:r w:rsidR="002F39B8" w:rsidRPr="00B05487">
        <w:t>27</w:t>
      </w:r>
      <w:r w:rsidR="00A84C0E">
        <w:t> </w:t>
      </w:r>
      <w:r w:rsidRPr="00B05487">
        <w:t>TJ of gas at a volume weighted price of $</w:t>
      </w:r>
      <w:r w:rsidR="00C575F3">
        <w:t>8.98</w:t>
      </w:r>
      <w:r w:rsidRPr="00B05487">
        <w:t>/GJ.</w:t>
      </w:r>
      <w:r w:rsidR="002F39B8" w:rsidRPr="00B05487">
        <w:t xml:space="preserve"> These consisted of 3</w:t>
      </w:r>
      <w:r w:rsidR="000C1215" w:rsidRPr="00B05487">
        <w:t xml:space="preserve"> trades </w:t>
      </w:r>
      <w:r w:rsidR="002F39B8" w:rsidRPr="00B05487">
        <w:t>at WAL (17</w:t>
      </w:r>
      <w:r w:rsidR="00A84C0E">
        <w:t> </w:t>
      </w:r>
      <w:r w:rsidR="00A036D8" w:rsidRPr="00B05487">
        <w:t>TJ at $9.</w:t>
      </w:r>
      <w:r w:rsidR="00C575F3">
        <w:t>29</w:t>
      </w:r>
      <w:r w:rsidR="00A036D8" w:rsidRPr="00B05487">
        <w:t>/GJ) and 3 trades at SEQ (10</w:t>
      </w:r>
      <w:r w:rsidR="00A84C0E">
        <w:t> </w:t>
      </w:r>
      <w:r w:rsidR="00A036D8" w:rsidRPr="00B05487">
        <w:t>TJ at $8.46</w:t>
      </w:r>
      <w:r w:rsidR="00B40FE4" w:rsidRPr="00B05487">
        <w:t>/GJ).</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6"/>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F878A4" w:rsidP="00E16EDC">
      <w:r w:rsidRPr="00F878A4">
        <w:rPr>
          <w:noProof/>
          <w:lang w:eastAsia="en-AU"/>
        </w:rPr>
        <w:drawing>
          <wp:inline distT="0" distB="0" distL="0" distR="0" wp14:anchorId="4D5A4A0E" wp14:editId="1BD7D9B9">
            <wp:extent cx="5731510" cy="3126794"/>
            <wp:effectExtent l="0" t="0" r="2540" b="0"/>
            <wp:docPr id="39" name="Picture 39" descr="Figure 6.1 shows the daily quantity of gas traded during the week at each trading location. In the Moomba hub, trading locations include registered facilities at MSP and MAP. Trades at the Wallumbilla trading location (WAL*) include netted and non-netted trades." title="Gas supply hub traded qua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280CAF" w:rsidRPr="000C1215">
        <w:t>April</w:t>
      </w:r>
      <w:r w:rsidR="004D5447" w:rsidRPr="000C1215">
        <w:t xml:space="preserve"> </w:t>
      </w:r>
      <w:r w:rsidR="00C4712A" w:rsidRPr="000C1215">
        <w:t>20</w:t>
      </w:r>
      <w:r w:rsidR="00280CAF" w:rsidRPr="000C1215">
        <w:t>17</w:t>
      </w:r>
    </w:p>
    <w:sectPr w:rsidR="00275002" w:rsidRPr="009F2CAC" w:rsidSect="00A226E9">
      <w:footerReference w:type="even" r:id="rId34"/>
      <w:footerReference w:type="default" r:id="rId35"/>
      <w:footerReference w:type="first" r:id="rId36"/>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99B" w:rsidRDefault="0069099B" w:rsidP="004B4412">
      <w:pPr>
        <w:spacing w:before="0"/>
      </w:pPr>
      <w:r>
        <w:separator/>
      </w:r>
    </w:p>
  </w:endnote>
  <w:endnote w:type="continuationSeparator" w:id="0">
    <w:p w:rsidR="0069099B" w:rsidRDefault="0069099B"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99B" w:rsidRPr="00A91A9E" w:rsidRDefault="0069099B"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69099B" w:rsidRDefault="0069099B"/>
  <w:p w:rsidR="0069099B" w:rsidRDefault="0069099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99B" w:rsidRPr="00A94D89" w:rsidRDefault="0069099B"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EB7FF2">
      <w:rPr>
        <w:rFonts w:cs="Arial"/>
        <w:i/>
        <w:noProof/>
      </w:rPr>
      <w:t>10</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99B" w:rsidRPr="00A94D89" w:rsidRDefault="0069099B"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EB7FF2">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w:t>
    </w:r>
    <w:r>
      <w:rPr>
        <w:rFonts w:cs="Arial"/>
        <w:i/>
        <w:szCs w:val="18"/>
      </w:rPr>
      <w:t>7</w:t>
    </w:r>
    <w:r w:rsidRPr="007F43CB">
      <w:rPr>
        <w:rFonts w:cs="Arial"/>
        <w:i/>
        <w:szCs w:val="18"/>
      </w:rPr>
      <w:t>/</w:t>
    </w:r>
    <w:r>
      <w:rPr>
        <w:rFonts w:cs="Arial"/>
        <w:i/>
        <w:szCs w:val="18"/>
      </w:rPr>
      <w:t>53855</w:t>
    </w:r>
  </w:p>
  <w:p w:rsidR="0069099B" w:rsidRDefault="006909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99B" w:rsidRDefault="0069099B" w:rsidP="004B4412">
      <w:pPr>
        <w:spacing w:before="0"/>
      </w:pPr>
      <w:r>
        <w:separator/>
      </w:r>
    </w:p>
  </w:footnote>
  <w:footnote w:type="continuationSeparator" w:id="0">
    <w:p w:rsidR="0069099B" w:rsidRDefault="0069099B" w:rsidP="004B4412">
      <w:pPr>
        <w:spacing w:before="0"/>
      </w:pPr>
      <w:r>
        <w:continuationSeparator/>
      </w:r>
    </w:p>
  </w:footnote>
  <w:footnote w:id="1">
    <w:p w:rsidR="0069099B" w:rsidRPr="000835F4" w:rsidRDefault="0069099B"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t>
      </w:r>
      <w:r w:rsidRPr="00EC137F">
        <w:rPr>
          <w:szCs w:val="16"/>
        </w:rPr>
        <w:t xml:space="preserve">The weighted average daily imbalance price applies for Victoria. </w:t>
      </w:r>
    </w:p>
  </w:footnote>
  <w:footnote w:id="2">
    <w:p w:rsidR="0069099B" w:rsidRPr="000835F4" w:rsidRDefault="0069099B" w:rsidP="00674600">
      <w:pPr>
        <w:pStyle w:val="FootnoteText"/>
        <w:spacing w:before="0"/>
        <w:ind w:left="709" w:hanging="709"/>
        <w:jc w:val="both"/>
        <w:rPr>
          <w:szCs w:val="16"/>
        </w:rPr>
      </w:pPr>
      <w:r w:rsidRPr="00EC137F">
        <w:rPr>
          <w:rStyle w:val="FootnoteReference"/>
        </w:rPr>
        <w:footnoteRef/>
      </w:r>
      <w:r w:rsidRPr="00EC137F">
        <w:t xml:space="preserve"> </w:t>
      </w:r>
      <w:r w:rsidRPr="00EC137F">
        <w:tab/>
      </w:r>
      <w:r w:rsidRPr="00EC137F">
        <w:rPr>
          <w:szCs w:val="16"/>
        </w:rPr>
        <w:t>The prices shown for the GSH in Moomba</w:t>
      </w:r>
      <w:r>
        <w:rPr>
          <w:szCs w:val="16"/>
        </w:rPr>
        <w:t>, South East Queensland and Wallumbilla</w:t>
      </w:r>
      <w:r w:rsidRPr="00EC137F">
        <w:rPr>
          <w:szCs w:val="16"/>
        </w:rPr>
        <w:t xml:space="preserve"> are volume weighted average </w:t>
      </w:r>
      <w:r>
        <w:rPr>
          <w:szCs w:val="16"/>
        </w:rPr>
        <w:t xml:space="preserve">(VWA) </w:t>
      </w:r>
      <w:r w:rsidRPr="00EC137F">
        <w:rPr>
          <w:szCs w:val="16"/>
        </w:rPr>
        <w:t>prices for all products traded across the period. The total quantity contributing to the weighted price is displayed for these GSH.</w:t>
      </w:r>
      <w:r>
        <w:rPr>
          <w:szCs w:val="16"/>
        </w:rPr>
        <w:t xml:space="preserve"> Reported values for Moomba are the aggregate of trades on the Moomba to Adelaide Pipeline (MAP) and the Moomba to Sydney Pipeline (MSP). Historic trades for RBP and SWQP are grouped under WAL, (including in-pipe trades on the RBP).</w:t>
      </w:r>
    </w:p>
  </w:footnote>
  <w:footnote w:id="3">
    <w:p w:rsidR="0069099B" w:rsidRDefault="0069099B" w:rsidP="008C341C">
      <w:pPr>
        <w:pStyle w:val="FootnoteText"/>
        <w:ind w:left="709" w:hanging="709"/>
        <w:jc w:val="both"/>
      </w:pPr>
      <w:r>
        <w:rPr>
          <w:rStyle w:val="FootnoteReference"/>
        </w:rPr>
        <w:footnoteRef/>
      </w:r>
      <w:r>
        <w:t xml:space="preserve"> </w:t>
      </w:r>
      <w:r>
        <w:tab/>
        <w:t>The planned outage occurred on one LNG train from 14 March to 7 April 2016. Queensland gas exporters provide information on upcoming planned LNG train outages on the AEMO National Gas Bulletin Board website (</w:t>
      </w:r>
      <w:hyperlink r:id="rId1" w:history="1">
        <w:r w:rsidRPr="00612814">
          <w:rPr>
            <w:rStyle w:val="Hyperlink"/>
            <w:sz w:val="16"/>
          </w:rPr>
          <w:t>www.gasbb.com.au</w:t>
        </w:r>
      </w:hyperlink>
      <w:r>
        <w:t xml:space="preserve">) via </w:t>
      </w:r>
      <w:hyperlink r:id="rId2" w:history="1">
        <w:r w:rsidRPr="00612814">
          <w:rPr>
            <w:rStyle w:val="Hyperlink"/>
            <w:sz w:val="16"/>
          </w:rPr>
          <w:t>Voluntary</w:t>
        </w:r>
        <w:r>
          <w:rPr>
            <w:rStyle w:val="Hyperlink"/>
            <w:sz w:val="16"/>
          </w:rPr>
          <w:t xml:space="preserve"> </w:t>
        </w:r>
        <w:r w:rsidRPr="00612814">
          <w:rPr>
            <w:rStyle w:val="Hyperlink"/>
            <w:sz w:val="16"/>
          </w:rPr>
          <w:t>Information</w:t>
        </w:r>
        <w:r>
          <w:rPr>
            <w:rStyle w:val="Hyperlink"/>
            <w:sz w:val="16"/>
          </w:rPr>
          <w:t xml:space="preserve"> </w:t>
        </w:r>
        <w:r w:rsidRPr="00612814">
          <w:rPr>
            <w:rStyle w:val="Hyperlink"/>
            <w:sz w:val="16"/>
          </w:rPr>
          <w:t>from</w:t>
        </w:r>
        <w:r>
          <w:rPr>
            <w:rStyle w:val="Hyperlink"/>
            <w:sz w:val="16"/>
          </w:rPr>
          <w:t xml:space="preserve"> </w:t>
        </w:r>
        <w:r w:rsidRPr="00612814">
          <w:rPr>
            <w:rStyle w:val="Hyperlink"/>
            <w:sz w:val="16"/>
          </w:rPr>
          <w:t>LNG</w:t>
        </w:r>
        <w:r>
          <w:rPr>
            <w:rStyle w:val="Hyperlink"/>
            <w:sz w:val="16"/>
          </w:rPr>
          <w:t xml:space="preserve"> </w:t>
        </w:r>
        <w:r w:rsidRPr="00612814">
          <w:rPr>
            <w:rStyle w:val="Hyperlink"/>
            <w:sz w:val="16"/>
          </w:rPr>
          <w:t>Producers</w:t>
        </w:r>
        <w:r>
          <w:rPr>
            <w:rStyle w:val="Hyperlink"/>
            <w:sz w:val="16"/>
          </w:rPr>
          <w:t xml:space="preserve"> </w:t>
        </w:r>
        <w:r w:rsidRPr="00612814">
          <w:rPr>
            <w:rStyle w:val="Hyperlink"/>
            <w:sz w:val="16"/>
          </w:rPr>
          <w:t>in</w:t>
        </w:r>
        <w:r>
          <w:rPr>
            <w:rStyle w:val="Hyperlink"/>
            <w:sz w:val="16"/>
          </w:rPr>
          <w:t xml:space="preserve"> </w:t>
        </w:r>
        <w:r w:rsidRPr="00612814">
          <w:rPr>
            <w:rStyle w:val="Hyperlink"/>
            <w:sz w:val="16"/>
          </w:rPr>
          <w:t>Queensland</w:t>
        </w:r>
      </w:hyperlink>
      <w:r>
        <w:t xml:space="preserve">. </w:t>
      </w:r>
    </w:p>
  </w:footnote>
  <w:footnote w:id="4">
    <w:p w:rsidR="0069099B" w:rsidRDefault="0069099B">
      <w:pPr>
        <w:pStyle w:val="FootnoteText"/>
      </w:pPr>
      <w:r>
        <w:rPr>
          <w:rStyle w:val="FootnoteReference"/>
        </w:rPr>
        <w:footnoteRef/>
      </w:r>
      <w:r>
        <w:t xml:space="preserve"> </w:t>
      </w:r>
      <w:r>
        <w:tab/>
        <w:t>National Electricity Market.</w:t>
      </w:r>
    </w:p>
  </w:footnote>
  <w:footnote w:id="5">
    <w:p w:rsidR="00010244" w:rsidRDefault="00010244">
      <w:pPr>
        <w:pStyle w:val="FootnoteText"/>
      </w:pPr>
      <w:r>
        <w:rPr>
          <w:rStyle w:val="FootnoteReference"/>
        </w:rPr>
        <w:footnoteRef/>
      </w:r>
      <w:r>
        <w:t xml:space="preserve"> </w:t>
      </w:r>
      <w:r>
        <w:tab/>
        <w:t xml:space="preserve">Estimates utilise the same methodology defined in the </w:t>
      </w:r>
      <w:hyperlink r:id="rId3" w:history="1">
        <w:r>
          <w:rPr>
            <w:rStyle w:val="Hyperlink"/>
            <w:sz w:val="16"/>
          </w:rPr>
          <w:t>u</w:t>
        </w:r>
        <w:r w:rsidRPr="00612814">
          <w:rPr>
            <w:rStyle w:val="Hyperlink"/>
            <w:sz w:val="16"/>
          </w:rPr>
          <w:t>ser</w:t>
        </w:r>
        <w:r>
          <w:rPr>
            <w:rStyle w:val="Hyperlink"/>
            <w:sz w:val="16"/>
          </w:rPr>
          <w:t xml:space="preserve"> </w:t>
        </w:r>
        <w:r w:rsidRPr="00612814">
          <w:rPr>
            <w:rStyle w:val="Hyperlink"/>
            <w:sz w:val="16"/>
          </w:rPr>
          <w:t>guide</w:t>
        </w:r>
      </w:hyperlink>
      <w:r>
        <w:t xml:space="preserve"> (used in figure 5.1).</w:t>
      </w:r>
    </w:p>
  </w:footnote>
  <w:footnote w:id="6">
    <w:p w:rsidR="0069099B" w:rsidRPr="00EC2CB1" w:rsidRDefault="0069099B"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7">
    <w:p w:rsidR="0069099B" w:rsidRPr="00EC2CB1" w:rsidRDefault="0069099B"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8">
    <w:p w:rsidR="0069099B" w:rsidRPr="00EC2CB1" w:rsidRDefault="0069099B"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9">
    <w:p w:rsidR="0069099B" w:rsidRPr="00551D6B" w:rsidRDefault="0069099B"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10">
    <w:p w:rsidR="0069099B" w:rsidRPr="00551D6B" w:rsidRDefault="0069099B"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1">
    <w:p w:rsidR="0069099B" w:rsidRPr="00552F68" w:rsidRDefault="0069099B"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2">
    <w:p w:rsidR="0069099B" w:rsidRPr="0087350F" w:rsidRDefault="0069099B"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interconnect’);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69099B" w:rsidRPr="0087350F" w:rsidRDefault="0069099B"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69099B" w:rsidRPr="0087350F" w:rsidRDefault="0069099B"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3">
    <w:p w:rsidR="0069099B" w:rsidRPr="0087350F" w:rsidRDefault="0069099B"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4">
    <w:p w:rsidR="0069099B" w:rsidRDefault="0069099B"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4" w:history="1">
        <w:r w:rsidRPr="00A952AA">
          <w:rPr>
            <w:rStyle w:val="Hyperlink"/>
            <w:sz w:val="16"/>
          </w:rPr>
          <w:t>user guide</w:t>
        </w:r>
      </w:hyperlink>
      <w:r>
        <w:t>.</w:t>
      </w:r>
    </w:p>
  </w:footnote>
  <w:footnote w:id="15">
    <w:p w:rsidR="0069099B" w:rsidRDefault="0069099B"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5" w:history="1">
        <w:r w:rsidRPr="00A952AA">
          <w:rPr>
            <w:rStyle w:val="Hyperlink"/>
            <w:sz w:val="16"/>
          </w:rPr>
          <w:t>user guide</w:t>
        </w:r>
      </w:hyperlink>
      <w:r>
        <w:t>.</w:t>
      </w:r>
    </w:p>
  </w:footnote>
  <w:footnote w:id="16">
    <w:p w:rsidR="0069099B" w:rsidRDefault="0069099B"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included with other Wallumbilla trades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48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10788\D17 53855  20170409 - 20170415 gas weekly report.DOCX"/>
  </w:docVars>
  <w:rsids>
    <w:rsidRoot w:val="00275002"/>
    <w:rsid w:val="00000817"/>
    <w:rsid w:val="00000BFE"/>
    <w:rsid w:val="00000CC3"/>
    <w:rsid w:val="00003169"/>
    <w:rsid w:val="00005D12"/>
    <w:rsid w:val="0000728F"/>
    <w:rsid w:val="00007624"/>
    <w:rsid w:val="00010244"/>
    <w:rsid w:val="000128E1"/>
    <w:rsid w:val="0001415C"/>
    <w:rsid w:val="000147C1"/>
    <w:rsid w:val="00014D5F"/>
    <w:rsid w:val="00017DD0"/>
    <w:rsid w:val="00021202"/>
    <w:rsid w:val="0002123D"/>
    <w:rsid w:val="00022F09"/>
    <w:rsid w:val="00024215"/>
    <w:rsid w:val="000242E7"/>
    <w:rsid w:val="00024369"/>
    <w:rsid w:val="00024C84"/>
    <w:rsid w:val="00026341"/>
    <w:rsid w:val="00026E0A"/>
    <w:rsid w:val="00030794"/>
    <w:rsid w:val="000308B1"/>
    <w:rsid w:val="000312E6"/>
    <w:rsid w:val="000316E7"/>
    <w:rsid w:val="00033902"/>
    <w:rsid w:val="00033BE8"/>
    <w:rsid w:val="00034A40"/>
    <w:rsid w:val="0003564D"/>
    <w:rsid w:val="0003578C"/>
    <w:rsid w:val="00035A9A"/>
    <w:rsid w:val="00035DEC"/>
    <w:rsid w:val="00037A6F"/>
    <w:rsid w:val="00037EB9"/>
    <w:rsid w:val="00040E4C"/>
    <w:rsid w:val="000415F7"/>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066"/>
    <w:rsid w:val="000A4529"/>
    <w:rsid w:val="000A62B4"/>
    <w:rsid w:val="000A62D6"/>
    <w:rsid w:val="000A6F14"/>
    <w:rsid w:val="000B0311"/>
    <w:rsid w:val="000B364C"/>
    <w:rsid w:val="000B3C8A"/>
    <w:rsid w:val="000C0472"/>
    <w:rsid w:val="000C1215"/>
    <w:rsid w:val="000C1A94"/>
    <w:rsid w:val="000C52E2"/>
    <w:rsid w:val="000D122C"/>
    <w:rsid w:val="000D355E"/>
    <w:rsid w:val="000D3C77"/>
    <w:rsid w:val="000D4350"/>
    <w:rsid w:val="000D5ADE"/>
    <w:rsid w:val="000D68C5"/>
    <w:rsid w:val="000E1819"/>
    <w:rsid w:val="000E1A1B"/>
    <w:rsid w:val="000E2946"/>
    <w:rsid w:val="000E4F81"/>
    <w:rsid w:val="000E54D6"/>
    <w:rsid w:val="000E55C7"/>
    <w:rsid w:val="000E5B55"/>
    <w:rsid w:val="000E6732"/>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1249"/>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B6D96"/>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5D7"/>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2F9F"/>
    <w:rsid w:val="00263AC0"/>
    <w:rsid w:val="002649D2"/>
    <w:rsid w:val="002649D8"/>
    <w:rsid w:val="00265486"/>
    <w:rsid w:val="0026772D"/>
    <w:rsid w:val="00270A51"/>
    <w:rsid w:val="00270AF4"/>
    <w:rsid w:val="0027318A"/>
    <w:rsid w:val="00275002"/>
    <w:rsid w:val="00275927"/>
    <w:rsid w:val="002762EA"/>
    <w:rsid w:val="00276A9F"/>
    <w:rsid w:val="00277570"/>
    <w:rsid w:val="00280CAF"/>
    <w:rsid w:val="00281702"/>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E6AEA"/>
    <w:rsid w:val="002F02A4"/>
    <w:rsid w:val="002F22FD"/>
    <w:rsid w:val="002F2481"/>
    <w:rsid w:val="002F39B8"/>
    <w:rsid w:val="002F3D02"/>
    <w:rsid w:val="002F4F34"/>
    <w:rsid w:val="002F537E"/>
    <w:rsid w:val="002F7986"/>
    <w:rsid w:val="00300C0B"/>
    <w:rsid w:val="00302D83"/>
    <w:rsid w:val="00303DCF"/>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715C8"/>
    <w:rsid w:val="00371F3A"/>
    <w:rsid w:val="003749F7"/>
    <w:rsid w:val="00375E24"/>
    <w:rsid w:val="00376373"/>
    <w:rsid w:val="00383C6B"/>
    <w:rsid w:val="003846F1"/>
    <w:rsid w:val="00384A55"/>
    <w:rsid w:val="00384B54"/>
    <w:rsid w:val="00386C86"/>
    <w:rsid w:val="003874F8"/>
    <w:rsid w:val="003904D2"/>
    <w:rsid w:val="00390936"/>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E7B85"/>
    <w:rsid w:val="003F004E"/>
    <w:rsid w:val="003F0289"/>
    <w:rsid w:val="003F3672"/>
    <w:rsid w:val="003F42D6"/>
    <w:rsid w:val="003F54CB"/>
    <w:rsid w:val="003F57F1"/>
    <w:rsid w:val="003F5F74"/>
    <w:rsid w:val="003F66C5"/>
    <w:rsid w:val="003F7131"/>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1779F"/>
    <w:rsid w:val="00421154"/>
    <w:rsid w:val="0042429B"/>
    <w:rsid w:val="00424809"/>
    <w:rsid w:val="004253D6"/>
    <w:rsid w:val="004303EE"/>
    <w:rsid w:val="00436F76"/>
    <w:rsid w:val="00440D85"/>
    <w:rsid w:val="00441A99"/>
    <w:rsid w:val="00442767"/>
    <w:rsid w:val="00442FF1"/>
    <w:rsid w:val="00444A48"/>
    <w:rsid w:val="00450611"/>
    <w:rsid w:val="004507A1"/>
    <w:rsid w:val="0045129B"/>
    <w:rsid w:val="004518EA"/>
    <w:rsid w:val="00453327"/>
    <w:rsid w:val="004541EC"/>
    <w:rsid w:val="00456C20"/>
    <w:rsid w:val="00462CFF"/>
    <w:rsid w:val="00465210"/>
    <w:rsid w:val="00470AF4"/>
    <w:rsid w:val="00470EE9"/>
    <w:rsid w:val="0047130B"/>
    <w:rsid w:val="00471992"/>
    <w:rsid w:val="00471E68"/>
    <w:rsid w:val="0047346C"/>
    <w:rsid w:val="00475F8E"/>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684"/>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0C01"/>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452A"/>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96DE3"/>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13E"/>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0C69"/>
    <w:rsid w:val="006411E6"/>
    <w:rsid w:val="00642C3E"/>
    <w:rsid w:val="00644F6E"/>
    <w:rsid w:val="006471D4"/>
    <w:rsid w:val="00647804"/>
    <w:rsid w:val="0065049E"/>
    <w:rsid w:val="00651005"/>
    <w:rsid w:val="0065226B"/>
    <w:rsid w:val="00653BAF"/>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666D8"/>
    <w:rsid w:val="0067180B"/>
    <w:rsid w:val="00673D15"/>
    <w:rsid w:val="006741D4"/>
    <w:rsid w:val="00674600"/>
    <w:rsid w:val="00675E21"/>
    <w:rsid w:val="00676679"/>
    <w:rsid w:val="00677233"/>
    <w:rsid w:val="006777D7"/>
    <w:rsid w:val="00682C3F"/>
    <w:rsid w:val="00686411"/>
    <w:rsid w:val="00687AA8"/>
    <w:rsid w:val="0069099B"/>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60B4D"/>
    <w:rsid w:val="00760FD8"/>
    <w:rsid w:val="007618A3"/>
    <w:rsid w:val="00761E85"/>
    <w:rsid w:val="00762D41"/>
    <w:rsid w:val="00763E5D"/>
    <w:rsid w:val="00764C7F"/>
    <w:rsid w:val="00764D73"/>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557"/>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50F"/>
    <w:rsid w:val="00873B1F"/>
    <w:rsid w:val="0087479D"/>
    <w:rsid w:val="008837AC"/>
    <w:rsid w:val="008841D4"/>
    <w:rsid w:val="00884D30"/>
    <w:rsid w:val="0088604D"/>
    <w:rsid w:val="00886662"/>
    <w:rsid w:val="00886BAB"/>
    <w:rsid w:val="00886CEC"/>
    <w:rsid w:val="00886FA8"/>
    <w:rsid w:val="00887EBF"/>
    <w:rsid w:val="00887FB8"/>
    <w:rsid w:val="008909FD"/>
    <w:rsid w:val="008934F4"/>
    <w:rsid w:val="00895878"/>
    <w:rsid w:val="00896C79"/>
    <w:rsid w:val="008979BF"/>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341C"/>
    <w:rsid w:val="008C4E0D"/>
    <w:rsid w:val="008C50F7"/>
    <w:rsid w:val="008C50FB"/>
    <w:rsid w:val="008C5486"/>
    <w:rsid w:val="008C6384"/>
    <w:rsid w:val="008C6B16"/>
    <w:rsid w:val="008D21CB"/>
    <w:rsid w:val="008D2CEE"/>
    <w:rsid w:val="008D4820"/>
    <w:rsid w:val="008D4E23"/>
    <w:rsid w:val="008D6AC3"/>
    <w:rsid w:val="008D7D74"/>
    <w:rsid w:val="008D7D94"/>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41C"/>
    <w:rsid w:val="0092084D"/>
    <w:rsid w:val="00921066"/>
    <w:rsid w:val="00921957"/>
    <w:rsid w:val="00922ACF"/>
    <w:rsid w:val="009233EE"/>
    <w:rsid w:val="00923610"/>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4C4"/>
    <w:rsid w:val="00972A40"/>
    <w:rsid w:val="00974CDB"/>
    <w:rsid w:val="009777E3"/>
    <w:rsid w:val="00981578"/>
    <w:rsid w:val="00981E7F"/>
    <w:rsid w:val="00982FEB"/>
    <w:rsid w:val="009837D1"/>
    <w:rsid w:val="00983EEC"/>
    <w:rsid w:val="009856B7"/>
    <w:rsid w:val="00985A66"/>
    <w:rsid w:val="0098646A"/>
    <w:rsid w:val="009904FF"/>
    <w:rsid w:val="009920D2"/>
    <w:rsid w:val="009928BC"/>
    <w:rsid w:val="009937B4"/>
    <w:rsid w:val="0099572C"/>
    <w:rsid w:val="009A090B"/>
    <w:rsid w:val="009A0A73"/>
    <w:rsid w:val="009A0EDF"/>
    <w:rsid w:val="009A14D0"/>
    <w:rsid w:val="009A3D22"/>
    <w:rsid w:val="009A4B08"/>
    <w:rsid w:val="009A4B69"/>
    <w:rsid w:val="009A574C"/>
    <w:rsid w:val="009A6D69"/>
    <w:rsid w:val="009B0884"/>
    <w:rsid w:val="009B1174"/>
    <w:rsid w:val="009B21F2"/>
    <w:rsid w:val="009B4E65"/>
    <w:rsid w:val="009B533B"/>
    <w:rsid w:val="009B5478"/>
    <w:rsid w:val="009B5D28"/>
    <w:rsid w:val="009B5EE1"/>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156"/>
    <w:rsid w:val="009F1D03"/>
    <w:rsid w:val="009F1E42"/>
    <w:rsid w:val="009F2CAC"/>
    <w:rsid w:val="009F4806"/>
    <w:rsid w:val="009F4940"/>
    <w:rsid w:val="00A036D8"/>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2667"/>
    <w:rsid w:val="00A75AAA"/>
    <w:rsid w:val="00A81710"/>
    <w:rsid w:val="00A81EF8"/>
    <w:rsid w:val="00A8219E"/>
    <w:rsid w:val="00A84149"/>
    <w:rsid w:val="00A84C0E"/>
    <w:rsid w:val="00A84E2D"/>
    <w:rsid w:val="00A84F46"/>
    <w:rsid w:val="00A871F4"/>
    <w:rsid w:val="00A87F90"/>
    <w:rsid w:val="00A912B1"/>
    <w:rsid w:val="00A91A4B"/>
    <w:rsid w:val="00A923DD"/>
    <w:rsid w:val="00A9455D"/>
    <w:rsid w:val="00A94D89"/>
    <w:rsid w:val="00A956AD"/>
    <w:rsid w:val="00A96CE0"/>
    <w:rsid w:val="00A971A0"/>
    <w:rsid w:val="00A971C4"/>
    <w:rsid w:val="00AA0CEB"/>
    <w:rsid w:val="00AA12D3"/>
    <w:rsid w:val="00AA39C0"/>
    <w:rsid w:val="00AA3A2C"/>
    <w:rsid w:val="00AA476F"/>
    <w:rsid w:val="00AA649A"/>
    <w:rsid w:val="00AA73F0"/>
    <w:rsid w:val="00AB0F52"/>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164D"/>
    <w:rsid w:val="00AF3A41"/>
    <w:rsid w:val="00AF46F3"/>
    <w:rsid w:val="00AF66A7"/>
    <w:rsid w:val="00AF7058"/>
    <w:rsid w:val="00AF7C0E"/>
    <w:rsid w:val="00B01BD3"/>
    <w:rsid w:val="00B02ED5"/>
    <w:rsid w:val="00B03817"/>
    <w:rsid w:val="00B050A6"/>
    <w:rsid w:val="00B0548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0FE4"/>
    <w:rsid w:val="00B4128D"/>
    <w:rsid w:val="00B41686"/>
    <w:rsid w:val="00B44E99"/>
    <w:rsid w:val="00B474EE"/>
    <w:rsid w:val="00B52EC8"/>
    <w:rsid w:val="00B55C24"/>
    <w:rsid w:val="00B56CF6"/>
    <w:rsid w:val="00B56E03"/>
    <w:rsid w:val="00B6278D"/>
    <w:rsid w:val="00B62BB5"/>
    <w:rsid w:val="00B63E2C"/>
    <w:rsid w:val="00B64331"/>
    <w:rsid w:val="00B64DF7"/>
    <w:rsid w:val="00B652AF"/>
    <w:rsid w:val="00B65CAC"/>
    <w:rsid w:val="00B66E74"/>
    <w:rsid w:val="00B673A4"/>
    <w:rsid w:val="00B70A7F"/>
    <w:rsid w:val="00B70CA5"/>
    <w:rsid w:val="00B7397E"/>
    <w:rsid w:val="00B73C3A"/>
    <w:rsid w:val="00B752C5"/>
    <w:rsid w:val="00B801F2"/>
    <w:rsid w:val="00B8080B"/>
    <w:rsid w:val="00B82845"/>
    <w:rsid w:val="00B85D8A"/>
    <w:rsid w:val="00B87C39"/>
    <w:rsid w:val="00B87DD6"/>
    <w:rsid w:val="00B904FF"/>
    <w:rsid w:val="00B91BE8"/>
    <w:rsid w:val="00B9281D"/>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2DFD"/>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5FF2"/>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370D1"/>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5F3"/>
    <w:rsid w:val="00C5766F"/>
    <w:rsid w:val="00C601EF"/>
    <w:rsid w:val="00C60452"/>
    <w:rsid w:val="00C6191E"/>
    <w:rsid w:val="00C62797"/>
    <w:rsid w:val="00C6290C"/>
    <w:rsid w:val="00C63A42"/>
    <w:rsid w:val="00C65B88"/>
    <w:rsid w:val="00C672E0"/>
    <w:rsid w:val="00C70205"/>
    <w:rsid w:val="00C729B4"/>
    <w:rsid w:val="00C73A47"/>
    <w:rsid w:val="00C73C83"/>
    <w:rsid w:val="00C7469E"/>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543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406A"/>
    <w:rsid w:val="00D1516F"/>
    <w:rsid w:val="00D1614C"/>
    <w:rsid w:val="00D16710"/>
    <w:rsid w:val="00D22BD4"/>
    <w:rsid w:val="00D22E23"/>
    <w:rsid w:val="00D2306D"/>
    <w:rsid w:val="00D250AC"/>
    <w:rsid w:val="00D270E1"/>
    <w:rsid w:val="00D323D0"/>
    <w:rsid w:val="00D32684"/>
    <w:rsid w:val="00D32767"/>
    <w:rsid w:val="00D33489"/>
    <w:rsid w:val="00D352AB"/>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37DA"/>
    <w:rsid w:val="00D64DEA"/>
    <w:rsid w:val="00D65E49"/>
    <w:rsid w:val="00D67D07"/>
    <w:rsid w:val="00D70F71"/>
    <w:rsid w:val="00D71771"/>
    <w:rsid w:val="00D71E8E"/>
    <w:rsid w:val="00D725C2"/>
    <w:rsid w:val="00D73D17"/>
    <w:rsid w:val="00D74261"/>
    <w:rsid w:val="00D74971"/>
    <w:rsid w:val="00D770AA"/>
    <w:rsid w:val="00D80893"/>
    <w:rsid w:val="00D839A7"/>
    <w:rsid w:val="00D852C1"/>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5D65"/>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97E"/>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3530"/>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A6F25"/>
    <w:rsid w:val="00EA77C5"/>
    <w:rsid w:val="00EB049F"/>
    <w:rsid w:val="00EB100D"/>
    <w:rsid w:val="00EB456D"/>
    <w:rsid w:val="00EB540F"/>
    <w:rsid w:val="00EB57B3"/>
    <w:rsid w:val="00EB7D7F"/>
    <w:rsid w:val="00EB7FF2"/>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08EF"/>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4B3"/>
    <w:rsid w:val="00F72F41"/>
    <w:rsid w:val="00F74CBC"/>
    <w:rsid w:val="00F75A26"/>
    <w:rsid w:val="00F766B3"/>
    <w:rsid w:val="00F77D49"/>
    <w:rsid w:val="00F8021A"/>
    <w:rsid w:val="00F805F3"/>
    <w:rsid w:val="00F83FAD"/>
    <w:rsid w:val="00F878A4"/>
    <w:rsid w:val="00F87EBA"/>
    <w:rsid w:val="00F90A80"/>
    <w:rsid w:val="00F91BC0"/>
    <w:rsid w:val="00F9300C"/>
    <w:rsid w:val="00F93027"/>
    <w:rsid w:val="00F946BA"/>
    <w:rsid w:val="00F94788"/>
    <w:rsid w:val="00F952A0"/>
    <w:rsid w:val="00F9568E"/>
    <w:rsid w:val="00F965FC"/>
    <w:rsid w:val="00F978C8"/>
    <w:rsid w:val="00FA25D4"/>
    <w:rsid w:val="00FA3830"/>
    <w:rsid w:val="00FA3C7F"/>
    <w:rsid w:val="00FA5B9C"/>
    <w:rsid w:val="00FA7736"/>
    <w:rsid w:val="00FA7920"/>
    <w:rsid w:val="00FB153F"/>
    <w:rsid w:val="00FB265D"/>
    <w:rsid w:val="00FB2690"/>
    <w:rsid w:val="00FB4068"/>
    <w:rsid w:val="00FB411D"/>
    <w:rsid w:val="00FB41E6"/>
    <w:rsid w:val="00FB45CF"/>
    <w:rsid w:val="00FB6C59"/>
    <w:rsid w:val="00FB74E2"/>
    <w:rsid w:val="00FC0060"/>
    <w:rsid w:val="00FC1010"/>
    <w:rsid w:val="00FC447B"/>
    <w:rsid w:val="00FC4CF7"/>
    <w:rsid w:val="00FC52AC"/>
    <w:rsid w:val="00FC54E6"/>
    <w:rsid w:val="00FC5C9D"/>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Ind w:w="0" w:type="dxa"/>
      <w:tblBorders>
        <w:top w:val="single" w:sz="8" w:space="0" w:color="51626F" w:themeColor="accent1"/>
        <w:bottom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Ind w:w="0" w:type="dxa"/>
      <w:tblBorders>
        <w:top w:val="single" w:sz="8" w:space="0" w:color="0098C3" w:themeColor="accent3"/>
        <w:bottom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Ind w:w="0" w:type="dxa"/>
      <w:tblBorders>
        <w:top w:val="single" w:sz="8" w:space="0" w:color="B71202" w:themeColor="accent5"/>
        <w:bottom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Ind w:w="0" w:type="dxa"/>
      <w:tblBorders>
        <w:top w:val="single" w:sz="8" w:space="0" w:color="A0CFEB" w:themeColor="accent4"/>
        <w:bottom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Ind w:w="0" w:type="dxa"/>
      <w:tblBorders>
        <w:top w:val="single" w:sz="8" w:space="0" w:color="DC5034" w:themeColor="accent6"/>
        <w:bottom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Ind w:w="0" w:type="dxa"/>
      <w:tblBorders>
        <w:top w:val="single" w:sz="4" w:space="0" w:color="D5D6D2" w:themeColor="background2"/>
        <w:bottom w:val="single" w:sz="4" w:space="0" w:color="D5D6D2" w:themeColor="background2"/>
        <w:insideH w:val="single" w:sz="4" w:space="0" w:color="D5D6D2"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D5D6D2"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Ind w:w="0" w:type="dxa"/>
      <w:tblCellMar>
        <w:top w:w="0" w:type="dxa"/>
        <w:left w:w="108" w:type="dxa"/>
        <w:bottom w:w="0" w:type="dxa"/>
        <w:right w:w="108" w:type="dxa"/>
      </w:tblCellMa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Ind w:w="0" w:type="dxa"/>
      <w:tblBorders>
        <w:top w:val="single" w:sz="8" w:space="0" w:color="51626F" w:themeColor="accent1"/>
        <w:bottom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Ind w:w="0" w:type="dxa"/>
      <w:tblBorders>
        <w:top w:val="single" w:sz="8" w:space="0" w:color="0098C3" w:themeColor="accent3"/>
        <w:bottom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Ind w:w="0" w:type="dxa"/>
      <w:tblBorders>
        <w:top w:val="single" w:sz="8" w:space="0" w:color="B71202" w:themeColor="accent5"/>
        <w:bottom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Ind w:w="0" w:type="dxa"/>
      <w:tblBorders>
        <w:top w:val="single" w:sz="8" w:space="0" w:color="A0CFEB" w:themeColor="accent4"/>
        <w:bottom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Ind w:w="0" w:type="dxa"/>
      <w:tblBorders>
        <w:top w:val="single" w:sz="8" w:space="0" w:color="DC5034" w:themeColor="accent6"/>
        <w:bottom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Ind w:w="0" w:type="dxa"/>
      <w:tblBorders>
        <w:top w:val="single" w:sz="4" w:space="0" w:color="D5D6D2" w:themeColor="background2"/>
        <w:bottom w:val="single" w:sz="4" w:space="0" w:color="D5D6D2" w:themeColor="background2"/>
        <w:insideH w:val="single" w:sz="4" w:space="0" w:color="D5D6D2"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D5D6D2"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Ind w:w="0" w:type="dxa"/>
      <w:tblCellMar>
        <w:top w:w="0" w:type="dxa"/>
        <w:left w:w="108" w:type="dxa"/>
        <w:bottom w:w="0" w:type="dxa"/>
        <w:right w:w="108" w:type="dxa"/>
      </w:tblCellMa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32412260">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image" Target="media/image10.emf"/><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hyperlink" Target="http://www.aer.gov.au/node/451" TargetMode="Externa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aer.gov.au/system/files/User%20guide%20to%20the%20AER%20gas%20weekly%20report%20-%20April%202017_0.pdf" TargetMode="External"/><Relationship Id="rId2" Type="http://schemas.openxmlformats.org/officeDocument/2006/relationships/hyperlink" Target="http://www.gasbb.com.au/Reports/Voluntary%20Information%20from%20LNG%20Producers%20in%20Queensland.aspx" TargetMode="External"/><Relationship Id="rId1" Type="http://schemas.openxmlformats.org/officeDocument/2006/relationships/hyperlink" Target="http://www.gasbb.com.au" TargetMode="External"/><Relationship Id="rId5" Type="http://schemas.openxmlformats.org/officeDocument/2006/relationships/hyperlink" Target="https://www.aer.gov.au/system/files/User%20guide%20to%20the%20AER%20gas%20weekly%20report%20-%20November%202016.pdf" TargetMode="External"/><Relationship Id="rId4" Type="http://schemas.openxmlformats.org/officeDocument/2006/relationships/hyperlink" Target="https://www.aer.gov.au/system/files/User%20guide%20to%20the%20AER%20gas%20weekly%20report%20-%20November%202016.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ED371B-42E2-4DF2-A21E-D0452D270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86B5A6E8.dotm</Template>
  <TotalTime>0</TotalTime>
  <Pages>12</Pages>
  <Words>1790</Words>
  <Characters>10206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2017-04-28T05:31:00Z</dcterms:created>
  <dcterms:modified xsi:type="dcterms:W3CDTF">2017-04-28T05:31:00Z</dcterms:modified>
</cp:coreProperties>
</file>