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5A35" w:rsidRDefault="008B436D" w:rsidP="00755A35">
      <w:pPr>
        <w:pStyle w:val="AERbodytext"/>
      </w:pPr>
      <w:r>
        <w:rPr>
          <w:noProof/>
          <w:lang w:eastAsia="en-AU"/>
        </w:rPr>
        <w:drawing>
          <wp:anchor distT="0" distB="0" distL="114300" distR="114300" simplePos="0" relativeHeight="251658240" behindDoc="1" locked="0" layoutInCell="1" allowOverlap="1">
            <wp:simplePos x="0" y="0"/>
            <wp:positionH relativeFrom="column">
              <wp:posOffset>-1143000</wp:posOffset>
            </wp:positionH>
            <wp:positionV relativeFrom="paragraph">
              <wp:posOffset>-1028700</wp:posOffset>
            </wp:positionV>
            <wp:extent cx="7632700" cy="10858500"/>
            <wp:effectExtent l="0" t="0" r="0" b="0"/>
            <wp:wrapNone/>
            <wp:docPr id="5" name="Picture 3" descr="AER-final-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final-orang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32700" cy="10858500"/>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en-AU"/>
        </w:rPr>
        <w:drawing>
          <wp:anchor distT="0" distB="0" distL="114300" distR="114300" simplePos="0" relativeHeight="251657216" behindDoc="1" locked="0" layoutInCell="1" allowOverlap="1">
            <wp:simplePos x="0" y="0"/>
            <wp:positionH relativeFrom="column">
              <wp:posOffset>-1143000</wp:posOffset>
            </wp:positionH>
            <wp:positionV relativeFrom="paragraph">
              <wp:posOffset>-914400</wp:posOffset>
            </wp:positionV>
            <wp:extent cx="7597140" cy="10744200"/>
            <wp:effectExtent l="0" t="0" r="0" b="0"/>
            <wp:wrapNone/>
            <wp:docPr id="4"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7140" cy="10744200"/>
                    </a:xfrm>
                    <a:prstGeom prst="rect">
                      <a:avLst/>
                    </a:prstGeom>
                    <a:noFill/>
                  </pic:spPr>
                </pic:pic>
              </a:graphicData>
            </a:graphic>
            <wp14:sizeRelH relativeFrom="page">
              <wp14:pctWidth>0</wp14:pctWidth>
            </wp14:sizeRelH>
            <wp14:sizeRelV relativeFrom="page">
              <wp14:pctHeight>0</wp14:pctHeight>
            </wp14:sizeRelV>
          </wp:anchor>
        </w:drawing>
      </w:r>
    </w:p>
    <w:p w:rsidR="00755A35" w:rsidRDefault="00755A35" w:rsidP="00755A35">
      <w:pPr>
        <w:pStyle w:val="AERdraftfinalminortitle"/>
      </w:pPr>
    </w:p>
    <w:p w:rsidR="00755A35" w:rsidRDefault="00755A35" w:rsidP="00755A35">
      <w:pPr>
        <w:pStyle w:val="Title"/>
      </w:pPr>
      <w:r>
        <w:t xml:space="preserve">Electricity network service providers </w:t>
      </w:r>
      <w:r>
        <w:br w:type="textWrapping" w:clear="all"/>
      </w:r>
      <w:r>
        <w:br w:type="textWrapping" w:clear="all"/>
        <w:t xml:space="preserve">Replacement </w:t>
      </w:r>
      <w:r w:rsidR="0039142B">
        <w:t xml:space="preserve">expenditure </w:t>
      </w:r>
      <w:r>
        <w:t>model handbook</w:t>
      </w:r>
      <w:r>
        <w:br/>
      </w:r>
      <w:r>
        <w:br/>
      </w:r>
    </w:p>
    <w:p w:rsidR="00755A35" w:rsidRDefault="00CD7C27" w:rsidP="00755A35">
      <w:pPr>
        <w:pStyle w:val="AERdraftfinalminortitle"/>
      </w:pPr>
      <w:r>
        <w:t>Novem</w:t>
      </w:r>
      <w:r w:rsidR="00EC4729">
        <w:t>ber</w:t>
      </w:r>
      <w:r w:rsidR="00755A35">
        <w:t xml:space="preserve"> 201</w:t>
      </w:r>
      <w:r w:rsidR="006B42D2">
        <w:t>3</w:t>
      </w:r>
    </w:p>
    <w:p w:rsidR="009D0F76" w:rsidRDefault="009D0F76" w:rsidP="00755A35">
      <w:pPr>
        <w:pStyle w:val="AERcopyrighttext"/>
      </w:pPr>
    </w:p>
    <w:p w:rsidR="00755A35" w:rsidRDefault="00755A35" w:rsidP="00755A35">
      <w:pPr>
        <w:pStyle w:val="AERcopyrighttext"/>
      </w:pPr>
      <w:r>
        <w:lastRenderedPageBreak/>
        <w:t xml:space="preserve">© Commonwealth of Australia 2011 </w:t>
      </w:r>
    </w:p>
    <w:p w:rsidR="00755A35" w:rsidRDefault="00755A35" w:rsidP="00755A35">
      <w:pPr>
        <w:pStyle w:val="AERcopyrighttext"/>
      </w:pPr>
      <w:r>
        <w:t xml:space="preserve">This work is copyright. Apart from any use permitted by the Copyright Act 1968, no part may be reproduced without permission of the Australian Competition and Consumer Commission. Requests and inquiries concerning reproduction and rights should be addressed to the Director Publishing, Australian Competition and Consumer Commission, GPO Box 3131, </w:t>
      </w:r>
      <w:r w:rsidR="00154ECC">
        <w:t>Canberra ACT 2601</w:t>
      </w:r>
      <w:r>
        <w:t>.</w:t>
      </w:r>
    </w:p>
    <w:p w:rsidR="009D0F76" w:rsidRDefault="00970D34" w:rsidP="00970D34">
      <w:bookmarkStart w:id="0" w:name="_Toc371935883"/>
      <w:bookmarkStart w:id="1" w:name="_Toc371936241"/>
      <w:bookmarkStart w:id="2" w:name="_Toc371936992"/>
      <w:r>
        <w:t xml:space="preserve">Inquiries </w:t>
      </w:r>
      <w:r w:rsidR="009D0F76">
        <w:t>concerning the currency of these guidelines should be addressed to:</w:t>
      </w:r>
      <w:bookmarkEnd w:id="0"/>
      <w:bookmarkEnd w:id="1"/>
      <w:bookmarkEnd w:id="2"/>
    </w:p>
    <w:p w:rsidR="00970D34" w:rsidRDefault="00970D34" w:rsidP="00970D34"/>
    <w:p w:rsidR="00970D34" w:rsidRPr="00970D34" w:rsidRDefault="009D0F76" w:rsidP="00970D34">
      <w:bookmarkStart w:id="3" w:name="_Toc368668467"/>
      <w:bookmarkStart w:id="4" w:name="_Toc368668696"/>
      <w:bookmarkStart w:id="5" w:name="_Toc371935568"/>
      <w:bookmarkStart w:id="6" w:name="_Toc371935884"/>
      <w:bookmarkStart w:id="7" w:name="_Toc371936242"/>
      <w:bookmarkStart w:id="8" w:name="_Toc371936993"/>
      <w:r w:rsidRPr="00970D34">
        <w:t>Australian Energy Regulator</w:t>
      </w:r>
      <w:bookmarkStart w:id="9" w:name="_Toc368668468"/>
      <w:bookmarkStart w:id="10" w:name="_Toc368668697"/>
      <w:bookmarkEnd w:id="3"/>
      <w:bookmarkEnd w:id="4"/>
      <w:bookmarkEnd w:id="5"/>
      <w:bookmarkEnd w:id="6"/>
      <w:bookmarkEnd w:id="7"/>
      <w:bookmarkEnd w:id="8"/>
    </w:p>
    <w:p w:rsidR="009D0F76" w:rsidRPr="00970D34" w:rsidRDefault="009D0F76" w:rsidP="00970D34">
      <w:bookmarkStart w:id="11" w:name="_Toc371935569"/>
      <w:bookmarkStart w:id="12" w:name="_Toc371935885"/>
      <w:bookmarkStart w:id="13" w:name="_Toc371936243"/>
      <w:bookmarkStart w:id="14" w:name="_Toc371936994"/>
      <w:r w:rsidRPr="00970D34">
        <w:t>GPO Box 520</w:t>
      </w:r>
      <w:bookmarkEnd w:id="9"/>
      <w:bookmarkEnd w:id="10"/>
      <w:bookmarkEnd w:id="11"/>
      <w:bookmarkEnd w:id="12"/>
      <w:bookmarkEnd w:id="13"/>
      <w:bookmarkEnd w:id="14"/>
    </w:p>
    <w:p w:rsidR="009D0F76" w:rsidRPr="00970D34" w:rsidRDefault="009D0F76" w:rsidP="00970D34">
      <w:bookmarkStart w:id="15" w:name="_Toc368668469"/>
      <w:bookmarkStart w:id="16" w:name="_Toc368668698"/>
      <w:bookmarkStart w:id="17" w:name="_Toc371935570"/>
      <w:bookmarkStart w:id="18" w:name="_Toc371935886"/>
      <w:bookmarkStart w:id="19" w:name="_Toc371936244"/>
      <w:bookmarkStart w:id="20" w:name="_Toc371936995"/>
      <w:r w:rsidRPr="00970D34">
        <w:t>Melbourne VIC 3001</w:t>
      </w:r>
      <w:bookmarkEnd w:id="15"/>
      <w:bookmarkEnd w:id="16"/>
      <w:bookmarkEnd w:id="17"/>
      <w:bookmarkEnd w:id="18"/>
      <w:bookmarkEnd w:id="19"/>
      <w:bookmarkEnd w:id="20"/>
    </w:p>
    <w:p w:rsidR="0054269D" w:rsidRPr="00970D34" w:rsidRDefault="0054269D" w:rsidP="00970D34"/>
    <w:p w:rsidR="009D0F76" w:rsidRPr="00970D34" w:rsidRDefault="00970D34" w:rsidP="00970D34">
      <w:bookmarkStart w:id="21" w:name="_Toc368668470"/>
      <w:bookmarkStart w:id="22" w:name="_Toc368668699"/>
      <w:bookmarkStart w:id="23" w:name="_Toc371935571"/>
      <w:bookmarkStart w:id="24" w:name="_Toc371935887"/>
      <w:bookmarkStart w:id="25" w:name="_Toc371936245"/>
      <w:bookmarkStart w:id="26" w:name="_Toc371936996"/>
      <w:r>
        <w:t>Ph:</w:t>
      </w:r>
      <w:r>
        <w:tab/>
      </w:r>
      <w:r w:rsidR="009D0F76" w:rsidRPr="00970D34">
        <w:t>(03) 9290 1444</w:t>
      </w:r>
      <w:bookmarkEnd w:id="21"/>
      <w:bookmarkEnd w:id="22"/>
      <w:bookmarkEnd w:id="23"/>
      <w:bookmarkEnd w:id="24"/>
      <w:bookmarkEnd w:id="25"/>
      <w:bookmarkEnd w:id="26"/>
    </w:p>
    <w:p w:rsidR="009D0F76" w:rsidRPr="00970D34" w:rsidRDefault="009D0F76" w:rsidP="00970D34">
      <w:bookmarkStart w:id="27" w:name="_Toc368668471"/>
      <w:bookmarkStart w:id="28" w:name="_Toc368668700"/>
      <w:bookmarkStart w:id="29" w:name="_Toc371935572"/>
      <w:bookmarkStart w:id="30" w:name="_Toc371935888"/>
      <w:bookmarkStart w:id="31" w:name="_Toc371936246"/>
      <w:bookmarkStart w:id="32" w:name="_Toc371936997"/>
      <w:r w:rsidRPr="00970D34">
        <w:t>Fax:</w:t>
      </w:r>
      <w:r w:rsidR="00970D34">
        <w:tab/>
      </w:r>
      <w:r w:rsidRPr="00970D34">
        <w:t>(03) 9290 1457</w:t>
      </w:r>
      <w:bookmarkEnd w:id="27"/>
      <w:bookmarkEnd w:id="28"/>
      <w:bookmarkEnd w:id="29"/>
      <w:bookmarkEnd w:id="30"/>
      <w:bookmarkEnd w:id="31"/>
      <w:bookmarkEnd w:id="32"/>
    </w:p>
    <w:p w:rsidR="00970D34" w:rsidRPr="00970D34" w:rsidRDefault="00970D34" w:rsidP="00970D34">
      <w:bookmarkStart w:id="33" w:name="_Toc368668472"/>
      <w:bookmarkStart w:id="34" w:name="_Toc368668701"/>
    </w:p>
    <w:p w:rsidR="00755A35" w:rsidRPr="00970D34" w:rsidRDefault="009D0F76" w:rsidP="00970D34">
      <w:bookmarkStart w:id="35" w:name="_Toc371935573"/>
      <w:bookmarkStart w:id="36" w:name="_Toc371935889"/>
      <w:bookmarkStart w:id="37" w:name="_Toc371936247"/>
      <w:bookmarkStart w:id="38" w:name="_Toc371936998"/>
      <w:r w:rsidRPr="00970D34">
        <w:t xml:space="preserve">Email: </w:t>
      </w:r>
      <w:hyperlink r:id="rId10" w:history="1">
        <w:r w:rsidRPr="00970D34">
          <w:t>AERInquiry@aer.gov.au</w:t>
        </w:r>
        <w:bookmarkEnd w:id="33"/>
        <w:bookmarkEnd w:id="34"/>
        <w:bookmarkEnd w:id="35"/>
        <w:bookmarkEnd w:id="36"/>
        <w:bookmarkEnd w:id="37"/>
        <w:bookmarkEnd w:id="38"/>
      </w:hyperlink>
    </w:p>
    <w:p w:rsidR="009D0F76" w:rsidRDefault="009D0F76" w:rsidP="00970D34"/>
    <w:p w:rsidR="009D0F76" w:rsidRDefault="009D0F76" w:rsidP="009D0F76">
      <w:pPr>
        <w:pStyle w:val="AERbodytext"/>
        <w:rPr>
          <w:rStyle w:val="AERbold"/>
        </w:rPr>
      </w:pPr>
      <w:r>
        <w:rPr>
          <w:rStyle w:val="AERbold"/>
        </w:rPr>
        <w:t>Amendment recor</w:t>
      </w:r>
      <w:r w:rsidRPr="009D0F76">
        <w:rPr>
          <w:rStyle w:val="AERbold"/>
        </w:rPr>
        <w:t>d</w:t>
      </w:r>
    </w:p>
    <w:tbl>
      <w:tblPr>
        <w:tblW w:w="0" w:type="auto"/>
        <w:tblBorders>
          <w:top w:val="single" w:sz="12" w:space="0" w:color="auto"/>
          <w:bottom w:val="single" w:sz="4" w:space="0" w:color="auto"/>
        </w:tblBorders>
        <w:tblLook w:val="01E0" w:firstRow="1" w:lastRow="1" w:firstColumn="1" w:lastColumn="1" w:noHBand="0" w:noVBand="0"/>
      </w:tblPr>
      <w:tblGrid>
        <w:gridCol w:w="2842"/>
        <w:gridCol w:w="2843"/>
        <w:gridCol w:w="2843"/>
      </w:tblGrid>
      <w:tr w:rsidR="009D0F76" w:rsidTr="00B766C6">
        <w:tc>
          <w:tcPr>
            <w:tcW w:w="2842"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9D0F76" w:rsidRPr="00B766C6" w:rsidRDefault="009D0F76" w:rsidP="00B766C6">
            <w:pPr>
              <w:pStyle w:val="AERtabletextheading"/>
              <w:keepNext/>
              <w:rPr>
                <w:rStyle w:val="AERbold"/>
                <w:b/>
              </w:rPr>
            </w:pPr>
            <w:r w:rsidRPr="00B766C6">
              <w:rPr>
                <w:rStyle w:val="AERbold"/>
                <w:b/>
              </w:rPr>
              <w:t>Version</w:t>
            </w:r>
          </w:p>
        </w:tc>
        <w:tc>
          <w:tcPr>
            <w:tcW w:w="2843"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9D0F76" w:rsidRPr="00B766C6" w:rsidRDefault="009D0F76" w:rsidP="00B766C6">
            <w:pPr>
              <w:pStyle w:val="AERtabletextheading"/>
              <w:keepNext/>
              <w:rPr>
                <w:rStyle w:val="AERbold"/>
                <w:b/>
              </w:rPr>
            </w:pPr>
            <w:r w:rsidRPr="00B766C6">
              <w:rPr>
                <w:rStyle w:val="AERbold"/>
                <w:b/>
              </w:rPr>
              <w:t>Date</w:t>
            </w:r>
          </w:p>
        </w:tc>
        <w:tc>
          <w:tcPr>
            <w:tcW w:w="2843"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9D0F76" w:rsidRPr="00B766C6" w:rsidRDefault="009D0F76" w:rsidP="00B766C6">
            <w:pPr>
              <w:pStyle w:val="AERtabletextheading"/>
              <w:keepNext/>
              <w:rPr>
                <w:rStyle w:val="AERbold"/>
                <w:b/>
              </w:rPr>
            </w:pPr>
            <w:r w:rsidRPr="00B766C6">
              <w:rPr>
                <w:rStyle w:val="AERbold"/>
                <w:b/>
              </w:rPr>
              <w:t>Pages</w:t>
            </w:r>
          </w:p>
        </w:tc>
      </w:tr>
      <w:tr w:rsidR="009D0F76" w:rsidRPr="00B766C6" w:rsidTr="00B766C6">
        <w:tc>
          <w:tcPr>
            <w:tcW w:w="2842" w:type="dxa"/>
            <w:shd w:val="clear" w:color="auto" w:fill="auto"/>
            <w:noWrap/>
            <w:tcMar>
              <w:top w:w="0" w:type="dxa"/>
              <w:bottom w:w="0" w:type="dxa"/>
            </w:tcMar>
          </w:tcPr>
          <w:p w:rsidR="009D0F76" w:rsidRPr="00B766C6" w:rsidRDefault="009D0F76" w:rsidP="00B766C6">
            <w:pPr>
              <w:pStyle w:val="AERtabletext"/>
              <w:keepNext/>
              <w:rPr>
                <w:rStyle w:val="AERitals"/>
                <w:i w:val="0"/>
              </w:rPr>
            </w:pPr>
            <w:r w:rsidRPr="00B766C6">
              <w:rPr>
                <w:rStyle w:val="AERitals"/>
                <w:i w:val="0"/>
              </w:rPr>
              <w:t>1</w:t>
            </w:r>
          </w:p>
        </w:tc>
        <w:tc>
          <w:tcPr>
            <w:tcW w:w="2843" w:type="dxa"/>
            <w:shd w:val="clear" w:color="auto" w:fill="auto"/>
            <w:noWrap/>
            <w:tcMar>
              <w:top w:w="0" w:type="dxa"/>
              <w:bottom w:w="0" w:type="dxa"/>
            </w:tcMar>
          </w:tcPr>
          <w:p w:rsidR="009D0F76" w:rsidRPr="00737E24" w:rsidRDefault="00EC4729" w:rsidP="00737E24">
            <w:pPr>
              <w:pStyle w:val="AERtabletext"/>
              <w:rPr>
                <w:rStyle w:val="AERbold"/>
                <w:b w:val="0"/>
              </w:rPr>
            </w:pPr>
            <w:r w:rsidRPr="00737E24">
              <w:rPr>
                <w:rStyle w:val="AERbold"/>
                <w:b w:val="0"/>
              </w:rPr>
              <w:t>12 Dec</w:t>
            </w:r>
            <w:r w:rsidR="009D0F76" w:rsidRPr="00737E24">
              <w:rPr>
                <w:rStyle w:val="AERbold"/>
                <w:b w:val="0"/>
              </w:rPr>
              <w:t>ember</w:t>
            </w:r>
            <w:r w:rsidR="00737E24" w:rsidRPr="00737E24">
              <w:rPr>
                <w:rStyle w:val="AERbold"/>
                <w:b w:val="0"/>
              </w:rPr>
              <w:t xml:space="preserve"> 2011</w:t>
            </w:r>
          </w:p>
        </w:tc>
        <w:tc>
          <w:tcPr>
            <w:tcW w:w="2843" w:type="dxa"/>
            <w:shd w:val="clear" w:color="auto" w:fill="auto"/>
            <w:noWrap/>
            <w:tcMar>
              <w:top w:w="0" w:type="dxa"/>
              <w:bottom w:w="0" w:type="dxa"/>
            </w:tcMar>
          </w:tcPr>
          <w:p w:rsidR="00737E24" w:rsidRPr="00B766C6" w:rsidRDefault="009D0F76" w:rsidP="00737E24">
            <w:pPr>
              <w:pStyle w:val="AERtabletext"/>
              <w:keepNext/>
              <w:rPr>
                <w:rStyle w:val="AERitals"/>
                <w:i w:val="0"/>
              </w:rPr>
            </w:pPr>
            <w:r w:rsidRPr="00B766C6">
              <w:rPr>
                <w:rStyle w:val="AERitals"/>
                <w:i w:val="0"/>
              </w:rPr>
              <w:t>21</w:t>
            </w:r>
          </w:p>
        </w:tc>
      </w:tr>
      <w:tr w:rsidR="00737E24" w:rsidRPr="00B766C6" w:rsidTr="00B766C6">
        <w:tc>
          <w:tcPr>
            <w:tcW w:w="2842" w:type="dxa"/>
            <w:shd w:val="clear" w:color="auto" w:fill="auto"/>
            <w:noWrap/>
            <w:tcMar>
              <w:top w:w="0" w:type="dxa"/>
              <w:bottom w:w="0" w:type="dxa"/>
            </w:tcMar>
          </w:tcPr>
          <w:p w:rsidR="00737E24" w:rsidRPr="00737E24" w:rsidRDefault="00737E24" w:rsidP="00737E24">
            <w:pPr>
              <w:pStyle w:val="AERtabletext"/>
              <w:rPr>
                <w:rStyle w:val="AERitals"/>
                <w:i w:val="0"/>
              </w:rPr>
            </w:pPr>
            <w:r w:rsidRPr="00737E24">
              <w:rPr>
                <w:rStyle w:val="AERitals"/>
                <w:i w:val="0"/>
              </w:rPr>
              <w:t>2</w:t>
            </w:r>
          </w:p>
        </w:tc>
        <w:tc>
          <w:tcPr>
            <w:tcW w:w="2843" w:type="dxa"/>
            <w:shd w:val="clear" w:color="auto" w:fill="auto"/>
            <w:noWrap/>
            <w:tcMar>
              <w:top w:w="0" w:type="dxa"/>
              <w:bottom w:w="0" w:type="dxa"/>
            </w:tcMar>
          </w:tcPr>
          <w:p w:rsidR="00737E24" w:rsidRPr="00737E24" w:rsidRDefault="003B5266" w:rsidP="003B5266">
            <w:pPr>
              <w:pStyle w:val="AERtabletext"/>
              <w:rPr>
                <w:rStyle w:val="AERbold"/>
                <w:b w:val="0"/>
              </w:rPr>
            </w:pPr>
            <w:r w:rsidRPr="003B5266">
              <w:rPr>
                <w:rStyle w:val="AERbold"/>
                <w:b w:val="0"/>
              </w:rPr>
              <w:t>26</w:t>
            </w:r>
            <w:r w:rsidR="00737E24" w:rsidRPr="00737E24">
              <w:rPr>
                <w:rStyle w:val="AERbold"/>
                <w:b w:val="0"/>
              </w:rPr>
              <w:t xml:space="preserve"> </w:t>
            </w:r>
            <w:r w:rsidR="00CD7C27" w:rsidRPr="00CD7C27">
              <w:rPr>
                <w:rStyle w:val="AERbold"/>
                <w:b w:val="0"/>
              </w:rPr>
              <w:t>Novem</w:t>
            </w:r>
            <w:r w:rsidR="00737E24" w:rsidRPr="00CD7C27">
              <w:rPr>
                <w:rStyle w:val="AERbold"/>
                <w:b w:val="0"/>
              </w:rPr>
              <w:t>ber</w:t>
            </w:r>
            <w:r w:rsidR="00737E24" w:rsidRPr="00737E24">
              <w:rPr>
                <w:rStyle w:val="AERbold"/>
                <w:b w:val="0"/>
              </w:rPr>
              <w:t xml:space="preserve"> 2013</w:t>
            </w:r>
          </w:p>
        </w:tc>
        <w:tc>
          <w:tcPr>
            <w:tcW w:w="2843" w:type="dxa"/>
            <w:shd w:val="clear" w:color="auto" w:fill="auto"/>
            <w:noWrap/>
            <w:tcMar>
              <w:top w:w="0" w:type="dxa"/>
              <w:bottom w:w="0" w:type="dxa"/>
            </w:tcMar>
          </w:tcPr>
          <w:p w:rsidR="00737E24" w:rsidRPr="00CD7C27" w:rsidRDefault="00E27427" w:rsidP="00CD7C27">
            <w:pPr>
              <w:pStyle w:val="AERtabletext"/>
              <w:rPr>
                <w:rStyle w:val="AERitals"/>
                <w:i w:val="0"/>
              </w:rPr>
            </w:pPr>
            <w:r w:rsidRPr="00CD7C27">
              <w:rPr>
                <w:rStyle w:val="AERitals"/>
                <w:i w:val="0"/>
              </w:rPr>
              <w:t>28</w:t>
            </w:r>
          </w:p>
        </w:tc>
      </w:tr>
    </w:tbl>
    <w:p w:rsidR="009D0F76" w:rsidRPr="009D0F76" w:rsidRDefault="009D0F76" w:rsidP="009D0F76">
      <w:pPr>
        <w:pStyle w:val="AERbodytext"/>
      </w:pPr>
    </w:p>
    <w:p w:rsidR="008D3662" w:rsidRPr="00CD7C27" w:rsidRDefault="00C315BA" w:rsidP="00CD7C27">
      <w:pPr>
        <w:pStyle w:val="AERunnumberedheading1"/>
      </w:pPr>
      <w:bookmarkStart w:id="39" w:name="_Toc371936999"/>
      <w:r w:rsidRPr="00CD7C27">
        <w:lastRenderedPageBreak/>
        <w:t>Contents</w:t>
      </w:r>
      <w:bookmarkEnd w:id="39"/>
    </w:p>
    <w:p w:rsidR="00DA2E0A" w:rsidRDefault="006E0DFD" w:rsidP="00DA2E0A">
      <w:pPr>
        <w:pStyle w:val="TOC1"/>
        <w:rPr>
          <w:rFonts w:asciiTheme="minorHAnsi" w:eastAsiaTheme="minorEastAsia" w:hAnsiTheme="minorHAnsi" w:cstheme="minorBidi"/>
          <w:b w:val="0"/>
          <w:noProof/>
          <w:sz w:val="22"/>
          <w:szCs w:val="22"/>
          <w:lang w:eastAsia="en-AU"/>
        </w:rPr>
      </w:pPr>
      <w:r w:rsidRPr="00CF4D5D">
        <w:fldChar w:fldCharType="begin"/>
      </w:r>
      <w:r w:rsidRPr="00CF4D5D">
        <w:instrText xml:space="preserve"> TOC \h \z \t "Heading 1,1,Heading 2,2,Heading 3,3,AER appendix heading 1,1,AER heading 1,1,AER heading 2,2,AER unnumbered heading 1,1" </w:instrText>
      </w:r>
      <w:r w:rsidRPr="00CF4D5D">
        <w:fldChar w:fldCharType="separate"/>
      </w:r>
    </w:p>
    <w:p w:rsidR="00DA2E0A" w:rsidRDefault="005A2158">
      <w:pPr>
        <w:pStyle w:val="TOC1"/>
        <w:rPr>
          <w:rFonts w:asciiTheme="minorHAnsi" w:eastAsiaTheme="minorEastAsia" w:hAnsiTheme="minorHAnsi" w:cstheme="minorBidi"/>
          <w:b w:val="0"/>
          <w:noProof/>
          <w:sz w:val="22"/>
          <w:szCs w:val="22"/>
          <w:lang w:eastAsia="en-AU"/>
        </w:rPr>
      </w:pPr>
      <w:hyperlink w:anchor="_Toc371936999" w:history="1">
        <w:r w:rsidR="00DA2E0A" w:rsidRPr="00AB64E3">
          <w:rPr>
            <w:noProof/>
          </w:rPr>
          <w:t>Contents</w:t>
        </w:r>
        <w:r w:rsidR="00DA2E0A">
          <w:rPr>
            <w:noProof/>
            <w:webHidden/>
          </w:rPr>
          <w:tab/>
        </w:r>
        <w:r w:rsidR="00DA2E0A">
          <w:rPr>
            <w:noProof/>
            <w:webHidden/>
          </w:rPr>
          <w:fldChar w:fldCharType="begin"/>
        </w:r>
        <w:r w:rsidR="00DA2E0A">
          <w:rPr>
            <w:noProof/>
            <w:webHidden/>
          </w:rPr>
          <w:instrText xml:space="preserve"> PAGEREF _Toc371936999 \h </w:instrText>
        </w:r>
        <w:r w:rsidR="00DA2E0A">
          <w:rPr>
            <w:noProof/>
            <w:webHidden/>
          </w:rPr>
        </w:r>
        <w:r w:rsidR="00DA2E0A">
          <w:rPr>
            <w:noProof/>
            <w:webHidden/>
          </w:rPr>
          <w:fldChar w:fldCharType="separate"/>
        </w:r>
        <w:r w:rsidR="00DA2E0A">
          <w:rPr>
            <w:noProof/>
            <w:webHidden/>
          </w:rPr>
          <w:t>3</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00" w:history="1">
        <w:r w:rsidR="00DA2E0A" w:rsidRPr="00AB64E3">
          <w:rPr>
            <w:noProof/>
          </w:rPr>
          <w:t>1.</w:t>
        </w:r>
        <w:r w:rsidR="00DA2E0A">
          <w:rPr>
            <w:rFonts w:asciiTheme="minorHAnsi" w:eastAsiaTheme="minorEastAsia" w:hAnsiTheme="minorHAnsi" w:cstheme="minorBidi"/>
            <w:b w:val="0"/>
            <w:noProof/>
            <w:sz w:val="22"/>
            <w:szCs w:val="22"/>
            <w:lang w:eastAsia="en-AU"/>
          </w:rPr>
          <w:tab/>
        </w:r>
        <w:r w:rsidR="00DA2E0A" w:rsidRPr="00AB64E3">
          <w:rPr>
            <w:noProof/>
          </w:rPr>
          <w:t>Introduction</w:t>
        </w:r>
        <w:r w:rsidR="00DA2E0A">
          <w:rPr>
            <w:noProof/>
            <w:webHidden/>
          </w:rPr>
          <w:tab/>
        </w:r>
        <w:r w:rsidR="00DA2E0A">
          <w:rPr>
            <w:noProof/>
            <w:webHidden/>
          </w:rPr>
          <w:fldChar w:fldCharType="begin"/>
        </w:r>
        <w:r w:rsidR="00DA2E0A">
          <w:rPr>
            <w:noProof/>
            <w:webHidden/>
          </w:rPr>
          <w:instrText xml:space="preserve"> PAGEREF _Toc371937000 \h </w:instrText>
        </w:r>
        <w:r w:rsidR="00DA2E0A">
          <w:rPr>
            <w:noProof/>
            <w:webHidden/>
          </w:rPr>
        </w:r>
        <w:r w:rsidR="00DA2E0A">
          <w:rPr>
            <w:noProof/>
            <w:webHidden/>
          </w:rPr>
          <w:fldChar w:fldCharType="separate"/>
        </w:r>
        <w:r w:rsidR="00DA2E0A">
          <w:rPr>
            <w:noProof/>
            <w:webHidden/>
          </w:rPr>
          <w:t>5</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01" w:history="1">
        <w:r w:rsidR="00DA2E0A" w:rsidRPr="00AB64E3">
          <w:rPr>
            <w:noProof/>
          </w:rPr>
          <w:t>2.</w:t>
        </w:r>
        <w:r w:rsidR="00DA2E0A">
          <w:rPr>
            <w:rFonts w:asciiTheme="minorHAnsi" w:eastAsiaTheme="minorEastAsia" w:hAnsiTheme="minorHAnsi" w:cstheme="minorBidi"/>
            <w:b w:val="0"/>
            <w:noProof/>
            <w:sz w:val="22"/>
            <w:szCs w:val="22"/>
            <w:lang w:eastAsia="en-AU"/>
          </w:rPr>
          <w:tab/>
        </w:r>
        <w:r w:rsidR="00DA2E0A" w:rsidRPr="00AB64E3">
          <w:rPr>
            <w:noProof/>
          </w:rPr>
          <w:t>The nature of capital expenditure and replacement modelling</w:t>
        </w:r>
        <w:r w:rsidR="00DA2E0A">
          <w:rPr>
            <w:noProof/>
            <w:webHidden/>
          </w:rPr>
          <w:tab/>
        </w:r>
        <w:r w:rsidR="00DA2E0A">
          <w:rPr>
            <w:noProof/>
            <w:webHidden/>
          </w:rPr>
          <w:fldChar w:fldCharType="begin"/>
        </w:r>
        <w:r w:rsidR="00DA2E0A">
          <w:rPr>
            <w:noProof/>
            <w:webHidden/>
          </w:rPr>
          <w:instrText xml:space="preserve"> PAGEREF _Toc371937001 \h </w:instrText>
        </w:r>
        <w:r w:rsidR="00DA2E0A">
          <w:rPr>
            <w:noProof/>
            <w:webHidden/>
          </w:rPr>
        </w:r>
        <w:r w:rsidR="00DA2E0A">
          <w:rPr>
            <w:noProof/>
            <w:webHidden/>
          </w:rPr>
          <w:fldChar w:fldCharType="separate"/>
        </w:r>
        <w:r w:rsidR="00DA2E0A">
          <w:rPr>
            <w:noProof/>
            <w:webHidden/>
          </w:rPr>
          <w:t>6</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02" w:history="1">
        <w:r w:rsidR="00DA2E0A" w:rsidRPr="00AB64E3">
          <w:rPr>
            <w:noProof/>
          </w:rPr>
          <w:t>3.</w:t>
        </w:r>
        <w:r w:rsidR="00DA2E0A">
          <w:rPr>
            <w:rFonts w:asciiTheme="minorHAnsi" w:eastAsiaTheme="minorEastAsia" w:hAnsiTheme="minorHAnsi" w:cstheme="minorBidi"/>
            <w:b w:val="0"/>
            <w:noProof/>
            <w:sz w:val="22"/>
            <w:szCs w:val="22"/>
            <w:lang w:eastAsia="en-AU"/>
          </w:rPr>
          <w:tab/>
        </w:r>
        <w:r w:rsidR="00DA2E0A" w:rsidRPr="00AB64E3">
          <w:rPr>
            <w:noProof/>
          </w:rPr>
          <w:t>Replacement capital expenditure modelling</w:t>
        </w:r>
        <w:r w:rsidR="00DA2E0A">
          <w:rPr>
            <w:noProof/>
            <w:webHidden/>
          </w:rPr>
          <w:tab/>
        </w:r>
        <w:r w:rsidR="00DA2E0A">
          <w:rPr>
            <w:noProof/>
            <w:webHidden/>
          </w:rPr>
          <w:fldChar w:fldCharType="begin"/>
        </w:r>
        <w:r w:rsidR="00DA2E0A">
          <w:rPr>
            <w:noProof/>
            <w:webHidden/>
          </w:rPr>
          <w:instrText xml:space="preserve"> PAGEREF _Toc371937002 \h </w:instrText>
        </w:r>
        <w:r w:rsidR="00DA2E0A">
          <w:rPr>
            <w:noProof/>
            <w:webHidden/>
          </w:rPr>
        </w:r>
        <w:r w:rsidR="00DA2E0A">
          <w:rPr>
            <w:noProof/>
            <w:webHidden/>
          </w:rPr>
          <w:fldChar w:fldCharType="separate"/>
        </w:r>
        <w:r w:rsidR="00DA2E0A">
          <w:rPr>
            <w:noProof/>
            <w:webHidden/>
          </w:rPr>
          <w:t>8</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03" w:history="1">
        <w:r w:rsidR="00DA2E0A" w:rsidRPr="00AB64E3">
          <w:rPr>
            <w:noProof/>
          </w:rPr>
          <w:t>3.1</w:t>
        </w:r>
        <w:r w:rsidR="00DA2E0A">
          <w:rPr>
            <w:rFonts w:asciiTheme="minorHAnsi" w:eastAsiaTheme="minorEastAsia" w:hAnsiTheme="minorHAnsi" w:cstheme="minorBidi"/>
            <w:noProof/>
            <w:sz w:val="22"/>
            <w:szCs w:val="22"/>
            <w:lang w:eastAsia="en-AU"/>
          </w:rPr>
          <w:tab/>
        </w:r>
        <w:r w:rsidR="00DA2E0A" w:rsidRPr="00AB64E3">
          <w:rPr>
            <w:noProof/>
          </w:rPr>
          <w:t>Predicting the replacement of assets</w:t>
        </w:r>
        <w:r w:rsidR="00DA2E0A">
          <w:rPr>
            <w:noProof/>
            <w:webHidden/>
          </w:rPr>
          <w:tab/>
        </w:r>
        <w:r w:rsidR="00DA2E0A">
          <w:rPr>
            <w:noProof/>
            <w:webHidden/>
          </w:rPr>
          <w:fldChar w:fldCharType="begin"/>
        </w:r>
        <w:r w:rsidR="00DA2E0A">
          <w:rPr>
            <w:noProof/>
            <w:webHidden/>
          </w:rPr>
          <w:instrText xml:space="preserve"> PAGEREF _Toc371937003 \h </w:instrText>
        </w:r>
        <w:r w:rsidR="00DA2E0A">
          <w:rPr>
            <w:noProof/>
            <w:webHidden/>
          </w:rPr>
        </w:r>
        <w:r w:rsidR="00DA2E0A">
          <w:rPr>
            <w:noProof/>
            <w:webHidden/>
          </w:rPr>
          <w:fldChar w:fldCharType="separate"/>
        </w:r>
        <w:r w:rsidR="00DA2E0A">
          <w:rPr>
            <w:noProof/>
            <w:webHidden/>
          </w:rPr>
          <w:t>8</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04" w:history="1">
        <w:r w:rsidR="00DA2E0A" w:rsidRPr="00AB64E3">
          <w:rPr>
            <w:noProof/>
          </w:rPr>
          <w:t>3.2</w:t>
        </w:r>
        <w:r w:rsidR="00DA2E0A">
          <w:rPr>
            <w:rFonts w:asciiTheme="minorHAnsi" w:eastAsiaTheme="minorEastAsia" w:hAnsiTheme="minorHAnsi" w:cstheme="minorBidi"/>
            <w:noProof/>
            <w:sz w:val="22"/>
            <w:szCs w:val="22"/>
            <w:lang w:eastAsia="en-AU"/>
          </w:rPr>
          <w:tab/>
        </w:r>
        <w:r w:rsidR="00DA2E0A" w:rsidRPr="00AB64E3">
          <w:rPr>
            <w:noProof/>
          </w:rPr>
          <w:t>Replacement modelling for regulatory purposes</w:t>
        </w:r>
        <w:r w:rsidR="00DA2E0A">
          <w:rPr>
            <w:noProof/>
            <w:webHidden/>
          </w:rPr>
          <w:tab/>
        </w:r>
        <w:r w:rsidR="00DA2E0A">
          <w:rPr>
            <w:noProof/>
            <w:webHidden/>
          </w:rPr>
          <w:fldChar w:fldCharType="begin"/>
        </w:r>
        <w:r w:rsidR="00DA2E0A">
          <w:rPr>
            <w:noProof/>
            <w:webHidden/>
          </w:rPr>
          <w:instrText xml:space="preserve"> PAGEREF _Toc371937004 \h </w:instrText>
        </w:r>
        <w:r w:rsidR="00DA2E0A">
          <w:rPr>
            <w:noProof/>
            <w:webHidden/>
          </w:rPr>
        </w:r>
        <w:r w:rsidR="00DA2E0A">
          <w:rPr>
            <w:noProof/>
            <w:webHidden/>
          </w:rPr>
          <w:fldChar w:fldCharType="separate"/>
        </w:r>
        <w:r w:rsidR="00DA2E0A">
          <w:rPr>
            <w:noProof/>
            <w:webHidden/>
          </w:rPr>
          <w:t>9</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05" w:history="1">
        <w:r w:rsidR="00DA2E0A" w:rsidRPr="00AB64E3">
          <w:rPr>
            <w:noProof/>
          </w:rPr>
          <w:t>4.</w:t>
        </w:r>
        <w:r w:rsidR="00DA2E0A">
          <w:rPr>
            <w:rFonts w:asciiTheme="minorHAnsi" w:eastAsiaTheme="minorEastAsia" w:hAnsiTheme="minorHAnsi" w:cstheme="minorBidi"/>
            <w:b w:val="0"/>
            <w:noProof/>
            <w:sz w:val="22"/>
            <w:szCs w:val="22"/>
            <w:lang w:eastAsia="en-AU"/>
          </w:rPr>
          <w:tab/>
        </w:r>
        <w:r w:rsidR="00DA2E0A" w:rsidRPr="00AB64E3">
          <w:rPr>
            <w:noProof/>
          </w:rPr>
          <w:t>Overview of AER repex model</w:t>
        </w:r>
        <w:r w:rsidR="00DA2E0A">
          <w:rPr>
            <w:noProof/>
            <w:webHidden/>
          </w:rPr>
          <w:tab/>
        </w:r>
        <w:r w:rsidR="00DA2E0A">
          <w:rPr>
            <w:noProof/>
            <w:webHidden/>
          </w:rPr>
          <w:fldChar w:fldCharType="begin"/>
        </w:r>
        <w:r w:rsidR="00DA2E0A">
          <w:rPr>
            <w:noProof/>
            <w:webHidden/>
          </w:rPr>
          <w:instrText xml:space="preserve"> PAGEREF _Toc371937005 \h </w:instrText>
        </w:r>
        <w:r w:rsidR="00DA2E0A">
          <w:rPr>
            <w:noProof/>
            <w:webHidden/>
          </w:rPr>
        </w:r>
        <w:r w:rsidR="00DA2E0A">
          <w:rPr>
            <w:noProof/>
            <w:webHidden/>
          </w:rPr>
          <w:fldChar w:fldCharType="separate"/>
        </w:r>
        <w:r w:rsidR="00DA2E0A">
          <w:rPr>
            <w:noProof/>
            <w:webHidden/>
          </w:rPr>
          <w:t>12</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06" w:history="1">
        <w:r w:rsidR="00DA2E0A" w:rsidRPr="00AB64E3">
          <w:rPr>
            <w:noProof/>
          </w:rPr>
          <w:t>4.1</w:t>
        </w:r>
        <w:r w:rsidR="00DA2E0A">
          <w:rPr>
            <w:rFonts w:asciiTheme="minorHAnsi" w:eastAsiaTheme="minorEastAsia" w:hAnsiTheme="minorHAnsi" w:cstheme="minorBidi"/>
            <w:noProof/>
            <w:sz w:val="22"/>
            <w:szCs w:val="22"/>
            <w:lang w:eastAsia="en-AU"/>
          </w:rPr>
          <w:tab/>
        </w:r>
        <w:r w:rsidR="00DA2E0A" w:rsidRPr="00AB64E3">
          <w:rPr>
            <w:noProof/>
          </w:rPr>
          <w:t>Asset categorisation and grouping</w:t>
        </w:r>
        <w:r w:rsidR="00DA2E0A">
          <w:rPr>
            <w:noProof/>
            <w:webHidden/>
          </w:rPr>
          <w:tab/>
        </w:r>
        <w:r w:rsidR="00DA2E0A">
          <w:rPr>
            <w:noProof/>
            <w:webHidden/>
          </w:rPr>
          <w:fldChar w:fldCharType="begin"/>
        </w:r>
        <w:r w:rsidR="00DA2E0A">
          <w:rPr>
            <w:noProof/>
            <w:webHidden/>
          </w:rPr>
          <w:instrText xml:space="preserve"> PAGEREF _Toc371937006 \h </w:instrText>
        </w:r>
        <w:r w:rsidR="00DA2E0A">
          <w:rPr>
            <w:noProof/>
            <w:webHidden/>
          </w:rPr>
        </w:r>
        <w:r w:rsidR="00DA2E0A">
          <w:rPr>
            <w:noProof/>
            <w:webHidden/>
          </w:rPr>
          <w:fldChar w:fldCharType="separate"/>
        </w:r>
        <w:r w:rsidR="00DA2E0A">
          <w:rPr>
            <w:noProof/>
            <w:webHidden/>
          </w:rPr>
          <w:t>12</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07" w:history="1">
        <w:r w:rsidR="00DA2E0A" w:rsidRPr="00AB64E3">
          <w:rPr>
            <w:noProof/>
          </w:rPr>
          <w:t>4.2</w:t>
        </w:r>
        <w:r w:rsidR="00DA2E0A">
          <w:rPr>
            <w:rFonts w:asciiTheme="minorHAnsi" w:eastAsiaTheme="minorEastAsia" w:hAnsiTheme="minorHAnsi" w:cstheme="minorBidi"/>
            <w:noProof/>
            <w:sz w:val="22"/>
            <w:szCs w:val="22"/>
            <w:lang w:eastAsia="en-AU"/>
          </w:rPr>
          <w:tab/>
        </w:r>
        <w:r w:rsidR="00DA2E0A" w:rsidRPr="00AB64E3">
          <w:rPr>
            <w:noProof/>
          </w:rPr>
          <w:t>Inputs and output</w:t>
        </w:r>
        <w:r w:rsidR="00DA2E0A">
          <w:rPr>
            <w:noProof/>
            <w:webHidden/>
          </w:rPr>
          <w:tab/>
        </w:r>
        <w:r w:rsidR="00DA2E0A">
          <w:rPr>
            <w:noProof/>
            <w:webHidden/>
          </w:rPr>
          <w:fldChar w:fldCharType="begin"/>
        </w:r>
        <w:r w:rsidR="00DA2E0A">
          <w:rPr>
            <w:noProof/>
            <w:webHidden/>
          </w:rPr>
          <w:instrText xml:space="preserve"> PAGEREF _Toc371937007 \h </w:instrText>
        </w:r>
        <w:r w:rsidR="00DA2E0A">
          <w:rPr>
            <w:noProof/>
            <w:webHidden/>
          </w:rPr>
        </w:r>
        <w:r w:rsidR="00DA2E0A">
          <w:rPr>
            <w:noProof/>
            <w:webHidden/>
          </w:rPr>
          <w:fldChar w:fldCharType="separate"/>
        </w:r>
        <w:r w:rsidR="00DA2E0A">
          <w:rPr>
            <w:noProof/>
            <w:webHidden/>
          </w:rPr>
          <w:t>13</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08" w:history="1">
        <w:r w:rsidR="00DA2E0A" w:rsidRPr="00AB64E3">
          <w:rPr>
            <w:noProof/>
          </w:rPr>
          <w:t>5.</w:t>
        </w:r>
        <w:r w:rsidR="00DA2E0A">
          <w:rPr>
            <w:rFonts w:asciiTheme="minorHAnsi" w:eastAsiaTheme="minorEastAsia" w:hAnsiTheme="minorHAnsi" w:cstheme="minorBidi"/>
            <w:b w:val="0"/>
            <w:noProof/>
            <w:sz w:val="22"/>
            <w:szCs w:val="22"/>
            <w:lang w:eastAsia="en-AU"/>
          </w:rPr>
          <w:tab/>
        </w:r>
        <w:r w:rsidR="00DA2E0A" w:rsidRPr="00AB64E3">
          <w:rPr>
            <w:noProof/>
          </w:rPr>
          <w:t>Repex modelling process overview</w:t>
        </w:r>
        <w:r w:rsidR="00DA2E0A">
          <w:rPr>
            <w:noProof/>
            <w:webHidden/>
          </w:rPr>
          <w:tab/>
        </w:r>
        <w:r w:rsidR="00DA2E0A">
          <w:rPr>
            <w:noProof/>
            <w:webHidden/>
          </w:rPr>
          <w:fldChar w:fldCharType="begin"/>
        </w:r>
        <w:r w:rsidR="00DA2E0A">
          <w:rPr>
            <w:noProof/>
            <w:webHidden/>
          </w:rPr>
          <w:instrText xml:space="preserve"> PAGEREF _Toc371937008 \h </w:instrText>
        </w:r>
        <w:r w:rsidR="00DA2E0A">
          <w:rPr>
            <w:noProof/>
            <w:webHidden/>
          </w:rPr>
        </w:r>
        <w:r w:rsidR="00DA2E0A">
          <w:rPr>
            <w:noProof/>
            <w:webHidden/>
          </w:rPr>
          <w:fldChar w:fldCharType="separate"/>
        </w:r>
        <w:r w:rsidR="00DA2E0A">
          <w:rPr>
            <w:noProof/>
            <w:webHidden/>
          </w:rPr>
          <w:t>18</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09" w:history="1">
        <w:r w:rsidR="00DA2E0A" w:rsidRPr="00AB64E3">
          <w:rPr>
            <w:noProof/>
          </w:rPr>
          <w:t>5.1</w:t>
        </w:r>
        <w:r w:rsidR="00DA2E0A">
          <w:rPr>
            <w:rFonts w:asciiTheme="minorHAnsi" w:eastAsiaTheme="minorEastAsia" w:hAnsiTheme="minorHAnsi" w:cstheme="minorBidi"/>
            <w:noProof/>
            <w:sz w:val="22"/>
            <w:szCs w:val="22"/>
            <w:lang w:eastAsia="en-AU"/>
          </w:rPr>
          <w:tab/>
        </w:r>
        <w:r w:rsidR="00DA2E0A" w:rsidRPr="00AB64E3">
          <w:rPr>
            <w:noProof/>
          </w:rPr>
          <w:t>Model population and the base case</w:t>
        </w:r>
        <w:r w:rsidR="00DA2E0A">
          <w:rPr>
            <w:noProof/>
            <w:webHidden/>
          </w:rPr>
          <w:tab/>
        </w:r>
        <w:r w:rsidR="00DA2E0A">
          <w:rPr>
            <w:noProof/>
            <w:webHidden/>
          </w:rPr>
          <w:fldChar w:fldCharType="begin"/>
        </w:r>
        <w:r w:rsidR="00DA2E0A">
          <w:rPr>
            <w:noProof/>
            <w:webHidden/>
          </w:rPr>
          <w:instrText xml:space="preserve"> PAGEREF _Toc371937009 \h </w:instrText>
        </w:r>
        <w:r w:rsidR="00DA2E0A">
          <w:rPr>
            <w:noProof/>
            <w:webHidden/>
          </w:rPr>
        </w:r>
        <w:r w:rsidR="00DA2E0A">
          <w:rPr>
            <w:noProof/>
            <w:webHidden/>
          </w:rPr>
          <w:fldChar w:fldCharType="separate"/>
        </w:r>
        <w:r w:rsidR="00DA2E0A">
          <w:rPr>
            <w:noProof/>
            <w:webHidden/>
          </w:rPr>
          <w:t>18</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10" w:history="1">
        <w:r w:rsidR="00DA2E0A" w:rsidRPr="00AB64E3">
          <w:rPr>
            <w:noProof/>
          </w:rPr>
          <w:t>5.2</w:t>
        </w:r>
        <w:r w:rsidR="00DA2E0A">
          <w:rPr>
            <w:rFonts w:asciiTheme="minorHAnsi" w:eastAsiaTheme="minorEastAsia" w:hAnsiTheme="minorHAnsi" w:cstheme="minorBidi"/>
            <w:noProof/>
            <w:sz w:val="22"/>
            <w:szCs w:val="22"/>
            <w:lang w:eastAsia="en-AU"/>
          </w:rPr>
          <w:tab/>
        </w:r>
        <w:r w:rsidR="00DA2E0A" w:rsidRPr="00AB64E3">
          <w:rPr>
            <w:noProof/>
          </w:rPr>
          <w:t>The calibrated model</w:t>
        </w:r>
        <w:r w:rsidR="00DA2E0A">
          <w:rPr>
            <w:noProof/>
            <w:webHidden/>
          </w:rPr>
          <w:tab/>
        </w:r>
        <w:r w:rsidR="00DA2E0A">
          <w:rPr>
            <w:noProof/>
            <w:webHidden/>
          </w:rPr>
          <w:fldChar w:fldCharType="begin"/>
        </w:r>
        <w:r w:rsidR="00DA2E0A">
          <w:rPr>
            <w:noProof/>
            <w:webHidden/>
          </w:rPr>
          <w:instrText xml:space="preserve"> PAGEREF _Toc371937010 \h </w:instrText>
        </w:r>
        <w:r w:rsidR="00DA2E0A">
          <w:rPr>
            <w:noProof/>
            <w:webHidden/>
          </w:rPr>
        </w:r>
        <w:r w:rsidR="00DA2E0A">
          <w:rPr>
            <w:noProof/>
            <w:webHidden/>
          </w:rPr>
          <w:fldChar w:fldCharType="separate"/>
        </w:r>
        <w:r w:rsidR="00DA2E0A">
          <w:rPr>
            <w:noProof/>
            <w:webHidden/>
          </w:rPr>
          <w:t>20</w:t>
        </w:r>
        <w:r w:rsidR="00DA2E0A">
          <w:rPr>
            <w:noProof/>
            <w:webHidden/>
          </w:rPr>
          <w:fldChar w:fldCharType="end"/>
        </w:r>
      </w:hyperlink>
    </w:p>
    <w:p w:rsidR="00DA2E0A" w:rsidRDefault="005A2158">
      <w:pPr>
        <w:pStyle w:val="TOC2"/>
        <w:rPr>
          <w:rFonts w:asciiTheme="minorHAnsi" w:eastAsiaTheme="minorEastAsia" w:hAnsiTheme="minorHAnsi" w:cstheme="minorBidi"/>
          <w:noProof/>
          <w:sz w:val="22"/>
          <w:szCs w:val="22"/>
          <w:lang w:eastAsia="en-AU"/>
        </w:rPr>
      </w:pPr>
      <w:hyperlink w:anchor="_Toc371937011" w:history="1">
        <w:r w:rsidR="00DA2E0A" w:rsidRPr="00AB64E3">
          <w:rPr>
            <w:noProof/>
          </w:rPr>
          <w:t>5.3</w:t>
        </w:r>
        <w:r w:rsidR="00DA2E0A">
          <w:rPr>
            <w:rFonts w:asciiTheme="minorHAnsi" w:eastAsiaTheme="minorEastAsia" w:hAnsiTheme="minorHAnsi" w:cstheme="minorBidi"/>
            <w:noProof/>
            <w:sz w:val="22"/>
            <w:szCs w:val="22"/>
            <w:lang w:eastAsia="en-AU"/>
          </w:rPr>
          <w:tab/>
        </w:r>
        <w:r w:rsidR="00DA2E0A" w:rsidRPr="00AB64E3">
          <w:rPr>
            <w:noProof/>
          </w:rPr>
          <w:t>Step by step replacement capex assessment procedure</w:t>
        </w:r>
        <w:r w:rsidR="00DA2E0A">
          <w:rPr>
            <w:noProof/>
            <w:webHidden/>
          </w:rPr>
          <w:tab/>
        </w:r>
        <w:r w:rsidR="00DA2E0A">
          <w:rPr>
            <w:noProof/>
            <w:webHidden/>
          </w:rPr>
          <w:fldChar w:fldCharType="begin"/>
        </w:r>
        <w:r w:rsidR="00DA2E0A">
          <w:rPr>
            <w:noProof/>
            <w:webHidden/>
          </w:rPr>
          <w:instrText xml:space="preserve"> PAGEREF _Toc371937011 \h </w:instrText>
        </w:r>
        <w:r w:rsidR="00DA2E0A">
          <w:rPr>
            <w:noProof/>
            <w:webHidden/>
          </w:rPr>
        </w:r>
        <w:r w:rsidR="00DA2E0A">
          <w:rPr>
            <w:noProof/>
            <w:webHidden/>
          </w:rPr>
          <w:fldChar w:fldCharType="separate"/>
        </w:r>
        <w:r w:rsidR="00DA2E0A">
          <w:rPr>
            <w:noProof/>
            <w:webHidden/>
          </w:rPr>
          <w:t>21</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12" w:history="1">
        <w:r w:rsidR="00DA2E0A" w:rsidRPr="00AB64E3">
          <w:rPr>
            <w:noProof/>
          </w:rPr>
          <w:t>A</w:t>
        </w:r>
        <w:r w:rsidR="00DA2E0A">
          <w:rPr>
            <w:rFonts w:asciiTheme="minorHAnsi" w:eastAsiaTheme="minorEastAsia" w:hAnsiTheme="minorHAnsi" w:cstheme="minorBidi"/>
            <w:b w:val="0"/>
            <w:noProof/>
            <w:sz w:val="22"/>
            <w:szCs w:val="22"/>
            <w:lang w:eastAsia="en-AU"/>
          </w:rPr>
          <w:tab/>
        </w:r>
        <w:r w:rsidR="00DA2E0A" w:rsidRPr="00AB64E3">
          <w:rPr>
            <w:noProof/>
          </w:rPr>
          <w:t>Repex model reference manual</w:t>
        </w:r>
        <w:r w:rsidR="00DA2E0A">
          <w:rPr>
            <w:noProof/>
            <w:webHidden/>
          </w:rPr>
          <w:tab/>
        </w:r>
        <w:r w:rsidR="00DA2E0A">
          <w:rPr>
            <w:noProof/>
            <w:webHidden/>
          </w:rPr>
          <w:fldChar w:fldCharType="begin"/>
        </w:r>
        <w:r w:rsidR="00DA2E0A">
          <w:rPr>
            <w:noProof/>
            <w:webHidden/>
          </w:rPr>
          <w:instrText xml:space="preserve"> PAGEREF _Toc371937012 \h </w:instrText>
        </w:r>
        <w:r w:rsidR="00DA2E0A">
          <w:rPr>
            <w:noProof/>
            <w:webHidden/>
          </w:rPr>
        </w:r>
        <w:r w:rsidR="00DA2E0A">
          <w:rPr>
            <w:noProof/>
            <w:webHidden/>
          </w:rPr>
          <w:fldChar w:fldCharType="separate"/>
        </w:r>
        <w:r w:rsidR="00DA2E0A">
          <w:rPr>
            <w:noProof/>
            <w:webHidden/>
          </w:rPr>
          <w:t>23</w:t>
        </w:r>
        <w:r w:rsidR="00DA2E0A">
          <w:rPr>
            <w:noProof/>
            <w:webHidden/>
          </w:rPr>
          <w:fldChar w:fldCharType="end"/>
        </w:r>
      </w:hyperlink>
    </w:p>
    <w:p w:rsidR="00DA2E0A" w:rsidRDefault="005A2158">
      <w:pPr>
        <w:pStyle w:val="TOC1"/>
        <w:rPr>
          <w:rFonts w:asciiTheme="minorHAnsi" w:eastAsiaTheme="minorEastAsia" w:hAnsiTheme="minorHAnsi" w:cstheme="minorBidi"/>
          <w:b w:val="0"/>
          <w:noProof/>
          <w:sz w:val="22"/>
          <w:szCs w:val="22"/>
          <w:lang w:eastAsia="en-AU"/>
        </w:rPr>
      </w:pPr>
      <w:hyperlink w:anchor="_Toc371937013" w:history="1">
        <w:r w:rsidR="00DA2E0A" w:rsidRPr="00AB64E3">
          <w:rPr>
            <w:rFonts w:eastAsiaTheme="minorHAnsi"/>
            <w:noProof/>
          </w:rPr>
          <w:t>B</w:t>
        </w:r>
        <w:r w:rsidR="00DA2E0A">
          <w:rPr>
            <w:rFonts w:asciiTheme="minorHAnsi" w:eastAsiaTheme="minorEastAsia" w:hAnsiTheme="minorHAnsi" w:cstheme="minorBidi"/>
            <w:b w:val="0"/>
            <w:noProof/>
            <w:sz w:val="22"/>
            <w:szCs w:val="22"/>
            <w:lang w:eastAsia="en-AU"/>
          </w:rPr>
          <w:tab/>
        </w:r>
        <w:r w:rsidR="00DA2E0A" w:rsidRPr="00AB64E3">
          <w:rPr>
            <w:rFonts w:eastAsiaTheme="minorHAnsi"/>
            <w:noProof/>
          </w:rPr>
          <w:t>Past replacement modelling exercises</w:t>
        </w:r>
        <w:r w:rsidR="00DA2E0A">
          <w:rPr>
            <w:noProof/>
            <w:webHidden/>
          </w:rPr>
          <w:tab/>
        </w:r>
        <w:r w:rsidR="00DA2E0A">
          <w:rPr>
            <w:noProof/>
            <w:webHidden/>
          </w:rPr>
          <w:fldChar w:fldCharType="begin"/>
        </w:r>
        <w:r w:rsidR="00DA2E0A">
          <w:rPr>
            <w:noProof/>
            <w:webHidden/>
          </w:rPr>
          <w:instrText xml:space="preserve"> PAGEREF _Toc371937013 \h </w:instrText>
        </w:r>
        <w:r w:rsidR="00DA2E0A">
          <w:rPr>
            <w:noProof/>
            <w:webHidden/>
          </w:rPr>
        </w:r>
        <w:r w:rsidR="00DA2E0A">
          <w:rPr>
            <w:noProof/>
            <w:webHidden/>
          </w:rPr>
          <w:fldChar w:fldCharType="separate"/>
        </w:r>
        <w:r w:rsidR="00DA2E0A">
          <w:rPr>
            <w:noProof/>
            <w:webHidden/>
          </w:rPr>
          <w:t>30</w:t>
        </w:r>
        <w:r w:rsidR="00DA2E0A">
          <w:rPr>
            <w:noProof/>
            <w:webHidden/>
          </w:rPr>
          <w:fldChar w:fldCharType="end"/>
        </w:r>
      </w:hyperlink>
    </w:p>
    <w:p w:rsidR="006E0DFD" w:rsidRDefault="006E0DFD" w:rsidP="00C315BA">
      <w:pPr>
        <w:pStyle w:val="AERbodytext"/>
      </w:pPr>
      <w:r w:rsidRPr="00CF4D5D">
        <w:fldChar w:fldCharType="end"/>
      </w:r>
    </w:p>
    <w:p w:rsidR="006C2B18" w:rsidRDefault="006C2B18"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Default="00F46A92" w:rsidP="00C315BA">
      <w:pPr>
        <w:pStyle w:val="AERbodytext"/>
      </w:pPr>
    </w:p>
    <w:p w:rsidR="00F46A92" w:rsidRPr="00222299" w:rsidRDefault="00D00508" w:rsidP="00222299">
      <w:pPr>
        <w:pStyle w:val="AERheading1"/>
      </w:pPr>
      <w:bookmarkStart w:id="40" w:name="_Toc288136154"/>
      <w:bookmarkStart w:id="41" w:name="_Toc371937000"/>
      <w:r>
        <w:lastRenderedPageBreak/>
        <w:t>1.</w:t>
      </w:r>
      <w:r>
        <w:tab/>
      </w:r>
      <w:r w:rsidR="00F46A92" w:rsidRPr="00222299">
        <w:t>Introduction</w:t>
      </w:r>
      <w:bookmarkEnd w:id="40"/>
      <w:bookmarkEnd w:id="41"/>
    </w:p>
    <w:p w:rsidR="00F46A92" w:rsidRDefault="00F46A92" w:rsidP="00F46A92">
      <w:pPr>
        <w:pStyle w:val="AERbodytext"/>
      </w:pPr>
      <w:r w:rsidRPr="00BA61AB">
        <w:t xml:space="preserve">This </w:t>
      </w:r>
      <w:r w:rsidR="00755A35">
        <w:t>handbook</w:t>
      </w:r>
      <w:r w:rsidRPr="00BA61AB">
        <w:t xml:space="preserve"> sets out the Australian Energy Regulator’s (AER) replacement model (repex model)</w:t>
      </w:r>
      <w:r>
        <w:t>. The repex model is intended for</w:t>
      </w:r>
      <w:r w:rsidRPr="00BA61AB">
        <w:t xml:space="preserve"> use as part of building block determinations for </w:t>
      </w:r>
      <w:r>
        <w:t xml:space="preserve">the regulated services provided by </w:t>
      </w:r>
      <w:r w:rsidRPr="00BA61AB">
        <w:t xml:space="preserve">electricity network service providers (NSPs). The repex model is a series of Microsoft Excel spreadsheets developed </w:t>
      </w:r>
      <w:r>
        <w:t>for the AER</w:t>
      </w:r>
      <w:r w:rsidRPr="00BA61AB">
        <w:t xml:space="preserve"> to benchmark replacement capital expenditure.</w:t>
      </w:r>
      <w:r>
        <w:t xml:space="preserve"> It was first deployed in the Victorian electricity distribution determination for the 2011-2015 regulatory control period. </w:t>
      </w:r>
    </w:p>
    <w:p w:rsidR="00F46A92" w:rsidRDefault="00F46A92" w:rsidP="00F46A92">
      <w:pPr>
        <w:pStyle w:val="AERbodytext"/>
      </w:pPr>
      <w:r>
        <w:t xml:space="preserve">The purpose of this </w:t>
      </w:r>
      <w:r w:rsidR="00755A35">
        <w:t>handbook</w:t>
      </w:r>
      <w:r>
        <w:t xml:space="preserve"> is to:</w:t>
      </w:r>
    </w:p>
    <w:p w:rsidR="00F46A92" w:rsidRDefault="00F46A92" w:rsidP="00F46A92">
      <w:pPr>
        <w:pStyle w:val="AERbulletlistfirststyle"/>
      </w:pPr>
      <w:r>
        <w:t>provide background and context for the repex model</w:t>
      </w:r>
    </w:p>
    <w:p w:rsidR="00F46A92" w:rsidRDefault="00F46A92" w:rsidP="00F46A92">
      <w:pPr>
        <w:pStyle w:val="AERbulletlistfirststyle"/>
      </w:pPr>
      <w:r>
        <w:t xml:space="preserve">explain the use of the model. </w:t>
      </w:r>
    </w:p>
    <w:p w:rsidR="00F46A92" w:rsidRDefault="00F46A92" w:rsidP="00F46A92">
      <w:pPr>
        <w:pStyle w:val="AERbodytext"/>
      </w:pPr>
      <w:r>
        <w:t xml:space="preserve">This </w:t>
      </w:r>
      <w:r w:rsidR="00755A35">
        <w:t>handbook</w:t>
      </w:r>
      <w:r>
        <w:t xml:space="preserve"> is intended for NSPs to familiarise themselves with the repex model and its principles, or be involved in the application of the repex model.</w:t>
      </w:r>
    </w:p>
    <w:p w:rsidR="00F46A92" w:rsidRDefault="00F46A92" w:rsidP="00F46A92">
      <w:pPr>
        <w:pStyle w:val="AERbodytext"/>
      </w:pPr>
      <w:r>
        <w:t xml:space="preserve">This </w:t>
      </w:r>
      <w:r w:rsidR="00755A35">
        <w:t>handbook</w:t>
      </w:r>
      <w:r>
        <w:t xml:space="preserve"> is structured as follows:</w:t>
      </w:r>
    </w:p>
    <w:p w:rsidR="00F46A92" w:rsidRDefault="00F46A92" w:rsidP="00F46A92">
      <w:pPr>
        <w:pStyle w:val="AERbulletlistfirststyle"/>
      </w:pPr>
      <w:r>
        <w:t>section 2 provides some background and context to NSP capital expenditure and replacement modelling, summarising the various expenditure categories and their drivers, and the relationship to replacement modelling within this mix</w:t>
      </w:r>
    </w:p>
    <w:p w:rsidR="00F46A92" w:rsidRDefault="00F46A92" w:rsidP="00F46A92">
      <w:pPr>
        <w:pStyle w:val="AERbulletlistfirststyle"/>
      </w:pPr>
      <w:r>
        <w:t>section 3 introduces replacement modelling, providing an overview of asset replacement and explaining how it can be modelled for regulatory purposes</w:t>
      </w:r>
    </w:p>
    <w:p w:rsidR="00F46A92" w:rsidRDefault="00F46A92" w:rsidP="00F46A92">
      <w:pPr>
        <w:pStyle w:val="AERbulletlistfirststyle"/>
      </w:pPr>
      <w:r>
        <w:t>the AER's repex model is then described in section 4, summarising its form, and its input and outputs</w:t>
      </w:r>
    </w:p>
    <w:p w:rsidR="00F46A92" w:rsidRDefault="00F46A92" w:rsidP="00F46A92">
      <w:pPr>
        <w:pStyle w:val="AERbulletlistfirststyle"/>
      </w:pPr>
      <w:r>
        <w:t>the application of the repex model is then described in section 5, covering how a model is developed and used to prepare benchmark forecasts</w:t>
      </w:r>
    </w:p>
    <w:p w:rsidR="00F46A92" w:rsidRPr="00BA61AB" w:rsidRDefault="00D00B3D" w:rsidP="00D00B3D">
      <w:pPr>
        <w:pStyle w:val="AERbulletlistfirststyle"/>
      </w:pPr>
      <w:r>
        <w:t>Appendix A details the r</w:t>
      </w:r>
      <w:r w:rsidRPr="00D00B3D">
        <w:t>epex model reference manual</w:t>
      </w:r>
      <w:r>
        <w:t>.</w:t>
      </w:r>
    </w:p>
    <w:p w:rsidR="00F46A92" w:rsidRPr="00222299" w:rsidRDefault="00D00508" w:rsidP="00222299">
      <w:pPr>
        <w:pStyle w:val="AERheading1"/>
      </w:pPr>
      <w:bookmarkStart w:id="42" w:name="_Toc288136155"/>
      <w:bookmarkStart w:id="43" w:name="_Ref309895755"/>
      <w:bookmarkStart w:id="44" w:name="_Toc371937001"/>
      <w:r>
        <w:lastRenderedPageBreak/>
        <w:t>2</w:t>
      </w:r>
      <w:r w:rsidR="00970D34">
        <w:t>.</w:t>
      </w:r>
      <w:r w:rsidR="00970D34">
        <w:tab/>
      </w:r>
      <w:r w:rsidR="00F46A92" w:rsidRPr="00222299">
        <w:t>The nature of capital expenditure</w:t>
      </w:r>
      <w:bookmarkEnd w:id="42"/>
      <w:r w:rsidR="00F46A92" w:rsidRPr="00222299">
        <w:t xml:space="preserve"> and replacement modelling</w:t>
      </w:r>
      <w:bookmarkEnd w:id="43"/>
      <w:bookmarkEnd w:id="44"/>
    </w:p>
    <w:p w:rsidR="00F46A92" w:rsidRDefault="00F46A92" w:rsidP="00F46A92">
      <w:pPr>
        <w:pStyle w:val="AERbodytext"/>
      </w:pPr>
      <w:r w:rsidRPr="00BA61AB">
        <w:t>In order to assess capital expenditure (capex) it is essential to first understand the nature of capex</w:t>
      </w:r>
      <w:r>
        <w:t>, including the activities NSPs may undertake and the drivers of these activities</w:t>
      </w:r>
      <w:r w:rsidRPr="00BA61AB">
        <w:t xml:space="preserve">. </w:t>
      </w:r>
    </w:p>
    <w:p w:rsidR="00F46A92" w:rsidRDefault="00F46A92" w:rsidP="00F46A92">
      <w:pPr>
        <w:pStyle w:val="AERbodytext"/>
      </w:pPr>
      <w:r>
        <w:t>At its most aggregate level, NSPs’ capex can be considered in two broad categories:</w:t>
      </w:r>
    </w:p>
    <w:p w:rsidR="00F46A92" w:rsidRDefault="00F46A92" w:rsidP="00F46A92">
      <w:pPr>
        <w:pStyle w:val="AERbulletlistfirststyle"/>
      </w:pPr>
      <w:r>
        <w:t>Network capex, which broadly covers investment in assets in the "field" i.e. those assets that constitute the physical network</w:t>
      </w:r>
    </w:p>
    <w:p w:rsidR="00F46A92" w:rsidRDefault="00F46A92" w:rsidP="00F46A92">
      <w:pPr>
        <w:pStyle w:val="AERbulletlistfirststyle"/>
      </w:pPr>
      <w:r>
        <w:t>Non-network capex, which broadly covers investment in assets that support those assets out in the "field", for example offices and equipment, central control facilities, plant, vehicles, and tools.</w:t>
      </w:r>
    </w:p>
    <w:p w:rsidR="00F46A92" w:rsidRDefault="00F46A92" w:rsidP="00F46A92">
      <w:pPr>
        <w:pStyle w:val="AERbodytext"/>
      </w:pPr>
      <w:r>
        <w:t>Network capex generally is the major proportion a NSP's capex.  Network capex can be further disaggregated into two categories as follows.</w:t>
      </w:r>
    </w:p>
    <w:p w:rsidR="00F46A92" w:rsidRPr="00BA61AB" w:rsidRDefault="00F46A92" w:rsidP="00F46A92">
      <w:pPr>
        <w:pStyle w:val="AERtableheading"/>
      </w:pPr>
      <w:bookmarkStart w:id="45" w:name="_Ref286064293"/>
      <w:r>
        <w:t xml:space="preserve">Network </w:t>
      </w:r>
      <w:r w:rsidRPr="00BA61AB">
        <w:t xml:space="preserve">Capex </w:t>
      </w:r>
      <w:bookmarkEnd w:id="45"/>
      <w:r>
        <w:t>Categories</w:t>
      </w:r>
    </w:p>
    <w:tbl>
      <w:tblPr>
        <w:tblW w:w="8330" w:type="dxa"/>
        <w:tblBorders>
          <w:top w:val="single" w:sz="12" w:space="0" w:color="auto"/>
          <w:bottom w:val="single" w:sz="4" w:space="0" w:color="auto"/>
        </w:tblBorders>
        <w:tblLayout w:type="fixed"/>
        <w:tblLook w:val="01E0" w:firstRow="1" w:lastRow="1" w:firstColumn="1" w:lastColumn="1" w:noHBand="0" w:noVBand="0"/>
      </w:tblPr>
      <w:tblGrid>
        <w:gridCol w:w="1242"/>
        <w:gridCol w:w="7088"/>
      </w:tblGrid>
      <w:tr w:rsidR="00F46A92" w:rsidRPr="00A370EC" w:rsidTr="00F46A92">
        <w:tc>
          <w:tcPr>
            <w:tcW w:w="1242" w:type="dxa"/>
            <w:tcBorders>
              <w:top w:val="single" w:sz="12" w:space="0" w:color="auto"/>
              <w:left w:val="nil"/>
              <w:bottom w:val="single" w:sz="4" w:space="0" w:color="auto"/>
              <w:right w:val="nil"/>
              <w:tl2br w:val="nil"/>
              <w:tr2bl w:val="nil"/>
            </w:tcBorders>
            <w:noWrap/>
            <w:tcMar>
              <w:top w:w="0" w:type="dxa"/>
              <w:bottom w:w="0" w:type="dxa"/>
            </w:tcMar>
            <w:vAlign w:val="center"/>
          </w:tcPr>
          <w:p w:rsidR="00F46A92" w:rsidRPr="00104566" w:rsidRDefault="00F46A92" w:rsidP="00104566">
            <w:pPr>
              <w:pStyle w:val="AERtabletextheading"/>
            </w:pPr>
            <w:r w:rsidRPr="00104566">
              <w:t>Capex type</w:t>
            </w:r>
          </w:p>
        </w:tc>
        <w:tc>
          <w:tcPr>
            <w:tcW w:w="7088" w:type="dxa"/>
            <w:tcBorders>
              <w:top w:val="single" w:sz="12" w:space="0" w:color="auto"/>
              <w:left w:val="nil"/>
              <w:bottom w:val="single" w:sz="4" w:space="0" w:color="auto"/>
              <w:right w:val="nil"/>
              <w:tl2br w:val="nil"/>
              <w:tr2bl w:val="nil"/>
            </w:tcBorders>
            <w:noWrap/>
            <w:tcMar>
              <w:top w:w="0" w:type="dxa"/>
              <w:bottom w:w="0" w:type="dxa"/>
            </w:tcMar>
            <w:vAlign w:val="center"/>
          </w:tcPr>
          <w:p w:rsidR="00F46A92" w:rsidRPr="00104566" w:rsidRDefault="00F46A92" w:rsidP="00104566">
            <w:pPr>
              <w:pStyle w:val="AERtabletextheading"/>
            </w:pPr>
            <w:r w:rsidRPr="00104566">
              <w:t>Comments</w:t>
            </w:r>
          </w:p>
        </w:tc>
      </w:tr>
      <w:tr w:rsidR="00F46A92" w:rsidRPr="00A370EC" w:rsidTr="00F46A92">
        <w:tc>
          <w:tcPr>
            <w:tcW w:w="1242" w:type="dxa"/>
            <w:noWrap/>
            <w:tcMar>
              <w:top w:w="0" w:type="dxa"/>
              <w:bottom w:w="0" w:type="dxa"/>
            </w:tcMar>
            <w:vAlign w:val="center"/>
          </w:tcPr>
          <w:p w:rsidR="00F46A92" w:rsidRPr="00BA61AB" w:rsidRDefault="00F46A92" w:rsidP="00F46A92">
            <w:pPr>
              <w:pStyle w:val="AERtabletext"/>
            </w:pPr>
            <w:r>
              <w:t>D</w:t>
            </w:r>
            <w:r w:rsidRPr="00BA61AB">
              <w:t>emand driven capex</w:t>
            </w:r>
          </w:p>
        </w:tc>
        <w:tc>
          <w:tcPr>
            <w:tcW w:w="7088" w:type="dxa"/>
            <w:noWrap/>
            <w:tcMar>
              <w:top w:w="0" w:type="dxa"/>
              <w:bottom w:w="0" w:type="dxa"/>
            </w:tcMar>
            <w:vAlign w:val="center"/>
          </w:tcPr>
          <w:p w:rsidR="00F46A92" w:rsidRDefault="00F46A92" w:rsidP="00F46A92">
            <w:pPr>
              <w:pStyle w:val="AERtabletext"/>
            </w:pPr>
            <w:r>
              <w:t>The need for demand-</w:t>
            </w:r>
            <w:r w:rsidRPr="00BA61AB">
              <w:t>dr</w:t>
            </w:r>
            <w:r>
              <w:t>iven-capex is due to changes in the customer</w:t>
            </w:r>
            <w:r w:rsidRPr="00BA61AB">
              <w:t xml:space="preserve"> </w:t>
            </w:r>
            <w:r>
              <w:t>demand for electricity; most notably, the connection of new customers or the increase in demand of existing customers.</w:t>
            </w:r>
          </w:p>
          <w:p w:rsidR="00F46A92" w:rsidRDefault="00F46A92" w:rsidP="00F46A92">
            <w:pPr>
              <w:pStyle w:val="AERtabletext"/>
            </w:pPr>
            <w:r>
              <w:t>The activities associated with demand-driven-capex involve increasing the capacity or capability of the network to support the change in demand.  These activities generally involve two forms: the development of new parts of a network (e.g. new feeders or substations) or the replacement of existing parts of the network with assets of a higher capacity.</w:t>
            </w:r>
          </w:p>
          <w:p w:rsidR="00F46A92" w:rsidRPr="00BA61AB" w:rsidRDefault="00F46A92" w:rsidP="00F46A92">
            <w:pPr>
              <w:pStyle w:val="AERtabletext"/>
            </w:pPr>
            <w:r>
              <w:t>The timing of the need for one of these activities is normally directly related to the demand via regulatory obligations (e.g. security of supply standards) or the predicted worsening of the current performance due to the change in demand (e.g. the expected level of electricity that will not be served to customers).</w:t>
            </w:r>
          </w:p>
        </w:tc>
      </w:tr>
      <w:tr w:rsidR="00F46A92" w:rsidRPr="00A370EC" w:rsidTr="00F46A92">
        <w:tc>
          <w:tcPr>
            <w:tcW w:w="1242" w:type="dxa"/>
            <w:noWrap/>
            <w:tcMar>
              <w:top w:w="0" w:type="dxa"/>
              <w:bottom w:w="0" w:type="dxa"/>
            </w:tcMar>
            <w:vAlign w:val="center"/>
          </w:tcPr>
          <w:p w:rsidR="00F46A92" w:rsidRPr="00BA61AB" w:rsidRDefault="00F46A92" w:rsidP="00F46A92">
            <w:pPr>
              <w:pStyle w:val="AERtabletext"/>
            </w:pPr>
            <w:r>
              <w:t>N</w:t>
            </w:r>
            <w:r w:rsidRPr="00BA61AB">
              <w:t>on demand driven capex</w:t>
            </w:r>
          </w:p>
        </w:tc>
        <w:tc>
          <w:tcPr>
            <w:tcW w:w="7088" w:type="dxa"/>
            <w:noWrap/>
            <w:tcMar>
              <w:top w:w="0" w:type="dxa"/>
              <w:bottom w:w="0" w:type="dxa"/>
            </w:tcMar>
            <w:vAlign w:val="center"/>
          </w:tcPr>
          <w:p w:rsidR="00F46A92" w:rsidRPr="003F4B29" w:rsidRDefault="00F46A92" w:rsidP="00F46A92">
            <w:pPr>
              <w:pStyle w:val="AERtabletext"/>
            </w:pPr>
            <w:r>
              <w:t>By exclusion, non-</w:t>
            </w:r>
            <w:r w:rsidRPr="003F4B29">
              <w:t xml:space="preserve">demand-driven-capex </w:t>
            </w:r>
            <w:r>
              <w:t>is due to all other matters that may require investment in the network</w:t>
            </w:r>
            <w:r w:rsidRPr="003F4B29">
              <w:t>.</w:t>
            </w:r>
            <w:r>
              <w:t xml:space="preserve">  This broadly however relates to the need to maintain service levels provided by the existing network assets within appropriate performance bounds.  </w:t>
            </w:r>
          </w:p>
          <w:p w:rsidR="00F46A92" w:rsidRPr="003F4B29" w:rsidRDefault="00F46A92" w:rsidP="00F46A92">
            <w:pPr>
              <w:pStyle w:val="AERtabletext"/>
            </w:pPr>
            <w:r>
              <w:t>T</w:t>
            </w:r>
            <w:r w:rsidRPr="003F4B29">
              <w:t xml:space="preserve">he activities associated with </w:t>
            </w:r>
            <w:r>
              <w:t>non-</w:t>
            </w:r>
            <w:r w:rsidRPr="003F4B29">
              <w:t xml:space="preserve">demand-driven-capex generally involve two forms: the replacement of existing parts of the network with </w:t>
            </w:r>
            <w:r>
              <w:t xml:space="preserve">modern equivalent </w:t>
            </w:r>
            <w:r w:rsidRPr="003F4B29">
              <w:t>assets</w:t>
            </w:r>
            <w:r>
              <w:rPr>
                <w:rStyle w:val="FootnoteReference"/>
              </w:rPr>
              <w:footnoteReference w:id="1"/>
            </w:r>
            <w:r>
              <w:t xml:space="preserve"> or the addition of new assets within the network to enhance its performance</w:t>
            </w:r>
            <w:r w:rsidRPr="003F4B29">
              <w:t>.</w:t>
            </w:r>
          </w:p>
          <w:p w:rsidR="00F46A92" w:rsidRDefault="00F46A92" w:rsidP="00F46A92">
            <w:pPr>
              <w:pStyle w:val="AERtabletext"/>
            </w:pPr>
            <w:r>
              <w:t xml:space="preserve">The </w:t>
            </w:r>
            <w:r w:rsidRPr="003F4B29">
              <w:t xml:space="preserve">timing of the need for one of these activities </w:t>
            </w:r>
            <w:r>
              <w:t>can be due to a number of factors: the maintenance and operating costs of the asset, its performance (e.g. asset reliability), the risks associated with its failure (e.g. safety, environmental, network reliability), the associated network performance (e.g. power quality), and issues associated with the management of the asset.</w:t>
            </w:r>
          </w:p>
          <w:p w:rsidR="00F46A92" w:rsidRPr="00BA61AB" w:rsidRDefault="00F46A92" w:rsidP="00F46A92">
            <w:pPr>
              <w:pStyle w:val="AERtabletext"/>
            </w:pPr>
            <w:r>
              <w:lastRenderedPageBreak/>
              <w:t xml:space="preserve">These factors often are related to the age of the asset and the management of the asset over its life cycle.  But other factors, such as specific safety, environmental or power quality regulatory obligations, can explicitly define the need to invest. </w:t>
            </w:r>
          </w:p>
        </w:tc>
      </w:tr>
    </w:tbl>
    <w:p w:rsidR="00F46A92" w:rsidRDefault="00F46A92" w:rsidP="00F46A92">
      <w:pPr>
        <w:pStyle w:val="AERbodytext"/>
      </w:pPr>
    </w:p>
    <w:p w:rsidR="00F46A92" w:rsidRDefault="00F46A92" w:rsidP="00F46A92">
      <w:pPr>
        <w:pStyle w:val="AERbodytext"/>
      </w:pPr>
      <w:r>
        <w:t xml:space="preserve">The categorisation described above can be viewed more simply in terms of the driver versus activity mapping shown in the table below.  </w:t>
      </w:r>
    </w:p>
    <w:p w:rsidR="00F46A92" w:rsidRPr="00BA61AB" w:rsidRDefault="00F46A92" w:rsidP="00F46A92">
      <w:pPr>
        <w:pStyle w:val="AERtableheading"/>
      </w:pPr>
      <w:r>
        <w:t xml:space="preserve">Network </w:t>
      </w:r>
      <w:r w:rsidRPr="00BA61AB">
        <w:t xml:space="preserve">Capex </w:t>
      </w:r>
      <w:r>
        <w:t>Categories</w:t>
      </w:r>
    </w:p>
    <w:tbl>
      <w:tblPr>
        <w:tblW w:w="0" w:type="auto"/>
        <w:tblBorders>
          <w:top w:val="single" w:sz="12" w:space="0" w:color="auto"/>
          <w:bottom w:val="single" w:sz="4" w:space="0" w:color="auto"/>
        </w:tblBorders>
        <w:tblLook w:val="0000" w:firstRow="0" w:lastRow="0" w:firstColumn="0" w:lastColumn="0" w:noHBand="0" w:noVBand="0"/>
      </w:tblPr>
      <w:tblGrid>
        <w:gridCol w:w="2842"/>
        <w:gridCol w:w="2843"/>
        <w:gridCol w:w="2843"/>
      </w:tblGrid>
      <w:tr w:rsidR="00F46A92" w:rsidRPr="009E4584" w:rsidTr="00F46A92">
        <w:tc>
          <w:tcPr>
            <w:tcW w:w="2842" w:type="dxa"/>
            <w:noWrap/>
            <w:tcMar>
              <w:top w:w="0" w:type="dxa"/>
              <w:bottom w:w="0" w:type="dxa"/>
            </w:tcMar>
            <w:vAlign w:val="center"/>
          </w:tcPr>
          <w:p w:rsidR="00F46A92" w:rsidRDefault="00F46A92" w:rsidP="00F46A92">
            <w:pPr>
              <w:pStyle w:val="AERtabletextheading"/>
            </w:pPr>
            <w:r>
              <w:t>Driver</w:t>
            </w:r>
          </w:p>
        </w:tc>
        <w:tc>
          <w:tcPr>
            <w:tcW w:w="5686" w:type="dxa"/>
            <w:gridSpan w:val="2"/>
            <w:noWrap/>
            <w:tcMar>
              <w:top w:w="0" w:type="dxa"/>
              <w:bottom w:w="0" w:type="dxa"/>
            </w:tcMar>
            <w:vAlign w:val="center"/>
          </w:tcPr>
          <w:p w:rsidR="00F46A92" w:rsidRDefault="00F46A92" w:rsidP="00F46A92">
            <w:pPr>
              <w:pStyle w:val="AERtabletextheading"/>
            </w:pPr>
            <w:r>
              <w:t>Activity</w:t>
            </w:r>
          </w:p>
        </w:tc>
      </w:tr>
      <w:tr w:rsidR="00F46A92" w:rsidTr="00F46A92">
        <w:tc>
          <w:tcPr>
            <w:tcW w:w="2842" w:type="dxa"/>
            <w:noWrap/>
            <w:tcMar>
              <w:top w:w="0" w:type="dxa"/>
              <w:bottom w:w="0" w:type="dxa"/>
            </w:tcMar>
            <w:vAlign w:val="center"/>
          </w:tcPr>
          <w:p w:rsidR="00F46A92" w:rsidRDefault="00F46A92" w:rsidP="00F46A92">
            <w:pPr>
              <w:pStyle w:val="AERtabletext"/>
            </w:pPr>
            <w:r>
              <w:t>Demand driven</w:t>
            </w:r>
          </w:p>
        </w:tc>
        <w:tc>
          <w:tcPr>
            <w:tcW w:w="2843" w:type="dxa"/>
            <w:noWrap/>
            <w:tcMar>
              <w:top w:w="0" w:type="dxa"/>
              <w:bottom w:w="0" w:type="dxa"/>
            </w:tcMar>
            <w:vAlign w:val="center"/>
          </w:tcPr>
          <w:p w:rsidR="00F46A92" w:rsidRDefault="00F46A92" w:rsidP="00F46A92">
            <w:pPr>
              <w:pStyle w:val="AERtabletext"/>
            </w:pPr>
            <w:r>
              <w:t>Replacement of assets with increased capacity (higher service level)</w:t>
            </w:r>
          </w:p>
        </w:tc>
        <w:tc>
          <w:tcPr>
            <w:tcW w:w="2843" w:type="dxa"/>
            <w:noWrap/>
            <w:tcMar>
              <w:top w:w="0" w:type="dxa"/>
              <w:bottom w:w="0" w:type="dxa"/>
            </w:tcMar>
            <w:vAlign w:val="center"/>
          </w:tcPr>
          <w:p w:rsidR="00F46A92" w:rsidRDefault="00F46A92" w:rsidP="00F46A92">
            <w:pPr>
              <w:pStyle w:val="AERtabletext"/>
            </w:pPr>
            <w:r>
              <w:t>Development of new network</w:t>
            </w:r>
          </w:p>
        </w:tc>
      </w:tr>
      <w:tr w:rsidR="00F46A92" w:rsidTr="00F46A92">
        <w:tc>
          <w:tcPr>
            <w:tcW w:w="2842" w:type="dxa"/>
            <w:noWrap/>
            <w:tcMar>
              <w:top w:w="0" w:type="dxa"/>
              <w:bottom w:w="0" w:type="dxa"/>
            </w:tcMar>
            <w:vAlign w:val="center"/>
          </w:tcPr>
          <w:p w:rsidR="00F46A92" w:rsidRDefault="00F46A92" w:rsidP="00F46A92">
            <w:pPr>
              <w:pStyle w:val="AERtabletext"/>
            </w:pPr>
            <w:r>
              <w:t>Non-demand driven</w:t>
            </w:r>
          </w:p>
        </w:tc>
        <w:tc>
          <w:tcPr>
            <w:tcW w:w="2843" w:type="dxa"/>
            <w:noWrap/>
            <w:tcMar>
              <w:top w:w="0" w:type="dxa"/>
              <w:bottom w:w="0" w:type="dxa"/>
            </w:tcMar>
            <w:vAlign w:val="center"/>
          </w:tcPr>
          <w:p w:rsidR="00F46A92" w:rsidRPr="00F46A92" w:rsidRDefault="00F46A92" w:rsidP="00F46A92">
            <w:pPr>
              <w:pStyle w:val="AERtabletext"/>
              <w:rPr>
                <w:rStyle w:val="AERbold"/>
                <w:b w:val="0"/>
              </w:rPr>
            </w:pPr>
            <w:r w:rsidRPr="00F46A92">
              <w:rPr>
                <w:rStyle w:val="AERbold"/>
                <w:b w:val="0"/>
              </w:rPr>
              <w:t>Replacement of assets with modern equivalent (similar service level)</w:t>
            </w:r>
            <w:r w:rsidRPr="00F46A92">
              <w:rPr>
                <w:rStyle w:val="AERsuperscript"/>
                <w:vertAlign w:val="baseline"/>
              </w:rPr>
              <w:t>a</w:t>
            </w:r>
          </w:p>
        </w:tc>
        <w:tc>
          <w:tcPr>
            <w:tcW w:w="2843" w:type="dxa"/>
            <w:noWrap/>
            <w:tcMar>
              <w:top w:w="0" w:type="dxa"/>
              <w:bottom w:w="0" w:type="dxa"/>
            </w:tcMar>
            <w:vAlign w:val="center"/>
          </w:tcPr>
          <w:p w:rsidR="00F46A92" w:rsidRDefault="00F46A92" w:rsidP="00F46A92">
            <w:pPr>
              <w:pStyle w:val="AERtabletext"/>
            </w:pPr>
            <w:r>
              <w:t>Installation of new assets</w:t>
            </w:r>
          </w:p>
        </w:tc>
      </w:tr>
    </w:tbl>
    <w:p w:rsidR="00F46A92" w:rsidRDefault="00F46A92" w:rsidP="00F46A92">
      <w:pPr>
        <w:pStyle w:val="AERtablesource"/>
      </w:pPr>
      <w:r w:rsidRPr="00862A49">
        <w:rPr>
          <w:rStyle w:val="AERsuperscript"/>
        </w:rPr>
        <w:t>a</w:t>
      </w:r>
      <w:r>
        <w:t xml:space="preserve"> -highlighting indicates region where replacement modelling can be applied</w:t>
      </w:r>
    </w:p>
    <w:p w:rsidR="00F46A92" w:rsidRDefault="00F46A92" w:rsidP="00F46A92">
      <w:pPr>
        <w:pStyle w:val="AERbodytext"/>
      </w:pPr>
      <w:r>
        <w:t xml:space="preserve">Under this definition, the replacement and replacement modelling discussed in this </w:t>
      </w:r>
      <w:r w:rsidR="00755A35">
        <w:t>handbook</w:t>
      </w:r>
      <w:r>
        <w:t xml:space="preserve"> specifically relates to the following:</w:t>
      </w:r>
    </w:p>
    <w:p w:rsidR="00F46A92" w:rsidRPr="00CB081D" w:rsidRDefault="00F46A92" w:rsidP="00F46A92">
      <w:pPr>
        <w:pStyle w:val="AERDecisionBox"/>
        <w:rPr>
          <w:rStyle w:val="AERbold"/>
        </w:rPr>
      </w:pPr>
      <w:r w:rsidRPr="00CB081D">
        <w:rPr>
          <w:rStyle w:val="AERbold"/>
        </w:rPr>
        <w:t xml:space="preserve">Non-demand-driven replacement of </w:t>
      </w:r>
      <w:r>
        <w:rPr>
          <w:rStyle w:val="AERbold"/>
        </w:rPr>
        <w:t xml:space="preserve">an </w:t>
      </w:r>
      <w:r w:rsidRPr="00CB081D">
        <w:rPr>
          <w:rStyle w:val="AERbold"/>
        </w:rPr>
        <w:t>asset</w:t>
      </w:r>
      <w:r>
        <w:rPr>
          <w:rStyle w:val="AERbold"/>
        </w:rPr>
        <w:t xml:space="preserve"> with its modern-equivalent,</w:t>
      </w:r>
      <w:r w:rsidRPr="00CB081D">
        <w:rPr>
          <w:rStyle w:val="AERbold"/>
        </w:rPr>
        <w:t xml:space="preserve"> where the timing of the need can be directly or implicitly linked to the age of the asset.</w:t>
      </w:r>
    </w:p>
    <w:p w:rsidR="00F46A92" w:rsidRDefault="00F46A92" w:rsidP="00F46A92">
      <w:pPr>
        <w:pStyle w:val="AERbodytext"/>
      </w:pPr>
      <w:r>
        <w:t>This cap</w:t>
      </w:r>
      <w:r w:rsidR="00755A35">
        <w:t>ex generally accounts for 30-60 per cent</w:t>
      </w:r>
      <w:r>
        <w:t xml:space="preserve"> of the network capex, and as such, its assessment for regulatory determinations can be very important.</w:t>
      </w:r>
    </w:p>
    <w:p w:rsidR="00F46A92" w:rsidRPr="0061598D" w:rsidRDefault="00F46A92" w:rsidP="00F46A92">
      <w:pPr>
        <w:pStyle w:val="AERbodytext"/>
      </w:pPr>
    </w:p>
    <w:p w:rsidR="00F46A92" w:rsidRPr="00BA61AB" w:rsidRDefault="00D00508" w:rsidP="00F46A92">
      <w:pPr>
        <w:pStyle w:val="AERheading1"/>
      </w:pPr>
      <w:bookmarkStart w:id="46" w:name="_Toc288136156"/>
      <w:bookmarkStart w:id="47" w:name="_Ref309895860"/>
      <w:bookmarkStart w:id="48" w:name="_Ref309895861"/>
      <w:bookmarkStart w:id="49" w:name="_Ref309895871"/>
      <w:bookmarkStart w:id="50" w:name="_Toc371937002"/>
      <w:r>
        <w:lastRenderedPageBreak/>
        <w:t>3</w:t>
      </w:r>
      <w:r w:rsidR="00970D34">
        <w:t>.</w:t>
      </w:r>
      <w:r w:rsidR="00970D34">
        <w:tab/>
      </w:r>
      <w:r w:rsidR="00F46A92">
        <w:t>Replacement capital expenditure modelling</w:t>
      </w:r>
      <w:bookmarkEnd w:id="46"/>
      <w:bookmarkEnd w:id="47"/>
      <w:bookmarkEnd w:id="48"/>
      <w:bookmarkEnd w:id="49"/>
      <w:bookmarkEnd w:id="50"/>
    </w:p>
    <w:p w:rsidR="00F46A92" w:rsidRDefault="00F46A92" w:rsidP="00F46A92">
      <w:pPr>
        <w:pStyle w:val="AERbodytext"/>
      </w:pPr>
      <w:r>
        <w:t xml:space="preserve">The previous section described the various categories of NSP capex, the factors driving this capex and the resulting activities that generate capex.  This categorisation was used to explain where age-based replacement modelling, of the form discussed in this </w:t>
      </w:r>
      <w:r w:rsidR="00755A35">
        <w:t>handbook</w:t>
      </w:r>
      <w:r>
        <w:t xml:space="preserve">, </w:t>
      </w:r>
      <w:r w:rsidR="00154ECC">
        <w:t>could</w:t>
      </w:r>
      <w:r>
        <w:t xml:space="preserve"> be used when making regulatory determinations.</w:t>
      </w:r>
    </w:p>
    <w:p w:rsidR="00F46A92" w:rsidRDefault="00F46A92" w:rsidP="00F46A92">
      <w:pPr>
        <w:pStyle w:val="AERbodytext"/>
      </w:pPr>
      <w:r>
        <w:t>This section explains the principles of age-based replacement modelling and explaining how it can be applied.</w:t>
      </w:r>
    </w:p>
    <w:p w:rsidR="00F46A92" w:rsidRDefault="00D00508" w:rsidP="00F46A92">
      <w:pPr>
        <w:pStyle w:val="AERheading2"/>
      </w:pPr>
      <w:bookmarkStart w:id="51" w:name="_Toc309898655"/>
      <w:bookmarkStart w:id="52" w:name="_Toc371937003"/>
      <w:r>
        <w:t>3.1</w:t>
      </w:r>
      <w:r>
        <w:tab/>
      </w:r>
      <w:r w:rsidR="00F46A92">
        <w:t>Predicting the replacement of assets</w:t>
      </w:r>
      <w:bookmarkEnd w:id="51"/>
      <w:bookmarkEnd w:id="52"/>
    </w:p>
    <w:p w:rsidR="00F46A92" w:rsidRDefault="00F46A92" w:rsidP="00F46A92">
      <w:pPr>
        <w:pStyle w:val="AERbodytext"/>
      </w:pPr>
      <w:r w:rsidRPr="00BA61AB">
        <w:t>With time, network assets age and deteriorate</w:t>
      </w:r>
      <w:r>
        <w:t>. This can affect their condition, which in turn, can impose risks associated with the assets' failure. These risks can relate to a number of matters, including:</w:t>
      </w:r>
    </w:p>
    <w:p w:rsidR="00F46A92" w:rsidRDefault="00F46A92" w:rsidP="00F46A92">
      <w:pPr>
        <w:pStyle w:val="AERbulletlistfirststyle"/>
      </w:pPr>
      <w:r>
        <w:t>Network performance (e.g. loss of supply to customers)</w:t>
      </w:r>
    </w:p>
    <w:p w:rsidR="00F46A92" w:rsidRDefault="00F46A92" w:rsidP="00F46A92">
      <w:pPr>
        <w:pStyle w:val="AERbulletlistfirststyle"/>
      </w:pPr>
      <w:r>
        <w:t>Safety (e.g. an explosive failure could harm personnel or public in the close vicinity)</w:t>
      </w:r>
    </w:p>
    <w:p w:rsidR="00F46A92" w:rsidRDefault="00F46A92" w:rsidP="00F46A92">
      <w:pPr>
        <w:pStyle w:val="AERbulletlistfirststyle"/>
      </w:pPr>
      <w:r>
        <w:t>Environmental (e.g. the failure may release substances with an environmental consequence)</w:t>
      </w:r>
    </w:p>
    <w:p w:rsidR="00F46A92" w:rsidRDefault="00F46A92" w:rsidP="00F46A92">
      <w:pPr>
        <w:pStyle w:val="AERbulletlistfirststyle"/>
      </w:pPr>
      <w:r>
        <w:t>Operational (e.g. there will be a cost associated with repairing the asset and restoring supply to customers).</w:t>
      </w:r>
    </w:p>
    <w:p w:rsidR="00F46A92" w:rsidRDefault="00F46A92" w:rsidP="00F46A92">
      <w:pPr>
        <w:pStyle w:val="AERbodytext"/>
      </w:pPr>
      <w:r>
        <w:t>Further, as some assets age, costs associated with their maintenance may increase.  In effect, maintenance costs may increase to reduce the deterioration of the asset, and in turn, manage the condition of the asset.</w:t>
      </w:r>
    </w:p>
    <w:p w:rsidR="00F46A92" w:rsidRDefault="00F46A92" w:rsidP="00F46A92">
      <w:pPr>
        <w:pStyle w:val="AERbodytext"/>
      </w:pPr>
      <w:r>
        <w:t>For many assets, following any installation wear-in issues</w:t>
      </w:r>
      <w:r>
        <w:rPr>
          <w:rStyle w:val="FootnoteReference"/>
        </w:rPr>
        <w:footnoteReference w:id="2"/>
      </w:r>
      <w:r>
        <w:t xml:space="preserve">, the risks and operational costs will be relatively constant.  However, as the assets become older they can reach an age where the risk and costs begin to increase substantially year-by-year - or in effect the probability that the asset will fail increases substantially.  As shown in </w:t>
      </w:r>
      <w:r>
        <w:fldChar w:fldCharType="begin"/>
      </w:r>
      <w:r>
        <w:instrText xml:space="preserve"> REF _Ref286064713 \r \h </w:instrText>
      </w:r>
      <w:r>
        <w:fldChar w:fldCharType="separate"/>
      </w:r>
      <w:r w:rsidR="00625828">
        <w:t>Figure 3.1</w:t>
      </w:r>
      <w:r>
        <w:fldChar w:fldCharType="end"/>
      </w:r>
      <w:r>
        <w:t>, this relationship can be viewed as a relatively constant line for the majority of an assets life, which rises more rapidly near the end of its life.  This relationship is often known as the "bathtub curve" due to its form</w:t>
      </w:r>
      <w:r>
        <w:rPr>
          <w:rStyle w:val="FootnoteReference"/>
        </w:rPr>
        <w:footnoteReference w:id="3"/>
      </w:r>
      <w:r>
        <w:t>.</w:t>
      </w:r>
    </w:p>
    <w:p w:rsidR="00E76B62" w:rsidRDefault="00E76B62" w:rsidP="00F46A92">
      <w:pPr>
        <w:pStyle w:val="AERbodytext"/>
      </w:pPr>
    </w:p>
    <w:p w:rsidR="00E76B62" w:rsidRDefault="00E76B62" w:rsidP="00F46A92">
      <w:pPr>
        <w:pStyle w:val="AERbodytext"/>
      </w:pPr>
    </w:p>
    <w:p w:rsidR="00E76B62" w:rsidRDefault="00E76B62" w:rsidP="00F46A92">
      <w:pPr>
        <w:pStyle w:val="AERbodytext"/>
      </w:pPr>
    </w:p>
    <w:p w:rsidR="00F46A92" w:rsidRPr="00BA61AB" w:rsidRDefault="00F46A92" w:rsidP="00F46A92">
      <w:pPr>
        <w:pStyle w:val="AERfigureheading"/>
      </w:pPr>
      <w:bookmarkStart w:id="53" w:name="_Ref286064713"/>
      <w:r>
        <w:lastRenderedPageBreak/>
        <w:t>Bathtub curve</w:t>
      </w:r>
      <w:bookmarkEnd w:id="53"/>
    </w:p>
    <w:p w:rsidR="00E76B62" w:rsidRDefault="00F46A92" w:rsidP="00F46A92">
      <w:pPr>
        <w:pStyle w:val="AERbodytext"/>
      </w:pPr>
      <w:r w:rsidRPr="00BA61AB">
        <w:t xml:space="preserve"> </w:t>
      </w:r>
      <w:r w:rsidR="008B436D">
        <w:rPr>
          <w:noProof/>
          <w:lang w:eastAsia="en-AU"/>
        </w:rPr>
        <w:drawing>
          <wp:inline distT="0" distB="0" distL="0" distR="0">
            <wp:extent cx="4362450" cy="21812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62450" cy="2181225"/>
                    </a:xfrm>
                    <a:prstGeom prst="rect">
                      <a:avLst/>
                    </a:prstGeom>
                    <a:noFill/>
                    <a:ln>
                      <a:noFill/>
                    </a:ln>
                  </pic:spPr>
                </pic:pic>
              </a:graphicData>
            </a:graphic>
          </wp:inline>
        </w:drawing>
      </w:r>
    </w:p>
    <w:p w:rsidR="00E76B62" w:rsidRPr="00E76B62" w:rsidRDefault="00E76B62" w:rsidP="00970D34">
      <w:pPr>
        <w:pStyle w:val="AERtabletext"/>
      </w:pPr>
      <w:r>
        <w:tab/>
      </w:r>
      <w:bookmarkStart w:id="54" w:name="_Toc309898656"/>
      <w:bookmarkStart w:id="55" w:name="_Toc368668478"/>
      <w:bookmarkStart w:id="56" w:name="_Toc368668707"/>
      <w:r w:rsidRPr="00E76B62">
        <w:t>1-5 years</w:t>
      </w:r>
      <w:r w:rsidRPr="00E76B62">
        <w:tab/>
      </w:r>
      <w:r w:rsidRPr="00E76B62">
        <w:tab/>
      </w:r>
      <w:r w:rsidRPr="00E76B62">
        <w:tab/>
      </w:r>
      <w:r w:rsidRPr="00E76B62">
        <w:tab/>
      </w:r>
      <w:r w:rsidRPr="00E76B62">
        <w:tab/>
      </w:r>
      <w:r w:rsidRPr="00E76B62">
        <w:tab/>
      </w:r>
      <w:r w:rsidRPr="00E76B62">
        <w:tab/>
      </w:r>
      <w:r w:rsidRPr="00E76B62">
        <w:tab/>
      </w:r>
      <w:r w:rsidRPr="00E76B62">
        <w:tab/>
        <w:t>50</w:t>
      </w:r>
      <w:r w:rsidR="00973D9B">
        <w:t>+</w:t>
      </w:r>
      <w:r w:rsidRPr="00E76B62">
        <w:t xml:space="preserve"> years</w:t>
      </w:r>
      <w:bookmarkEnd w:id="54"/>
      <w:bookmarkEnd w:id="55"/>
      <w:bookmarkEnd w:id="56"/>
    </w:p>
    <w:p w:rsidR="0009752B" w:rsidRDefault="00755A35" w:rsidP="0009752B">
      <w:pPr>
        <w:pStyle w:val="AERtablesource"/>
      </w:pPr>
      <w:r>
        <w:t>* Note:</w:t>
      </w:r>
      <w:r>
        <w:tab/>
        <w:t>Useful life can also be defined as the economic life</w:t>
      </w:r>
      <w:r>
        <w:rPr>
          <w:rStyle w:val="FootnoteReference"/>
        </w:rPr>
        <w:footnoteReference w:id="4"/>
      </w:r>
    </w:p>
    <w:p w:rsidR="00F46A92" w:rsidRDefault="00F46A92" w:rsidP="00F46A92">
      <w:pPr>
        <w:pStyle w:val="AERbodytext"/>
      </w:pPr>
      <w:r>
        <w:t xml:space="preserve">When trying to predict replacement needs, the replacement life of an asset is important.  Some assets will generally be operated until failure. This is known as replace-on-failure, and is often used for assets on the </w:t>
      </w:r>
      <w:r w:rsidR="0009752B">
        <w:t>high voltage and low voltage</w:t>
      </w:r>
      <w:r>
        <w:t xml:space="preserve"> networks of a distribution business, where condition assessments cannot be efficiently applied and the risks of failure are low.</w:t>
      </w:r>
      <w:r w:rsidRPr="002D14BE">
        <w:t xml:space="preserve"> </w:t>
      </w:r>
      <w:r>
        <w:t>The replacement life in these circumstances is the anticipated life up to failure. This life is sometimes called the technical life of an asset.</w:t>
      </w:r>
    </w:p>
    <w:p w:rsidR="00F46A92" w:rsidRDefault="00F46A92" w:rsidP="00F46A92">
      <w:pPr>
        <w:pStyle w:val="AERbodytext"/>
      </w:pPr>
      <w:r>
        <w:t>For other assets, particularly larger sub-transmission and transmission assets, the risks of failure can be large. Consequently, these assets will often be planned to be replaced prior to their technical life, often based upon the measured condition of the asset. The replacement life in these circumstances should be the life that minimised costs (operating plus risks). This life is often called the economic life of an asset.</w:t>
      </w:r>
    </w:p>
    <w:p w:rsidR="00F46A92" w:rsidRDefault="00F46A92" w:rsidP="00F46A92">
      <w:pPr>
        <w:pStyle w:val="AERbodytext"/>
      </w:pPr>
      <w:r>
        <w:t xml:space="preserve">Furthermore, for a population of similar assets, it would be expected that the replacement life may vary across the population. This can be due to a range of factors, such as its operational history, its environmental condition, the quality of its design and installation. This can mean that the remaining life of an asset is a function of a number of factors, most notably its condition, and therefore a population of similar assets will have a range of lives.  </w:t>
      </w:r>
    </w:p>
    <w:p w:rsidR="00F46A92" w:rsidRDefault="00F46A92" w:rsidP="00F46A92">
      <w:pPr>
        <w:pStyle w:val="AERbodytext"/>
      </w:pPr>
      <w:r>
        <w:t xml:space="preserve">Clearly, accurately predicting the replacement of individual assets is a non-trivial exercise, and requires extensive data and modelling techniques. </w:t>
      </w:r>
    </w:p>
    <w:p w:rsidR="00F46A92" w:rsidRDefault="00D00508" w:rsidP="00F46A92">
      <w:pPr>
        <w:pStyle w:val="AERheading2"/>
      </w:pPr>
      <w:bookmarkStart w:id="57" w:name="_Ref309895857"/>
      <w:bookmarkStart w:id="58" w:name="_Toc309898657"/>
      <w:bookmarkStart w:id="59" w:name="_Toc371937004"/>
      <w:r>
        <w:t>3.2</w:t>
      </w:r>
      <w:r>
        <w:tab/>
      </w:r>
      <w:r w:rsidR="00F46A92">
        <w:t>Replacement modelling for regulatory purposes</w:t>
      </w:r>
      <w:bookmarkEnd w:id="57"/>
      <w:bookmarkEnd w:id="58"/>
      <w:bookmarkEnd w:id="59"/>
    </w:p>
    <w:p w:rsidR="00F46A92" w:rsidRDefault="00F46A92" w:rsidP="00F46A92">
      <w:pPr>
        <w:pStyle w:val="AERbodytext"/>
      </w:pPr>
      <w:r>
        <w:t xml:space="preserve">Given the complexity discussed above, the aim of a regulatory model </w:t>
      </w:r>
      <w:r w:rsidR="00755A35">
        <w:t>is</w:t>
      </w:r>
      <w:r>
        <w:t xml:space="preserve"> to simplify the analysis, but still maintain some accuracy at the aggregate level. To achieve this, </w:t>
      </w:r>
      <w:r>
        <w:lastRenderedPageBreak/>
        <w:t>assets are considered as populations rather than individuals. The key parameter for predicting asset replacement needs across the population is the replacement life</w:t>
      </w:r>
      <w:r w:rsidRPr="00BA61AB">
        <w:t>.</w:t>
      </w:r>
      <w:r>
        <w:t xml:space="preserve"> This life could be the technical or economic life depending on the circumstances of the particular asset population.  </w:t>
      </w:r>
    </w:p>
    <w:p w:rsidR="00F46A92" w:rsidRDefault="00F46A92" w:rsidP="00F46A92">
      <w:pPr>
        <w:pStyle w:val="AERbodytext"/>
      </w:pPr>
      <w:r>
        <w:t>The replacement life needs to be defined in such a way that it adequately reflects the aggregate replacement needs across the population, given the age of the assets in the population - even if at the individual level it will not be accurate.</w:t>
      </w:r>
      <w:r w:rsidRPr="008D4911">
        <w:t xml:space="preserve"> </w:t>
      </w:r>
      <w:r>
        <w:t>In effect,</w:t>
      </w:r>
      <w:r w:rsidRPr="00BA61AB">
        <w:t xml:space="preserve"> </w:t>
      </w:r>
      <w:r>
        <w:t xml:space="preserve">asset </w:t>
      </w:r>
      <w:r w:rsidRPr="00BA61AB">
        <w:t xml:space="preserve">age </w:t>
      </w:r>
      <w:r>
        <w:t xml:space="preserve">is used </w:t>
      </w:r>
      <w:r w:rsidRPr="00BA61AB">
        <w:t>as a proxy for the many factors that drive individual asset replacements</w:t>
      </w:r>
      <w:r>
        <w:t>.</w:t>
      </w:r>
    </w:p>
    <w:p w:rsidR="00F46A92" w:rsidRDefault="00F46A92" w:rsidP="00F46A92">
      <w:pPr>
        <w:pStyle w:val="AERbodytext"/>
      </w:pPr>
      <w:r w:rsidRPr="00BA61AB">
        <w:t xml:space="preserve">In developing the </w:t>
      </w:r>
      <w:r>
        <w:t xml:space="preserve">AER's </w:t>
      </w:r>
      <w:r w:rsidRPr="00BA61AB">
        <w:t>rep</w:t>
      </w:r>
      <w:r>
        <w:t>ex</w:t>
      </w:r>
      <w:r w:rsidRPr="00BA61AB">
        <w:t xml:space="preserve"> model, it was decided that the concept behind </w:t>
      </w:r>
      <w:r>
        <w:t xml:space="preserve">the </w:t>
      </w:r>
      <w:r w:rsidRPr="00BA61AB">
        <w:t xml:space="preserve">model should have similar characteristics to those used </w:t>
      </w:r>
      <w:r>
        <w:t xml:space="preserve">by </w:t>
      </w:r>
      <w:r w:rsidRPr="00BA61AB">
        <w:t>the UK regulator</w:t>
      </w:r>
      <w:r>
        <w:t>,</w:t>
      </w:r>
      <w:r w:rsidRPr="00BA61AB">
        <w:t xml:space="preserve"> </w:t>
      </w:r>
      <w:r w:rsidR="00154ECC" w:rsidRPr="00BA61AB">
        <w:t>OFGEM</w:t>
      </w:r>
      <w:r w:rsidRPr="00BA61AB">
        <w:t xml:space="preserve">. </w:t>
      </w:r>
      <w:r>
        <w:t xml:space="preserve"> For this form of model, the replacement life is defined as a probability distribution applicable for a particular population of assets. This probability distribution reflects the proportion of assets in a population that will be replaced at a given age.  </w:t>
      </w:r>
    </w:p>
    <w:p w:rsidR="00F46A92" w:rsidRDefault="00F46A92" w:rsidP="00F46A92">
      <w:pPr>
        <w:pStyle w:val="AERbodytext"/>
      </w:pPr>
      <w:r>
        <w:t xml:space="preserve">The shape of the probability distribution should reflect the replacement characteristics across the population.  The AER's repex model, similar to the </w:t>
      </w:r>
      <w:r w:rsidR="00154ECC">
        <w:t>OFGEM</w:t>
      </w:r>
      <w:r>
        <w:t xml:space="preserve"> approach, assumes a normal distribution for the replacement life. </w:t>
      </w:r>
    </w:p>
    <w:p w:rsidR="00F46A92" w:rsidRDefault="00F46A92" w:rsidP="00F46A92">
      <w:pPr>
        <w:pStyle w:val="AERbodytext"/>
      </w:pPr>
      <w:r w:rsidRPr="00D10717">
        <w:t xml:space="preserve">The repex model can be used to develop a volumetric or expenditure benchmark for the asset replacement. </w:t>
      </w:r>
      <w:r>
        <w:t>Developing volumetric benchmarks require benchmarks lives to be defined. Developing expenditure benchmarks requires both benchmark lives and benchmarks unit costs to be prepared.</w:t>
      </w:r>
    </w:p>
    <w:p w:rsidR="004A39F2" w:rsidRDefault="00A92509" w:rsidP="00F46A92">
      <w:pPr>
        <w:pStyle w:val="AERbodytext"/>
      </w:pPr>
      <w:r>
        <w:t xml:space="preserve">It should be recognised that </w:t>
      </w:r>
      <w:r w:rsidR="004A39F2">
        <w:t xml:space="preserve">the </w:t>
      </w:r>
      <w:r>
        <w:t>managers of capital assets will frequently rely on alternative techniques to determine their asset replacement strategies. A particular approach may include critical impact, condition based or risk based</w:t>
      </w:r>
      <w:r w:rsidRPr="00A92509">
        <w:t xml:space="preserve"> </w:t>
      </w:r>
      <w:r>
        <w:t xml:space="preserve">techniques or a mix of these </w:t>
      </w:r>
      <w:r w:rsidR="004A39F2">
        <w:t xml:space="preserve">or other </w:t>
      </w:r>
      <w:r>
        <w:t xml:space="preserve">techniques. The repex model approach does not replace those techniques. They are all valid </w:t>
      </w:r>
      <w:r w:rsidR="004A39F2">
        <w:t xml:space="preserve">approaches </w:t>
      </w:r>
      <w:r>
        <w:t>and may give superior estimates of replacement need</w:t>
      </w:r>
      <w:r w:rsidR="004A39F2">
        <w:t xml:space="preserve"> in particular circumstances. However, if the explanations of proposed replacement volume or cost are found on closer examination to be deficient</w:t>
      </w:r>
      <w:r>
        <w:t>,</w:t>
      </w:r>
      <w:r w:rsidR="004A39F2">
        <w:t xml:space="preserve"> then the repex model will provide an alternative point of reference for consideration.  </w:t>
      </w:r>
    </w:p>
    <w:p w:rsidR="00A92509" w:rsidRDefault="004A39F2" w:rsidP="00F46A92">
      <w:pPr>
        <w:pStyle w:val="AERbodytext"/>
      </w:pPr>
      <w:r>
        <w:t xml:space="preserve">Should a particular estimate by an NSP be rejected, in the absence of compelling reasons to depart from the volumes or costs predicted by the repex model, the AER will consider whether to adopt those projections as an alternative forecast. </w:t>
      </w:r>
      <w:r w:rsidR="00FF0655">
        <w:t>Should t</w:t>
      </w:r>
      <w:r>
        <w:t>he AER identify additional factors which justify a departure from th</w:t>
      </w:r>
      <w:r w:rsidR="00FF0655">
        <w:t>o</w:t>
      </w:r>
      <w:r>
        <w:t>se projections, either greater or lesser</w:t>
      </w:r>
      <w:r w:rsidR="00FF0655">
        <w:t xml:space="preserve"> in particular circumstances, the reasons for adopting a different forecast will be documented in each specific instance.</w:t>
      </w:r>
      <w:r w:rsidR="00A92509">
        <w:t xml:space="preserve"> </w:t>
      </w:r>
    </w:p>
    <w:p w:rsidR="00AA68B1" w:rsidRDefault="00AA68B1" w:rsidP="00AA68B1">
      <w:pPr>
        <w:pStyle w:val="AERunnumberedheading3"/>
      </w:pPr>
      <w:r>
        <w:t>Sample size</w:t>
      </w:r>
    </w:p>
    <w:p w:rsidR="00AA68B1" w:rsidRPr="00AA68B1" w:rsidRDefault="00AA68B1" w:rsidP="00AA68B1">
      <w:pPr>
        <w:pStyle w:val="AERbodytext"/>
      </w:pPr>
      <w:r w:rsidRPr="00AA68B1">
        <w:t xml:space="preserve">Having a sufficient sample size is important in statistical modelling (in this case, the </w:t>
      </w:r>
      <w:r>
        <w:t xml:space="preserve">repex </w:t>
      </w:r>
      <w:r w:rsidRPr="00AA68B1">
        <w:t>modelling). At the 95 per cent confidence interval the implied accuracy of a normally distributed sample can be estimated by the formula ± 1/(n)</w:t>
      </w:r>
      <w:r w:rsidRPr="00E27427">
        <w:rPr>
          <w:rStyle w:val="AERsuperscript"/>
        </w:rPr>
        <w:t>1/2</w:t>
      </w:r>
      <w:r w:rsidRPr="00AA68B1">
        <w:t xml:space="preserve">  - where n is the sample size. That is, the accuracy is inversely proportional to the square root of the sample size. Thus, when a category has few samples the accuracy is likely to be low. For a sample size of 10 units the accuracy is ± 32 per cent</w:t>
      </w:r>
      <w:r w:rsidR="009C4F2A">
        <w:t>;</w:t>
      </w:r>
      <w:r w:rsidRPr="00AA68B1">
        <w:t xml:space="preserve"> for 100 units it is ± 10 per cent</w:t>
      </w:r>
      <w:r w:rsidR="009C4F2A">
        <w:t>;</w:t>
      </w:r>
      <w:r w:rsidRPr="00AA68B1">
        <w:t xml:space="preserve"> and, for 1000 units it is ±3.2 per cent. </w:t>
      </w:r>
    </w:p>
    <w:p w:rsidR="00A92509" w:rsidRDefault="00A92509" w:rsidP="00970D34">
      <w:pPr>
        <w:pStyle w:val="AERbodytext"/>
      </w:pPr>
      <w:r w:rsidRPr="00A92509">
        <w:lastRenderedPageBreak/>
        <w:t>Although adding sub-categories which have small sample sizes may aid in identifying areas for closer examination in a specific category, this benefit should be balanced against the effort required to document sub-categories. The excessive use of finely differentiated sub-categories should be avoided. Wherever possible, seek to maintain the sample size in the sub-category as large as is reasonably practicable.</w:t>
      </w:r>
    </w:p>
    <w:p w:rsidR="005A2158" w:rsidRPr="005A2158" w:rsidRDefault="00A92509" w:rsidP="005A2158">
      <w:pPr>
        <w:pStyle w:val="AERbodytext"/>
      </w:pPr>
      <w:r w:rsidRPr="00A92509">
        <w:t>The aim of the AER in applying this formula is not to quantify the accuracy of a particular sample</w:t>
      </w:r>
      <w:r w:rsidR="003B5266" w:rsidRPr="003B5266">
        <w:t xml:space="preserve"> </w:t>
      </w:r>
      <w:r w:rsidR="003B5266" w:rsidRPr="00A92509">
        <w:t>with precision</w:t>
      </w:r>
      <w:r w:rsidRPr="00A92509">
        <w:t xml:space="preserve">. Rather, the intention is simply to gain a sense of the likely accuracy of a particular sample. </w:t>
      </w:r>
      <w:r w:rsidR="00D00508">
        <w:t>Note that</w:t>
      </w:r>
      <w:r w:rsidRPr="00A92509">
        <w:t xml:space="preserve"> this formula applies to samples which are normally distributed. However, a particular sample may not be normally distributed. It is a quirk of statistical sampling that a collection of samples of a population that is not normally distributed will, nonetheless, tend to be normally distributed. </w:t>
      </w:r>
      <w:r w:rsidR="005A2158">
        <w:t>A</w:t>
      </w:r>
      <w:r w:rsidR="005A2158" w:rsidRPr="005A2158">
        <w:t>s an indicative measure then, the formula above is deemed to be suitable for the AER’s intended use of gaining a sense of the likely variance in a particular category.</w:t>
      </w:r>
    </w:p>
    <w:p w:rsidR="00F46A92" w:rsidRDefault="00A92509" w:rsidP="00970D34">
      <w:pPr>
        <w:pStyle w:val="AERbodytext"/>
      </w:pPr>
      <w:bookmarkStart w:id="60" w:name="_GoBack"/>
      <w:bookmarkEnd w:id="60"/>
      <w:r w:rsidRPr="00A92509">
        <w:t>Regardless, the point is simply that sample size is important in implying the likely accuracy bounds of a sample population. The AER will have regard to the sample size at the category and sub-category levels when forming a view as to likely accuracy of a completed model.</w:t>
      </w:r>
    </w:p>
    <w:p w:rsidR="00F46A92" w:rsidRDefault="00D00508" w:rsidP="00F46A92">
      <w:pPr>
        <w:pStyle w:val="AERheading1"/>
      </w:pPr>
      <w:bookmarkStart w:id="61" w:name="_Toc288136157"/>
      <w:bookmarkStart w:id="62" w:name="_Toc371937005"/>
      <w:r>
        <w:lastRenderedPageBreak/>
        <w:t>4.</w:t>
      </w:r>
      <w:r>
        <w:tab/>
      </w:r>
      <w:r w:rsidR="00F46A92">
        <w:t>Overview of AER repex</w:t>
      </w:r>
      <w:r w:rsidR="00F46A92" w:rsidRPr="00BA61AB">
        <w:t xml:space="preserve"> model</w:t>
      </w:r>
      <w:bookmarkEnd w:id="61"/>
      <w:bookmarkEnd w:id="62"/>
    </w:p>
    <w:p w:rsidR="00F46A92" w:rsidRDefault="00F46A92" w:rsidP="00F46A92">
      <w:pPr>
        <w:pStyle w:val="AERbodytext"/>
      </w:pPr>
      <w:r>
        <w:t xml:space="preserve">The previous section explained the nature of asset replacement and replacement modelling, and introduced the principles behind the repex model. This section provides a more functional overview of the repex model.  </w:t>
      </w:r>
    </w:p>
    <w:p w:rsidR="00F46A92" w:rsidRPr="00BA61AB" w:rsidRDefault="00F46A92" w:rsidP="00F46A92">
      <w:pPr>
        <w:pStyle w:val="AERbodytext"/>
      </w:pPr>
      <w:r>
        <w:t xml:space="preserve">This section should be sufficient for a broad familiarisation with the repex model.  However, for users of the model, Appendix A provides more detailed reference material, including what </w:t>
      </w:r>
      <w:r w:rsidR="00A92509">
        <w:t xml:space="preserve">are </w:t>
      </w:r>
      <w:r>
        <w:t xml:space="preserve">the </w:t>
      </w:r>
      <w:r w:rsidR="00D10717">
        <w:t xml:space="preserve">purposes for the </w:t>
      </w:r>
      <w:r>
        <w:t xml:space="preserve">various worksheets within the model, where model inputs and outputs are contained, and how the model is run.  </w:t>
      </w:r>
    </w:p>
    <w:p w:rsidR="00F46A92" w:rsidRDefault="00F46A92" w:rsidP="00F46A92">
      <w:pPr>
        <w:pStyle w:val="AERbodytext"/>
      </w:pPr>
      <w:r>
        <w:t>As discussed in Section 3, the repex</w:t>
      </w:r>
      <w:r w:rsidRPr="00BA61AB">
        <w:t xml:space="preserve"> model is a high-level model that forecasts replacement needs </w:t>
      </w:r>
      <w:r>
        <w:t xml:space="preserve">(both in terms of asset replacement volumes and replacement expenditure) </w:t>
      </w:r>
      <w:r w:rsidRPr="00BA61AB">
        <w:t>based upon the age of the NSP’s asset base.</w:t>
      </w:r>
      <w:r>
        <w:t xml:space="preserve"> The key features of the repex model are:</w:t>
      </w:r>
    </w:p>
    <w:p w:rsidR="00F46A92" w:rsidRDefault="00F46A92" w:rsidP="00F46A92">
      <w:pPr>
        <w:pStyle w:val="AERbulletlistfirststyle"/>
      </w:pPr>
      <w:r>
        <w:t>asset categorisation and grouping</w:t>
      </w:r>
    </w:p>
    <w:p w:rsidR="00F46A92" w:rsidRDefault="00F46A92" w:rsidP="00F46A92">
      <w:pPr>
        <w:pStyle w:val="AERbulletlistfirststyle"/>
      </w:pPr>
      <w:r>
        <w:t>model inputs and outputs</w:t>
      </w:r>
    </w:p>
    <w:p w:rsidR="00F46A92" w:rsidRDefault="00F46A92" w:rsidP="00F46A92">
      <w:pPr>
        <w:pStyle w:val="AERbulletlistfirststyle"/>
      </w:pPr>
      <w:r>
        <w:t>replacement algorithm.</w:t>
      </w:r>
    </w:p>
    <w:p w:rsidR="00F46A92" w:rsidRPr="00862A49" w:rsidRDefault="00F46A92" w:rsidP="00F46A92">
      <w:pPr>
        <w:pStyle w:val="AERbodytext"/>
      </w:pPr>
      <w:r>
        <w:t>These features are discussed in turn below.</w:t>
      </w:r>
    </w:p>
    <w:p w:rsidR="00F46A92" w:rsidRDefault="00D00508" w:rsidP="00F46A92">
      <w:pPr>
        <w:pStyle w:val="AERheading2"/>
      </w:pPr>
      <w:bookmarkStart w:id="63" w:name="_Toc309898659"/>
      <w:bookmarkStart w:id="64" w:name="_Toc371937006"/>
      <w:r>
        <w:t>4.1</w:t>
      </w:r>
      <w:r>
        <w:tab/>
      </w:r>
      <w:r w:rsidR="00F46A92">
        <w:t>Asset categorisation and grouping</w:t>
      </w:r>
      <w:bookmarkEnd w:id="63"/>
      <w:bookmarkEnd w:id="64"/>
    </w:p>
    <w:p w:rsidR="00F46A92" w:rsidRDefault="00F46A92" w:rsidP="00F46A92">
      <w:pPr>
        <w:pStyle w:val="AERunnumberedheading3"/>
      </w:pPr>
      <w:r>
        <w:t>Asset categorisation</w:t>
      </w:r>
    </w:p>
    <w:p w:rsidR="00F46A92" w:rsidRDefault="00F46A92" w:rsidP="00F46A92">
      <w:pPr>
        <w:pStyle w:val="AERbodytext"/>
      </w:pPr>
      <w:r w:rsidRPr="00BA61AB">
        <w:t xml:space="preserve">The model requires </w:t>
      </w:r>
      <w:r w:rsidR="00D10717">
        <w:t>t</w:t>
      </w:r>
      <w:r w:rsidRPr="00BA61AB">
        <w:t xml:space="preserve">he </w:t>
      </w:r>
      <w:r>
        <w:t xml:space="preserve">NSP's network </w:t>
      </w:r>
      <w:r w:rsidRPr="00BA61AB">
        <w:t>asset base to be broken down into a number of discrete asset categories.</w:t>
      </w:r>
      <w:r>
        <w:t xml:space="preserve"> This categorisation is required to reflect variations in asset lives and unit costs between different asset types.  </w:t>
      </w:r>
    </w:p>
    <w:p w:rsidR="00F46A92" w:rsidRDefault="00F46A92" w:rsidP="00F46A92">
      <w:pPr>
        <w:pStyle w:val="AERbodytext"/>
      </w:pPr>
      <w:r>
        <w:t>This categorisation can assist both in the accuracy of the model and in its interpretation. In particular, this categorisation can assist when comparative assessments between NSPs are undertaken.</w:t>
      </w:r>
    </w:p>
    <w:p w:rsidR="00F46A92" w:rsidRDefault="00F46A92" w:rsidP="00F46A92">
      <w:pPr>
        <w:pStyle w:val="AERbodytext"/>
      </w:pPr>
      <w:r>
        <w:t>This form of asset categorisation is essential to capture variations between broad asset classes (e.g. poles, transformers, switchgear). However, it is often also necessary to capture variations within an asset class.</w:t>
      </w:r>
    </w:p>
    <w:p w:rsidR="00F46A92" w:rsidRDefault="00F46A92" w:rsidP="00F46A92">
      <w:pPr>
        <w:pStyle w:val="AERbodytext"/>
      </w:pPr>
      <w:r>
        <w:t xml:space="preserve">For example, the typical life of a pole may vary depending on the material (and treatments) using in its construction (e.g. hard wood, soft wood, steel, concrete). It may also vary depending on environmental conditions (damp or dry, or coastal or inland). The unit costs will often vary depending on the voltage level, which reflects the height and diameter of poles.  As such, most NSPs will require a number of categories to reflect </w:t>
      </w:r>
      <w:r w:rsidR="00154ECC">
        <w:t xml:space="preserve">adequately </w:t>
      </w:r>
      <w:r>
        <w:t>these variations.</w:t>
      </w:r>
    </w:p>
    <w:p w:rsidR="00F46A92" w:rsidRDefault="00F46A92" w:rsidP="00F46A92">
      <w:pPr>
        <w:pStyle w:val="AERunnumberedheading3"/>
      </w:pPr>
      <w:r>
        <w:t>Asset grouping</w:t>
      </w:r>
    </w:p>
    <w:p w:rsidR="00F46A92" w:rsidRDefault="00F46A92" w:rsidP="00F46A92">
      <w:pPr>
        <w:pStyle w:val="AERbodytext"/>
      </w:pPr>
      <w:r>
        <w:t>The model requires each asset category to be assigned to a</w:t>
      </w:r>
      <w:r w:rsidRPr="00BA61AB">
        <w:t xml:space="preserve"> </w:t>
      </w:r>
      <w:r>
        <w:t xml:space="preserve">more limited set of </w:t>
      </w:r>
      <w:r w:rsidRPr="00BA61AB">
        <w:t xml:space="preserve">asset groups. </w:t>
      </w:r>
      <w:r>
        <w:t xml:space="preserve">These groups should generally reflect the broader asset classes (e.g. poles, power transformers, </w:t>
      </w:r>
      <w:r w:rsidR="00154ECC">
        <w:t>etc.</w:t>
      </w:r>
      <w:r>
        <w:t xml:space="preserve">).  </w:t>
      </w:r>
    </w:p>
    <w:p w:rsidR="00F46A92" w:rsidRPr="00BA61AB" w:rsidRDefault="00F46A92" w:rsidP="00F46A92">
      <w:pPr>
        <w:pStyle w:val="AERbodytext"/>
      </w:pPr>
      <w:r>
        <w:lastRenderedPageBreak/>
        <w:t xml:space="preserve">The aim here is too provide a high-level framework, based upon the asset groups, for presenting model findings and comparative analysis.  </w:t>
      </w:r>
    </w:p>
    <w:p w:rsidR="00F46A92" w:rsidRDefault="00F46A92" w:rsidP="00F46A92">
      <w:pPr>
        <w:pStyle w:val="AERbodytext"/>
      </w:pPr>
      <w:r>
        <w:t xml:space="preserve">The model presently allows 15 asset groups to be defined. </w:t>
      </w:r>
      <w:r w:rsidR="00D22BD2">
        <w:t xml:space="preserve">In the </w:t>
      </w:r>
      <w:r>
        <w:t>Victorian distribution determination,</w:t>
      </w:r>
      <w:r w:rsidRPr="00BA61AB">
        <w:t xml:space="preserve"> 13 </w:t>
      </w:r>
      <w:r>
        <w:t>groups were used as defined</w:t>
      </w:r>
      <w:r w:rsidRPr="00BA61AB">
        <w:t xml:space="preserve"> in</w:t>
      </w:r>
      <w:r>
        <w:t xml:space="preserve"> table 4.1.</w:t>
      </w:r>
      <w:r w:rsidRPr="00BA61AB">
        <w:t xml:space="preserve"> </w:t>
      </w:r>
      <w:r>
        <w:t xml:space="preserve"> </w:t>
      </w:r>
    </w:p>
    <w:p w:rsidR="00F46A92" w:rsidRDefault="00D00508" w:rsidP="00F46A92">
      <w:pPr>
        <w:pStyle w:val="AERtableheading"/>
      </w:pPr>
      <w:bookmarkStart w:id="65" w:name="_Ref286672496"/>
      <w:r>
        <w:t>D</w:t>
      </w:r>
      <w:r w:rsidR="00FF0655">
        <w:t>istribution a</w:t>
      </w:r>
      <w:r w:rsidR="00F46A92" w:rsidRPr="00BA61AB">
        <w:t>sset groups</w:t>
      </w:r>
      <w:bookmarkEnd w:id="65"/>
    </w:p>
    <w:tbl>
      <w:tblPr>
        <w:tblW w:w="0" w:type="auto"/>
        <w:tblBorders>
          <w:top w:val="single" w:sz="12" w:space="0" w:color="auto"/>
          <w:bottom w:val="single" w:sz="4" w:space="0" w:color="auto"/>
        </w:tblBorders>
        <w:tblLook w:val="01E0" w:firstRow="1" w:lastRow="1" w:firstColumn="1" w:lastColumn="1" w:noHBand="0" w:noVBand="0"/>
      </w:tblPr>
      <w:tblGrid>
        <w:gridCol w:w="2311"/>
        <w:gridCol w:w="2261"/>
      </w:tblGrid>
      <w:tr w:rsidR="00D10717" w:rsidRPr="000C7461" w:rsidTr="00D10717">
        <w:tc>
          <w:tcPr>
            <w:tcW w:w="0" w:type="auto"/>
            <w:tcBorders>
              <w:top w:val="single" w:sz="12" w:space="0" w:color="auto"/>
              <w:left w:val="nil"/>
              <w:bottom w:val="single" w:sz="4" w:space="0" w:color="auto"/>
              <w:right w:val="nil"/>
              <w:tl2br w:val="nil"/>
              <w:tr2bl w:val="nil"/>
            </w:tcBorders>
            <w:noWrap/>
            <w:tcMar>
              <w:top w:w="0" w:type="dxa"/>
              <w:bottom w:w="0" w:type="dxa"/>
            </w:tcMar>
            <w:vAlign w:val="center"/>
          </w:tcPr>
          <w:p w:rsidR="00D10717" w:rsidRPr="009D142D" w:rsidRDefault="00D10717" w:rsidP="00F46A92">
            <w:pPr>
              <w:pStyle w:val="AERtabletextheading"/>
            </w:pPr>
            <w:r>
              <w:t>Asset categories</w:t>
            </w:r>
          </w:p>
        </w:tc>
        <w:tc>
          <w:tcPr>
            <w:tcW w:w="0" w:type="auto"/>
            <w:tcBorders>
              <w:top w:val="single" w:sz="12" w:space="0" w:color="auto"/>
              <w:left w:val="nil"/>
              <w:bottom w:val="single" w:sz="4" w:space="0" w:color="auto"/>
              <w:right w:val="nil"/>
              <w:tl2br w:val="nil"/>
              <w:tr2bl w:val="nil"/>
            </w:tcBorders>
          </w:tcPr>
          <w:p w:rsidR="00D10717" w:rsidRDefault="00D10717" w:rsidP="00F46A92">
            <w:pPr>
              <w:pStyle w:val="AERtabletextheading"/>
            </w:pP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rsidRPr="000C7461">
              <w:t>Poles</w:t>
            </w:r>
          </w:p>
        </w:tc>
        <w:tc>
          <w:tcPr>
            <w:tcW w:w="0" w:type="auto"/>
            <w:vAlign w:val="center"/>
          </w:tcPr>
          <w:p w:rsidR="00D10717" w:rsidRPr="000C7461" w:rsidRDefault="00D10717" w:rsidP="00D10717">
            <w:pPr>
              <w:pStyle w:val="AERtabletext"/>
            </w:pPr>
            <w:r w:rsidRPr="000C7461">
              <w:t>Distribution Switchgear</w:t>
            </w: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rsidRPr="000C7461">
              <w:t>Pole Top Structure</w:t>
            </w:r>
          </w:p>
        </w:tc>
        <w:tc>
          <w:tcPr>
            <w:tcW w:w="0" w:type="auto"/>
            <w:vAlign w:val="center"/>
          </w:tcPr>
          <w:p w:rsidR="00D10717" w:rsidRPr="000C7461" w:rsidRDefault="00D10717" w:rsidP="00D10717">
            <w:pPr>
              <w:pStyle w:val="AERtabletext"/>
            </w:pPr>
            <w:r w:rsidRPr="000C7461">
              <w:t xml:space="preserve">Distribution Other Assets </w:t>
            </w: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rsidRPr="000C7461">
              <w:t>Conductor</w:t>
            </w:r>
          </w:p>
        </w:tc>
        <w:tc>
          <w:tcPr>
            <w:tcW w:w="0" w:type="auto"/>
            <w:vAlign w:val="center"/>
          </w:tcPr>
          <w:p w:rsidR="00D10717" w:rsidRPr="000C7461" w:rsidRDefault="00D10717" w:rsidP="00D10717">
            <w:pPr>
              <w:pStyle w:val="AERtabletext"/>
            </w:pPr>
            <w:r w:rsidRPr="000C7461">
              <w:t>Zone Transformers</w:t>
            </w: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rsidRPr="000C7461">
              <w:t>Underground Cables</w:t>
            </w:r>
          </w:p>
        </w:tc>
        <w:tc>
          <w:tcPr>
            <w:tcW w:w="0" w:type="auto"/>
            <w:vAlign w:val="center"/>
          </w:tcPr>
          <w:p w:rsidR="00D10717" w:rsidRPr="000C7461" w:rsidRDefault="00D10717" w:rsidP="00D10717">
            <w:pPr>
              <w:pStyle w:val="AERtabletext"/>
            </w:pPr>
            <w:r w:rsidRPr="000C7461">
              <w:t xml:space="preserve">Zone Switchgear </w:t>
            </w: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rsidRPr="000C7461">
              <w:t>Services</w:t>
            </w:r>
          </w:p>
        </w:tc>
        <w:tc>
          <w:tcPr>
            <w:tcW w:w="0" w:type="auto"/>
            <w:vAlign w:val="center"/>
          </w:tcPr>
          <w:p w:rsidR="00D10717" w:rsidRPr="000C7461" w:rsidRDefault="00D10717" w:rsidP="00D10717">
            <w:pPr>
              <w:pStyle w:val="AERtabletext"/>
            </w:pPr>
            <w:r w:rsidRPr="000C7461">
              <w:t xml:space="preserve">Zone Other Assets </w:t>
            </w: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rsidRPr="000C7461">
              <w:t>Distribution Transformers</w:t>
            </w:r>
          </w:p>
        </w:tc>
        <w:tc>
          <w:tcPr>
            <w:tcW w:w="0" w:type="auto"/>
            <w:vAlign w:val="center"/>
          </w:tcPr>
          <w:p w:rsidR="00D10717" w:rsidRPr="000C7461" w:rsidRDefault="00D10717" w:rsidP="00D10717">
            <w:pPr>
              <w:pStyle w:val="AERtabletext"/>
            </w:pPr>
            <w:r w:rsidRPr="000C7461">
              <w:t>SCADA and protection</w:t>
            </w:r>
          </w:p>
        </w:tc>
      </w:tr>
      <w:tr w:rsidR="00D10717" w:rsidRPr="000C7461" w:rsidTr="00D10717">
        <w:tc>
          <w:tcPr>
            <w:tcW w:w="0" w:type="auto"/>
            <w:noWrap/>
            <w:tcMar>
              <w:top w:w="0" w:type="dxa"/>
              <w:bottom w:w="0" w:type="dxa"/>
            </w:tcMar>
            <w:vAlign w:val="center"/>
          </w:tcPr>
          <w:p w:rsidR="00D10717" w:rsidRPr="000C7461" w:rsidRDefault="00D10717" w:rsidP="00F46A92">
            <w:pPr>
              <w:pStyle w:val="AERtabletext"/>
            </w:pPr>
            <w:r>
              <w:t>Other</w:t>
            </w:r>
          </w:p>
        </w:tc>
        <w:tc>
          <w:tcPr>
            <w:tcW w:w="0" w:type="auto"/>
            <w:vAlign w:val="center"/>
          </w:tcPr>
          <w:p w:rsidR="00D10717" w:rsidRPr="000C7461" w:rsidRDefault="00D10717" w:rsidP="00D10717">
            <w:pPr>
              <w:pStyle w:val="AERtabletext"/>
            </w:pPr>
          </w:p>
        </w:tc>
      </w:tr>
    </w:tbl>
    <w:p w:rsidR="00F46A92" w:rsidRDefault="00F46A92" w:rsidP="00F46A92">
      <w:pPr>
        <w:pStyle w:val="AERbodytext"/>
      </w:pPr>
    </w:p>
    <w:p w:rsidR="00F46A92" w:rsidRDefault="00F46A92" w:rsidP="00F46A92">
      <w:pPr>
        <w:pStyle w:val="AERunnumberedheading3"/>
      </w:pPr>
      <w:r>
        <w:t>Considerations for categorisation and grouping</w:t>
      </w:r>
    </w:p>
    <w:p w:rsidR="00F46A92" w:rsidRDefault="003F2771" w:rsidP="00F46A92">
      <w:pPr>
        <w:pStyle w:val="AERbodytext"/>
      </w:pPr>
      <w:r>
        <w:t>As part of the 'Better Regulation' process the AER undertook consultation on potential categories for both DNSPs and TNSPs. The AER has been guided by the responses received to that consultation. As</w:t>
      </w:r>
      <w:r w:rsidR="009C4F2A">
        <w:t xml:space="preserve"> </w:t>
      </w:r>
      <w:r w:rsidR="00F46A92">
        <w:t xml:space="preserve">the AER needs consistency </w:t>
      </w:r>
      <w:r w:rsidR="009C4F2A">
        <w:t>in the asset categories for benchmarking purposes we have</w:t>
      </w:r>
      <w:r>
        <w:t xml:space="preserve"> determined the </w:t>
      </w:r>
      <w:r w:rsidR="00154ECC">
        <w:t>higher-level</w:t>
      </w:r>
      <w:r>
        <w:t xml:space="preserve"> categories to be used. These </w:t>
      </w:r>
      <w:r w:rsidR="00FF0655">
        <w:t xml:space="preserve">categories </w:t>
      </w:r>
      <w:r>
        <w:t>are set out in the RINs issued by the AER</w:t>
      </w:r>
      <w:r w:rsidR="009C4F2A">
        <w:t xml:space="preserve"> to support benchmarking</w:t>
      </w:r>
      <w:r w:rsidR="00F46A92">
        <w:t>.</w:t>
      </w:r>
    </w:p>
    <w:p w:rsidR="00F46A92" w:rsidRPr="00BA61AB" w:rsidRDefault="00F46A92" w:rsidP="00F46A92">
      <w:pPr>
        <w:pStyle w:val="AERbodytext"/>
      </w:pPr>
      <w:r>
        <w:t>The intention presently</w:t>
      </w:r>
      <w:r w:rsidRPr="00BA61AB">
        <w:t xml:space="preserve"> </w:t>
      </w:r>
      <w:r>
        <w:t xml:space="preserve">is </w:t>
      </w:r>
      <w:r w:rsidRPr="00BA61AB">
        <w:t xml:space="preserve">to allow NSP’s to </w:t>
      </w:r>
      <w:r w:rsidR="00AA68B1">
        <w:t xml:space="preserve">continue to </w:t>
      </w:r>
      <w:r w:rsidRPr="00BA61AB">
        <w:t xml:space="preserve">develop the individual asset </w:t>
      </w:r>
      <w:r w:rsidR="009C4F2A">
        <w:t>sub-</w:t>
      </w:r>
      <w:r w:rsidRPr="00BA61AB">
        <w:t xml:space="preserve">categories for their network. However, all asset categories </w:t>
      </w:r>
      <w:r>
        <w:t xml:space="preserve">are </w:t>
      </w:r>
      <w:r w:rsidR="00D00508">
        <w:t xml:space="preserve">to be </w:t>
      </w:r>
      <w:r>
        <w:t>given a one-to-one mapping to a set of</w:t>
      </w:r>
      <w:r w:rsidRPr="00BA61AB">
        <w:t xml:space="preserve"> asset group</w:t>
      </w:r>
      <w:r>
        <w:t xml:space="preserve">s, which </w:t>
      </w:r>
      <w:r w:rsidR="00DA2E0A">
        <w:t xml:space="preserve">will be </w:t>
      </w:r>
      <w:r>
        <w:t>defined by the AER</w:t>
      </w:r>
      <w:r w:rsidR="00D00508">
        <w:t xml:space="preserve"> in the relevant regulatory information notice</w:t>
      </w:r>
      <w:r w:rsidRPr="00BA61AB">
        <w:t>.</w:t>
      </w:r>
    </w:p>
    <w:p w:rsidR="00F46A92" w:rsidRDefault="00F46A92" w:rsidP="00F46A92">
      <w:pPr>
        <w:pStyle w:val="AERbodytext"/>
      </w:pPr>
      <w:r>
        <w:t xml:space="preserve">Generally, a NSP asset base may need to be split into between 50 to 100 categories.  </w:t>
      </w:r>
      <w:r w:rsidR="00DA2E0A">
        <w:t xml:space="preserve">The AER expects that the chosen sub-categories should represent between 70 to 80 per cent by value of replacement expenditure. </w:t>
      </w:r>
      <w:r w:rsidR="009C4F2A">
        <w:t>S</w:t>
      </w:r>
      <w:r>
        <w:t xml:space="preserve">ome NSPs may consider that more or less categories are required to model </w:t>
      </w:r>
      <w:r w:rsidR="00154ECC">
        <w:t xml:space="preserve">accurately </w:t>
      </w:r>
      <w:r>
        <w:t>their network.  The number of asset categories can be increased or decreased as necessary within the model, bearing in mind that there will be a practical limit to the number of categories that can be usefully analysed. Too few categories may make data so diffuse as to be meaningless whilst too many categories may result in excessive analysis for relatively little gain in precision.</w:t>
      </w:r>
    </w:p>
    <w:p w:rsidR="00F46A92" w:rsidRDefault="00F46A92" w:rsidP="00F46A92">
      <w:pPr>
        <w:pStyle w:val="AERbodytext"/>
      </w:pPr>
      <w:r>
        <w:t xml:space="preserve">In the future, the AER may consider </w:t>
      </w:r>
      <w:r w:rsidR="00AA68B1">
        <w:t xml:space="preserve">further </w:t>
      </w:r>
      <w:r>
        <w:t>standardising on a set of asset categories in order to improve its ability to benchmark between NSPs.</w:t>
      </w:r>
    </w:p>
    <w:p w:rsidR="00F46A92" w:rsidRPr="00BA61AB" w:rsidRDefault="00D00508" w:rsidP="00F46A92">
      <w:pPr>
        <w:pStyle w:val="AERheading2"/>
      </w:pPr>
      <w:bookmarkStart w:id="66" w:name="_Toc309898660"/>
      <w:bookmarkStart w:id="67" w:name="_Toc371937007"/>
      <w:r>
        <w:t>4.2</w:t>
      </w:r>
      <w:r>
        <w:tab/>
      </w:r>
      <w:r w:rsidR="00F46A92" w:rsidRPr="00BA61AB">
        <w:t>Inputs and output</w:t>
      </w:r>
      <w:bookmarkEnd w:id="66"/>
      <w:bookmarkEnd w:id="67"/>
    </w:p>
    <w:p w:rsidR="00F46A92" w:rsidRDefault="00F46A92" w:rsidP="00F46A92">
      <w:pPr>
        <w:pStyle w:val="AERbodytext"/>
      </w:pPr>
      <w:r w:rsidRPr="00BA61AB">
        <w:t>For each individual asset category, the following inputs are required:</w:t>
      </w:r>
    </w:p>
    <w:tbl>
      <w:tblPr>
        <w:tblW w:w="0" w:type="auto"/>
        <w:tblBorders>
          <w:top w:val="single" w:sz="12" w:space="0" w:color="auto"/>
          <w:bottom w:val="single" w:sz="4" w:space="0" w:color="auto"/>
        </w:tblBorders>
        <w:tblLook w:val="01E0" w:firstRow="1" w:lastRow="1" w:firstColumn="1" w:lastColumn="1" w:noHBand="0" w:noVBand="0"/>
      </w:tblPr>
      <w:tblGrid>
        <w:gridCol w:w="2660"/>
        <w:gridCol w:w="5868"/>
      </w:tblGrid>
      <w:tr w:rsidR="00F46A92" w:rsidTr="00B766C6">
        <w:tc>
          <w:tcPr>
            <w:tcW w:w="2660"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Default="00F46A92" w:rsidP="00B766C6">
            <w:pPr>
              <w:pStyle w:val="AERtabletextheading"/>
              <w:keepNext/>
            </w:pPr>
            <w:r>
              <w:lastRenderedPageBreak/>
              <w:t>Age profile</w:t>
            </w:r>
          </w:p>
        </w:tc>
        <w:tc>
          <w:tcPr>
            <w:tcW w:w="5868"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Default="00F46A92" w:rsidP="00B766C6">
            <w:pPr>
              <w:pStyle w:val="AERtabletext"/>
              <w:keepNext/>
            </w:pPr>
            <w:r>
              <w:t>The age profile reflects the volume of the existing assets at the various ages within the asset category at a static point in time.</w:t>
            </w:r>
          </w:p>
          <w:p w:rsidR="00F46A92" w:rsidRDefault="00F46A92" w:rsidP="00B766C6">
            <w:pPr>
              <w:pStyle w:val="AERtabletext"/>
              <w:keepNext/>
            </w:pPr>
            <w:r>
              <w:t>It is essentially a vector that contains the volume of installed assets, where each element of the vector represents an installation date going backwards in time.</w:t>
            </w:r>
          </w:p>
          <w:p w:rsidR="00F46A92" w:rsidRDefault="00F46A92" w:rsidP="00B766C6">
            <w:pPr>
              <w:pStyle w:val="AERtabletext"/>
              <w:keepNext/>
            </w:pPr>
            <w:r>
              <w:t>The model allows the installation dates to go backwards up to 90 years from the current date of the age profile.</w:t>
            </w:r>
          </w:p>
          <w:p w:rsidR="00F46A92" w:rsidRDefault="00F46A92" w:rsidP="00B766C6">
            <w:pPr>
              <w:pStyle w:val="AERtabletext"/>
              <w:keepNext/>
            </w:pPr>
            <w:r>
              <w:t>For example, if the age profile reflects the asset base in 2009, the age profile can hold installation dates going back to 1919</w:t>
            </w:r>
            <w:r>
              <w:rPr>
                <w:rStyle w:val="FootnoteReference"/>
              </w:rPr>
              <w:footnoteReference w:id="5"/>
            </w:r>
            <w:r>
              <w:t>.</w:t>
            </w:r>
          </w:p>
        </w:tc>
      </w:tr>
      <w:tr w:rsidR="00F46A92" w:rsidTr="00B766C6">
        <w:tc>
          <w:tcPr>
            <w:tcW w:w="2660" w:type="dxa"/>
            <w:shd w:val="clear" w:color="auto" w:fill="auto"/>
            <w:noWrap/>
            <w:tcMar>
              <w:top w:w="0" w:type="dxa"/>
              <w:bottom w:w="0" w:type="dxa"/>
            </w:tcMar>
          </w:tcPr>
          <w:p w:rsidR="00F46A92" w:rsidRDefault="00F46A92" w:rsidP="00B766C6">
            <w:pPr>
              <w:pStyle w:val="AERtabletextheading"/>
              <w:keepNext/>
            </w:pPr>
            <w:r>
              <w:t>Mean life and standard deviation</w:t>
            </w:r>
          </w:p>
        </w:tc>
        <w:tc>
          <w:tcPr>
            <w:tcW w:w="5868" w:type="dxa"/>
            <w:shd w:val="clear" w:color="auto" w:fill="auto"/>
            <w:noWrap/>
            <w:tcMar>
              <w:top w:w="0" w:type="dxa"/>
              <w:bottom w:w="0" w:type="dxa"/>
            </w:tcMar>
          </w:tcPr>
          <w:p w:rsidR="00F46A92" w:rsidRDefault="00F46A92" w:rsidP="00154ECC">
            <w:pPr>
              <w:pStyle w:val="AERtabletext"/>
              <w:keepNext/>
            </w:pPr>
            <w:r>
              <w:t xml:space="preserve">These two parameters define the probability distribution of the replacement life for the asset category. Given a normal distribution is assumed, these two parameters are sufficient to define </w:t>
            </w:r>
            <w:r w:rsidR="00154ECC">
              <w:t xml:space="preserve">completely </w:t>
            </w:r>
            <w:r>
              <w:t>this distribution.</w:t>
            </w:r>
          </w:p>
        </w:tc>
      </w:tr>
      <w:tr w:rsidR="00F46A92" w:rsidTr="00B766C6">
        <w:tc>
          <w:tcPr>
            <w:tcW w:w="2660" w:type="dxa"/>
            <w:shd w:val="clear" w:color="auto" w:fill="auto"/>
            <w:noWrap/>
            <w:tcMar>
              <w:top w:w="0" w:type="dxa"/>
              <w:bottom w:w="0" w:type="dxa"/>
            </w:tcMar>
          </w:tcPr>
          <w:p w:rsidR="00F46A92" w:rsidRDefault="00F46A92" w:rsidP="00B766C6">
            <w:pPr>
              <w:pStyle w:val="AERtabletextheading"/>
              <w:keepNext/>
            </w:pPr>
            <w:r>
              <w:t>Unit replacement cost</w:t>
            </w:r>
          </w:p>
        </w:tc>
        <w:tc>
          <w:tcPr>
            <w:tcW w:w="5868" w:type="dxa"/>
            <w:shd w:val="clear" w:color="auto" w:fill="auto"/>
            <w:noWrap/>
            <w:tcMar>
              <w:top w:w="0" w:type="dxa"/>
              <w:bottom w:w="0" w:type="dxa"/>
            </w:tcMar>
          </w:tcPr>
          <w:p w:rsidR="00F46A92" w:rsidRDefault="00F46A92" w:rsidP="00B766C6">
            <w:pPr>
              <w:pStyle w:val="AERtabletext"/>
              <w:keepNext/>
            </w:pPr>
            <w:r>
              <w:t>This parameter defines the average unit cost to replace one unit within the asset category.  This unit cost must reflect the volume unit used within the age profile.</w:t>
            </w:r>
          </w:p>
        </w:tc>
      </w:tr>
    </w:tbl>
    <w:p w:rsidR="00D22BD2" w:rsidRPr="00D22BD2" w:rsidRDefault="00D22BD2" w:rsidP="00D22BD2"/>
    <w:p w:rsidR="00F46A92" w:rsidRDefault="00F46A92" w:rsidP="00D22BD2">
      <w:pPr>
        <w:pStyle w:val="AERbodytext"/>
      </w:pPr>
      <w:r w:rsidRPr="00D22BD2">
        <w:t>The model takes these inputs and produces the following outputs for each asset categories:</w:t>
      </w:r>
    </w:p>
    <w:tbl>
      <w:tblPr>
        <w:tblW w:w="0" w:type="auto"/>
        <w:tblBorders>
          <w:top w:val="single" w:sz="12" w:space="0" w:color="auto"/>
          <w:bottom w:val="single" w:sz="4" w:space="0" w:color="auto"/>
        </w:tblBorders>
        <w:tblLook w:val="01E0" w:firstRow="1" w:lastRow="1" w:firstColumn="1" w:lastColumn="1" w:noHBand="0" w:noVBand="0"/>
      </w:tblPr>
      <w:tblGrid>
        <w:gridCol w:w="2660"/>
        <w:gridCol w:w="5868"/>
      </w:tblGrid>
      <w:tr w:rsidR="0039142B" w:rsidTr="0039142B">
        <w:tc>
          <w:tcPr>
            <w:tcW w:w="2660"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39142B" w:rsidRPr="0039142B" w:rsidRDefault="0039142B" w:rsidP="0039142B">
            <w:pPr>
              <w:pStyle w:val="AERtabletextheading"/>
            </w:pPr>
            <w:r w:rsidRPr="0039142B">
              <w:t>Age and asset value statistics and charts of the age profile</w:t>
            </w:r>
          </w:p>
        </w:tc>
        <w:tc>
          <w:tcPr>
            <w:tcW w:w="5868"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39142B" w:rsidRPr="0039142B" w:rsidRDefault="0039142B" w:rsidP="0039142B">
            <w:pPr>
              <w:pStyle w:val="AERtabletext"/>
            </w:pPr>
            <w:r w:rsidRPr="0039142B">
              <w:t xml:space="preserve">To aid in the appreciation of the asset base, the model provides summary information of the age profile.  This is presented at the asset category and asset group level.  This covers information such as total volumes and replacement costs, proportions of the total network, average ages and lives, and proportions of aged assets. </w:t>
            </w:r>
          </w:p>
          <w:p w:rsidR="0039142B" w:rsidRPr="0039142B" w:rsidRDefault="0039142B" w:rsidP="0039142B">
            <w:pPr>
              <w:pStyle w:val="AERtabletext"/>
            </w:pPr>
            <w:r w:rsidRPr="0039142B">
              <w:t>The model also provides summary charts of the age profile, indicating the profile by installation date and remaining life.</w:t>
            </w:r>
          </w:p>
          <w:p w:rsidR="0039142B" w:rsidRPr="0039142B" w:rsidRDefault="0039142B" w:rsidP="0039142B">
            <w:pPr>
              <w:pStyle w:val="AERtabletext"/>
            </w:pPr>
            <w:r w:rsidRPr="0039142B">
              <w:t>This type of information is helpful in rapidly understanding the nature of the asset base i.e. its age and make-up.  This information is also helpful when making comparisons of replacement needs between NSPs.</w:t>
            </w:r>
          </w:p>
          <w:p w:rsidR="0039142B" w:rsidRPr="0039142B" w:rsidRDefault="0039142B" w:rsidP="0039142B">
            <w:pPr>
              <w:pStyle w:val="AERtabletext"/>
            </w:pPr>
            <w:r w:rsidRPr="0039142B">
              <w:t>Importantly, this information only reflects the age profile as input to the model.  It does not account for any forecasts that may be simulated by the model.</w:t>
            </w:r>
          </w:p>
        </w:tc>
      </w:tr>
      <w:tr w:rsidR="00F46A92" w:rsidTr="00B766C6">
        <w:tc>
          <w:tcPr>
            <w:tcW w:w="2660" w:type="dxa"/>
            <w:shd w:val="clear" w:color="auto" w:fill="auto"/>
            <w:noWrap/>
            <w:tcMar>
              <w:top w:w="0" w:type="dxa"/>
              <w:bottom w:w="0" w:type="dxa"/>
            </w:tcMar>
          </w:tcPr>
          <w:p w:rsidR="00F46A92" w:rsidRDefault="00F46A92" w:rsidP="00B766C6">
            <w:pPr>
              <w:pStyle w:val="AERtabletextheading"/>
              <w:keepNext/>
            </w:pPr>
            <w:r>
              <w:lastRenderedPageBreak/>
              <w:t>20-year replacement forecasts</w:t>
            </w:r>
          </w:p>
        </w:tc>
        <w:tc>
          <w:tcPr>
            <w:tcW w:w="5868" w:type="dxa"/>
            <w:shd w:val="clear" w:color="auto" w:fill="auto"/>
            <w:noWrap/>
            <w:tcMar>
              <w:top w:w="0" w:type="dxa"/>
              <w:bottom w:w="0" w:type="dxa"/>
            </w:tcMar>
          </w:tcPr>
          <w:p w:rsidR="00F46A92" w:rsidRDefault="00F46A92" w:rsidP="00B766C6">
            <w:pPr>
              <w:pStyle w:val="AERtabletext"/>
              <w:keepNext/>
            </w:pPr>
            <w:r>
              <w:t>Based upon the input data, the model produces year-by-year forecasts of asset replacement for the following 20 years.</w:t>
            </w:r>
          </w:p>
          <w:p w:rsidR="00F46A92" w:rsidRDefault="00F46A92" w:rsidP="00B766C6">
            <w:pPr>
              <w:pStyle w:val="AERtabletext"/>
              <w:keepNext/>
            </w:pPr>
            <w:r>
              <w:t xml:space="preserve">The forecasts prepared include individual asset category forecasts and aggregated asset group forecasts.  </w:t>
            </w:r>
          </w:p>
          <w:p w:rsidR="00F46A92" w:rsidRDefault="00F46A92" w:rsidP="00B766C6">
            <w:pPr>
              <w:pStyle w:val="AERtabletext"/>
              <w:keepNext/>
            </w:pPr>
            <w:r>
              <w:t>The asset forecasts covers:</w:t>
            </w:r>
          </w:p>
          <w:p w:rsidR="00F46A92" w:rsidRDefault="00F46A92" w:rsidP="00B766C6">
            <w:pPr>
              <w:pStyle w:val="AERtabletext"/>
              <w:keepNext/>
            </w:pPr>
            <w:r>
              <w:t xml:space="preserve">- replacement volumes </w:t>
            </w:r>
          </w:p>
          <w:p w:rsidR="00F46A92" w:rsidRDefault="00F46A92" w:rsidP="00B766C6">
            <w:pPr>
              <w:pStyle w:val="AERtabletext"/>
              <w:keepNext/>
            </w:pPr>
            <w:r>
              <w:t>- replacement expenditure (which is calculated as volume x unit replacement cost)</w:t>
            </w:r>
          </w:p>
          <w:p w:rsidR="00F46A92" w:rsidRDefault="00F46A92" w:rsidP="00B766C6">
            <w:pPr>
              <w:pStyle w:val="AERtabletext"/>
              <w:keepNext/>
            </w:pPr>
            <w:r>
              <w:t xml:space="preserve">- average age - at the group level, the weighted average age is calculated </w:t>
            </w:r>
          </w:p>
          <w:p w:rsidR="00F46A92" w:rsidRDefault="00F46A92" w:rsidP="00B766C6">
            <w:pPr>
              <w:pStyle w:val="AERtabletext"/>
              <w:keepNext/>
            </w:pPr>
            <w:r>
              <w:t>- average remaining life - at the group level, the weighted average remaining life is calculated.</w:t>
            </w:r>
          </w:p>
          <w:p w:rsidR="00F46A92" w:rsidRDefault="00F46A92" w:rsidP="00B766C6">
            <w:pPr>
              <w:pStyle w:val="AERtabletext"/>
              <w:keepNext/>
            </w:pPr>
            <w:r>
              <w:t>When calculating weighted averages at the asset group level, the total replacement cost of the relevant asset category is used for the weighting.</w:t>
            </w:r>
          </w:p>
        </w:tc>
      </w:tr>
    </w:tbl>
    <w:p w:rsidR="00F46A92" w:rsidRPr="00BA61AB" w:rsidRDefault="00F46A92" w:rsidP="00DA2E0A">
      <w:pPr>
        <w:pStyle w:val="AERheading3"/>
        <w:numPr>
          <w:ilvl w:val="0"/>
          <w:numId w:val="0"/>
        </w:numPr>
      </w:pPr>
      <w:bookmarkStart w:id="68" w:name="_Ref286665250"/>
      <w:r w:rsidRPr="00BA61AB">
        <w:t>Replacement algorithm</w:t>
      </w:r>
      <w:bookmarkEnd w:id="68"/>
    </w:p>
    <w:p w:rsidR="00F46A92" w:rsidRPr="00BA61AB" w:rsidRDefault="00F46A92" w:rsidP="00F46A92">
      <w:pPr>
        <w:pStyle w:val="AERbodytext"/>
      </w:pPr>
      <w:r>
        <w:t xml:space="preserve">The model </w:t>
      </w:r>
      <w:r w:rsidRPr="00BA61AB">
        <w:t>produce</w:t>
      </w:r>
      <w:r>
        <w:t>s</w:t>
      </w:r>
      <w:r w:rsidRPr="00BA61AB">
        <w:t xml:space="preserve"> a </w:t>
      </w:r>
      <w:r>
        <w:t xml:space="preserve">replacement </w:t>
      </w:r>
      <w:r w:rsidRPr="00BA61AB">
        <w:t>forecast for each asset category based upon a probabilistic replacement algorithm.</w:t>
      </w:r>
      <w:r>
        <w:t xml:space="preserve"> The critical factor being simulated is the year-by-year replacement volume. Other forecasts indicated above, can be simply calculated via these forecasts volumes.</w:t>
      </w:r>
    </w:p>
    <w:p w:rsidR="00F46A92" w:rsidRDefault="00F46A92" w:rsidP="00F46A92">
      <w:pPr>
        <w:pStyle w:val="AERbodytext"/>
      </w:pPr>
      <w:r>
        <w:t xml:space="preserve">As discussed in </w:t>
      </w:r>
      <w:r w:rsidR="00D22BD2">
        <w:t xml:space="preserve">section </w:t>
      </w:r>
      <w:r w:rsidR="00D22BD2">
        <w:fldChar w:fldCharType="begin"/>
      </w:r>
      <w:r w:rsidR="00D22BD2">
        <w:instrText xml:space="preserve"> REF _Ref309895871 \r \h </w:instrText>
      </w:r>
      <w:r w:rsidR="00D22BD2">
        <w:fldChar w:fldCharType="separate"/>
      </w:r>
      <w:r w:rsidR="00625828">
        <w:t>3</w:t>
      </w:r>
      <w:r w:rsidR="00D22BD2">
        <w:fldChar w:fldCharType="end"/>
      </w:r>
      <w:r>
        <w:t>, the repex model</w:t>
      </w:r>
      <w:r w:rsidRPr="00BA61AB">
        <w:t xml:space="preserve"> assumes a normal distribution for the replace</w:t>
      </w:r>
      <w:r>
        <w:t xml:space="preserve">ment life across the population. For each asset category, this probability function can be generated from the </w:t>
      </w:r>
      <w:r w:rsidRPr="00BA61AB">
        <w:t>mean and standard deviation</w:t>
      </w:r>
      <w:r>
        <w:t>, which are provided as inputs for each asset category</w:t>
      </w:r>
      <w:r w:rsidRPr="00BA61AB">
        <w:t xml:space="preserve">. </w:t>
      </w:r>
    </w:p>
    <w:p w:rsidR="00F46A92" w:rsidRDefault="00F46A92" w:rsidP="00F46A92">
      <w:pPr>
        <w:pStyle w:val="AERbodytext"/>
      </w:pPr>
      <w:r>
        <w:t>The following indicates how the model predicts the replacement needs of a specific asset category, using:</w:t>
      </w:r>
    </w:p>
    <w:p w:rsidR="00F46A92" w:rsidRDefault="00F46A92" w:rsidP="00F46A92">
      <w:pPr>
        <w:pStyle w:val="AERbulletlistfirststyle"/>
      </w:pPr>
      <w:r>
        <w:t>the age profile for that asset category</w:t>
      </w:r>
    </w:p>
    <w:p w:rsidR="00F46A92" w:rsidRDefault="00F46A92" w:rsidP="00F46A92">
      <w:pPr>
        <w:pStyle w:val="AERbulletlistfirststyle"/>
      </w:pPr>
      <w:r>
        <w:t xml:space="preserve">the mean and standard deviation for that asset category, whereby it is assumed that </w:t>
      </w:r>
      <w:r w:rsidR="00755A35">
        <w:t>these reflect</w:t>
      </w:r>
      <w:r>
        <w:t xml:space="preserve"> the "unconditional" probability density function (i.e. the probability that an asset will be replaced at a specific age - assuming it has just been installed).</w:t>
      </w:r>
    </w:p>
    <w:p w:rsidR="00F46A92" w:rsidRDefault="00F46A92" w:rsidP="00F46A92">
      <w:pPr>
        <w:pStyle w:val="AERbodytext"/>
      </w:pPr>
      <w:r>
        <w:t xml:space="preserve">The important point in this process is that, given we have an age profile that reflects the ages of the assets at a specific point in </w:t>
      </w:r>
      <w:r w:rsidR="00154ECC">
        <w:t>time;</w:t>
      </w:r>
      <w:r>
        <w:t xml:space="preserve"> we know that some assets already have survived to a given age.  Therefore, the unconditional probability function needs to be transformed into a "conditional" probability function.  This is a relatively trivial procedure, based upon standard probability theory.  </w:t>
      </w:r>
    </w:p>
    <w:p w:rsidR="00F46A92" w:rsidRDefault="00F46A92" w:rsidP="00F46A92">
      <w:pPr>
        <w:pStyle w:val="AERbodytext"/>
      </w:pPr>
      <w:r>
        <w:t xml:space="preserve">For example, </w:t>
      </w:r>
      <w:r w:rsidR="00D22BD2">
        <w:fldChar w:fldCharType="begin"/>
      </w:r>
      <w:r w:rsidR="00D22BD2">
        <w:instrText xml:space="preserve"> REF  _Ref286133598 \* Lower \h \r </w:instrText>
      </w:r>
      <w:r w:rsidR="00D22BD2">
        <w:fldChar w:fldCharType="separate"/>
      </w:r>
      <w:r w:rsidR="00625828">
        <w:t>figure 4.1</w:t>
      </w:r>
      <w:r w:rsidR="00D22BD2">
        <w:fldChar w:fldCharType="end"/>
      </w:r>
      <w:r>
        <w:t xml:space="preserve"> depicts the "unconditional" probability density function for the replacement life of an asset type.  This figure represents the probability that an asset will be replaced at a specific age, assuming the average replacement life for such an asset is 40 years.  </w:t>
      </w:r>
    </w:p>
    <w:p w:rsidR="00F46A92" w:rsidRDefault="00F46A92" w:rsidP="00F46A92">
      <w:pPr>
        <w:pStyle w:val="AERfigureheading"/>
      </w:pPr>
      <w:bookmarkStart w:id="69" w:name="_Ref286133598"/>
      <w:r>
        <w:lastRenderedPageBreak/>
        <w:t>Unconditional normal distribution of replacements</w:t>
      </w:r>
      <w:bookmarkEnd w:id="69"/>
    </w:p>
    <w:p w:rsidR="00F46A92" w:rsidRDefault="008B436D" w:rsidP="00F46A92">
      <w:pPr>
        <w:pStyle w:val="AERbodytext"/>
      </w:pPr>
      <w:r>
        <w:rPr>
          <w:noProof/>
          <w:lang w:eastAsia="en-AU"/>
        </w:rPr>
        <w:drawing>
          <wp:inline distT="0" distB="0" distL="0" distR="0">
            <wp:extent cx="4914900" cy="34385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914900" cy="3438525"/>
                    </a:xfrm>
                    <a:prstGeom prst="rect">
                      <a:avLst/>
                    </a:prstGeom>
                    <a:noFill/>
                    <a:ln>
                      <a:noFill/>
                    </a:ln>
                  </pic:spPr>
                </pic:pic>
              </a:graphicData>
            </a:graphic>
          </wp:inline>
        </w:drawing>
      </w:r>
    </w:p>
    <w:p w:rsidR="00F46A92" w:rsidRDefault="00D22BD2" w:rsidP="00F46A92">
      <w:pPr>
        <w:pStyle w:val="AERbodytext"/>
      </w:pPr>
      <w:r>
        <w:fldChar w:fldCharType="begin"/>
      </w:r>
      <w:r>
        <w:instrText xml:space="preserve"> REF _Ref309895939 \r \h </w:instrText>
      </w:r>
      <w:r>
        <w:fldChar w:fldCharType="separate"/>
      </w:r>
      <w:r w:rsidR="00625828">
        <w:t>Figure 4.2</w:t>
      </w:r>
      <w:r>
        <w:fldChar w:fldCharType="end"/>
      </w:r>
      <w:r w:rsidR="00F46A92">
        <w:t xml:space="preserve"> shows a condition probability function, derived from the unconditional functio</w:t>
      </w:r>
      <w:r>
        <w:t>n</w:t>
      </w:r>
      <w:r w:rsidR="00F46A92">
        <w:t xml:space="preserve"> that reflects any assets that are currently 35 years old.  Essentially for each age, such a conditional probability function is derived internally by the model. </w:t>
      </w:r>
    </w:p>
    <w:p w:rsidR="00F46A92" w:rsidRDefault="00F46A92" w:rsidP="00F46A92">
      <w:pPr>
        <w:pStyle w:val="AERfigureheading"/>
      </w:pPr>
      <w:bookmarkStart w:id="70" w:name="_Ref309895939"/>
      <w:r>
        <w:t>Normal distribution of replacements, given 35 years old</w:t>
      </w:r>
      <w:bookmarkEnd w:id="70"/>
    </w:p>
    <w:p w:rsidR="00F46A92" w:rsidRDefault="008B436D" w:rsidP="00F46A92">
      <w:pPr>
        <w:pStyle w:val="AERbodytext"/>
      </w:pPr>
      <w:r>
        <w:rPr>
          <w:noProof/>
          <w:lang w:eastAsia="en-AU"/>
        </w:rPr>
        <w:drawing>
          <wp:inline distT="0" distB="0" distL="0" distR="0">
            <wp:extent cx="4591050" cy="27622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591050" cy="2762250"/>
                    </a:xfrm>
                    <a:prstGeom prst="rect">
                      <a:avLst/>
                    </a:prstGeom>
                    <a:noFill/>
                    <a:ln>
                      <a:noFill/>
                    </a:ln>
                  </pic:spPr>
                </pic:pic>
              </a:graphicData>
            </a:graphic>
          </wp:inline>
        </w:drawing>
      </w:r>
    </w:p>
    <w:p w:rsidR="00F46A92" w:rsidRDefault="00F46A92" w:rsidP="00F46A92">
      <w:pPr>
        <w:pStyle w:val="AERbodytext"/>
      </w:pPr>
      <w:r>
        <w:t>To calculate to total forecast for each asset category, the model simply steps through each element in the age profile:</w:t>
      </w:r>
    </w:p>
    <w:p w:rsidR="00F46A92" w:rsidRDefault="00F46A92" w:rsidP="00F46A92">
      <w:pPr>
        <w:pStyle w:val="AERbulletlistfirststyle"/>
      </w:pPr>
      <w:r>
        <w:t>preparing a conditional probability function from the unconditional parameters, that reflect the age of assets in that element of the age profile</w:t>
      </w:r>
    </w:p>
    <w:p w:rsidR="00F46A92" w:rsidRDefault="00F46A92" w:rsidP="00F46A92">
      <w:pPr>
        <w:pStyle w:val="AERbulletlistfirststyle"/>
      </w:pPr>
      <w:r>
        <w:lastRenderedPageBreak/>
        <w:t xml:space="preserve">calculates the year-by-year forecast volume of assets to be replaced by multiplying the volume of assets in that element of the age profile by the appropriate probability taken from the conditional probability function.  </w:t>
      </w:r>
    </w:p>
    <w:p w:rsidR="00F46A92" w:rsidRDefault="00F46A92" w:rsidP="00F46A92">
      <w:pPr>
        <w:pStyle w:val="AERbodytext"/>
      </w:pPr>
      <w:r>
        <w:t>The total year-by-year volume is simply the sum for each age profile element calculated as above.  The r</w:t>
      </w:r>
      <w:r w:rsidRPr="00BA61AB">
        <w:t xml:space="preserve">eplacement </w:t>
      </w:r>
      <w:r>
        <w:t>expenditure</w:t>
      </w:r>
      <w:r w:rsidRPr="00BA61AB">
        <w:t xml:space="preserve"> </w:t>
      </w:r>
      <w:r>
        <w:t xml:space="preserve">for the asset category </w:t>
      </w:r>
      <w:r w:rsidRPr="00BA61AB">
        <w:t>is calcula</w:t>
      </w:r>
      <w:r>
        <w:t>ted simply as the asset volume</w:t>
      </w:r>
      <w:r w:rsidRPr="00BA61AB">
        <w:t xml:space="preserve"> multiplied by the unit replacement cost.</w:t>
      </w:r>
    </w:p>
    <w:p w:rsidR="00F46A92" w:rsidRPr="00BA61AB" w:rsidRDefault="00F46A92" w:rsidP="00F46A92">
      <w:pPr>
        <w:pStyle w:val="AERbodytext"/>
      </w:pPr>
      <w:r>
        <w:t xml:space="preserve">The replacement algorithm is written as a </w:t>
      </w:r>
      <w:r w:rsidR="00D22BD2">
        <w:t xml:space="preserve">visual basic </w:t>
      </w:r>
      <w:r>
        <w:t>array formula within excel. As such, provided excel is set to have calculations automatically update, any alterations to inputs should be result in the output forecasts being automatically updated.  The user is not required to run any macros</w:t>
      </w:r>
      <w:r w:rsidR="009C4F2A">
        <w:t xml:space="preserve"> after the initial setup of the model</w:t>
      </w:r>
      <w:r w:rsidR="00154ECC">
        <w:t>.</w:t>
      </w:r>
    </w:p>
    <w:p w:rsidR="00F46A92" w:rsidRDefault="00F46A92" w:rsidP="00F46A92">
      <w:pPr>
        <w:pStyle w:val="AERbodytext"/>
      </w:pPr>
    </w:p>
    <w:p w:rsidR="00F46A92" w:rsidRDefault="00F46A92" w:rsidP="00F46A92">
      <w:pPr>
        <w:pStyle w:val="AERbodytext"/>
      </w:pPr>
    </w:p>
    <w:p w:rsidR="00D00B3D" w:rsidRDefault="00D00B3D" w:rsidP="00F46A92">
      <w:pPr>
        <w:pStyle w:val="AERbodytext"/>
      </w:pPr>
    </w:p>
    <w:p w:rsidR="00D00B3D" w:rsidRDefault="00D00B3D" w:rsidP="00F46A92">
      <w:pPr>
        <w:pStyle w:val="AERbodytext"/>
      </w:pPr>
    </w:p>
    <w:p w:rsidR="00D00B3D" w:rsidRDefault="00D00B3D" w:rsidP="00F46A92">
      <w:pPr>
        <w:pStyle w:val="AERbodytext"/>
      </w:pPr>
    </w:p>
    <w:p w:rsidR="00D00B3D" w:rsidRDefault="00D00B3D" w:rsidP="00F46A92">
      <w:pPr>
        <w:pStyle w:val="AERbodytext"/>
      </w:pPr>
    </w:p>
    <w:p w:rsidR="006B42D2" w:rsidRDefault="00D00508" w:rsidP="006B42D2">
      <w:pPr>
        <w:pStyle w:val="AERheading1"/>
      </w:pPr>
      <w:bookmarkStart w:id="71" w:name="_Toc288136164"/>
      <w:bookmarkStart w:id="72" w:name="_Toc288136165"/>
      <w:bookmarkStart w:id="73" w:name="_Toc288136166"/>
      <w:bookmarkStart w:id="74" w:name="_Toc288136167"/>
      <w:bookmarkStart w:id="75" w:name="_Toc288136168"/>
      <w:bookmarkStart w:id="76" w:name="_Toc288136169"/>
      <w:bookmarkStart w:id="77" w:name="_Toc288136170"/>
      <w:bookmarkStart w:id="78" w:name="_Toc288136171"/>
      <w:bookmarkStart w:id="79" w:name="_Toc288136172"/>
      <w:bookmarkStart w:id="80" w:name="_Toc288136173"/>
      <w:bookmarkStart w:id="81" w:name="_Toc288136174"/>
      <w:bookmarkStart w:id="82" w:name="_Toc288136175"/>
      <w:bookmarkStart w:id="83" w:name="_Toc288136176"/>
      <w:bookmarkStart w:id="84" w:name="_Toc288136177"/>
      <w:bookmarkStart w:id="85" w:name="_Toc288136178"/>
      <w:bookmarkStart w:id="86" w:name="_Toc288136179"/>
      <w:bookmarkStart w:id="87" w:name="_Toc288136180"/>
      <w:bookmarkStart w:id="88" w:name="_Toc288136181"/>
      <w:bookmarkStart w:id="89" w:name="_Toc288136182"/>
      <w:bookmarkStart w:id="90" w:name="_Toc288136183"/>
      <w:bookmarkStart w:id="91" w:name="_Toc301344094"/>
      <w:bookmarkStart w:id="92" w:name="_Toc371937008"/>
      <w:bookmarkStart w:id="93" w:name="_Toc288136184"/>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r>
        <w:lastRenderedPageBreak/>
        <w:t>5.</w:t>
      </w:r>
      <w:r>
        <w:tab/>
      </w:r>
      <w:r w:rsidR="006B42D2">
        <w:t>Repex modelling process overview</w:t>
      </w:r>
      <w:bookmarkEnd w:id="91"/>
      <w:bookmarkEnd w:id="92"/>
    </w:p>
    <w:p w:rsidR="006B42D2" w:rsidRDefault="006B42D2" w:rsidP="006B42D2">
      <w:pPr>
        <w:pStyle w:val="AERbodytext"/>
      </w:pPr>
      <w:r>
        <w:t xml:space="preserve">This section provides an overview of the process that should be applied to undertake a repex modelling exercise. This section does not provide a detailed discussion on the preparation of benchmarks; as discussed in Section </w:t>
      </w:r>
      <w:r>
        <w:fldChar w:fldCharType="begin"/>
      </w:r>
      <w:r>
        <w:instrText xml:space="preserve"> REF _Ref298248516 \r \h </w:instrText>
      </w:r>
      <w:r>
        <w:fldChar w:fldCharType="separate"/>
      </w:r>
      <w:r>
        <w:t>4</w:t>
      </w:r>
      <w:r>
        <w:fldChar w:fldCharType="end"/>
      </w:r>
      <w:r>
        <w:t xml:space="preserve">, this can be driven by the specific circumstances of the NSP. </w:t>
      </w:r>
    </w:p>
    <w:p w:rsidR="006B42D2" w:rsidRDefault="006B42D2" w:rsidP="006B42D2">
      <w:pPr>
        <w:pStyle w:val="AERbodytext"/>
      </w:pPr>
      <w:r>
        <w:t>This repex modelling process covers two stages:</w:t>
      </w:r>
    </w:p>
    <w:p w:rsidR="006B42D2" w:rsidRDefault="006B42D2" w:rsidP="006B42D2">
      <w:pPr>
        <w:pStyle w:val="AERbulletlistfirststyle"/>
      </w:pPr>
      <w:r>
        <w:t>Model population and the base case</w:t>
      </w:r>
    </w:p>
    <w:p w:rsidR="006B42D2" w:rsidRDefault="006B42D2" w:rsidP="006B42D2">
      <w:pPr>
        <w:pStyle w:val="AERbulletlistfirststyle"/>
      </w:pPr>
      <w:r>
        <w:t xml:space="preserve">Calibrating the model </w:t>
      </w:r>
    </w:p>
    <w:p w:rsidR="006B42D2" w:rsidRDefault="006B42D2" w:rsidP="006B42D2">
      <w:pPr>
        <w:pStyle w:val="AERbodytext"/>
      </w:pPr>
      <w:r>
        <w:t>These stages are discussed in turn below. In the final section, a step-by-step guide is provided of the typical process followed by AER staff responsible for managing the use of repex models during a regulatory determination.</w:t>
      </w:r>
    </w:p>
    <w:p w:rsidR="006B42D2" w:rsidRDefault="006B42D2" w:rsidP="006B42D2">
      <w:pPr>
        <w:pStyle w:val="AERbodytext"/>
      </w:pPr>
      <w:r>
        <w:t xml:space="preserve">It is important to note that undertaking repex modelling is not a trivial exercise, and the detail of the process may be tailored to specific circumstances of the NSP or the regulatory process. As such, this section should only be considered a guide to undertaking repex modelling, and not an exhaustive reference. </w:t>
      </w:r>
    </w:p>
    <w:p w:rsidR="006B42D2" w:rsidRPr="00BA61AB" w:rsidRDefault="00DA2E0A" w:rsidP="006B42D2">
      <w:pPr>
        <w:pStyle w:val="AERheading2"/>
      </w:pPr>
      <w:bookmarkStart w:id="94" w:name="_Toc301344095"/>
      <w:bookmarkStart w:id="95" w:name="_Toc371937009"/>
      <w:r>
        <w:t>5.1</w:t>
      </w:r>
      <w:r>
        <w:tab/>
      </w:r>
      <w:r w:rsidR="006B42D2" w:rsidRPr="00BA61AB">
        <w:t>Model population</w:t>
      </w:r>
      <w:r w:rsidR="006B42D2">
        <w:t xml:space="preserve"> and the base case</w:t>
      </w:r>
      <w:bookmarkEnd w:id="94"/>
      <w:bookmarkEnd w:id="95"/>
    </w:p>
    <w:p w:rsidR="006B42D2" w:rsidRDefault="006B42D2" w:rsidP="006B42D2">
      <w:pPr>
        <w:pStyle w:val="AERbodytext"/>
      </w:pPr>
      <w:r>
        <w:t>Each NSP being modelled will require a separate model (i.e. workbook). T</w:t>
      </w:r>
      <w:r w:rsidRPr="00BA61AB">
        <w:t xml:space="preserve">he </w:t>
      </w:r>
      <w:r>
        <w:t>first stage in developing a repex model for an NSP is model population. This stage involves the input of data into the model.</w:t>
      </w:r>
    </w:p>
    <w:p w:rsidR="006B42D2" w:rsidRPr="00BA61AB" w:rsidRDefault="006B42D2" w:rsidP="006B42D2">
      <w:pPr>
        <w:pStyle w:val="AERbodytext"/>
      </w:pPr>
      <w:r>
        <w:t xml:space="preserve">A </w:t>
      </w:r>
      <w:r w:rsidRPr="00BA61AB">
        <w:t>repex mod</w:t>
      </w:r>
      <w:r>
        <w:t>el can be prepared</w:t>
      </w:r>
      <w:r w:rsidRPr="00BA61AB">
        <w:t xml:space="preserve"> using data </w:t>
      </w:r>
      <w:r>
        <w:t>directly provided by the NSP through regulatory information notices</w:t>
      </w:r>
      <w:r w:rsidRPr="00BA61AB">
        <w:t>.</w:t>
      </w:r>
      <w:r>
        <w:t xml:space="preserve"> The data provided by </w:t>
      </w:r>
      <w:r w:rsidRPr="00BA61AB">
        <w:t xml:space="preserve">NSPs </w:t>
      </w:r>
      <w:r>
        <w:t>should include all the inputs described in the previous section, namely</w:t>
      </w:r>
      <w:r w:rsidRPr="00BA61AB">
        <w:t>:</w:t>
      </w:r>
    </w:p>
    <w:p w:rsidR="006B42D2" w:rsidRPr="00BA61AB" w:rsidRDefault="006B42D2" w:rsidP="006B42D2">
      <w:pPr>
        <w:pStyle w:val="AERbulletlistfirststyle"/>
      </w:pPr>
      <w:r w:rsidRPr="00BA61AB">
        <w:t xml:space="preserve">asset category age </w:t>
      </w:r>
      <w:r>
        <w:t>profiles and associated asset group</w:t>
      </w:r>
    </w:p>
    <w:p w:rsidR="006B42D2" w:rsidRPr="00BA61AB" w:rsidRDefault="006B42D2" w:rsidP="006B42D2">
      <w:pPr>
        <w:pStyle w:val="AERbulletlistfirststyle"/>
      </w:pPr>
      <w:r w:rsidRPr="00BA61AB">
        <w:t xml:space="preserve">asset category replacement lives, including the mean replacement life and </w:t>
      </w:r>
      <w:r>
        <w:t>standard deviation</w:t>
      </w:r>
    </w:p>
    <w:p w:rsidR="006B42D2" w:rsidRPr="00BA61AB" w:rsidRDefault="006B42D2" w:rsidP="006B42D2">
      <w:pPr>
        <w:pStyle w:val="AERbulletlistfirststyle"/>
      </w:pPr>
      <w:r w:rsidRPr="00BA61AB">
        <w:t>asset category unit costs.</w:t>
      </w:r>
    </w:p>
    <w:p w:rsidR="006B42D2" w:rsidRDefault="006B42D2" w:rsidP="006B42D2">
      <w:pPr>
        <w:pStyle w:val="AERbodytext"/>
      </w:pPr>
      <w:r>
        <w:t>This should be provided in spreadsheet form such that it can easily be transferred into the appropriate location in the repex model. Normally, a blank spreadsheet template will be provided to the NSP under the RIN process to collect this data in an appropriate format.</w:t>
      </w:r>
    </w:p>
    <w:p w:rsidR="006B42D2" w:rsidRDefault="006B42D2" w:rsidP="006B42D2">
      <w:pPr>
        <w:pStyle w:val="AERbodytext"/>
      </w:pPr>
      <w:r>
        <w:t>Appendix A provides more specific information on where input data is actually placed within the repex model.</w:t>
      </w:r>
    </w:p>
    <w:p w:rsidR="006B42D2" w:rsidRDefault="006B42D2" w:rsidP="006B42D2">
      <w:pPr>
        <w:pStyle w:val="AERbodytext"/>
      </w:pPr>
      <w:r w:rsidRPr="00BA61AB">
        <w:t xml:space="preserve">The </w:t>
      </w:r>
      <w:r>
        <w:t xml:space="preserve">NSP </w:t>
      </w:r>
      <w:r w:rsidRPr="00BA61AB">
        <w:t>responses</w:t>
      </w:r>
      <w:r>
        <w:t>, provided under the RIN,</w:t>
      </w:r>
      <w:r w:rsidRPr="00BA61AB">
        <w:t xml:space="preserve"> </w:t>
      </w:r>
      <w:r>
        <w:t>should also include</w:t>
      </w:r>
      <w:r w:rsidRPr="00BA61AB">
        <w:t xml:space="preserve"> other clarifying information on various matters</w:t>
      </w:r>
      <w:r>
        <w:t xml:space="preserve"> that assist in the preparation and verification of the model. This should include</w:t>
      </w:r>
      <w:r w:rsidRPr="00BA61AB">
        <w:t>:</w:t>
      </w:r>
    </w:p>
    <w:p w:rsidR="002336A6" w:rsidRDefault="002336A6" w:rsidP="006B42D2">
      <w:pPr>
        <w:pStyle w:val="AERbodytext"/>
      </w:pPr>
    </w:p>
    <w:tbl>
      <w:tblPr>
        <w:tblW w:w="0" w:type="auto"/>
        <w:tblLook w:val="0000" w:firstRow="0" w:lastRow="0" w:firstColumn="0" w:lastColumn="0" w:noHBand="0" w:noVBand="0"/>
      </w:tblPr>
      <w:tblGrid>
        <w:gridCol w:w="2660"/>
        <w:gridCol w:w="5868"/>
      </w:tblGrid>
      <w:tr w:rsidR="006B42D2" w:rsidTr="0054269D">
        <w:tc>
          <w:tcPr>
            <w:tcW w:w="2660" w:type="dxa"/>
          </w:tcPr>
          <w:p w:rsidR="006B42D2" w:rsidRPr="006B42D2" w:rsidRDefault="006B42D2" w:rsidP="006B42D2">
            <w:pPr>
              <w:pStyle w:val="AERtabletext"/>
            </w:pPr>
            <w:r>
              <w:lastRenderedPageBreak/>
              <w:t>T</w:t>
            </w:r>
            <w:r w:rsidRPr="006B42D2">
              <w:t>he nature of the asset category and boundary issues</w:t>
            </w:r>
          </w:p>
        </w:tc>
        <w:tc>
          <w:tcPr>
            <w:tcW w:w="5868" w:type="dxa"/>
          </w:tcPr>
          <w:p w:rsidR="006B42D2" w:rsidRPr="006B42D2" w:rsidRDefault="006B42D2" w:rsidP="006B42D2">
            <w:pPr>
              <w:pStyle w:val="AERtabletext"/>
            </w:pPr>
            <w:r>
              <w:t xml:space="preserve">This should provide a description of the asset </w:t>
            </w:r>
            <w:r w:rsidRPr="006B42D2">
              <w:t>category and where the boundaries between that and other assets exist. These matters can be helpful in understanding the nature of an asset category and what elements of the asset should be covered by the unit costs. This in turn is useful when comparing asset categories from one NSP to another.</w:t>
            </w:r>
          </w:p>
        </w:tc>
      </w:tr>
      <w:tr w:rsidR="006B42D2" w:rsidTr="0054269D">
        <w:tc>
          <w:tcPr>
            <w:tcW w:w="2660" w:type="dxa"/>
          </w:tcPr>
          <w:p w:rsidR="006B42D2" w:rsidRPr="006B42D2" w:rsidRDefault="006B42D2" w:rsidP="006B42D2">
            <w:pPr>
              <w:pStyle w:val="AERtabletext"/>
            </w:pPr>
            <w:r>
              <w:t>The derivation of the unit cost and asset life</w:t>
            </w:r>
          </w:p>
        </w:tc>
        <w:tc>
          <w:tcPr>
            <w:tcW w:w="5868" w:type="dxa"/>
          </w:tcPr>
          <w:p w:rsidR="006B42D2" w:rsidRPr="006B42D2" w:rsidRDefault="006B42D2" w:rsidP="006B42D2">
            <w:pPr>
              <w:pStyle w:val="AERtabletext"/>
            </w:pPr>
            <w:r>
              <w:t>This can be helpful when assessing the basis for unit costs and lives, including whether they should reflect prudent and efficient circumstances or can be considered comparable to other NSPs.</w:t>
            </w:r>
          </w:p>
        </w:tc>
      </w:tr>
      <w:tr w:rsidR="006B42D2" w:rsidTr="0054269D">
        <w:tc>
          <w:tcPr>
            <w:tcW w:w="2660" w:type="dxa"/>
          </w:tcPr>
          <w:p w:rsidR="006B42D2" w:rsidRPr="006B42D2" w:rsidRDefault="006B42D2" w:rsidP="006B42D2">
            <w:pPr>
              <w:pStyle w:val="AERtabletext"/>
            </w:pPr>
            <w:r>
              <w:t>The recent historical level of replacement as seen through the age profile</w:t>
            </w:r>
          </w:p>
        </w:tc>
        <w:tc>
          <w:tcPr>
            <w:tcW w:w="5868" w:type="dxa"/>
          </w:tcPr>
          <w:p w:rsidR="006B42D2" w:rsidRPr="006B42D2" w:rsidRDefault="006B42D2" w:rsidP="006B42D2">
            <w:pPr>
              <w:pStyle w:val="AERtabletext"/>
            </w:pPr>
            <w:r>
              <w:t>This can be helpful when verifying other historical replacement volume information provided by an NSP.</w:t>
            </w:r>
            <w:r w:rsidRPr="006B42D2">
              <w:t xml:space="preserve"> Moreover, in the absence of more specific information, this can be used in the calibration exercise to gauge the historical replacement volume.</w:t>
            </w:r>
          </w:p>
        </w:tc>
      </w:tr>
      <w:tr w:rsidR="006B42D2" w:rsidTr="0054269D">
        <w:tc>
          <w:tcPr>
            <w:tcW w:w="2660" w:type="dxa"/>
          </w:tcPr>
          <w:p w:rsidR="006B42D2" w:rsidRPr="006B42D2" w:rsidRDefault="006B42D2" w:rsidP="006B42D2">
            <w:pPr>
              <w:pStyle w:val="AERtabletext"/>
            </w:pPr>
            <w:r>
              <w:t>I</w:t>
            </w:r>
            <w:r w:rsidRPr="006B42D2">
              <w:t>nformation on the previous replacement modelling exercise</w:t>
            </w:r>
          </w:p>
        </w:tc>
        <w:tc>
          <w:tcPr>
            <w:tcW w:w="5868" w:type="dxa"/>
          </w:tcPr>
          <w:p w:rsidR="006B42D2" w:rsidRPr="006B42D2" w:rsidRDefault="006B42D2" w:rsidP="006B42D2">
            <w:pPr>
              <w:pStyle w:val="AERtabletext"/>
            </w:pPr>
            <w:r>
              <w:t>Many NSPs may have undertaken similar re</w:t>
            </w:r>
            <w:r w:rsidRPr="006B42D2">
              <w:t xml:space="preserve">placement modelling exercises for previous regulatory submissions. Information on this modelling can be helpful in understanding why previous models may have under or overstated replacement needs. For example, were the lives too </w:t>
            </w:r>
            <w:r w:rsidR="00154ECC" w:rsidRPr="006B42D2">
              <w:t>short</w:t>
            </w:r>
            <w:r w:rsidRPr="006B42D2">
              <w:t xml:space="preserve"> or unit cost too high, or was there a data inaccuracy in the age profile? Useful information may include historical age profiles, lives and costs, the forecasts provided by these modelling exercises, and reports prepared on the modelling exercise.</w:t>
            </w:r>
          </w:p>
        </w:tc>
      </w:tr>
    </w:tbl>
    <w:p w:rsidR="006B42D2" w:rsidRDefault="006B42D2" w:rsidP="006B42D2">
      <w:pPr>
        <w:pStyle w:val="AERbodytext"/>
      </w:pPr>
      <w:r>
        <w:t xml:space="preserve">The final step in the population stage should involve a thorough review of the model, including the inputs it provides and the outputs. This is required to determine whether there are gaps in the information (e.g. missing lives or units cost). </w:t>
      </w:r>
    </w:p>
    <w:p w:rsidR="006B42D2" w:rsidRDefault="006B42D2" w:rsidP="006B42D2">
      <w:pPr>
        <w:pStyle w:val="AERbodytext"/>
      </w:pPr>
      <w:r>
        <w:t xml:space="preserve">A common occurrence in this regard is the standard deviation for the replacement life is not provided - normally owing to this not being known by the NSP. In these circumstances, the standard deviation can be set to the square root of the mean life. </w:t>
      </w:r>
      <w:r w:rsidR="002336A6">
        <w:t>This approximation may, however, overstate the standard deviation. Its use longer term should be discouraged.</w:t>
      </w:r>
    </w:p>
    <w:p w:rsidR="006B42D2" w:rsidRDefault="006B42D2" w:rsidP="006B42D2">
      <w:pPr>
        <w:pStyle w:val="AERbodytext"/>
      </w:pPr>
      <w:r>
        <w:t>It may also be that data provided does not align with the modelling methodology - often through a lack of understanding by the NSP. Examples of these circumstances are:</w:t>
      </w:r>
    </w:p>
    <w:p w:rsidR="006B42D2" w:rsidRDefault="006B42D2" w:rsidP="006B42D2">
      <w:pPr>
        <w:pStyle w:val="AERbulletlistfirststyle"/>
      </w:pPr>
      <w:r>
        <w:t>an age profile where the unit is anomalous to the unit cost e.g. old protection systems may have individual relays as the age profile unit, but the unit cost may reflect a modern digital unit that encompasses a number of relays</w:t>
      </w:r>
    </w:p>
    <w:p w:rsidR="006B42D2" w:rsidRDefault="006B42D2" w:rsidP="006B42D2">
      <w:pPr>
        <w:pStyle w:val="AERbulletlistfirststyle"/>
      </w:pPr>
      <w:r>
        <w:t>an age profile where the age is anomalous to the life e.g. poles that are staked may result in a life extension of 20 years; the age profile for staked poles may be given a life of 20 years, but age is the installation date of the pole not when it was staked</w:t>
      </w:r>
    </w:p>
    <w:p w:rsidR="006B42D2" w:rsidRDefault="006B42D2" w:rsidP="006B42D2">
      <w:pPr>
        <w:pStyle w:val="AERbulletlistfirststyle"/>
      </w:pPr>
      <w:r>
        <w:t>assets are included that should not be modelled through this process, for example those providing alternate control services.</w:t>
      </w:r>
    </w:p>
    <w:p w:rsidR="006B42D2" w:rsidRPr="00BA61AB" w:rsidRDefault="006B42D2" w:rsidP="006B42D2">
      <w:pPr>
        <w:pStyle w:val="AERbodytext"/>
      </w:pPr>
      <w:r>
        <w:t>The outcome of the above review may require clarifications on some matters to be provided by the NSP.</w:t>
      </w:r>
    </w:p>
    <w:p w:rsidR="006B42D2" w:rsidRDefault="006B42D2" w:rsidP="006B42D2">
      <w:pPr>
        <w:pStyle w:val="AERbodytext"/>
      </w:pPr>
      <w:r>
        <w:t>Following the conclusion of this review, the model is ready to prepare a "base-</w:t>
      </w:r>
      <w:r w:rsidRPr="00BA61AB">
        <w:t>case</w:t>
      </w:r>
      <w:r>
        <w:t>" replacement scenario for the NSP</w:t>
      </w:r>
      <w:r w:rsidRPr="00BA61AB">
        <w:t>.</w:t>
      </w:r>
      <w:r>
        <w:t xml:space="preserve"> The base-case scenario is essentially the replacement forecast prepared directly from the NSP's input data, with any of the </w:t>
      </w:r>
      <w:r>
        <w:lastRenderedPageBreak/>
        <w:t>adjustments noted above. This base-case is produced inherently through the model population process.</w:t>
      </w:r>
    </w:p>
    <w:p w:rsidR="006B42D2" w:rsidRDefault="006B42D2" w:rsidP="006B42D2">
      <w:pPr>
        <w:pStyle w:val="AERbodytext"/>
      </w:pPr>
      <w:r>
        <w:t xml:space="preserve">The purpose of the base-case is to provide a reference forecast from which the NSP's proposal can be compared - irrespective of whether a calibration process is applied. The base-case forecast demonstrates whether the NSP's asset lives and unit costs are reflective of the NSP's view of its replacement needs. </w:t>
      </w:r>
    </w:p>
    <w:p w:rsidR="006B42D2" w:rsidRDefault="00DA2E0A" w:rsidP="006B42D2">
      <w:pPr>
        <w:pStyle w:val="AERheading2"/>
      </w:pPr>
      <w:bookmarkStart w:id="96" w:name="_Toc301344096"/>
      <w:bookmarkStart w:id="97" w:name="_Toc371937010"/>
      <w:r>
        <w:t>5.2</w:t>
      </w:r>
      <w:r>
        <w:tab/>
      </w:r>
      <w:r w:rsidR="006B42D2">
        <w:t>The calibrated model</w:t>
      </w:r>
      <w:bookmarkEnd w:id="96"/>
      <w:bookmarkEnd w:id="97"/>
    </w:p>
    <w:p w:rsidR="006B42D2" w:rsidRDefault="006B42D2" w:rsidP="006B42D2">
      <w:pPr>
        <w:pStyle w:val="AERbodytext"/>
      </w:pPr>
      <w:r>
        <w:t xml:space="preserve">The calibrated model is used to develop the benchmark forecast. As discussed in Section </w:t>
      </w:r>
      <w:r>
        <w:fldChar w:fldCharType="begin"/>
      </w:r>
      <w:r>
        <w:instrText xml:space="preserve"> REF _Ref298248516 \r \h </w:instrText>
      </w:r>
      <w:r>
        <w:fldChar w:fldCharType="separate"/>
      </w:r>
      <w:r>
        <w:t>4</w:t>
      </w:r>
      <w:r>
        <w:fldChar w:fldCharType="end"/>
      </w:r>
      <w:r>
        <w:t>, the purpose of the calibration exercise is to determine the set of asset lives and unit costs that represent the historical replacement level of the NSP.</w:t>
      </w:r>
    </w:p>
    <w:p w:rsidR="006B42D2" w:rsidRDefault="006B42D2" w:rsidP="006B42D2">
      <w:pPr>
        <w:pStyle w:val="AERbodytext"/>
      </w:pPr>
      <w:r>
        <w:t>Ideally, calibration should be applied at the individual asset category level and should utilise the following process:</w:t>
      </w:r>
    </w:p>
    <w:p w:rsidR="006B42D2" w:rsidRDefault="006B42D2" w:rsidP="006B42D2">
      <w:pPr>
        <w:pStyle w:val="AERbodytext"/>
      </w:pPr>
      <w:r>
        <w:t>For each asset category:</w:t>
      </w:r>
    </w:p>
    <w:p w:rsidR="006B42D2" w:rsidRPr="00BF23BB" w:rsidRDefault="006B42D2" w:rsidP="006B42D2">
      <w:pPr>
        <w:pStyle w:val="AERbulletlistfirststyle"/>
      </w:pPr>
      <w:r w:rsidRPr="00BF23BB">
        <w:t xml:space="preserve">Stage 1 - </w:t>
      </w:r>
      <w:r>
        <w:t>Calibrate life</w:t>
      </w:r>
    </w:p>
    <w:p w:rsidR="006B42D2" w:rsidRPr="006B42D2" w:rsidRDefault="006B42D2" w:rsidP="006B42D2">
      <w:pPr>
        <w:pStyle w:val="AERbulletlistsecondstyle"/>
      </w:pPr>
      <w:r>
        <w:t xml:space="preserve">Get </w:t>
      </w:r>
      <w:r w:rsidRPr="006B42D2">
        <w:t>the actual historical replacement volumes over the most recent duration that reflects the regulatory period (e.g. 5 years of the most recent actuals)</w:t>
      </w:r>
    </w:p>
    <w:p w:rsidR="006B42D2" w:rsidRPr="006B42D2" w:rsidRDefault="006B42D2" w:rsidP="006B42D2">
      <w:pPr>
        <w:pStyle w:val="AERbulletlistthirdstyle"/>
      </w:pPr>
      <w:r>
        <w:t xml:space="preserve">Option 1 - ideally, </w:t>
      </w:r>
      <w:r w:rsidRPr="006B42D2">
        <w:t xml:space="preserve">historical volumes </w:t>
      </w:r>
      <w:r w:rsidR="002336A6">
        <w:t>as</w:t>
      </w:r>
      <w:r w:rsidRPr="006B42D2">
        <w:t xml:space="preserve"> provided by the NSP as part of the RIN process</w:t>
      </w:r>
    </w:p>
    <w:p w:rsidR="006B42D2" w:rsidRPr="006B42D2" w:rsidRDefault="006B42D2" w:rsidP="006B42D2">
      <w:pPr>
        <w:pStyle w:val="AERbulletlistthirdstyle"/>
      </w:pPr>
      <w:r>
        <w:t>Option 2 - if the data cannot be provided, this can be estimated based upon the volumes in the age profile and the proportion of this associated with replacements as described by the NSP in response to the requests noted above</w:t>
      </w:r>
    </w:p>
    <w:p w:rsidR="006B42D2" w:rsidRPr="006B42D2" w:rsidRDefault="006B42D2" w:rsidP="006B42D2">
      <w:pPr>
        <w:pStyle w:val="AERbulletlistsecondstyle"/>
      </w:pPr>
      <w:r>
        <w:t>Calculate the average annual replacement volume over this historical period</w:t>
      </w:r>
    </w:p>
    <w:p w:rsidR="006B42D2" w:rsidRPr="006B42D2" w:rsidRDefault="006B42D2" w:rsidP="006B42D2">
      <w:pPr>
        <w:pStyle w:val="AERbulletlistsecondstyle"/>
      </w:pPr>
      <w:r>
        <w:t>Adjust the mean replacement life until the forecast volume of replaced assets in the first year of the forecast period equals the average actual volume, calculated above</w:t>
      </w:r>
      <w:r w:rsidRPr="006B42D2">
        <w:rPr>
          <w:rStyle w:val="FootnoteReference"/>
        </w:rPr>
        <w:footnoteReference w:id="6"/>
      </w:r>
      <w:r w:rsidRPr="006B42D2">
        <w:t xml:space="preserve">. </w:t>
      </w:r>
    </w:p>
    <w:p w:rsidR="006B42D2" w:rsidRDefault="006B42D2" w:rsidP="006B42D2">
      <w:pPr>
        <w:pStyle w:val="AERbulletlistfirststyle"/>
      </w:pPr>
      <w:r>
        <w:t>Stage 2 - calibrate unit cost</w:t>
      </w:r>
    </w:p>
    <w:p w:rsidR="006B42D2" w:rsidRPr="006B42D2" w:rsidRDefault="006B42D2" w:rsidP="006B42D2">
      <w:pPr>
        <w:pStyle w:val="AERbulletlistsecondstyle"/>
      </w:pPr>
      <w:r>
        <w:t xml:space="preserve">Option 1 - at the asset category level, a similar process to that described above </w:t>
      </w:r>
      <w:r w:rsidRPr="006B42D2">
        <w:t>for the replacement lives should be applied, using the average annual actual historical replacement expenditure and adjusting the unit costs</w:t>
      </w:r>
    </w:p>
    <w:p w:rsidR="006B42D2" w:rsidRPr="006B42D2" w:rsidRDefault="006B42D2" w:rsidP="006B42D2">
      <w:pPr>
        <w:pStyle w:val="AERbulletlistsecondstyle"/>
      </w:pPr>
      <w:r>
        <w:t>Option 2 - generally historical replacement costs cannot be provided at such a disaggregated level.</w:t>
      </w:r>
      <w:r w:rsidRPr="006B42D2">
        <w:t xml:space="preserve"> In these circumstances, historical costs for an asset group could be used. This will require the global scaling of unit costs for all relevant asset categories.</w:t>
      </w:r>
    </w:p>
    <w:p w:rsidR="006B42D2" w:rsidRDefault="006B42D2" w:rsidP="006B42D2">
      <w:pPr>
        <w:pStyle w:val="AERbulletlistfirststyle"/>
      </w:pPr>
      <w:r>
        <w:lastRenderedPageBreak/>
        <w:t>Stage 3 - re-calibrate to allow for the trend in replacement volumes seen through the model</w:t>
      </w:r>
    </w:p>
    <w:p w:rsidR="006B42D2" w:rsidRPr="006B42D2" w:rsidRDefault="006B42D2" w:rsidP="006B42D2">
      <w:pPr>
        <w:pStyle w:val="AERbulletlistsecondstyle"/>
      </w:pPr>
      <w:r>
        <w:t xml:space="preserve">determine </w:t>
      </w:r>
      <w:r w:rsidRPr="006B42D2">
        <w:t>the annual percentage increase in the forecast volumes calculated by the model</w:t>
      </w:r>
    </w:p>
    <w:p w:rsidR="006B42D2" w:rsidRPr="006B42D2" w:rsidRDefault="006B42D2" w:rsidP="006B42D2">
      <w:pPr>
        <w:pStyle w:val="AERbulletlistsecondstyle"/>
      </w:pPr>
      <w:r>
        <w:t xml:space="preserve">re-adjust </w:t>
      </w:r>
      <w:r w:rsidRPr="006B42D2">
        <w:t xml:space="preserve">the asset life to ensure the replacement </w:t>
      </w:r>
      <w:r w:rsidR="00154ECC" w:rsidRPr="006B42D2">
        <w:t>volumes in the first year of the forecast period reflect</w:t>
      </w:r>
      <w:r w:rsidRPr="006B42D2">
        <w:t xml:space="preserve"> this growth.</w:t>
      </w:r>
    </w:p>
    <w:p w:rsidR="006B42D2" w:rsidRDefault="006B42D2" w:rsidP="006B42D2">
      <w:pPr>
        <w:pStyle w:val="AERbodytext"/>
      </w:pPr>
      <w:r>
        <w:t xml:space="preserve">This model should now have lives and unit costs that reflect the recent historical replacement levels. These lives and unit costs can then be used for benchmarking purposes. </w:t>
      </w:r>
    </w:p>
    <w:p w:rsidR="006B42D2" w:rsidRDefault="006B42D2" w:rsidP="006B42D2">
      <w:pPr>
        <w:pStyle w:val="AERbodytext"/>
      </w:pPr>
      <w:r>
        <w:t>In circumstances where the AER is satisfied that the historical replacement levels reasonably reflect prudent and efficient expenditure then this calibrated model could be considered the benchmark model.</w:t>
      </w:r>
    </w:p>
    <w:p w:rsidR="006B42D2" w:rsidRDefault="006B42D2" w:rsidP="006B42D2">
      <w:pPr>
        <w:pStyle w:val="AERbodytext"/>
      </w:pPr>
      <w:r>
        <w:t>In circumstances where this prudency and efficiency assumption cannot be made then a benchmarking exercise with other NSP lives and/or unit costs may need to be undertaken. In these circumstances, the derived benchmark lives and/or unit cost derived through the benchmarking process would need to be input back into the model to prepare the benchmark forecast.</w:t>
      </w:r>
    </w:p>
    <w:p w:rsidR="003F2771" w:rsidRDefault="003F2771" w:rsidP="003F2771">
      <w:pPr>
        <w:pStyle w:val="AERbodytext"/>
      </w:pPr>
      <w:r>
        <w:t>Note that c</w:t>
      </w:r>
      <w:r w:rsidRPr="0054269D">
        <w:t xml:space="preserve">alibration of the model is dependent on the circumstances of the NSP. It was assumed under the Victorian regulatory determination that the Victorian DNSPs' historical replacement rate was efficient. </w:t>
      </w:r>
      <w:r>
        <w:t xml:space="preserve">This was based on an assessment of factors including the DNSPs responses to incentive regulation, the financial governance of the businesses and empirical factors such as the apparent replacement rates of assets, the service life of the assets and general reliability performance. </w:t>
      </w:r>
    </w:p>
    <w:p w:rsidR="003F2771" w:rsidRPr="0054269D" w:rsidRDefault="003F2771" w:rsidP="003F2771">
      <w:pPr>
        <w:pStyle w:val="AERbodytext"/>
      </w:pPr>
      <w:r w:rsidRPr="0054269D">
        <w:t xml:space="preserve">If a risk adverse DNSP replaces assets prematurely then this policy will likely exaggerate the projected need for future replacements. Conversely, if a capital constrained DNSP had a history of replacing too few assets then this can lead to an under-estimation of the future asset replacement need. </w:t>
      </w:r>
      <w:r>
        <w:t xml:space="preserve">By comparing replacement data for similar assets across several DNSPs it should be possible to infer where a particular NSP sits in the spectrum of possible responses to the incentive framework. </w:t>
      </w:r>
    </w:p>
    <w:p w:rsidR="003F2771" w:rsidRDefault="003F2771" w:rsidP="003F2771">
      <w:pPr>
        <w:pStyle w:val="AERbodytext"/>
      </w:pPr>
      <w:r w:rsidRPr="0054269D">
        <w:t xml:space="preserve">The calibration process should be adjusted to take these circumstances into account. </w:t>
      </w:r>
    </w:p>
    <w:p w:rsidR="006B42D2" w:rsidRDefault="00DA2E0A" w:rsidP="006B42D2">
      <w:pPr>
        <w:pStyle w:val="AERheading2"/>
      </w:pPr>
      <w:bookmarkStart w:id="98" w:name="_Toc301344097"/>
      <w:bookmarkStart w:id="99" w:name="_Toc371937011"/>
      <w:r>
        <w:t>5.3</w:t>
      </w:r>
      <w:r>
        <w:tab/>
      </w:r>
      <w:r w:rsidR="006B42D2">
        <w:t>Step by step replacement capex assessment procedure</w:t>
      </w:r>
      <w:bookmarkEnd w:id="98"/>
      <w:bookmarkEnd w:id="99"/>
    </w:p>
    <w:p w:rsidR="006B42D2" w:rsidRDefault="006B42D2" w:rsidP="006B42D2">
      <w:pPr>
        <w:pStyle w:val="AERbodytext"/>
      </w:pPr>
      <w:r>
        <w:t xml:space="preserve">This section outlines the likely steps that may be required to assess replacement capex. It should be noted however that this should only be used as a guide as individual regulatory proposals </w:t>
      </w:r>
      <w:r w:rsidR="00B36141">
        <w:t xml:space="preserve">will </w:t>
      </w:r>
      <w:r>
        <w:t>vary in nature.</w:t>
      </w:r>
    </w:p>
    <w:p w:rsidR="006B42D2" w:rsidRDefault="006B42D2" w:rsidP="006B42D2">
      <w:pPr>
        <w:pStyle w:val="AERnumberedlistfirststyle"/>
      </w:pPr>
      <w:r>
        <w:t xml:space="preserve">In order to conduct repex modelling the first step in the process would be to collect the data/inputs to populate and calibrate the model. </w:t>
      </w:r>
      <w:r w:rsidR="00350C79">
        <w:t>A RIN or similar instrument</w:t>
      </w:r>
      <w:r>
        <w:t xml:space="preserve"> will be sent to the NSP:</w:t>
      </w:r>
    </w:p>
    <w:p w:rsidR="006B42D2" w:rsidRPr="006B42D2" w:rsidRDefault="00350C79" w:rsidP="006B42D2">
      <w:pPr>
        <w:pStyle w:val="AERnumberedlistsecondstyle"/>
      </w:pPr>
      <w:r>
        <w:t xml:space="preserve">listing the </w:t>
      </w:r>
      <w:r w:rsidR="006B42D2">
        <w:t xml:space="preserve">data inputs required to run to the repex model </w:t>
      </w:r>
    </w:p>
    <w:p w:rsidR="006B42D2" w:rsidRPr="006B42D2" w:rsidRDefault="00350C79" w:rsidP="006B42D2">
      <w:pPr>
        <w:pStyle w:val="AERnumberedlistsecondstyle"/>
      </w:pPr>
      <w:r>
        <w:lastRenderedPageBreak/>
        <w:t xml:space="preserve">the written </w:t>
      </w:r>
      <w:r w:rsidR="006B42D2">
        <w:t xml:space="preserve">list of questions </w:t>
      </w:r>
      <w:r>
        <w:t>needed to support the assessment</w:t>
      </w:r>
      <w:r w:rsidR="006B42D2">
        <w:t>. This information will be used to assess the replacement capex proposal and to calibrate the repex model.</w:t>
      </w:r>
    </w:p>
    <w:p w:rsidR="006B42D2" w:rsidRDefault="00350C79" w:rsidP="006B42D2">
      <w:pPr>
        <w:pStyle w:val="AERnumberedlistfirststyle"/>
      </w:pPr>
      <w:r>
        <w:t>T</w:t>
      </w:r>
      <w:r w:rsidR="006B42D2">
        <w:t>he second step in the process should be to review the NSP's regulatory proposal. Particular attention should be paid to the drivers of the replacement capex program, particularly why or how the expenditure has changed over time.</w:t>
      </w:r>
    </w:p>
    <w:p w:rsidR="006B42D2" w:rsidRDefault="006B42D2" w:rsidP="006B42D2">
      <w:pPr>
        <w:pStyle w:val="AERnumberedlistfirststyle"/>
      </w:pPr>
      <w:r>
        <w:t xml:space="preserve">Once the information has been received, the </w:t>
      </w:r>
      <w:r w:rsidR="002336A6">
        <w:t xml:space="preserve">model </w:t>
      </w:r>
      <w:r>
        <w:t xml:space="preserve">will need to </w:t>
      </w:r>
      <w:r w:rsidR="002336A6">
        <w:t xml:space="preserve">be </w:t>
      </w:r>
      <w:r>
        <w:t>calibrate</w:t>
      </w:r>
      <w:r w:rsidR="002336A6">
        <w:t>d</w:t>
      </w:r>
      <w:r>
        <w:t xml:space="preserve"> to develop a benchmark repex model forecast. </w:t>
      </w:r>
    </w:p>
    <w:p w:rsidR="006B42D2" w:rsidRDefault="006B42D2" w:rsidP="006B42D2">
      <w:pPr>
        <w:pStyle w:val="AERnumberedlistfirststyle"/>
      </w:pPr>
      <w:r>
        <w:t xml:space="preserve">Once this benchmark forecast has been derived, at the asset level, compare the repex model forecast with the NSP's forecast. If both forecasts are similar or the NSP's forecast is lower, it may be possible to conclude that the forecast for that particular asset is efficient. Having said this, one should be cautious in forming this view, as it will depend on the NSP's forecasting methodology, asset definitions and rationale for replacements. </w:t>
      </w:r>
    </w:p>
    <w:p w:rsidR="006B42D2" w:rsidRDefault="006B42D2" w:rsidP="006B42D2">
      <w:pPr>
        <w:pStyle w:val="AERnumberedlistfirststyle"/>
      </w:pPr>
      <w:r>
        <w:t xml:space="preserve">Where the NSP's forecast is higher than the repex model, the first point of reference should be to review the answers to the questions in </w:t>
      </w:r>
      <w:r w:rsidR="00350C79">
        <w:t>the RIN</w:t>
      </w:r>
      <w:r>
        <w:t xml:space="preserve"> and the NSP's asset management plans to identify the reasons for the increase. During this process, it would also be beneficial </w:t>
      </w:r>
      <w:r w:rsidR="001901D1">
        <w:t xml:space="preserve">for AER staff </w:t>
      </w:r>
      <w:r>
        <w:t xml:space="preserve">to consult with </w:t>
      </w:r>
      <w:r w:rsidR="001901D1">
        <w:t>technical</w:t>
      </w:r>
      <w:r>
        <w:t xml:space="preserve"> expert</w:t>
      </w:r>
      <w:r w:rsidR="001901D1">
        <w:t>s (internal or external)</w:t>
      </w:r>
      <w:r>
        <w:t xml:space="preserve"> to form an opinion on the technical aspects of the replacement profile. Similar to the above, the reasons for an increase in expenditure will vary from NSPs because of either/or/and:</w:t>
      </w:r>
    </w:p>
    <w:p w:rsidR="006B42D2" w:rsidRPr="006B42D2" w:rsidRDefault="006B42D2" w:rsidP="006B42D2">
      <w:pPr>
        <w:pStyle w:val="AERnumberedlistsecondstyle"/>
      </w:pPr>
      <w:r>
        <w:t xml:space="preserve">the </w:t>
      </w:r>
      <w:r w:rsidRPr="006B42D2">
        <w:t>consistency of the forecasting methodology</w:t>
      </w:r>
    </w:p>
    <w:p w:rsidR="006B42D2" w:rsidRPr="006B42D2" w:rsidRDefault="006B42D2" w:rsidP="006B42D2">
      <w:pPr>
        <w:pStyle w:val="AERnumberedlistsecondstyle"/>
      </w:pPr>
      <w:r>
        <w:t xml:space="preserve">the asset types and asset age profiles utilised </w:t>
      </w:r>
    </w:p>
    <w:p w:rsidR="006B42D2" w:rsidRPr="006B42D2" w:rsidRDefault="006B42D2" w:rsidP="006B42D2">
      <w:pPr>
        <w:pStyle w:val="AERnumberedlistsecondstyle"/>
      </w:pPr>
      <w:r>
        <w:t xml:space="preserve">whether there are </w:t>
      </w:r>
      <w:r w:rsidR="00350C79">
        <w:t xml:space="preserve">new or changed </w:t>
      </w:r>
      <w:r>
        <w:t>r</w:t>
      </w:r>
      <w:r w:rsidRPr="006B42D2">
        <w:t>egulatory obligations to comply with</w:t>
      </w:r>
    </w:p>
    <w:p w:rsidR="006B42D2" w:rsidRPr="006B42D2" w:rsidRDefault="006B42D2" w:rsidP="006B42D2">
      <w:pPr>
        <w:pStyle w:val="AERnumberedlistsecondstyle"/>
      </w:pPr>
      <w:r>
        <w:t>external factors and internal factors that affect the network.</w:t>
      </w:r>
    </w:p>
    <w:p w:rsidR="006B42D2" w:rsidRDefault="006B42D2" w:rsidP="006B42D2">
      <w:pPr>
        <w:pStyle w:val="AERnumberedlistfirststyle"/>
      </w:pPr>
      <w:r w:rsidRPr="00F30277">
        <w:t>Wh</w:t>
      </w:r>
      <w:r>
        <w:t>ere the NSP's documentation was</w:t>
      </w:r>
      <w:r w:rsidRPr="00F30277">
        <w:t xml:space="preserve"> insufficient to justify a particular forecast the repex model</w:t>
      </w:r>
      <w:r>
        <w:t xml:space="preserve"> provides a guide for more detailed investigation</w:t>
      </w:r>
      <w:r w:rsidRPr="00F30277">
        <w:t>.</w:t>
      </w:r>
      <w:r>
        <w:t xml:space="preserve"> </w:t>
      </w:r>
    </w:p>
    <w:p w:rsidR="00B36141" w:rsidRDefault="00B36141" w:rsidP="0054269D">
      <w:pPr>
        <w:pStyle w:val="AERbodytext"/>
      </w:pPr>
    </w:p>
    <w:p w:rsidR="0054269D" w:rsidRPr="00F30277" w:rsidRDefault="0054269D" w:rsidP="006B42D2">
      <w:pPr>
        <w:pStyle w:val="AERbodytext"/>
      </w:pPr>
    </w:p>
    <w:p w:rsidR="00F46A92" w:rsidRPr="00D00B3D" w:rsidRDefault="00F46A92" w:rsidP="008B436D">
      <w:pPr>
        <w:pStyle w:val="AERappendixheading1"/>
      </w:pPr>
      <w:bookmarkStart w:id="100" w:name="_Toc371937012"/>
      <w:r w:rsidRPr="00D00B3D">
        <w:lastRenderedPageBreak/>
        <w:t>Repex model reference manual</w:t>
      </w:r>
      <w:bookmarkEnd w:id="100"/>
    </w:p>
    <w:p w:rsidR="00F46A92" w:rsidRDefault="00F46A92" w:rsidP="00F46A92">
      <w:pPr>
        <w:pStyle w:val="AERbodytext"/>
      </w:pPr>
      <w:r>
        <w:t xml:space="preserve">This Appendix provides a detailed reference to the repex model to support the descriptions in the main body of this </w:t>
      </w:r>
      <w:r w:rsidR="00755A35">
        <w:t>handbook</w:t>
      </w:r>
      <w:r>
        <w:t>.  This reference describes the contents of each sheet within the repex model.  The purpose of this appendix is to provide more detailed information that may be relevant to users of the repex model.</w:t>
      </w:r>
    </w:p>
    <w:p w:rsidR="00F46A92" w:rsidRDefault="00F46A92" w:rsidP="00F46A92">
      <w:pPr>
        <w:pStyle w:val="AERbodytext"/>
      </w:pPr>
      <w:r>
        <w:t xml:space="preserve">In the descriptions below, </w:t>
      </w:r>
      <w:r w:rsidRPr="0041240A">
        <w:rPr>
          <w:rStyle w:val="AERitals"/>
        </w:rPr>
        <w:t>italics</w:t>
      </w:r>
      <w:r>
        <w:t xml:space="preserve"> indicates that these cells are input by the user.</w:t>
      </w:r>
    </w:p>
    <w:p w:rsidR="00F46A92" w:rsidRDefault="00F46A92" w:rsidP="00F46A92">
      <w:pPr>
        <w:pStyle w:val="AERDecisionBox"/>
      </w:pPr>
      <w:r>
        <w:t>It is important to note that care should be applied when using the model, as the input of erroneous data or altering the structure may result in unreliable results.  This may not be easily identifiable from the model outputs.</w:t>
      </w:r>
    </w:p>
    <w:p w:rsidR="00573558" w:rsidRDefault="00573558" w:rsidP="00573558">
      <w:pPr>
        <w:pStyle w:val="AERappendixheading2"/>
      </w:pPr>
      <w:r>
        <w:t>Macros and setting up a model</w:t>
      </w:r>
    </w:p>
    <w:p w:rsidR="00573558" w:rsidRDefault="00573558" w:rsidP="00573558">
      <w:pPr>
        <w:pStyle w:val="AERbodytext"/>
      </w:pPr>
      <w:r>
        <w:t>When setting up a model of an NSP, the following process should be applied:</w:t>
      </w:r>
    </w:p>
    <w:p w:rsidR="00573558" w:rsidRDefault="00573558" w:rsidP="00573558">
      <w:pPr>
        <w:pStyle w:val="AERnumberedlistfirststyle"/>
      </w:pPr>
      <w:r>
        <w:t xml:space="preserve">Set required initialisation data in Sheet: Tables (e.g. asset group names, age profile years, </w:t>
      </w:r>
      <w:r w:rsidR="00154ECC">
        <w:t>etc.</w:t>
      </w:r>
      <w:r>
        <w:t>)</w:t>
      </w:r>
    </w:p>
    <w:p w:rsidR="00573558" w:rsidRDefault="00573558" w:rsidP="00573558">
      <w:pPr>
        <w:pStyle w:val="AERnumberedlistfirststyle"/>
      </w:pPr>
      <w:r>
        <w:t>Input asset category data in Sheet: Asset data.  Blank rows can be left between asset categories, to help with the visualisation.  However:</w:t>
      </w:r>
    </w:p>
    <w:p w:rsidR="00573558" w:rsidRDefault="00CC689A" w:rsidP="00573558">
      <w:pPr>
        <w:pStyle w:val="AERnumberedlistsecondstyle"/>
      </w:pPr>
      <w:r>
        <w:t>A</w:t>
      </w:r>
      <w:r w:rsidR="00573558">
        <w:t>sset categories should not be placed below the coloured table</w:t>
      </w:r>
    </w:p>
    <w:p w:rsidR="00573558" w:rsidRDefault="00573558" w:rsidP="00573558">
      <w:pPr>
        <w:pStyle w:val="AERnumberedlistsecondstyle"/>
      </w:pPr>
      <w:r>
        <w:t>Rows (or columns) should not be inserted or deleted</w:t>
      </w:r>
    </w:p>
    <w:p w:rsidR="00573558" w:rsidRDefault="00573558" w:rsidP="00573558">
      <w:pPr>
        <w:pStyle w:val="AERnumberedlistfirststyle"/>
      </w:pPr>
      <w:r>
        <w:t>The macro "initcalcs" should be run.  This macro calculates the number of asset categories and automatically sets up other calculation sheets.</w:t>
      </w:r>
    </w:p>
    <w:p w:rsidR="00573558" w:rsidRDefault="00573558" w:rsidP="00573558">
      <w:pPr>
        <w:pStyle w:val="AERbodytext"/>
      </w:pPr>
      <w:r>
        <w:t>The model should now be able to produce replacement forecasts.  Note however, if additional asset categories are added below the final asset category, then the macro "initcalcs" should be run once again.</w:t>
      </w: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573558" w:rsidRDefault="00573558" w:rsidP="00573558">
      <w:pPr>
        <w:pStyle w:val="AERbodytext"/>
      </w:pPr>
    </w:p>
    <w:p w:rsidR="00F46A92" w:rsidRDefault="00F46A92" w:rsidP="00F46A92">
      <w:pPr>
        <w:pStyle w:val="AERappendixheading2"/>
      </w:pPr>
      <w:r>
        <w:lastRenderedPageBreak/>
        <w:t>Data Input sheets</w:t>
      </w:r>
    </w:p>
    <w:p w:rsidR="00F46A92" w:rsidRDefault="00F46A92" w:rsidP="00F46A92">
      <w:pPr>
        <w:pStyle w:val="AERheading3"/>
      </w:pPr>
      <w:r>
        <w:t>Sheet name: Tables</w:t>
      </w:r>
    </w:p>
    <w:p w:rsidR="00F46A92" w:rsidRDefault="00F46A92" w:rsidP="00F46A92">
      <w:pPr>
        <w:pStyle w:val="AERbodytext"/>
      </w:pPr>
      <w:r>
        <w:t>This sheet holds the data that is required to initialise the repex model, as follows:</w:t>
      </w:r>
    </w:p>
    <w:tbl>
      <w:tblPr>
        <w:tblW w:w="0" w:type="auto"/>
        <w:tblBorders>
          <w:top w:val="single" w:sz="12" w:space="0" w:color="auto"/>
          <w:bottom w:val="single" w:sz="4" w:space="0" w:color="auto"/>
        </w:tblBorders>
        <w:tblLook w:val="01E0" w:firstRow="1" w:lastRow="1" w:firstColumn="1" w:lastColumn="1" w:noHBand="0" w:noVBand="0"/>
      </w:tblPr>
      <w:tblGrid>
        <w:gridCol w:w="2093"/>
        <w:gridCol w:w="1276"/>
        <w:gridCol w:w="5159"/>
      </w:tblGrid>
      <w:tr w:rsidR="00F46A92" w:rsidTr="00B766C6">
        <w:tc>
          <w:tcPr>
            <w:tcW w:w="2093"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Asset group names</w:t>
            </w:r>
          </w:p>
        </w:tc>
        <w:tc>
          <w:tcPr>
            <w:tcW w:w="1276"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A2:B16</w:t>
            </w:r>
          </w:p>
        </w:tc>
        <w:tc>
          <w:tcPr>
            <w:tcW w:w="5159"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table holds the names for each of the 15 asset groups in column B.  These names generally represent asset classes, and can be input by the user.  The ID in column A represents the number that is input into the appropriate cell in the "Asset data" sheet (see description below).</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Now</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B17</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parameters represent the year that the age profile represents i.e. the latest installation date in the age profile is this year.</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Recursive</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B18</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 xml:space="preserve">If this parameter is set to 1, the model will perform a recursive calculation of replacement volumes i.e. forecast replacement volumes in one year will themselves be used to calculate replacement volumes in later years.  This is the most accurate methodology. </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1st year</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B19</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 xml:space="preserve">If this parameter is set to 1, the first year of the forecast is the year after "Now".  If this parameter is set to zero, the first year of the forecast is "Now".  Setting this parameter to zero may be necessary if the first year of the age profile ("Now") does not contain a significant level of asset i.e. it is not complete. </w:t>
            </w:r>
          </w:p>
        </w:tc>
      </w:tr>
      <w:tr w:rsidR="00F46A92" w:rsidTr="00B766C6">
        <w:tc>
          <w:tcPr>
            <w:tcW w:w="2093" w:type="dxa"/>
            <w:shd w:val="clear" w:color="auto" w:fill="auto"/>
            <w:noWrap/>
            <w:tcMar>
              <w:top w:w="0" w:type="dxa"/>
              <w:bottom w:w="0" w:type="dxa"/>
            </w:tcMar>
          </w:tcPr>
          <w:p w:rsidR="00F46A92" w:rsidRDefault="00F46A92" w:rsidP="00B766C6">
            <w:pPr>
              <w:pStyle w:val="AERtabletextheading"/>
              <w:keepNext/>
            </w:pPr>
            <w:r>
              <w:t>Profile Type</w:t>
            </w:r>
          </w:p>
        </w:tc>
        <w:tc>
          <w:tcPr>
            <w:tcW w:w="1276" w:type="dxa"/>
            <w:shd w:val="clear" w:color="auto" w:fill="auto"/>
            <w:noWrap/>
            <w:tcMar>
              <w:top w:w="0" w:type="dxa"/>
              <w:bottom w:w="0" w:type="dxa"/>
            </w:tcMar>
          </w:tcPr>
          <w:p w:rsidR="00F46A92" w:rsidRPr="00573558" w:rsidRDefault="00F46A92" w:rsidP="00B766C6">
            <w:pPr>
              <w:pStyle w:val="AERtabletext"/>
              <w:keepNext/>
            </w:pPr>
            <w:r w:rsidRPr="00573558">
              <w:t>D1:D4</w:t>
            </w:r>
          </w:p>
        </w:tc>
        <w:tc>
          <w:tcPr>
            <w:tcW w:w="5159" w:type="dxa"/>
            <w:shd w:val="clear" w:color="auto" w:fill="auto"/>
            <w:noWrap/>
            <w:tcMar>
              <w:top w:w="0" w:type="dxa"/>
              <w:bottom w:w="0" w:type="dxa"/>
            </w:tcMar>
          </w:tcPr>
          <w:p w:rsidR="00F46A92" w:rsidRDefault="00F46A92" w:rsidP="00B766C6">
            <w:pPr>
              <w:pStyle w:val="AERtabletext"/>
              <w:keepNext/>
            </w:pPr>
            <w:r>
              <w:t>This table contain internal data.  It does not need to be changed by the user.</w:t>
            </w:r>
          </w:p>
        </w:tc>
      </w:tr>
    </w:tbl>
    <w:p w:rsidR="00F46A92" w:rsidRDefault="00F46A92" w:rsidP="00F46A92">
      <w:pPr>
        <w:pStyle w:val="AERappendixheading3"/>
      </w:pPr>
      <w:r>
        <w:t>Sheet name: Asset data</w:t>
      </w:r>
    </w:p>
    <w:p w:rsidR="00F46A92" w:rsidRPr="003F08DF" w:rsidRDefault="00F46A92" w:rsidP="00F46A92">
      <w:pPr>
        <w:pStyle w:val="AERbodytext"/>
      </w:pPr>
      <w:r w:rsidRPr="003F08DF">
        <w:t xml:space="preserve">This sheet holds the </w:t>
      </w:r>
      <w:r>
        <w:t xml:space="preserve">input </w:t>
      </w:r>
      <w:r w:rsidRPr="003F08DF">
        <w:t>data that is require</w:t>
      </w:r>
      <w:r>
        <w:t>d to represent the NSP's asset base (i.e. that discussed in section 4.2)</w:t>
      </w:r>
      <w:r w:rsidRPr="003F08DF">
        <w:t>:</w:t>
      </w:r>
    </w:p>
    <w:tbl>
      <w:tblPr>
        <w:tblW w:w="0" w:type="auto"/>
        <w:tblBorders>
          <w:top w:val="single" w:sz="12" w:space="0" w:color="auto"/>
          <w:bottom w:val="single" w:sz="4" w:space="0" w:color="auto"/>
        </w:tblBorders>
        <w:tblLook w:val="01E0" w:firstRow="1" w:lastRow="1" w:firstColumn="1" w:lastColumn="1" w:noHBand="0" w:noVBand="0"/>
      </w:tblPr>
      <w:tblGrid>
        <w:gridCol w:w="2093"/>
        <w:gridCol w:w="1276"/>
        <w:gridCol w:w="5159"/>
      </w:tblGrid>
      <w:tr w:rsidR="00F46A92" w:rsidTr="00B766C6">
        <w:tc>
          <w:tcPr>
            <w:tcW w:w="2093"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lastRenderedPageBreak/>
              <w:t>Meth all</w:t>
            </w:r>
          </w:p>
        </w:tc>
        <w:tc>
          <w:tcPr>
            <w:tcW w:w="1276"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D1</w:t>
            </w:r>
          </w:p>
        </w:tc>
        <w:tc>
          <w:tcPr>
            <w:tcW w:w="5159" w:type="dxa"/>
            <w:tcBorders>
              <w:top w:val="single" w:sz="12" w:space="0" w:color="auto"/>
              <w:left w:val="nil"/>
              <w:bottom w:val="single" w:sz="4" w:space="0" w:color="auto"/>
              <w:right w:val="nil"/>
              <w:tl2br w:val="nil"/>
              <w:tr2bl w:val="nil"/>
            </w:tcBorders>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 xml:space="preserve">This parameter is used to define the replacement algorithm applied to generate a replacement forecast at a global level.  </w:t>
            </w:r>
          </w:p>
          <w:p w:rsidR="00F46A92" w:rsidRPr="00B766C6" w:rsidRDefault="00F46A92" w:rsidP="00B766C6">
            <w:pPr>
              <w:pStyle w:val="AERtabletext"/>
              <w:keepNext/>
              <w:rPr>
                <w:rStyle w:val="AERitals"/>
                <w:i w:val="0"/>
              </w:rPr>
            </w:pPr>
            <w:r w:rsidRPr="00B766C6">
              <w:rPr>
                <w:rStyle w:val="AERitals"/>
                <w:i w:val="0"/>
              </w:rPr>
              <w:t xml:space="preserve">1 causes the model to replace all assets when they reach their mean life.  </w:t>
            </w:r>
          </w:p>
          <w:p w:rsidR="00F46A92" w:rsidRPr="00B766C6" w:rsidRDefault="00F46A92" w:rsidP="00B766C6">
            <w:pPr>
              <w:pStyle w:val="AERtabletext"/>
              <w:keepNext/>
              <w:rPr>
                <w:rStyle w:val="AERitals"/>
                <w:i w:val="0"/>
              </w:rPr>
            </w:pPr>
            <w:r w:rsidRPr="00B766C6">
              <w:rPr>
                <w:rStyle w:val="AERitals"/>
                <w:i w:val="0"/>
              </w:rPr>
              <w:t xml:space="preserve">2 causes the model to replace all assets assuming a normal distribution - i.e. the methodology described in the main body of this report.  </w:t>
            </w:r>
          </w:p>
          <w:p w:rsidR="00F46A92" w:rsidRPr="00B766C6" w:rsidRDefault="00F46A92" w:rsidP="00B766C6">
            <w:pPr>
              <w:pStyle w:val="AERtabletext"/>
              <w:keepNext/>
              <w:rPr>
                <w:rStyle w:val="AERitals"/>
                <w:i w:val="0"/>
              </w:rPr>
            </w:pPr>
            <w:r w:rsidRPr="00B766C6">
              <w:rPr>
                <w:rStyle w:val="AERitals"/>
                <w:i w:val="0"/>
              </w:rPr>
              <w:t xml:space="preserve">3 causes the model to replace each asset category based upon the methodology defined in Column I for that specific asset category.  </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Profile type</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M1</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parameters represent the type of age profile being input in this sheet:</w:t>
            </w:r>
          </w:p>
          <w:p w:rsidR="00F46A92" w:rsidRPr="00B766C6" w:rsidRDefault="00F46A92" w:rsidP="00B766C6">
            <w:pPr>
              <w:pStyle w:val="AERtabletext"/>
              <w:keepNext/>
              <w:rPr>
                <w:rStyle w:val="AERitals"/>
                <w:i w:val="0"/>
              </w:rPr>
            </w:pPr>
            <w:r w:rsidRPr="00B766C6">
              <w:rPr>
                <w:rStyle w:val="AERitals"/>
                <w:i w:val="0"/>
              </w:rPr>
              <w:t>1 assumes the age profile is defined in terms of the remaining life</w:t>
            </w:r>
          </w:p>
          <w:p w:rsidR="00F46A92" w:rsidRPr="00B766C6" w:rsidRDefault="00F46A92" w:rsidP="00B766C6">
            <w:pPr>
              <w:pStyle w:val="AERtabletext"/>
              <w:keepNext/>
              <w:rPr>
                <w:rStyle w:val="AERitals"/>
                <w:i w:val="0"/>
              </w:rPr>
            </w:pPr>
            <w:r w:rsidRPr="00B766C6">
              <w:rPr>
                <w:rStyle w:val="AERitals"/>
                <w:i w:val="0"/>
              </w:rPr>
              <w:t>2 assumes the age profile is defined in terms of the age</w:t>
            </w:r>
          </w:p>
          <w:p w:rsidR="00F46A92" w:rsidRPr="00B766C6" w:rsidRDefault="00F46A92" w:rsidP="00B766C6">
            <w:pPr>
              <w:pStyle w:val="AERtabletext"/>
              <w:keepNext/>
              <w:rPr>
                <w:rStyle w:val="AERitals"/>
                <w:i w:val="0"/>
              </w:rPr>
            </w:pPr>
            <w:r w:rsidRPr="00B766C6">
              <w:rPr>
                <w:rStyle w:val="AERitals"/>
                <w:i w:val="0"/>
              </w:rPr>
              <w:t>3 assumes the age profile is defined in terms of the installation date</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ID</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A24:208</w:t>
            </w:r>
          </w:p>
        </w:tc>
        <w:tc>
          <w:tcPr>
            <w:tcW w:w="5159" w:type="dxa"/>
            <w:shd w:val="clear" w:color="auto" w:fill="auto"/>
            <w:noWrap/>
            <w:tcMar>
              <w:top w:w="0" w:type="dxa"/>
              <w:bottom w:w="0" w:type="dxa"/>
            </w:tcMar>
          </w:tcPr>
          <w:p w:rsidR="00F46A92" w:rsidRPr="0041240A" w:rsidRDefault="00F46A92" w:rsidP="00B766C6">
            <w:pPr>
              <w:pStyle w:val="AERtabletext"/>
              <w:keepNext/>
              <w:rPr>
                <w:rStyle w:val="AERitals"/>
              </w:rPr>
            </w:pPr>
            <w:r w:rsidRPr="0041240A">
              <w:rPr>
                <w:rStyle w:val="AERitals"/>
              </w:rPr>
              <w:t xml:space="preserve">This parameter is used to define the asset grouping for the asset category.  The ID is the number of the asset group defined in the asset group table on the "Tables" sheet.  </w:t>
            </w:r>
          </w:p>
        </w:tc>
      </w:tr>
      <w:tr w:rsidR="00F46A92" w:rsidTr="00B766C6">
        <w:tc>
          <w:tcPr>
            <w:tcW w:w="2093" w:type="dxa"/>
            <w:shd w:val="clear" w:color="auto" w:fill="auto"/>
            <w:noWrap/>
            <w:tcMar>
              <w:top w:w="0" w:type="dxa"/>
              <w:bottom w:w="0" w:type="dxa"/>
            </w:tcMar>
          </w:tcPr>
          <w:p w:rsidR="00F46A92" w:rsidRPr="00573558" w:rsidRDefault="00F46A92" w:rsidP="00B766C6">
            <w:pPr>
              <w:pStyle w:val="AERtabletextheading"/>
              <w:keepNext/>
            </w:pPr>
            <w:r w:rsidRPr="00573558">
              <w:t>Asset category</w:t>
            </w:r>
          </w:p>
        </w:tc>
        <w:tc>
          <w:tcPr>
            <w:tcW w:w="1276" w:type="dxa"/>
            <w:shd w:val="clear" w:color="auto" w:fill="auto"/>
            <w:noWrap/>
            <w:tcMar>
              <w:top w:w="0" w:type="dxa"/>
              <w:bottom w:w="0" w:type="dxa"/>
            </w:tcMar>
          </w:tcPr>
          <w:p w:rsidR="00F46A92" w:rsidRPr="00573558" w:rsidRDefault="00F46A92" w:rsidP="00B766C6">
            <w:pPr>
              <w:pStyle w:val="AERtabletext"/>
              <w:keepNext/>
            </w:pPr>
            <w:r w:rsidRPr="00573558">
              <w:t>D24:D208</w:t>
            </w:r>
          </w:p>
        </w:tc>
        <w:tc>
          <w:tcPr>
            <w:tcW w:w="5159" w:type="dxa"/>
            <w:shd w:val="clear" w:color="auto" w:fill="auto"/>
            <w:noWrap/>
            <w:tcMar>
              <w:top w:w="0" w:type="dxa"/>
              <w:bottom w:w="0" w:type="dxa"/>
            </w:tcMar>
          </w:tcPr>
          <w:p w:rsidR="00F46A92" w:rsidRPr="00573558" w:rsidRDefault="00F46A92" w:rsidP="00B766C6">
            <w:pPr>
              <w:pStyle w:val="AERtabletext"/>
              <w:keepNext/>
            </w:pPr>
            <w:r w:rsidRPr="00573558">
              <w:t>This is the name of the asset group linked to the ID in Column A.  This is generated internally by the model.</w:t>
            </w:r>
          </w:p>
        </w:tc>
      </w:tr>
      <w:tr w:rsidR="00F46A92" w:rsidRPr="0041240A"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Asset ID</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E24:E208</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is the name of the asset category - any name can be chosen by the user.</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Unit cost</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F24:F208</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is the replacement unit cost for the asset category in $('000).</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Replacement life</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G24:H208</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is the replacement life for the asset category.  Column G holds the mean life and Column H holds the standard deviation.</w:t>
            </w: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Replacement method</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I24:I208</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 xml:space="preserve">This parameter is used to define the replacement algorithm applied to generate a replacement forecast at the asset category level.  </w:t>
            </w:r>
          </w:p>
          <w:p w:rsidR="00F46A92" w:rsidRPr="00B766C6" w:rsidRDefault="00F46A92" w:rsidP="00B766C6">
            <w:pPr>
              <w:pStyle w:val="AERtabletext"/>
              <w:keepNext/>
              <w:rPr>
                <w:rStyle w:val="AERitals"/>
                <w:i w:val="0"/>
              </w:rPr>
            </w:pPr>
            <w:r w:rsidRPr="00B766C6">
              <w:rPr>
                <w:rStyle w:val="AERitals"/>
                <w:i w:val="0"/>
              </w:rPr>
              <w:t xml:space="preserve">1 causes the model to replace all assets when they reach their mean life.  </w:t>
            </w:r>
          </w:p>
          <w:p w:rsidR="00F46A92" w:rsidRPr="00B766C6" w:rsidRDefault="00F46A92" w:rsidP="00B766C6">
            <w:pPr>
              <w:pStyle w:val="AERtabletext"/>
              <w:keepNext/>
              <w:rPr>
                <w:rStyle w:val="AERitals"/>
                <w:i w:val="0"/>
              </w:rPr>
            </w:pPr>
            <w:r w:rsidRPr="00B766C6">
              <w:rPr>
                <w:rStyle w:val="AERitals"/>
                <w:i w:val="0"/>
              </w:rPr>
              <w:t xml:space="preserve">2 causes the model to replace all assets assuming a normal distribution - i.e. the methodology described in the main body of this report.  </w:t>
            </w:r>
          </w:p>
          <w:p w:rsidR="00F46A92" w:rsidRPr="00B766C6" w:rsidRDefault="00F46A92" w:rsidP="00B766C6">
            <w:pPr>
              <w:pStyle w:val="AERtabletext"/>
              <w:keepNext/>
              <w:rPr>
                <w:rStyle w:val="AERitals"/>
                <w:i w:val="0"/>
              </w:rPr>
            </w:pPr>
          </w:p>
        </w:tc>
      </w:tr>
      <w:tr w:rsidR="00F46A92" w:rsidTr="00B766C6">
        <w:tc>
          <w:tcPr>
            <w:tcW w:w="2093" w:type="dxa"/>
            <w:shd w:val="clear" w:color="auto" w:fill="auto"/>
            <w:noWrap/>
            <w:tcMar>
              <w:top w:w="0" w:type="dxa"/>
              <w:bottom w:w="0" w:type="dxa"/>
            </w:tcMar>
          </w:tcPr>
          <w:p w:rsidR="00F46A92" w:rsidRPr="00B766C6" w:rsidRDefault="00F46A92" w:rsidP="00B766C6">
            <w:pPr>
              <w:pStyle w:val="AERtabletextheading"/>
              <w:keepNext/>
              <w:rPr>
                <w:rStyle w:val="AERitals"/>
                <w:i w:val="0"/>
              </w:rPr>
            </w:pPr>
            <w:r w:rsidRPr="00B766C6">
              <w:rPr>
                <w:rStyle w:val="AERitals"/>
                <w:i w:val="0"/>
              </w:rPr>
              <w:t>Age profile - quantities</w:t>
            </w:r>
          </w:p>
        </w:tc>
        <w:tc>
          <w:tcPr>
            <w:tcW w:w="1276"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J24:CV208</w:t>
            </w:r>
          </w:p>
        </w:tc>
        <w:tc>
          <w:tcPr>
            <w:tcW w:w="5159" w:type="dxa"/>
            <w:shd w:val="clear" w:color="auto" w:fill="auto"/>
            <w:noWrap/>
            <w:tcMar>
              <w:top w:w="0" w:type="dxa"/>
              <w:bottom w:w="0" w:type="dxa"/>
            </w:tcMar>
          </w:tcPr>
          <w:p w:rsidR="00F46A92" w:rsidRPr="00B766C6" w:rsidRDefault="00F46A92" w:rsidP="00B766C6">
            <w:pPr>
              <w:pStyle w:val="AERtabletext"/>
              <w:keepNext/>
              <w:rPr>
                <w:rStyle w:val="AERitals"/>
                <w:i w:val="0"/>
              </w:rPr>
            </w:pPr>
            <w:r w:rsidRPr="00B766C6">
              <w:rPr>
                <w:rStyle w:val="AERitals"/>
                <w:i w:val="0"/>
              </w:rPr>
              <w:t>This holds the age profile for each asset category, in terms of asset volume.</w:t>
            </w:r>
          </w:p>
        </w:tc>
      </w:tr>
      <w:tr w:rsidR="00F46A92" w:rsidTr="00B766C6">
        <w:tc>
          <w:tcPr>
            <w:tcW w:w="2093" w:type="dxa"/>
            <w:shd w:val="clear" w:color="auto" w:fill="auto"/>
            <w:noWrap/>
            <w:tcMar>
              <w:top w:w="0" w:type="dxa"/>
              <w:bottom w:w="0" w:type="dxa"/>
            </w:tcMar>
          </w:tcPr>
          <w:p w:rsidR="00F46A92" w:rsidRPr="00573558" w:rsidRDefault="00F46A92" w:rsidP="00B766C6">
            <w:pPr>
              <w:pStyle w:val="AERtabletextheading"/>
              <w:keepNext/>
            </w:pPr>
            <w:r w:rsidRPr="00573558">
              <w:t>Age profile - replacement cost</w:t>
            </w:r>
          </w:p>
        </w:tc>
        <w:tc>
          <w:tcPr>
            <w:tcW w:w="1276" w:type="dxa"/>
            <w:shd w:val="clear" w:color="auto" w:fill="auto"/>
            <w:noWrap/>
            <w:tcMar>
              <w:top w:w="0" w:type="dxa"/>
              <w:bottom w:w="0" w:type="dxa"/>
            </w:tcMar>
          </w:tcPr>
          <w:p w:rsidR="00F46A92" w:rsidRPr="00573558" w:rsidRDefault="00F46A92" w:rsidP="00B766C6">
            <w:pPr>
              <w:pStyle w:val="AERtabletext"/>
              <w:keepNext/>
            </w:pPr>
            <w:r w:rsidRPr="00573558">
              <w:t>CX24:GJ208</w:t>
            </w:r>
          </w:p>
        </w:tc>
        <w:tc>
          <w:tcPr>
            <w:tcW w:w="5159" w:type="dxa"/>
            <w:shd w:val="clear" w:color="auto" w:fill="auto"/>
            <w:noWrap/>
            <w:tcMar>
              <w:top w:w="0" w:type="dxa"/>
              <w:bottom w:w="0" w:type="dxa"/>
            </w:tcMar>
          </w:tcPr>
          <w:p w:rsidR="00F46A92" w:rsidRPr="00573558" w:rsidRDefault="00F46A92" w:rsidP="00B766C6">
            <w:pPr>
              <w:pStyle w:val="AERtabletext"/>
              <w:keepNext/>
            </w:pPr>
            <w:r w:rsidRPr="00573558">
              <w:t>This holds the age profile for each asset category, in terms of its replacement cost.  This is calculated internally based upon the volume age profile and the replacement unit cost.</w:t>
            </w:r>
          </w:p>
        </w:tc>
      </w:tr>
    </w:tbl>
    <w:p w:rsidR="00F46A92" w:rsidRPr="00211569" w:rsidRDefault="00F46A92" w:rsidP="00F46A92">
      <w:pPr>
        <w:pStyle w:val="AERbodytext"/>
      </w:pPr>
    </w:p>
    <w:p w:rsidR="00F46A92" w:rsidRDefault="00F46A92" w:rsidP="00F46A92">
      <w:pPr>
        <w:pStyle w:val="AERappendixheading2"/>
      </w:pPr>
      <w:r>
        <w:lastRenderedPageBreak/>
        <w:t>Output sheets</w:t>
      </w:r>
    </w:p>
    <w:p w:rsidR="00F46A92" w:rsidRPr="00150F14" w:rsidRDefault="00F46A92" w:rsidP="00F46A92">
      <w:pPr>
        <w:pStyle w:val="AERappendixheading3"/>
      </w:pPr>
      <w:r>
        <w:t>Sheet name: Age profile summary</w:t>
      </w:r>
    </w:p>
    <w:p w:rsidR="00F46A92" w:rsidRDefault="00F46A92" w:rsidP="00F46A92">
      <w:pPr>
        <w:pStyle w:val="AERbodytext"/>
      </w:pPr>
      <w:r>
        <w:t>This sheet provides a summary of the age profile.  Rows 6:20 provide summary results at the asset group level.  Rows 24:208 provide similar results at the individual asset category level.</w:t>
      </w:r>
    </w:p>
    <w:tbl>
      <w:tblPr>
        <w:tblW w:w="0" w:type="auto"/>
        <w:tblLook w:val="0000" w:firstRow="0" w:lastRow="0" w:firstColumn="0" w:lastColumn="0" w:noHBand="0" w:noVBand="0"/>
      </w:tblPr>
      <w:tblGrid>
        <w:gridCol w:w="2093"/>
        <w:gridCol w:w="1276"/>
        <w:gridCol w:w="5159"/>
      </w:tblGrid>
      <w:tr w:rsidR="00F46A92" w:rsidTr="00F46A92">
        <w:tc>
          <w:tcPr>
            <w:tcW w:w="2093" w:type="dxa"/>
          </w:tcPr>
          <w:p w:rsidR="00F46A92" w:rsidRPr="00573558" w:rsidRDefault="00F46A92" w:rsidP="00573558">
            <w:pPr>
              <w:pStyle w:val="AERtabletextheading"/>
            </w:pPr>
            <w:r w:rsidRPr="00573558">
              <w:t>Quantity</w:t>
            </w:r>
          </w:p>
        </w:tc>
        <w:tc>
          <w:tcPr>
            <w:tcW w:w="1276" w:type="dxa"/>
          </w:tcPr>
          <w:p w:rsidR="00F46A92" w:rsidRPr="00573558" w:rsidRDefault="00F46A92" w:rsidP="00573558">
            <w:pPr>
              <w:pStyle w:val="AERtabletext"/>
            </w:pPr>
            <w:r w:rsidRPr="00573558">
              <w:t>Column F</w:t>
            </w:r>
          </w:p>
        </w:tc>
        <w:tc>
          <w:tcPr>
            <w:tcW w:w="5159" w:type="dxa"/>
          </w:tcPr>
          <w:p w:rsidR="00F46A92" w:rsidRPr="00150F14" w:rsidRDefault="00F46A92" w:rsidP="00F46A92">
            <w:pPr>
              <w:pStyle w:val="AERtabletext"/>
            </w:pPr>
            <w:r>
              <w:t>The total quantity of asset within the asset group or asset category.</w:t>
            </w:r>
          </w:p>
        </w:tc>
      </w:tr>
      <w:tr w:rsidR="00F46A92" w:rsidTr="00F46A92">
        <w:tc>
          <w:tcPr>
            <w:tcW w:w="2093" w:type="dxa"/>
          </w:tcPr>
          <w:p w:rsidR="00F46A92" w:rsidRPr="00573558" w:rsidRDefault="00F46A92" w:rsidP="00573558">
            <w:pPr>
              <w:pStyle w:val="AERtabletextheading"/>
            </w:pPr>
            <w:r w:rsidRPr="00573558">
              <w:t>Unit cost</w:t>
            </w:r>
          </w:p>
        </w:tc>
        <w:tc>
          <w:tcPr>
            <w:tcW w:w="1276" w:type="dxa"/>
          </w:tcPr>
          <w:p w:rsidR="00F46A92" w:rsidRPr="00573558" w:rsidRDefault="00F46A92" w:rsidP="00573558">
            <w:pPr>
              <w:pStyle w:val="AERtabletext"/>
            </w:pPr>
            <w:r w:rsidRPr="00573558">
              <w:t>Column G</w:t>
            </w:r>
          </w:p>
        </w:tc>
        <w:tc>
          <w:tcPr>
            <w:tcW w:w="5159" w:type="dxa"/>
          </w:tcPr>
          <w:p w:rsidR="00F46A92" w:rsidRPr="00150F14" w:rsidRDefault="00F46A92" w:rsidP="00F46A92">
            <w:pPr>
              <w:pStyle w:val="AERtabletext"/>
            </w:pPr>
            <w:r>
              <w:t>The unit cost of the asset category - transferred directly from the "Asset data" sheet.</w:t>
            </w:r>
          </w:p>
        </w:tc>
      </w:tr>
      <w:tr w:rsidR="00F46A92" w:rsidTr="00F46A92">
        <w:tc>
          <w:tcPr>
            <w:tcW w:w="2093" w:type="dxa"/>
          </w:tcPr>
          <w:p w:rsidR="00F46A92" w:rsidRPr="00573558" w:rsidRDefault="00F46A92" w:rsidP="00573558">
            <w:pPr>
              <w:pStyle w:val="AERtabletextheading"/>
            </w:pPr>
            <w:r w:rsidRPr="00573558">
              <w:t>RC $ millions</w:t>
            </w:r>
          </w:p>
        </w:tc>
        <w:tc>
          <w:tcPr>
            <w:tcW w:w="1276" w:type="dxa"/>
          </w:tcPr>
          <w:p w:rsidR="00F46A92" w:rsidRPr="00573558" w:rsidRDefault="00F46A92" w:rsidP="00573558">
            <w:pPr>
              <w:pStyle w:val="AERtabletext"/>
            </w:pPr>
            <w:r w:rsidRPr="00573558">
              <w:t>Column H</w:t>
            </w:r>
          </w:p>
        </w:tc>
        <w:tc>
          <w:tcPr>
            <w:tcW w:w="5159" w:type="dxa"/>
          </w:tcPr>
          <w:p w:rsidR="00F46A92" w:rsidRPr="00150F14" w:rsidRDefault="00F46A92" w:rsidP="00F46A92">
            <w:pPr>
              <w:pStyle w:val="AERtabletext"/>
            </w:pPr>
            <w:r>
              <w:t>The total replacement cost of the asset group or asset category.</w:t>
            </w:r>
          </w:p>
        </w:tc>
      </w:tr>
      <w:tr w:rsidR="00F46A92" w:rsidTr="00F46A92">
        <w:tc>
          <w:tcPr>
            <w:tcW w:w="2093" w:type="dxa"/>
          </w:tcPr>
          <w:p w:rsidR="00F46A92" w:rsidRPr="00573558" w:rsidRDefault="00F46A92" w:rsidP="00573558">
            <w:pPr>
              <w:pStyle w:val="AERtabletextheading"/>
            </w:pPr>
            <w:r w:rsidRPr="00573558">
              <w:t>Prop total</w:t>
            </w:r>
          </w:p>
        </w:tc>
        <w:tc>
          <w:tcPr>
            <w:tcW w:w="1276" w:type="dxa"/>
          </w:tcPr>
          <w:p w:rsidR="00F46A92" w:rsidRPr="00573558" w:rsidRDefault="00F46A92" w:rsidP="00573558">
            <w:pPr>
              <w:pStyle w:val="AERtabletext"/>
            </w:pPr>
            <w:r w:rsidRPr="00573558">
              <w:t>Column I</w:t>
            </w:r>
          </w:p>
        </w:tc>
        <w:tc>
          <w:tcPr>
            <w:tcW w:w="5159" w:type="dxa"/>
          </w:tcPr>
          <w:p w:rsidR="00F46A92" w:rsidRPr="00150F14" w:rsidRDefault="00F46A92" w:rsidP="00F46A92">
            <w:pPr>
              <w:pStyle w:val="AERtabletext"/>
            </w:pPr>
            <w:r>
              <w:t>The proportion as a percentage (calculated by total replacement cost) of that asset group or asset category to the total replacement cost of the network.</w:t>
            </w:r>
          </w:p>
        </w:tc>
      </w:tr>
      <w:tr w:rsidR="00F46A92" w:rsidRPr="0041240A" w:rsidTr="00F46A92">
        <w:tc>
          <w:tcPr>
            <w:tcW w:w="2093" w:type="dxa"/>
          </w:tcPr>
          <w:p w:rsidR="00F46A92" w:rsidRPr="00573558" w:rsidRDefault="00F46A92" w:rsidP="00573558">
            <w:pPr>
              <w:pStyle w:val="AERtabletextheading"/>
            </w:pPr>
            <w:r w:rsidRPr="00573558">
              <w:t>Rank total</w:t>
            </w:r>
          </w:p>
        </w:tc>
        <w:tc>
          <w:tcPr>
            <w:tcW w:w="1276" w:type="dxa"/>
          </w:tcPr>
          <w:p w:rsidR="00F46A92" w:rsidRPr="00573558" w:rsidRDefault="00F46A92" w:rsidP="00573558">
            <w:pPr>
              <w:pStyle w:val="AERtabletext"/>
            </w:pPr>
            <w:r w:rsidRPr="00573558">
              <w:t>Column J</w:t>
            </w:r>
          </w:p>
        </w:tc>
        <w:tc>
          <w:tcPr>
            <w:tcW w:w="5159" w:type="dxa"/>
          </w:tcPr>
          <w:p w:rsidR="00F46A92" w:rsidRPr="00150F14" w:rsidRDefault="00F46A92" w:rsidP="00F46A92">
            <w:pPr>
              <w:pStyle w:val="AERtabletext"/>
            </w:pPr>
            <w:r>
              <w:t>The ranking of that asset group or asset category (by total replacement cost) compared to other asset groups or categories i.e. a ranking of 1 will have the greatest total replacement cost.</w:t>
            </w:r>
          </w:p>
        </w:tc>
      </w:tr>
      <w:tr w:rsidR="00F46A92" w:rsidTr="00F46A92">
        <w:tc>
          <w:tcPr>
            <w:tcW w:w="2093" w:type="dxa"/>
          </w:tcPr>
          <w:p w:rsidR="00F46A92" w:rsidRPr="00573558" w:rsidRDefault="00F46A92" w:rsidP="00573558">
            <w:pPr>
              <w:pStyle w:val="AERtabletextheading"/>
            </w:pPr>
            <w:r w:rsidRPr="00573558">
              <w:t>Prop cat</w:t>
            </w:r>
          </w:p>
        </w:tc>
        <w:tc>
          <w:tcPr>
            <w:tcW w:w="1276" w:type="dxa"/>
          </w:tcPr>
          <w:p w:rsidR="00F46A92" w:rsidRPr="00573558" w:rsidRDefault="00F46A92" w:rsidP="00573558">
            <w:pPr>
              <w:pStyle w:val="AERtabletext"/>
            </w:pPr>
            <w:r w:rsidRPr="00573558">
              <w:t>Column K</w:t>
            </w:r>
          </w:p>
        </w:tc>
        <w:tc>
          <w:tcPr>
            <w:tcW w:w="5159" w:type="dxa"/>
          </w:tcPr>
          <w:p w:rsidR="00F46A92" w:rsidRPr="00150F14" w:rsidRDefault="00F46A92" w:rsidP="00F46A92">
            <w:pPr>
              <w:pStyle w:val="AERtabletext"/>
            </w:pPr>
            <w:r>
              <w:t>The proportion as a percentage (calculated by total replacement cost) of that asset category to the total replacement cost of the associated asset group.</w:t>
            </w:r>
          </w:p>
        </w:tc>
      </w:tr>
      <w:tr w:rsidR="00F46A92" w:rsidTr="00F46A92">
        <w:tc>
          <w:tcPr>
            <w:tcW w:w="2093" w:type="dxa"/>
          </w:tcPr>
          <w:p w:rsidR="00F46A92" w:rsidRPr="00573558" w:rsidRDefault="00F46A92" w:rsidP="00573558">
            <w:pPr>
              <w:pStyle w:val="AERtabletextheading"/>
            </w:pPr>
            <w:r w:rsidRPr="00573558">
              <w:t>WARL</w:t>
            </w:r>
          </w:p>
        </w:tc>
        <w:tc>
          <w:tcPr>
            <w:tcW w:w="1276" w:type="dxa"/>
          </w:tcPr>
          <w:p w:rsidR="00F46A92" w:rsidRPr="00573558" w:rsidRDefault="00F46A92" w:rsidP="00573558">
            <w:pPr>
              <w:pStyle w:val="AERtabletext"/>
            </w:pPr>
            <w:r w:rsidRPr="00573558">
              <w:t>Column M</w:t>
            </w:r>
          </w:p>
        </w:tc>
        <w:tc>
          <w:tcPr>
            <w:tcW w:w="5159" w:type="dxa"/>
          </w:tcPr>
          <w:p w:rsidR="00F46A92" w:rsidRPr="00150F14" w:rsidRDefault="00F46A92" w:rsidP="00F46A92">
            <w:pPr>
              <w:pStyle w:val="AERtabletext"/>
            </w:pPr>
            <w:r>
              <w:t>The weighted average remaining life of the asset group or category, using the total replacement cost as the weighting.</w:t>
            </w:r>
          </w:p>
        </w:tc>
      </w:tr>
      <w:tr w:rsidR="00F46A92" w:rsidTr="00F46A92">
        <w:tc>
          <w:tcPr>
            <w:tcW w:w="2093" w:type="dxa"/>
          </w:tcPr>
          <w:p w:rsidR="00F46A92" w:rsidRPr="00573558" w:rsidRDefault="00F46A92" w:rsidP="00573558">
            <w:pPr>
              <w:pStyle w:val="AERtabletextheading"/>
            </w:pPr>
            <w:r w:rsidRPr="00573558">
              <w:t>WAL</w:t>
            </w:r>
          </w:p>
        </w:tc>
        <w:tc>
          <w:tcPr>
            <w:tcW w:w="1276" w:type="dxa"/>
          </w:tcPr>
          <w:p w:rsidR="00F46A92" w:rsidRPr="00573558" w:rsidRDefault="00F46A92" w:rsidP="00573558">
            <w:pPr>
              <w:pStyle w:val="AERtabletext"/>
            </w:pPr>
            <w:r w:rsidRPr="00573558">
              <w:t>Column O</w:t>
            </w:r>
          </w:p>
        </w:tc>
        <w:tc>
          <w:tcPr>
            <w:tcW w:w="5159" w:type="dxa"/>
          </w:tcPr>
          <w:p w:rsidR="00F46A92" w:rsidRPr="00150F14" w:rsidRDefault="00F46A92" w:rsidP="00F46A92">
            <w:pPr>
              <w:pStyle w:val="AERtabletext"/>
            </w:pPr>
            <w:r>
              <w:t>The weighted average life of the asset group or category, using the total replacement cost as the weighting</w:t>
            </w:r>
          </w:p>
        </w:tc>
      </w:tr>
      <w:tr w:rsidR="00F46A92" w:rsidTr="00F46A92">
        <w:tc>
          <w:tcPr>
            <w:tcW w:w="2093" w:type="dxa"/>
          </w:tcPr>
          <w:p w:rsidR="00F46A92" w:rsidRPr="00573558" w:rsidRDefault="00F46A92" w:rsidP="00573558">
            <w:pPr>
              <w:pStyle w:val="AERtabletextheading"/>
            </w:pPr>
            <w:r w:rsidRPr="00573558">
              <w:t>WAA</w:t>
            </w:r>
          </w:p>
        </w:tc>
        <w:tc>
          <w:tcPr>
            <w:tcW w:w="1276" w:type="dxa"/>
          </w:tcPr>
          <w:p w:rsidR="00F46A92" w:rsidRPr="00573558" w:rsidRDefault="00F46A92" w:rsidP="00573558">
            <w:pPr>
              <w:pStyle w:val="AERtabletext"/>
            </w:pPr>
            <w:r w:rsidRPr="00573558">
              <w:t>Column Q</w:t>
            </w:r>
          </w:p>
        </w:tc>
        <w:tc>
          <w:tcPr>
            <w:tcW w:w="5159" w:type="dxa"/>
          </w:tcPr>
          <w:p w:rsidR="00F46A92" w:rsidRPr="00150F14" w:rsidRDefault="00F46A92" w:rsidP="00F46A92">
            <w:pPr>
              <w:pStyle w:val="AERtabletext"/>
            </w:pPr>
            <w:r>
              <w:t>The weighted average age (as a percentage of the life) of the asset group or category, using the total replacement cost as the weighting.</w:t>
            </w:r>
          </w:p>
        </w:tc>
      </w:tr>
      <w:tr w:rsidR="00F46A92" w:rsidTr="00F46A92">
        <w:tc>
          <w:tcPr>
            <w:tcW w:w="2093" w:type="dxa"/>
          </w:tcPr>
          <w:p w:rsidR="00F46A92" w:rsidRPr="00573558" w:rsidRDefault="00F46A92" w:rsidP="00573558">
            <w:pPr>
              <w:pStyle w:val="AERtabletextheading"/>
            </w:pPr>
            <w:r w:rsidRPr="00573558">
              <w:t>RC of aged assets</w:t>
            </w:r>
          </w:p>
        </w:tc>
        <w:tc>
          <w:tcPr>
            <w:tcW w:w="1276" w:type="dxa"/>
          </w:tcPr>
          <w:p w:rsidR="00F46A92" w:rsidRPr="00573558" w:rsidRDefault="00F46A92" w:rsidP="00573558">
            <w:pPr>
              <w:pStyle w:val="AERtabletext"/>
            </w:pPr>
            <w:r w:rsidRPr="00573558">
              <w:t>Columns W:AA</w:t>
            </w:r>
          </w:p>
        </w:tc>
        <w:tc>
          <w:tcPr>
            <w:tcW w:w="5159" w:type="dxa"/>
          </w:tcPr>
          <w:p w:rsidR="00F46A92" w:rsidRPr="00150F14" w:rsidRDefault="00F46A92" w:rsidP="00F46A92">
            <w:pPr>
              <w:pStyle w:val="AERtabletext"/>
            </w:pPr>
            <w:r>
              <w:t>The proportion of assets (by replacement cost) in 5 bands of age.</w:t>
            </w:r>
          </w:p>
        </w:tc>
      </w:tr>
      <w:tr w:rsidR="00F46A92" w:rsidTr="00F46A92">
        <w:tc>
          <w:tcPr>
            <w:tcW w:w="2093" w:type="dxa"/>
          </w:tcPr>
          <w:p w:rsidR="00F46A92" w:rsidRPr="00573558" w:rsidRDefault="00F46A92" w:rsidP="00573558">
            <w:pPr>
              <w:pStyle w:val="AERtabletextheading"/>
            </w:pPr>
            <w:r w:rsidRPr="00573558">
              <w:t>Proportion of aged assets</w:t>
            </w:r>
          </w:p>
        </w:tc>
        <w:tc>
          <w:tcPr>
            <w:tcW w:w="1276" w:type="dxa"/>
          </w:tcPr>
          <w:p w:rsidR="00F46A92" w:rsidRPr="00573558" w:rsidRDefault="00F46A92" w:rsidP="00573558">
            <w:pPr>
              <w:pStyle w:val="AERtabletext"/>
            </w:pPr>
            <w:r w:rsidRPr="00573558">
              <w:t>Columns W:AA</w:t>
            </w:r>
          </w:p>
        </w:tc>
        <w:tc>
          <w:tcPr>
            <w:tcW w:w="5159" w:type="dxa"/>
          </w:tcPr>
          <w:p w:rsidR="00F46A92" w:rsidRPr="00150F14" w:rsidRDefault="00F46A92" w:rsidP="00F46A92">
            <w:pPr>
              <w:pStyle w:val="AERtabletext"/>
            </w:pPr>
            <w:r>
              <w:t>The proportion of assets (by percentage) in 5 bands of age.</w:t>
            </w:r>
          </w:p>
        </w:tc>
      </w:tr>
      <w:tr w:rsidR="00F46A92" w:rsidTr="00F46A92">
        <w:tc>
          <w:tcPr>
            <w:tcW w:w="2093" w:type="dxa"/>
          </w:tcPr>
          <w:p w:rsidR="00F46A92" w:rsidRPr="00573558" w:rsidRDefault="00F46A92" w:rsidP="00573558">
            <w:pPr>
              <w:pStyle w:val="AERtabletextheading"/>
              <w:rPr>
                <w:rStyle w:val="AERitals"/>
                <w:i w:val="0"/>
              </w:rPr>
            </w:pPr>
            <w:r w:rsidRPr="00573558">
              <w:rPr>
                <w:rStyle w:val="AERitals"/>
                <w:i w:val="0"/>
              </w:rPr>
              <w:t>Aged asset bands</w:t>
            </w:r>
          </w:p>
        </w:tc>
        <w:tc>
          <w:tcPr>
            <w:tcW w:w="1276" w:type="dxa"/>
          </w:tcPr>
          <w:p w:rsidR="00F46A92" w:rsidRPr="00573558" w:rsidRDefault="00F46A92" w:rsidP="00573558">
            <w:pPr>
              <w:pStyle w:val="AERtabletext"/>
              <w:rPr>
                <w:rStyle w:val="AERitals"/>
                <w:i w:val="0"/>
              </w:rPr>
            </w:pPr>
            <w:r w:rsidRPr="00573558">
              <w:rPr>
                <w:rStyle w:val="AERitals"/>
                <w:i w:val="0"/>
              </w:rPr>
              <w:t>W4:Z4</w:t>
            </w:r>
          </w:p>
        </w:tc>
        <w:tc>
          <w:tcPr>
            <w:tcW w:w="5159" w:type="dxa"/>
          </w:tcPr>
          <w:p w:rsidR="00F46A92" w:rsidRPr="00FF4D47" w:rsidRDefault="00F46A92" w:rsidP="00F46A92">
            <w:pPr>
              <w:pStyle w:val="AERtabletext"/>
              <w:rPr>
                <w:rStyle w:val="AERitals"/>
              </w:rPr>
            </w:pPr>
            <w:r w:rsidRPr="00FF4D47">
              <w:rPr>
                <w:rStyle w:val="AERitals"/>
              </w:rPr>
              <w:t>The parameters used to define the age bands for the above two outputs.  These are defined as a proportion of the life.</w:t>
            </w:r>
          </w:p>
        </w:tc>
      </w:tr>
      <w:tr w:rsidR="00F46A92" w:rsidTr="00F46A92">
        <w:tc>
          <w:tcPr>
            <w:tcW w:w="2093" w:type="dxa"/>
          </w:tcPr>
          <w:p w:rsidR="00F46A92" w:rsidRPr="00573558" w:rsidRDefault="00F46A92" w:rsidP="00573558">
            <w:pPr>
              <w:pStyle w:val="AERtabletextheading"/>
            </w:pPr>
            <w:r w:rsidRPr="00573558">
              <w:t>Asset group life ranges</w:t>
            </w:r>
          </w:p>
        </w:tc>
        <w:tc>
          <w:tcPr>
            <w:tcW w:w="1276" w:type="dxa"/>
          </w:tcPr>
          <w:p w:rsidR="00F46A92" w:rsidRPr="00573558" w:rsidRDefault="00F46A92" w:rsidP="00573558">
            <w:pPr>
              <w:pStyle w:val="AERtabletext"/>
            </w:pPr>
            <w:r w:rsidRPr="00573558">
              <w:t>AG6:AI20</w:t>
            </w:r>
          </w:p>
        </w:tc>
        <w:tc>
          <w:tcPr>
            <w:tcW w:w="5159" w:type="dxa"/>
          </w:tcPr>
          <w:p w:rsidR="00F46A92" w:rsidRDefault="00F46A92" w:rsidP="00F46A92">
            <w:pPr>
              <w:pStyle w:val="AERtabletext"/>
            </w:pPr>
            <w:r>
              <w:t>The range of lives in an asset group:</w:t>
            </w:r>
          </w:p>
          <w:p w:rsidR="00F46A92" w:rsidRDefault="00F46A92" w:rsidP="00F46A92">
            <w:pPr>
              <w:pStyle w:val="AERtabletext"/>
            </w:pPr>
            <w:r>
              <w:t>Maximum - column AG</w:t>
            </w:r>
          </w:p>
          <w:p w:rsidR="00F46A92" w:rsidRDefault="00F46A92" w:rsidP="00F46A92">
            <w:pPr>
              <w:pStyle w:val="AERtabletext"/>
            </w:pPr>
            <w:r>
              <w:t>Minimum - column AH</w:t>
            </w:r>
          </w:p>
          <w:p w:rsidR="00F46A92" w:rsidRPr="00150F14" w:rsidRDefault="00F46A92" w:rsidP="00F46A92">
            <w:pPr>
              <w:pStyle w:val="AERtabletext"/>
            </w:pPr>
            <w:r>
              <w:t>Average - column AI</w:t>
            </w:r>
          </w:p>
        </w:tc>
      </w:tr>
    </w:tbl>
    <w:p w:rsidR="00F46A92" w:rsidRDefault="00F46A92" w:rsidP="00F46A92">
      <w:pPr>
        <w:pStyle w:val="AERbodytext"/>
      </w:pPr>
    </w:p>
    <w:p w:rsidR="00F46A92" w:rsidRPr="00150F14" w:rsidRDefault="00F46A92" w:rsidP="00F46A92">
      <w:pPr>
        <w:pStyle w:val="AERappendixheading3"/>
      </w:pPr>
      <w:r>
        <w:lastRenderedPageBreak/>
        <w:t>Sheet name: RRR hist-forc</w:t>
      </w:r>
    </w:p>
    <w:p w:rsidR="00F46A92" w:rsidRDefault="00F46A92" w:rsidP="00F46A92">
      <w:pPr>
        <w:pStyle w:val="AERbodytext"/>
      </w:pPr>
      <w:r>
        <w:t>This sheet provides the results of the replacement forecast.  Rows 6:20 provide summary results at the asset group level.  Rows 24:208 provide similar results at the individual asset category level.</w:t>
      </w:r>
    </w:p>
    <w:tbl>
      <w:tblPr>
        <w:tblW w:w="0" w:type="auto"/>
        <w:tblLook w:val="0000" w:firstRow="0" w:lastRow="0" w:firstColumn="0" w:lastColumn="0" w:noHBand="0" w:noVBand="0"/>
      </w:tblPr>
      <w:tblGrid>
        <w:gridCol w:w="2093"/>
        <w:gridCol w:w="1276"/>
        <w:gridCol w:w="5159"/>
      </w:tblGrid>
      <w:tr w:rsidR="00F46A92" w:rsidTr="00F46A92">
        <w:tc>
          <w:tcPr>
            <w:tcW w:w="2093" w:type="dxa"/>
          </w:tcPr>
          <w:p w:rsidR="00F46A92" w:rsidRPr="00150F14" w:rsidRDefault="00F46A92" w:rsidP="00573558">
            <w:pPr>
              <w:pStyle w:val="AERtabletextheading"/>
            </w:pPr>
            <w:r>
              <w:t>Replacement expenditure forecast</w:t>
            </w:r>
          </w:p>
        </w:tc>
        <w:tc>
          <w:tcPr>
            <w:tcW w:w="1276" w:type="dxa"/>
          </w:tcPr>
          <w:p w:rsidR="00F46A92" w:rsidRPr="00150F14" w:rsidRDefault="00F46A92" w:rsidP="00F46A92">
            <w:pPr>
              <w:pStyle w:val="AERtabletext"/>
            </w:pPr>
            <w:r>
              <w:t>Columns AY:</w:t>
            </w:r>
          </w:p>
        </w:tc>
        <w:tc>
          <w:tcPr>
            <w:tcW w:w="5159" w:type="dxa"/>
          </w:tcPr>
          <w:p w:rsidR="00F46A92" w:rsidRDefault="00F46A92" w:rsidP="00F46A92">
            <w:pPr>
              <w:pStyle w:val="AERtabletext"/>
            </w:pPr>
            <w:r>
              <w:t>Provides the year-by-year forecast over a 20 year period of replacement expenditure ($'000).</w:t>
            </w:r>
          </w:p>
          <w:p w:rsidR="00F46A92" w:rsidRPr="00150F14" w:rsidRDefault="00F46A92" w:rsidP="00F46A92">
            <w:pPr>
              <w:pStyle w:val="AERtabletext"/>
            </w:pPr>
            <w:r>
              <w:t xml:space="preserve">Row 22 shows the total expenditure as a percentage of the total replacement cost of the network.  </w:t>
            </w:r>
          </w:p>
        </w:tc>
      </w:tr>
      <w:tr w:rsidR="00F46A92" w:rsidTr="00F46A92">
        <w:tc>
          <w:tcPr>
            <w:tcW w:w="2093" w:type="dxa"/>
          </w:tcPr>
          <w:p w:rsidR="00F46A92" w:rsidRPr="00150F14" w:rsidRDefault="00F46A92" w:rsidP="00573558">
            <w:pPr>
              <w:pStyle w:val="AERtabletextheading"/>
            </w:pPr>
            <w:r>
              <w:t>Weighted average age</w:t>
            </w:r>
          </w:p>
        </w:tc>
        <w:tc>
          <w:tcPr>
            <w:tcW w:w="1276" w:type="dxa"/>
          </w:tcPr>
          <w:p w:rsidR="00F46A92" w:rsidRPr="00150F14" w:rsidRDefault="00F46A92" w:rsidP="00F46A92">
            <w:pPr>
              <w:pStyle w:val="AERtabletext"/>
            </w:pPr>
            <w:r>
              <w:t>Columns BS:CM</w:t>
            </w:r>
          </w:p>
        </w:tc>
        <w:tc>
          <w:tcPr>
            <w:tcW w:w="5159" w:type="dxa"/>
          </w:tcPr>
          <w:p w:rsidR="00F46A92" w:rsidRDefault="00F46A92" w:rsidP="00F46A92">
            <w:pPr>
              <w:pStyle w:val="AERtabletext"/>
            </w:pPr>
            <w:r>
              <w:t xml:space="preserve">Provides the year-by-year forecast over a </w:t>
            </w:r>
            <w:r w:rsidR="00154ECC">
              <w:t>20-year</w:t>
            </w:r>
            <w:r>
              <w:t xml:space="preserve"> period of weighted average age.</w:t>
            </w:r>
          </w:p>
          <w:p w:rsidR="00F46A92" w:rsidRPr="00150F14" w:rsidRDefault="00F46A92" w:rsidP="00F46A92">
            <w:pPr>
              <w:pStyle w:val="AERtabletext"/>
            </w:pPr>
            <w:r>
              <w:t xml:space="preserve">Row 23 shows the weighted average age of the whole network as a percentage of the weighted average life of the whole network.  </w:t>
            </w:r>
          </w:p>
        </w:tc>
      </w:tr>
      <w:tr w:rsidR="00F46A92" w:rsidTr="00F46A92">
        <w:tc>
          <w:tcPr>
            <w:tcW w:w="2093" w:type="dxa"/>
          </w:tcPr>
          <w:p w:rsidR="00F46A92" w:rsidRPr="00150F14" w:rsidRDefault="00F46A92" w:rsidP="00573558">
            <w:pPr>
              <w:pStyle w:val="AERtabletextheading"/>
            </w:pPr>
            <w:r>
              <w:t>Weighted average remaining life</w:t>
            </w:r>
          </w:p>
        </w:tc>
        <w:tc>
          <w:tcPr>
            <w:tcW w:w="1276" w:type="dxa"/>
          </w:tcPr>
          <w:p w:rsidR="00F46A92" w:rsidRPr="00150F14" w:rsidRDefault="00F46A92" w:rsidP="00F46A92">
            <w:pPr>
              <w:pStyle w:val="AERtabletext"/>
            </w:pPr>
            <w:r>
              <w:t>Columns CN:DH</w:t>
            </w:r>
          </w:p>
        </w:tc>
        <w:tc>
          <w:tcPr>
            <w:tcW w:w="5159" w:type="dxa"/>
          </w:tcPr>
          <w:p w:rsidR="00F46A92" w:rsidRDefault="00F46A92" w:rsidP="00F46A92">
            <w:pPr>
              <w:pStyle w:val="AERtabletext"/>
            </w:pPr>
            <w:r>
              <w:t xml:space="preserve">Provides the year-by-year forecast over a </w:t>
            </w:r>
            <w:r w:rsidR="00154ECC">
              <w:t>20-year</w:t>
            </w:r>
            <w:r>
              <w:t xml:space="preserve"> period of weighted average remaining life.</w:t>
            </w:r>
          </w:p>
          <w:p w:rsidR="00F46A92" w:rsidRPr="00150F14" w:rsidRDefault="00F46A92" w:rsidP="00F46A92">
            <w:pPr>
              <w:pStyle w:val="AERtabletext"/>
            </w:pPr>
            <w:r>
              <w:t xml:space="preserve">Row 23 shows the weighted average remaining life of the whole network as a percentage of the weighted average life of the whole network.  </w:t>
            </w:r>
          </w:p>
        </w:tc>
      </w:tr>
      <w:tr w:rsidR="00F46A92" w:rsidTr="00F46A92">
        <w:tc>
          <w:tcPr>
            <w:tcW w:w="2093" w:type="dxa"/>
          </w:tcPr>
          <w:p w:rsidR="00F46A92" w:rsidRPr="00150F14" w:rsidRDefault="00F46A92" w:rsidP="00573558">
            <w:pPr>
              <w:pStyle w:val="AERtabletextheading"/>
            </w:pPr>
            <w:r>
              <w:t>Replacement quantity forecast</w:t>
            </w:r>
          </w:p>
        </w:tc>
        <w:tc>
          <w:tcPr>
            <w:tcW w:w="1276" w:type="dxa"/>
          </w:tcPr>
          <w:p w:rsidR="00F46A92" w:rsidRPr="00150F14" w:rsidRDefault="00F46A92" w:rsidP="00F46A92">
            <w:pPr>
              <w:pStyle w:val="AERtabletext"/>
            </w:pPr>
            <w:r>
              <w:t>Columns AY:</w:t>
            </w:r>
          </w:p>
        </w:tc>
        <w:tc>
          <w:tcPr>
            <w:tcW w:w="5159" w:type="dxa"/>
          </w:tcPr>
          <w:p w:rsidR="00F46A92" w:rsidRPr="00150F14" w:rsidRDefault="00F46A92" w:rsidP="00F46A92">
            <w:pPr>
              <w:pStyle w:val="AERtabletext"/>
            </w:pPr>
            <w:r>
              <w:t xml:space="preserve">Provides the year-by-year forecast over a </w:t>
            </w:r>
            <w:r w:rsidR="00154ECC">
              <w:t>20-year</w:t>
            </w:r>
            <w:r>
              <w:t xml:space="preserve"> period of the replacement volumes.</w:t>
            </w:r>
          </w:p>
        </w:tc>
      </w:tr>
    </w:tbl>
    <w:p w:rsidR="00F46A92" w:rsidRDefault="00F46A92" w:rsidP="00F46A92">
      <w:pPr>
        <w:pStyle w:val="AERbodytext"/>
      </w:pPr>
    </w:p>
    <w:p w:rsidR="00F46A92" w:rsidRDefault="00F46A92" w:rsidP="00F46A92">
      <w:pPr>
        <w:pStyle w:val="AERappendixheading2"/>
      </w:pPr>
      <w:r>
        <w:t>Chart sheets</w:t>
      </w:r>
    </w:p>
    <w:p w:rsidR="00F46A92" w:rsidRPr="00150F14" w:rsidRDefault="00F46A92" w:rsidP="00F46A92">
      <w:pPr>
        <w:pStyle w:val="AERappendixheading3"/>
      </w:pPr>
      <w:r>
        <w:t>Chart sheet name: age profile chart</w:t>
      </w:r>
    </w:p>
    <w:p w:rsidR="00F46A92" w:rsidRDefault="00F46A92" w:rsidP="00F46A92">
      <w:pPr>
        <w:pStyle w:val="AERbodytext"/>
      </w:pPr>
      <w:r>
        <w:t>This chart sheet provides two charts of the age profile:</w:t>
      </w:r>
    </w:p>
    <w:p w:rsidR="00F46A92" w:rsidRDefault="00F46A92" w:rsidP="00F46A92">
      <w:pPr>
        <w:pStyle w:val="AERbulletlistfirststyle"/>
      </w:pPr>
      <w:r>
        <w:t xml:space="preserve">The age profile at the asset group level, showing the total replacement cost ($'000) by installation date.  </w:t>
      </w:r>
    </w:p>
    <w:p w:rsidR="00F46A92" w:rsidRDefault="00F46A92" w:rsidP="00F46A92">
      <w:pPr>
        <w:pStyle w:val="AERbulletlistfirststyle"/>
      </w:pPr>
      <w:r>
        <w:t xml:space="preserve">The age profile at the asset group level, showing the total replacement cost ($'000) by remaining life.  </w:t>
      </w:r>
    </w:p>
    <w:p w:rsidR="00F46A92" w:rsidRPr="00150F14" w:rsidRDefault="00F46A92" w:rsidP="00F46A92">
      <w:pPr>
        <w:pStyle w:val="AERappendixheading3"/>
      </w:pPr>
      <w:r>
        <w:t>Chart sheet name: Forecast Ch1</w:t>
      </w:r>
    </w:p>
    <w:p w:rsidR="00F46A92" w:rsidRDefault="00F46A92" w:rsidP="00F46A92">
      <w:pPr>
        <w:pStyle w:val="AERbodytext"/>
      </w:pPr>
      <w:r>
        <w:t>This chart sheet provides two charts of the replacement forecast:</w:t>
      </w:r>
    </w:p>
    <w:p w:rsidR="00F46A92" w:rsidRDefault="00F46A92" w:rsidP="00F46A92">
      <w:pPr>
        <w:pStyle w:val="AERbulletlistfirststyle"/>
      </w:pPr>
      <w:r>
        <w:t xml:space="preserve">The stacked bar chart at the asset group level, showing the year-by-year replacement expenditure forecast ($ millions).  </w:t>
      </w:r>
    </w:p>
    <w:p w:rsidR="00F46A92" w:rsidRDefault="00154ECC" w:rsidP="00F46A92">
      <w:pPr>
        <w:pStyle w:val="AERbulletlistfirststyle"/>
      </w:pPr>
      <w:r>
        <w:t>A</w:t>
      </w:r>
      <w:r w:rsidR="00F46A92">
        <w:t xml:space="preserve"> z-y plot at the asset group level, showing the forecast weighted average age for each asset group and the weighted average age of the total network as a percentage of the weighted average life of the network.  </w:t>
      </w:r>
    </w:p>
    <w:p w:rsidR="00F46A92" w:rsidRPr="00D95B68" w:rsidRDefault="00F46A92" w:rsidP="00F46A92">
      <w:pPr>
        <w:pStyle w:val="AERappendixheading3"/>
      </w:pPr>
      <w:r>
        <w:lastRenderedPageBreak/>
        <w:t xml:space="preserve">Chart </w:t>
      </w:r>
      <w:r w:rsidRPr="00D95B68">
        <w:t>sheet name: Forecast Ch2</w:t>
      </w:r>
    </w:p>
    <w:p w:rsidR="00F46A92" w:rsidRDefault="00F46A92" w:rsidP="00F46A92">
      <w:pPr>
        <w:pStyle w:val="AERbodytext"/>
      </w:pPr>
      <w:r>
        <w:t>This chart sheet provides one chart of the replacement expenditure forecast, represented as a 3-dimensional chart showing the expenditure forecast for each asset group.</w:t>
      </w:r>
    </w:p>
    <w:p w:rsidR="00F46A92" w:rsidRDefault="00F46A92" w:rsidP="00F46A92">
      <w:pPr>
        <w:pStyle w:val="AERappendixheading2"/>
      </w:pPr>
      <w:r>
        <w:t>Internal sheets</w:t>
      </w:r>
    </w:p>
    <w:p w:rsidR="00F46A92" w:rsidRDefault="00F46A92" w:rsidP="00F46A92">
      <w:pPr>
        <w:pStyle w:val="AERbodytext"/>
      </w:pPr>
      <w:r>
        <w:t>The model also includes three other sheets that are used for internal purposes i.e. producing charts and aiding with the calculations.  These sheets are called:</w:t>
      </w:r>
    </w:p>
    <w:p w:rsidR="00F46A92" w:rsidRDefault="00F46A92" w:rsidP="00F46A92">
      <w:pPr>
        <w:pStyle w:val="AERbulletlistfirststyle"/>
      </w:pPr>
      <w:r>
        <w:t>Age profile (Inst)</w:t>
      </w:r>
    </w:p>
    <w:p w:rsidR="00F46A92" w:rsidRDefault="00F46A92" w:rsidP="00F46A92">
      <w:pPr>
        <w:pStyle w:val="AERbulletlistfirststyle"/>
      </w:pPr>
      <w:r>
        <w:t>Age profile (RL)</w:t>
      </w:r>
    </w:p>
    <w:p w:rsidR="00F46A92" w:rsidRDefault="00F46A92" w:rsidP="00F46A92">
      <w:pPr>
        <w:pStyle w:val="AERbulletlistfirststyle"/>
      </w:pPr>
      <w:r>
        <w:t>Age profile (years)</w:t>
      </w:r>
    </w:p>
    <w:p w:rsidR="00F46A92" w:rsidRDefault="00F46A92" w:rsidP="00F46A92">
      <w:pPr>
        <w:pStyle w:val="AERbodytext"/>
      </w:pPr>
      <w:r>
        <w:t xml:space="preserve">These three sheets have the same structure, and as the names suggest, are used to hold different representations of the age profile.  The user should not need to interact with these sheets and as such they are not described in detail here. </w:t>
      </w:r>
    </w:p>
    <w:bookmarkEnd w:id="93"/>
    <w:p w:rsidR="008B436D" w:rsidRPr="008B436D" w:rsidRDefault="008B436D" w:rsidP="008B436D">
      <w:pPr>
        <w:pStyle w:val="AERappendixheading1"/>
        <w:rPr>
          <w:rFonts w:eastAsiaTheme="minorHAnsi"/>
        </w:rPr>
      </w:pPr>
      <w:r>
        <w:lastRenderedPageBreak/>
        <w:br w:type="page"/>
      </w:r>
      <w:bookmarkStart w:id="101" w:name="_Toc371937013"/>
      <w:r w:rsidRPr="008B436D">
        <w:rPr>
          <w:rFonts w:eastAsiaTheme="minorHAnsi"/>
        </w:rPr>
        <w:lastRenderedPageBreak/>
        <w:t>Past replacement modelling exercises</w:t>
      </w:r>
      <w:bookmarkEnd w:id="101"/>
    </w:p>
    <w:p w:rsidR="00661FDA" w:rsidRDefault="00661FDA" w:rsidP="00970D34">
      <w:pPr>
        <w:pStyle w:val="AERbodytext"/>
        <w:rPr>
          <w:rFonts w:eastAsiaTheme="minorHAnsi"/>
        </w:rPr>
      </w:pPr>
      <w:r>
        <w:rPr>
          <w:rFonts w:eastAsiaTheme="minorHAnsi"/>
        </w:rPr>
        <w:t>If an NSP has undertaken</w:t>
      </w:r>
      <w:r w:rsidR="008B436D" w:rsidRPr="008B436D">
        <w:rPr>
          <w:rFonts w:eastAsiaTheme="minorHAnsi"/>
        </w:rPr>
        <w:t xml:space="preserve"> </w:t>
      </w:r>
      <w:r w:rsidR="00CD7C27">
        <w:rPr>
          <w:rFonts w:eastAsiaTheme="minorHAnsi"/>
        </w:rPr>
        <w:t xml:space="preserve">previous </w:t>
      </w:r>
      <w:r w:rsidR="008B436D" w:rsidRPr="008B436D">
        <w:rPr>
          <w:rFonts w:eastAsiaTheme="minorHAnsi"/>
        </w:rPr>
        <w:t xml:space="preserve">replacement modelling </w:t>
      </w:r>
      <w:r w:rsidR="00222299">
        <w:rPr>
          <w:rFonts w:eastAsiaTheme="minorHAnsi"/>
        </w:rPr>
        <w:t xml:space="preserve">either </w:t>
      </w:r>
      <w:r w:rsidR="008B436D" w:rsidRPr="008B436D">
        <w:rPr>
          <w:rFonts w:eastAsiaTheme="minorHAnsi"/>
        </w:rPr>
        <w:t>to support its</w:t>
      </w:r>
      <w:r w:rsidR="00222299">
        <w:rPr>
          <w:rFonts w:eastAsiaTheme="minorHAnsi"/>
        </w:rPr>
        <w:t xml:space="preserve"> </w:t>
      </w:r>
      <w:r w:rsidR="00154ECC">
        <w:rPr>
          <w:rFonts w:eastAsiaTheme="minorHAnsi"/>
        </w:rPr>
        <w:t xml:space="preserve">current </w:t>
      </w:r>
      <w:r w:rsidR="00154ECC" w:rsidRPr="008B436D">
        <w:rPr>
          <w:rFonts w:eastAsiaTheme="minorHAnsi"/>
        </w:rPr>
        <w:t>or</w:t>
      </w:r>
      <w:r w:rsidR="00222299">
        <w:rPr>
          <w:rFonts w:eastAsiaTheme="minorHAnsi"/>
        </w:rPr>
        <w:t xml:space="preserve"> a previous regulatory </w:t>
      </w:r>
      <w:r w:rsidR="008B436D" w:rsidRPr="008B436D">
        <w:rPr>
          <w:rFonts w:eastAsiaTheme="minorHAnsi"/>
        </w:rPr>
        <w:t>submission</w:t>
      </w:r>
      <w:r>
        <w:rPr>
          <w:rFonts w:eastAsiaTheme="minorHAnsi"/>
        </w:rPr>
        <w:t xml:space="preserve"> using a p</w:t>
      </w:r>
      <w:r w:rsidR="008B436D" w:rsidRPr="008B436D">
        <w:rPr>
          <w:rFonts w:eastAsiaTheme="minorHAnsi"/>
        </w:rPr>
        <w:t>roprietary replacement model</w:t>
      </w:r>
      <w:r>
        <w:rPr>
          <w:rFonts w:eastAsiaTheme="minorHAnsi"/>
        </w:rPr>
        <w:t>, at the time of submission the NSP should include additional information</w:t>
      </w:r>
      <w:r w:rsidR="00222299">
        <w:rPr>
          <w:rFonts w:eastAsiaTheme="minorHAnsi"/>
        </w:rPr>
        <w:t xml:space="preserve"> about that modelling exercise</w:t>
      </w:r>
      <w:r w:rsidR="008B436D" w:rsidRPr="008B436D">
        <w:rPr>
          <w:rFonts w:eastAsiaTheme="minorHAnsi"/>
        </w:rPr>
        <w:t>.</w:t>
      </w:r>
      <w:r>
        <w:rPr>
          <w:rFonts w:eastAsiaTheme="minorHAnsi"/>
        </w:rPr>
        <w:t xml:space="preserve"> The information provided should set out response</w:t>
      </w:r>
      <w:r w:rsidR="00CD7C27">
        <w:rPr>
          <w:rFonts w:eastAsiaTheme="minorHAnsi"/>
        </w:rPr>
        <w:t>s</w:t>
      </w:r>
      <w:r>
        <w:rPr>
          <w:rFonts w:eastAsiaTheme="minorHAnsi"/>
        </w:rPr>
        <w:t xml:space="preserve"> to the questions below. </w:t>
      </w:r>
      <w:r w:rsidR="008B436D" w:rsidRPr="008B436D">
        <w:rPr>
          <w:rFonts w:eastAsiaTheme="minorHAnsi"/>
        </w:rPr>
        <w:t xml:space="preserve">The AER recognises the conceptual differences between the </w:t>
      </w:r>
      <w:r>
        <w:rPr>
          <w:rFonts w:eastAsiaTheme="minorHAnsi"/>
        </w:rPr>
        <w:t xml:space="preserve">AER's repex </w:t>
      </w:r>
      <w:r w:rsidR="008B436D" w:rsidRPr="008B436D">
        <w:rPr>
          <w:rFonts w:eastAsiaTheme="minorHAnsi"/>
        </w:rPr>
        <w:t xml:space="preserve">modelling approach and </w:t>
      </w:r>
      <w:r w:rsidR="00154ECC">
        <w:rPr>
          <w:rFonts w:eastAsiaTheme="minorHAnsi"/>
        </w:rPr>
        <w:t>a</w:t>
      </w:r>
      <w:r>
        <w:rPr>
          <w:rFonts w:eastAsiaTheme="minorHAnsi"/>
        </w:rPr>
        <w:t xml:space="preserve"> NSPs</w:t>
      </w:r>
      <w:r w:rsidR="008B436D" w:rsidRPr="008B436D">
        <w:rPr>
          <w:rFonts w:eastAsiaTheme="minorHAnsi"/>
        </w:rPr>
        <w:t xml:space="preserve"> actual approach to asset management. It is not the intent of these questions to address these matters.</w:t>
      </w:r>
    </w:p>
    <w:p w:rsidR="008B436D" w:rsidRPr="008B436D" w:rsidRDefault="008B436D" w:rsidP="00970D34">
      <w:pPr>
        <w:pStyle w:val="AERbodytext"/>
        <w:rPr>
          <w:rFonts w:eastAsiaTheme="minorHAnsi"/>
        </w:rPr>
      </w:pPr>
      <w:r w:rsidRPr="008B436D">
        <w:rPr>
          <w:rFonts w:eastAsiaTheme="minorHAnsi"/>
        </w:rPr>
        <w:t xml:space="preserve">The information </w:t>
      </w:r>
      <w:r w:rsidR="00661FDA">
        <w:rPr>
          <w:rFonts w:eastAsiaTheme="minorHAnsi"/>
        </w:rPr>
        <w:t xml:space="preserve">to be provided </w:t>
      </w:r>
      <w:r w:rsidRPr="008B436D">
        <w:rPr>
          <w:rFonts w:eastAsiaTheme="minorHAnsi"/>
        </w:rPr>
        <w:t xml:space="preserve">associated with past replacement modelling exercises </w:t>
      </w:r>
      <w:r w:rsidR="00222299">
        <w:rPr>
          <w:rFonts w:eastAsiaTheme="minorHAnsi"/>
        </w:rPr>
        <w:t xml:space="preserve">is </w:t>
      </w:r>
      <w:r w:rsidRPr="008B436D">
        <w:rPr>
          <w:rFonts w:eastAsiaTheme="minorHAnsi"/>
        </w:rPr>
        <w:t>as follows:</w:t>
      </w:r>
    </w:p>
    <w:p w:rsidR="008B436D" w:rsidRPr="00661FDA" w:rsidRDefault="00661FDA" w:rsidP="00661FDA">
      <w:pPr>
        <w:pStyle w:val="AERnumberedlistfirststyle"/>
        <w:numPr>
          <w:ilvl w:val="0"/>
          <w:numId w:val="15"/>
        </w:numPr>
        <w:rPr>
          <w:rFonts w:eastAsiaTheme="minorHAnsi"/>
        </w:rPr>
      </w:pPr>
      <w:r>
        <w:rPr>
          <w:rFonts w:eastAsiaTheme="minorHAnsi"/>
        </w:rPr>
        <w:t>P</w:t>
      </w:r>
      <w:r w:rsidR="008B436D" w:rsidRPr="00661FDA">
        <w:rPr>
          <w:rFonts w:eastAsiaTheme="minorHAnsi"/>
        </w:rPr>
        <w:t xml:space="preserve">rovide a discussion and quantitative reconciliation between </w:t>
      </w:r>
      <w:r w:rsidR="00154ECC">
        <w:rPr>
          <w:rFonts w:eastAsiaTheme="minorHAnsi"/>
        </w:rPr>
        <w:t xml:space="preserve">the </w:t>
      </w:r>
      <w:r w:rsidR="00154ECC" w:rsidRPr="00661FDA">
        <w:rPr>
          <w:rFonts w:eastAsiaTheme="minorHAnsi"/>
        </w:rPr>
        <w:t>past</w:t>
      </w:r>
      <w:r w:rsidR="008B436D" w:rsidRPr="00661FDA">
        <w:rPr>
          <w:rFonts w:eastAsiaTheme="minorHAnsi"/>
        </w:rPr>
        <w:t xml:space="preserve"> replacement model outputs and the actual replacement outcomes. This should cover both quantities and expenditure that are forecast by the model.</w:t>
      </w:r>
      <w:r>
        <w:rPr>
          <w:rFonts w:eastAsiaTheme="minorHAnsi"/>
        </w:rPr>
        <w:t xml:space="preserve"> P</w:t>
      </w:r>
      <w:r w:rsidR="008B436D" w:rsidRPr="00661FDA">
        <w:rPr>
          <w:rFonts w:eastAsiaTheme="minorHAnsi"/>
        </w:rPr>
        <w:t>rioritise the asset categories with the most significant replacement expenditure for the most accurate reconciliation and detailed discussion.</w:t>
      </w:r>
    </w:p>
    <w:p w:rsidR="008B436D" w:rsidRPr="008B436D" w:rsidRDefault="008B436D" w:rsidP="00661FDA">
      <w:pPr>
        <w:pStyle w:val="AERnumberedlistfirststyle"/>
        <w:rPr>
          <w:rFonts w:eastAsiaTheme="minorHAnsi"/>
        </w:rPr>
      </w:pPr>
      <w:r w:rsidRPr="008B436D">
        <w:rPr>
          <w:rFonts w:eastAsiaTheme="minorHAnsi"/>
        </w:rPr>
        <w:t xml:space="preserve">Where significant differences are identified for an asset category (i.e. over 10%), </w:t>
      </w:r>
      <w:r w:rsidR="00661FDA">
        <w:rPr>
          <w:rFonts w:eastAsiaTheme="minorHAnsi"/>
        </w:rPr>
        <w:t xml:space="preserve">you </w:t>
      </w:r>
      <w:r w:rsidRPr="008B436D">
        <w:rPr>
          <w:rFonts w:eastAsiaTheme="minorHAnsi"/>
        </w:rPr>
        <w:t>should identify the reasons for the difference, in terms of the following:</w:t>
      </w:r>
    </w:p>
    <w:p w:rsidR="008B436D" w:rsidRPr="00CD7C27" w:rsidRDefault="008B436D" w:rsidP="00CD7C27">
      <w:pPr>
        <w:pStyle w:val="AERnumberedlistsecondstyle"/>
        <w:numPr>
          <w:ilvl w:val="0"/>
          <w:numId w:val="16"/>
        </w:numPr>
        <w:rPr>
          <w:rFonts w:eastAsiaTheme="minorHAnsi"/>
        </w:rPr>
      </w:pPr>
      <w:r w:rsidRPr="00CD7C27">
        <w:rPr>
          <w:rFonts w:eastAsiaTheme="minorHAnsi"/>
        </w:rPr>
        <w:t>longer (or shorter) replaceme</w:t>
      </w:r>
      <w:r w:rsidR="00CD7C27" w:rsidRPr="00CD7C27">
        <w:rPr>
          <w:rFonts w:eastAsiaTheme="minorHAnsi"/>
        </w:rPr>
        <w:t>nt lives than used in the model. If your model</w:t>
      </w:r>
      <w:r w:rsidRPr="00CD7C27">
        <w:rPr>
          <w:rFonts w:eastAsiaTheme="minorHAnsi"/>
        </w:rPr>
        <w:t xml:space="preserve"> applies an adjustment to the replacement life (via a modification to the age profile), based upon the assumed condition of the asset</w:t>
      </w:r>
      <w:r w:rsidR="00CD7C27" w:rsidRPr="00CD7C27">
        <w:rPr>
          <w:rFonts w:eastAsiaTheme="minorHAnsi"/>
        </w:rPr>
        <w:t xml:space="preserve"> compared to the </w:t>
      </w:r>
      <w:r w:rsidRPr="00CD7C27">
        <w:rPr>
          <w:rFonts w:eastAsiaTheme="minorHAnsi"/>
        </w:rPr>
        <w:t>actual condition</w:t>
      </w:r>
      <w:r w:rsidR="00CD7C27" w:rsidRPr="00CD7C27">
        <w:rPr>
          <w:rFonts w:eastAsiaTheme="minorHAnsi"/>
        </w:rPr>
        <w:t>,</w:t>
      </w:r>
      <w:r w:rsidRPr="00CD7C27">
        <w:rPr>
          <w:rFonts w:eastAsiaTheme="minorHAnsi"/>
        </w:rPr>
        <w:t xml:space="preserve"> this should be discussed</w:t>
      </w:r>
      <w:r w:rsidR="00CD7C27" w:rsidRPr="00CD7C27">
        <w:rPr>
          <w:rFonts w:eastAsiaTheme="minorHAnsi"/>
        </w:rPr>
        <w:t xml:space="preserve"> here. You </w:t>
      </w:r>
      <w:r w:rsidRPr="00CD7C27">
        <w:rPr>
          <w:rFonts w:eastAsiaTheme="minorHAnsi"/>
        </w:rPr>
        <w:t xml:space="preserve">should also estimate the impact this difference would have on the effective (condition adjusted) replacement life of the model. </w:t>
      </w:r>
    </w:p>
    <w:p w:rsidR="008B436D" w:rsidRPr="008B436D" w:rsidRDefault="008B436D" w:rsidP="00CD7C27">
      <w:pPr>
        <w:pStyle w:val="AERnumberedlistsecondstyle"/>
        <w:rPr>
          <w:rFonts w:eastAsiaTheme="minorHAnsi"/>
        </w:rPr>
      </w:pPr>
      <w:r w:rsidRPr="008B436D">
        <w:rPr>
          <w:rFonts w:eastAsiaTheme="minorHAnsi"/>
        </w:rPr>
        <w:t>higher (or lower) unit replacement costs than used in the model</w:t>
      </w:r>
    </w:p>
    <w:p w:rsidR="008B436D" w:rsidRPr="008B436D" w:rsidRDefault="008B436D" w:rsidP="00CD7C27">
      <w:pPr>
        <w:pStyle w:val="AERnumberedlistsecondstyle"/>
        <w:rPr>
          <w:rFonts w:eastAsiaTheme="minorHAnsi"/>
        </w:rPr>
      </w:pPr>
      <w:r w:rsidRPr="008B436D">
        <w:rPr>
          <w:rFonts w:eastAsiaTheme="minorHAnsi"/>
        </w:rPr>
        <w:t>overlap with other expenditure drivers (e.g. an upgrade through a customer connection resulting in the replacement of an aging asset)</w:t>
      </w:r>
    </w:p>
    <w:p w:rsidR="008B436D" w:rsidRPr="008B436D" w:rsidRDefault="008B436D" w:rsidP="00CD7C27">
      <w:pPr>
        <w:pStyle w:val="AERnumberedlistsecondstyle"/>
        <w:rPr>
          <w:rFonts w:eastAsiaTheme="minorHAnsi"/>
        </w:rPr>
      </w:pPr>
      <w:r w:rsidRPr="008B436D">
        <w:rPr>
          <w:rFonts w:eastAsiaTheme="minorHAnsi"/>
        </w:rPr>
        <w:t>changed knowledge of the age profile (e.g. erroneous installation dates)</w:t>
      </w:r>
    </w:p>
    <w:p w:rsidR="008B436D" w:rsidRPr="008B436D" w:rsidRDefault="008B436D" w:rsidP="00CD7C27">
      <w:pPr>
        <w:pStyle w:val="AERnumberedlistsecondstyle"/>
        <w:rPr>
          <w:rFonts w:eastAsiaTheme="minorHAnsi"/>
        </w:rPr>
      </w:pPr>
      <w:r w:rsidRPr="008B436D">
        <w:rPr>
          <w:rFonts w:eastAsiaTheme="minorHAnsi"/>
        </w:rPr>
        <w:t>the assumptions behind the replacement profile for the assets that were older than the assumed replacement life (i.e. “deferred” assets in the PB model)</w:t>
      </w:r>
    </w:p>
    <w:p w:rsidR="008B436D" w:rsidRPr="008B436D" w:rsidRDefault="008B436D" w:rsidP="00CD7C27">
      <w:pPr>
        <w:pStyle w:val="AERnumberedlistsecondstyle"/>
        <w:rPr>
          <w:rFonts w:eastAsiaTheme="minorHAnsi"/>
        </w:rPr>
      </w:pPr>
      <w:r w:rsidRPr="008B436D">
        <w:rPr>
          <w:rFonts w:eastAsiaTheme="minorHAnsi"/>
        </w:rPr>
        <w:t>other factors.</w:t>
      </w:r>
    </w:p>
    <w:p w:rsidR="008B436D" w:rsidRPr="008B436D" w:rsidRDefault="008B436D" w:rsidP="00CD7C27">
      <w:pPr>
        <w:pStyle w:val="AERnumberedlistfirststyle"/>
        <w:rPr>
          <w:rFonts w:eastAsiaTheme="minorHAnsi"/>
        </w:rPr>
      </w:pPr>
      <w:r w:rsidRPr="008B436D">
        <w:rPr>
          <w:rFonts w:eastAsiaTheme="minorHAnsi"/>
        </w:rPr>
        <w:t xml:space="preserve">For each asset category and the individual reasons identified in response to question 2 above, </w:t>
      </w:r>
      <w:r w:rsidR="00CD7C27">
        <w:rPr>
          <w:rFonts w:eastAsiaTheme="minorHAnsi"/>
        </w:rPr>
        <w:t xml:space="preserve">you </w:t>
      </w:r>
      <w:r w:rsidRPr="008B436D">
        <w:rPr>
          <w:rFonts w:eastAsiaTheme="minorHAnsi"/>
        </w:rPr>
        <w:t>should provide:</w:t>
      </w:r>
    </w:p>
    <w:p w:rsidR="008B436D" w:rsidRPr="00CD7C27" w:rsidRDefault="008B436D" w:rsidP="00CD7C27">
      <w:pPr>
        <w:pStyle w:val="AERnumberedlistsecondstyle"/>
        <w:numPr>
          <w:ilvl w:val="0"/>
          <w:numId w:val="17"/>
        </w:numPr>
        <w:rPr>
          <w:rFonts w:eastAsiaTheme="minorHAnsi"/>
        </w:rPr>
      </w:pPr>
      <w:r w:rsidRPr="00CD7C27">
        <w:rPr>
          <w:rFonts w:eastAsiaTheme="minorHAnsi"/>
        </w:rPr>
        <w:t>an estimate of the difference (quantity and expenditure)</w:t>
      </w:r>
    </w:p>
    <w:p w:rsidR="008B436D" w:rsidRPr="008B436D" w:rsidRDefault="008B436D" w:rsidP="00CD7C27">
      <w:pPr>
        <w:pStyle w:val="AERnumberedlistsecondstyle"/>
        <w:rPr>
          <w:rFonts w:eastAsiaTheme="minorHAnsi"/>
        </w:rPr>
      </w:pPr>
      <w:r w:rsidRPr="008B436D">
        <w:rPr>
          <w:rFonts w:eastAsiaTheme="minorHAnsi"/>
        </w:rPr>
        <w:t>a brief description of how the reason was determined and the estimate calculated</w:t>
      </w:r>
    </w:p>
    <w:p w:rsidR="008B436D" w:rsidRPr="008B436D" w:rsidRDefault="008B436D" w:rsidP="00CD7C27">
      <w:pPr>
        <w:pStyle w:val="AERnumberedlistsecondstyle"/>
        <w:rPr>
          <w:rFonts w:eastAsiaTheme="minorHAnsi"/>
        </w:rPr>
      </w:pPr>
      <w:r w:rsidRPr="008B436D">
        <w:rPr>
          <w:rFonts w:eastAsiaTheme="minorHAnsi"/>
        </w:rPr>
        <w:t xml:space="preserve">a brief description of the reason for the difference from that assumed in the model to that which actually occurred (e.g. a change to an asset management practice had resulted in a longer life than anticipated – note, such “changes” should be explained). </w:t>
      </w:r>
    </w:p>
    <w:p w:rsidR="008B436D" w:rsidRPr="008B436D" w:rsidRDefault="00222299" w:rsidP="00661FDA">
      <w:pPr>
        <w:pStyle w:val="AERnumberedlistfirststyle"/>
        <w:rPr>
          <w:rFonts w:eastAsiaTheme="minorHAnsi"/>
        </w:rPr>
      </w:pPr>
      <w:r>
        <w:rPr>
          <w:rFonts w:eastAsiaTheme="minorHAnsi"/>
        </w:rPr>
        <w:t>P</w:t>
      </w:r>
      <w:r w:rsidR="008B436D" w:rsidRPr="008B436D">
        <w:rPr>
          <w:rFonts w:eastAsiaTheme="minorHAnsi"/>
        </w:rPr>
        <w:t xml:space="preserve">rovide the input data for the replacement models </w:t>
      </w:r>
      <w:r>
        <w:rPr>
          <w:rFonts w:eastAsiaTheme="minorHAnsi"/>
        </w:rPr>
        <w:t xml:space="preserve">as </w:t>
      </w:r>
      <w:r w:rsidR="008B436D" w:rsidRPr="008B436D">
        <w:rPr>
          <w:rFonts w:eastAsiaTheme="minorHAnsi"/>
        </w:rPr>
        <w:t xml:space="preserve">developed for </w:t>
      </w:r>
      <w:r>
        <w:rPr>
          <w:rFonts w:eastAsiaTheme="minorHAnsi"/>
        </w:rPr>
        <w:t xml:space="preserve">a </w:t>
      </w:r>
      <w:r w:rsidR="008B436D" w:rsidRPr="008B436D">
        <w:rPr>
          <w:rFonts w:eastAsiaTheme="minorHAnsi"/>
        </w:rPr>
        <w:t>previous review</w:t>
      </w:r>
      <w:r>
        <w:rPr>
          <w:rFonts w:eastAsiaTheme="minorHAnsi"/>
        </w:rPr>
        <w:t>, if any</w:t>
      </w:r>
      <w:r w:rsidR="008B436D" w:rsidRPr="008B436D">
        <w:rPr>
          <w:rFonts w:eastAsiaTheme="minorHAnsi"/>
        </w:rPr>
        <w:t xml:space="preserve">. This should at least cover the age profiles, the replacement lives, </w:t>
      </w:r>
      <w:r w:rsidR="008B436D" w:rsidRPr="008B436D">
        <w:rPr>
          <w:rFonts w:eastAsiaTheme="minorHAnsi"/>
        </w:rPr>
        <w:lastRenderedPageBreak/>
        <w:t>the replacement unit costs, the condition data, the asset grouping data and the asset deferral parameters.</w:t>
      </w:r>
    </w:p>
    <w:p w:rsidR="008B436D" w:rsidRPr="008B436D" w:rsidRDefault="00661FDA" w:rsidP="00661FDA">
      <w:pPr>
        <w:pStyle w:val="AERnumberedlistfirststyle"/>
        <w:rPr>
          <w:rFonts w:eastAsiaTheme="minorHAnsi"/>
        </w:rPr>
      </w:pPr>
      <w:r>
        <w:rPr>
          <w:rFonts w:eastAsiaTheme="minorHAnsi"/>
        </w:rPr>
        <w:t xml:space="preserve">The NSP </w:t>
      </w:r>
      <w:r w:rsidR="008B436D" w:rsidRPr="008B436D">
        <w:rPr>
          <w:rFonts w:eastAsiaTheme="minorHAnsi"/>
        </w:rPr>
        <w:t>should clearly indicates the relationship between the asset categories used in response to question 1 above and the asset categories used in the earlier modelling</w:t>
      </w:r>
      <w:r w:rsidR="00222299">
        <w:rPr>
          <w:rFonts w:eastAsiaTheme="minorHAnsi"/>
        </w:rPr>
        <w:t xml:space="preserve"> identifying where differences exist.</w:t>
      </w:r>
    </w:p>
    <w:p w:rsidR="00F46A92" w:rsidRPr="00896438" w:rsidRDefault="00F46A92" w:rsidP="00F46A92">
      <w:pPr>
        <w:pStyle w:val="AERbodytext"/>
      </w:pPr>
    </w:p>
    <w:sectPr w:rsidR="00F46A92" w:rsidRPr="00896438" w:rsidSect="0083521B">
      <w:footerReference w:type="even" r:id="rId14"/>
      <w:footerReference w:type="default" r:id="rId15"/>
      <w:pgSz w:w="11906" w:h="16838"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7804" w:rsidRDefault="00A17804">
      <w:r>
        <w:separator/>
      </w:r>
    </w:p>
  </w:endnote>
  <w:endnote w:type="continuationSeparator" w:id="0">
    <w:p w:rsidR="00A17804" w:rsidRDefault="00A178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Bold">
    <w:panose1 w:val="020B07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804" w:rsidRDefault="00A17804" w:rsidP="00CF4D5D">
    <w:pPr>
      <w:pStyle w:val="Footer"/>
    </w:pPr>
    <w:r>
      <w:rPr>
        <w:rStyle w:val="PageNumber"/>
      </w:rPr>
      <w:fldChar w:fldCharType="begin"/>
    </w:r>
    <w:r>
      <w:rPr>
        <w:rStyle w:val="PageNumber"/>
      </w:rPr>
      <w:instrText xml:space="preserve"> PAGE </w:instrText>
    </w:r>
    <w:r>
      <w:rPr>
        <w:rStyle w:val="PageNumber"/>
      </w:rPr>
      <w:fldChar w:fldCharType="separate"/>
    </w:r>
    <w:r w:rsidR="005A2158">
      <w:rPr>
        <w:rStyle w:val="PageNumber"/>
        <w:noProof/>
      </w:rPr>
      <w:t>6</w:t>
    </w:r>
    <w:r>
      <w:rPr>
        <w:rStyle w:val="PageNumber"/>
      </w:rPr>
      <w:fldChar w:fldCharType="end"/>
    </w:r>
    <w:r>
      <w:rPr>
        <w:rStyle w:val="PageNumber"/>
      </w:rPr>
      <w:tab/>
      <w:t>Repex model handbook</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804" w:rsidRDefault="00A17804" w:rsidP="00CF4D5D">
    <w:pPr>
      <w:pStyle w:val="Footer"/>
    </w:pPr>
    <w:r>
      <w:tab/>
    </w:r>
    <w:r>
      <w:rPr>
        <w:rStyle w:val="PageNumber"/>
      </w:rPr>
      <w:fldChar w:fldCharType="begin"/>
    </w:r>
    <w:r>
      <w:rPr>
        <w:rStyle w:val="PageNumber"/>
      </w:rPr>
      <w:instrText xml:space="preserve"> PAGE </w:instrText>
    </w:r>
    <w:r>
      <w:rPr>
        <w:rStyle w:val="PageNumber"/>
      </w:rPr>
      <w:fldChar w:fldCharType="separate"/>
    </w:r>
    <w:r w:rsidR="005A2158">
      <w:rPr>
        <w:rStyle w:val="PageNumber"/>
        <w:noProof/>
      </w:rPr>
      <w:t>5</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7804" w:rsidRDefault="00A17804">
      <w:r>
        <w:separator/>
      </w:r>
    </w:p>
  </w:footnote>
  <w:footnote w:type="continuationSeparator" w:id="0">
    <w:p w:rsidR="00A17804" w:rsidRDefault="00A17804">
      <w:r>
        <w:continuationSeparator/>
      </w:r>
    </w:p>
  </w:footnote>
  <w:footnote w:id="1">
    <w:p w:rsidR="00A17804" w:rsidRDefault="00A17804" w:rsidP="00F46A92">
      <w:pPr>
        <w:pStyle w:val="FootnoteText"/>
      </w:pPr>
      <w:r>
        <w:rPr>
          <w:rStyle w:val="FootnoteReference"/>
        </w:rPr>
        <w:footnoteRef/>
      </w:r>
      <w:r>
        <w:t xml:space="preserve"> </w:t>
      </w:r>
      <w:r>
        <w:tab/>
        <w:t>Note the distinction here with replacement driven by demand.  Demand driven replacement, by its nature, will require assets of a higher capacity.  Non-demand-driven replacement should not require additional capacity; although, additional capacity may result as a product of the modern equivalent asset.</w:t>
      </w:r>
    </w:p>
  </w:footnote>
  <w:footnote w:id="2">
    <w:p w:rsidR="00A17804" w:rsidRPr="00F41C3B" w:rsidRDefault="00A17804" w:rsidP="00F46A92">
      <w:pPr>
        <w:pStyle w:val="FootnoteText"/>
      </w:pPr>
      <w:r>
        <w:rPr>
          <w:rStyle w:val="FootnoteReference"/>
        </w:rPr>
        <w:footnoteRef/>
      </w:r>
      <w:r>
        <w:t xml:space="preserve"> </w:t>
      </w:r>
      <w:r>
        <w:tab/>
      </w:r>
      <w:r w:rsidRPr="00F41C3B">
        <w:t>Note that as initial failures are normally replaced under warranty, they are ignored in this discussion.</w:t>
      </w:r>
    </w:p>
  </w:footnote>
  <w:footnote w:id="3">
    <w:p w:rsidR="00A17804" w:rsidRDefault="00A17804" w:rsidP="00F46A92">
      <w:pPr>
        <w:pStyle w:val="FootnoteText"/>
      </w:pPr>
      <w:r>
        <w:rPr>
          <w:rStyle w:val="FootnoteReference"/>
        </w:rPr>
        <w:footnoteRef/>
      </w:r>
      <w:r>
        <w:t xml:space="preserve"> </w:t>
      </w:r>
      <w:r>
        <w:tab/>
        <w:t>Initial "wear in" failures are common in manufactured items. When included in the bathtub curve their occurrence creates a steep declining curve on the left hand vertical axis that completes the bathtub shape from which the curve derives its name.</w:t>
      </w:r>
    </w:p>
  </w:footnote>
  <w:footnote w:id="4">
    <w:p w:rsidR="00A17804" w:rsidRDefault="00A17804">
      <w:pPr>
        <w:pStyle w:val="FootnoteText"/>
      </w:pPr>
      <w:r>
        <w:rPr>
          <w:rStyle w:val="FootnoteReference"/>
        </w:rPr>
        <w:footnoteRef/>
      </w:r>
      <w:r>
        <w:t xml:space="preserve"> </w:t>
      </w:r>
      <w:r>
        <w:tab/>
      </w:r>
      <w:r w:rsidRPr="0009752B">
        <w:t xml:space="preserve">Early failure indicates that the component has a higher likelihood of failure early in its life than later. In other words, it will likely fail close to the time it comes on line or into service. If it survives the initial </w:t>
      </w:r>
      <w:r w:rsidR="00154ECC" w:rsidRPr="0009752B">
        <w:t>start</w:t>
      </w:r>
      <w:r w:rsidR="00154ECC">
        <w:t>-</w:t>
      </w:r>
      <w:r w:rsidR="00154ECC" w:rsidRPr="0009752B">
        <w:t>up</w:t>
      </w:r>
      <w:r w:rsidRPr="0009752B">
        <w:t xml:space="preserve"> period it will likely have a long life.</w:t>
      </w:r>
      <w:r>
        <w:t xml:space="preserve"> </w:t>
      </w:r>
    </w:p>
    <w:p w:rsidR="00A17804" w:rsidRPr="0009752B" w:rsidRDefault="00A17804">
      <w:pPr>
        <w:pStyle w:val="FootnoteText"/>
      </w:pPr>
      <w:r>
        <w:tab/>
      </w:r>
      <w:r w:rsidRPr="0009752B">
        <w:t>Wear out failure patterns indicate that the component has a useful life and that time is definitely a factor in the life of the component.</w:t>
      </w:r>
    </w:p>
  </w:footnote>
  <w:footnote w:id="5">
    <w:p w:rsidR="00A17804" w:rsidRDefault="00A17804" w:rsidP="00F46A92">
      <w:pPr>
        <w:pStyle w:val="FootnoteText"/>
      </w:pPr>
      <w:r>
        <w:rPr>
          <w:rStyle w:val="FootnoteReference"/>
        </w:rPr>
        <w:footnoteRef/>
      </w:r>
      <w:r>
        <w:t xml:space="preserve"> </w:t>
      </w:r>
      <w:r>
        <w:tab/>
        <w:t>If a NSP has assets older than this, then they could all be placed in the earliest installation date.  If this would result in a material error then the model would need to be revised to allow earlier installation dates.</w:t>
      </w:r>
    </w:p>
  </w:footnote>
  <w:footnote w:id="6">
    <w:p w:rsidR="00A17804" w:rsidRDefault="00A17804" w:rsidP="006B42D2">
      <w:pPr>
        <w:pStyle w:val="FootnoteText"/>
      </w:pPr>
      <w:r>
        <w:rPr>
          <w:rStyle w:val="FootnoteReference"/>
        </w:rPr>
        <w:footnoteRef/>
      </w:r>
      <w:r>
        <w:t xml:space="preserve"> </w:t>
      </w:r>
      <w:r>
        <w:tab/>
        <w:t>To simplify this process the standard deviation is set to be the square root of the mean life. This approximation removes one variable from this process and avoids a need to estimate the true standard deviation. This assumption is also applied by OFGEM in its calibration process.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47E6E"/>
    <w:multiLevelType w:val="multilevel"/>
    <w:tmpl w:val="4BAC67F8"/>
    <w:lvl w:ilvl="0">
      <w:start w:val="1"/>
      <w:numFmt w:val="upperLetter"/>
      <w:pStyle w:val="AERappendixheading1"/>
      <w:lvlText w:val="%1"/>
      <w:lvlJc w:val="left"/>
      <w:pPr>
        <w:tabs>
          <w:tab w:val="num" w:pos="851"/>
        </w:tabs>
        <w:ind w:left="851" w:hanging="851"/>
      </w:pPr>
      <w:rPr>
        <w:rFonts w:hint="default"/>
      </w:rPr>
    </w:lvl>
    <w:lvl w:ilvl="1">
      <w:start w:val="1"/>
      <w:numFmt w:val="decimal"/>
      <w:pStyle w:val="AERappendixheading2"/>
      <w:lvlText w:val="%1.%2"/>
      <w:lvlJc w:val="left"/>
      <w:pPr>
        <w:tabs>
          <w:tab w:val="num" w:pos="851"/>
        </w:tabs>
        <w:ind w:left="851" w:hanging="851"/>
      </w:pPr>
      <w:rPr>
        <w:rFonts w:hint="default"/>
      </w:rPr>
    </w:lvl>
    <w:lvl w:ilvl="2">
      <w:start w:val="1"/>
      <w:numFmt w:val="decimal"/>
      <w:pStyle w:val="AERappendixheading3"/>
      <w:lvlText w:val="%1.%2.%3"/>
      <w:lvlJc w:val="left"/>
      <w:pPr>
        <w:tabs>
          <w:tab w:val="num" w:pos="851"/>
        </w:tabs>
        <w:ind w:left="851" w:hanging="851"/>
      </w:pPr>
      <w:rPr>
        <w:rFonts w:hint="default"/>
      </w:rPr>
    </w:lvl>
    <w:lvl w:ilvl="3">
      <w:start w:val="1"/>
      <w:numFmt w:val="decimal"/>
      <w:pStyle w:val="AERappendixheading2"/>
      <w:lvlText w:val="%1.%2.%3.%4"/>
      <w:lvlJc w:val="left"/>
      <w:pPr>
        <w:tabs>
          <w:tab w:val="num" w:pos="851"/>
        </w:tabs>
        <w:ind w:left="851" w:hanging="851"/>
      </w:pPr>
      <w:rPr>
        <w:rFonts w:hint="default"/>
      </w:rPr>
    </w:lvl>
    <w:lvl w:ilvl="4">
      <w:start w:val="1"/>
      <w:numFmt w:val="decimal"/>
      <w:lvlRestart w:val="1"/>
      <w:lvlText w:val="Table %1.%5"/>
      <w:lvlJc w:val="left"/>
      <w:pPr>
        <w:tabs>
          <w:tab w:val="num" w:pos="1361"/>
        </w:tabs>
        <w:ind w:left="1361" w:hanging="1361"/>
      </w:pPr>
      <w:rPr>
        <w:rFonts w:hint="default"/>
      </w:rPr>
    </w:lvl>
    <w:lvl w:ilvl="5">
      <w:start w:val="1"/>
      <w:numFmt w:val="decimal"/>
      <w:lvlRestart w:val="1"/>
      <w:pStyle w:val="AERappendixfigureheading"/>
      <w:lvlText w:val="Figure %1.%6"/>
      <w:lvlJc w:val="left"/>
      <w:pPr>
        <w:tabs>
          <w:tab w:val="num" w:pos="1361"/>
        </w:tabs>
        <w:ind w:left="1361" w:hanging="1361"/>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nsid w:val="1A3A6266"/>
    <w:multiLevelType w:val="multilevel"/>
    <w:tmpl w:val="A93864D8"/>
    <w:lvl w:ilvl="0">
      <w:start w:val="1"/>
      <w:numFmt w:val="bullet"/>
      <w:pStyle w:val="AERbulletlistsecondstyle"/>
      <w:lvlText w:val=""/>
      <w:lvlJc w:val="left"/>
      <w:pPr>
        <w:tabs>
          <w:tab w:val="num" w:pos="714"/>
        </w:tabs>
        <w:ind w:left="714" w:hanging="357"/>
      </w:pPr>
      <w:rPr>
        <w:rFonts w:ascii="Wingdings" w:hAnsi="Wingdings" w:hint="default"/>
        <w:sz w:val="24"/>
      </w:rPr>
    </w:lvl>
    <w:lvl w:ilvl="1">
      <w:start w:val="1"/>
      <w:numFmt w:val="bullet"/>
      <w:lvlText w:val=""/>
      <w:lvlJc w:val="left"/>
      <w:pPr>
        <w:tabs>
          <w:tab w:val="num" w:pos="1080"/>
        </w:tabs>
        <w:ind w:left="1080" w:hanging="360"/>
      </w:pPr>
      <w:rPr>
        <w:rFonts w:ascii="Wingdings" w:hAnsi="Wingdings" w:hint="default"/>
      </w:rPr>
    </w:lvl>
    <w:lvl w:ilvl="2">
      <w:start w:val="1"/>
      <w:numFmt w:val="bullet"/>
      <w:lvlText w:val=""/>
      <w:lvlJc w:val="left"/>
      <w:pPr>
        <w:tabs>
          <w:tab w:val="num" w:pos="1800"/>
        </w:tabs>
        <w:ind w:left="1800" w:hanging="360"/>
      </w:pPr>
      <w:rPr>
        <w:rFonts w:ascii="Wingdings" w:hAnsi="Wingdings" w:hint="default"/>
        <w:sz w:val="20"/>
        <w:szCs w:val="20"/>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
    <w:nsid w:val="2B127A5F"/>
    <w:multiLevelType w:val="multilevel"/>
    <w:tmpl w:val="C7BE72A6"/>
    <w:lvl w:ilvl="0">
      <w:start w:val="1"/>
      <w:numFmt w:val="lowerRoman"/>
      <w:pStyle w:val="AERnumberedlistthirdstyle"/>
      <w:lvlText w:val="%1."/>
      <w:lvlJc w:val="left"/>
      <w:pPr>
        <w:tabs>
          <w:tab w:val="num" w:pos="1440"/>
        </w:tabs>
        <w:ind w:left="1440" w:hanging="360"/>
      </w:pPr>
      <w:rPr>
        <w:rFonts w:hint="default"/>
      </w:rPr>
    </w:lvl>
    <w:lvl w:ilvl="1">
      <w:start w:val="1"/>
      <w:numFmt w:val="lowerLetter"/>
      <w:lvlText w:val="%2)"/>
      <w:lvlJc w:val="left"/>
      <w:pPr>
        <w:tabs>
          <w:tab w:val="num" w:pos="1800"/>
        </w:tabs>
        <w:ind w:left="1800" w:hanging="360"/>
      </w:pPr>
      <w:rPr>
        <w:rFonts w:hint="default"/>
      </w:rPr>
    </w:lvl>
    <w:lvl w:ilvl="2">
      <w:start w:val="1"/>
      <w:numFmt w:val="lowerRoman"/>
      <w:lvlText w:val="%3)"/>
      <w:lvlJc w:val="left"/>
      <w:pPr>
        <w:tabs>
          <w:tab w:val="num" w:pos="2160"/>
        </w:tabs>
        <w:ind w:left="2160" w:hanging="36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2880"/>
        </w:tabs>
        <w:ind w:left="2880" w:hanging="360"/>
      </w:pPr>
      <w:rPr>
        <w:rFonts w:hint="default"/>
      </w:rPr>
    </w:lvl>
    <w:lvl w:ilvl="5">
      <w:start w:val="1"/>
      <w:numFmt w:val="lowerRoman"/>
      <w:lvlText w:val="(%6)"/>
      <w:lvlJc w:val="left"/>
      <w:pPr>
        <w:tabs>
          <w:tab w:val="num" w:pos="3240"/>
        </w:tabs>
        <w:ind w:left="3240" w:hanging="360"/>
      </w:pPr>
      <w:rPr>
        <w:rFonts w:hint="default"/>
      </w:rPr>
    </w:lvl>
    <w:lvl w:ilvl="6">
      <w:start w:val="1"/>
      <w:numFmt w:val="decimal"/>
      <w:lvlText w:val="%7."/>
      <w:lvlJc w:val="left"/>
      <w:pPr>
        <w:tabs>
          <w:tab w:val="num" w:pos="3600"/>
        </w:tabs>
        <w:ind w:left="3600" w:hanging="360"/>
      </w:pPr>
      <w:rPr>
        <w:rFonts w:hint="default"/>
      </w:rPr>
    </w:lvl>
    <w:lvl w:ilvl="7">
      <w:start w:val="1"/>
      <w:numFmt w:val="lowerLetter"/>
      <w:lvlText w:val="%8."/>
      <w:lvlJc w:val="left"/>
      <w:pPr>
        <w:tabs>
          <w:tab w:val="num" w:pos="3960"/>
        </w:tabs>
        <w:ind w:left="3960" w:hanging="360"/>
      </w:pPr>
      <w:rPr>
        <w:rFonts w:hint="default"/>
      </w:rPr>
    </w:lvl>
    <w:lvl w:ilvl="8">
      <w:start w:val="1"/>
      <w:numFmt w:val="lowerRoman"/>
      <w:lvlText w:val="%9."/>
      <w:lvlJc w:val="left"/>
      <w:pPr>
        <w:tabs>
          <w:tab w:val="num" w:pos="4320"/>
        </w:tabs>
        <w:ind w:left="4320" w:hanging="360"/>
      </w:pPr>
      <w:rPr>
        <w:rFonts w:hint="default"/>
      </w:rPr>
    </w:lvl>
  </w:abstractNum>
  <w:abstractNum w:abstractNumId="3">
    <w:nsid w:val="301B31FF"/>
    <w:multiLevelType w:val="multilevel"/>
    <w:tmpl w:val="228CA4AE"/>
    <w:lvl w:ilvl="0">
      <w:start w:val="1"/>
      <w:numFmt w:val="lowerLetter"/>
      <w:pStyle w:val="AERnumberedlistsecondstyle"/>
      <w:lvlText w:val="%1."/>
      <w:lvlJc w:val="left"/>
      <w:pPr>
        <w:tabs>
          <w:tab w:val="num" w:pos="720"/>
        </w:tabs>
        <w:ind w:left="72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lowerLetter"/>
      <w:lvlText w:val="(%5)"/>
      <w:lvlJc w:val="left"/>
      <w:pPr>
        <w:tabs>
          <w:tab w:val="num" w:pos="2160"/>
        </w:tabs>
        <w:ind w:left="2160" w:hanging="360"/>
      </w:pPr>
      <w:rPr>
        <w:rFonts w:hint="default"/>
      </w:rPr>
    </w:lvl>
    <w:lvl w:ilvl="5">
      <w:start w:val="1"/>
      <w:numFmt w:val="lowerRoman"/>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4">
    <w:nsid w:val="3BA8635F"/>
    <w:multiLevelType w:val="hybridMultilevel"/>
    <w:tmpl w:val="A3B4D3C6"/>
    <w:lvl w:ilvl="0" w:tplc="0A76D0FA">
      <w:start w:val="1"/>
      <w:numFmt w:val="bullet"/>
      <w:lvlText w:val=""/>
      <w:lvlJc w:val="left"/>
      <w:pPr>
        <w:tabs>
          <w:tab w:val="num" w:pos="1588"/>
        </w:tabs>
        <w:ind w:left="1588" w:hanging="1588"/>
      </w:pPr>
      <w:rPr>
        <w:rFonts w:ascii="Wingdings" w:hAnsi="Wingdings" w:hint="default"/>
        <w:color w:val="auto"/>
        <w:sz w:val="16"/>
        <w:szCs w:val="28"/>
      </w:rPr>
    </w:lvl>
    <w:lvl w:ilvl="1" w:tplc="8B20B0AA">
      <w:start w:val="1"/>
      <w:numFmt w:val="bullet"/>
      <w:pStyle w:val="AERquotebullet1"/>
      <w:lvlText w:val=""/>
      <w:lvlJc w:val="left"/>
      <w:pPr>
        <w:tabs>
          <w:tab w:val="num" w:pos="1378"/>
        </w:tabs>
        <w:ind w:left="1378" w:hanging="357"/>
      </w:pPr>
      <w:rPr>
        <w:rFonts w:ascii="Wingdings" w:hAnsi="Wingdings" w:hint="default"/>
        <w:color w:val="auto"/>
        <w:sz w:val="16"/>
        <w:szCs w:val="28"/>
      </w:rPr>
    </w:lvl>
    <w:lvl w:ilvl="2" w:tplc="18668928" w:tentative="1">
      <w:start w:val="1"/>
      <w:numFmt w:val="bullet"/>
      <w:lvlText w:val=""/>
      <w:lvlJc w:val="left"/>
      <w:pPr>
        <w:tabs>
          <w:tab w:val="num" w:pos="2160"/>
        </w:tabs>
        <w:ind w:left="2160" w:hanging="360"/>
      </w:pPr>
      <w:rPr>
        <w:rFonts w:ascii="Wingdings" w:hAnsi="Wingdings" w:hint="default"/>
      </w:rPr>
    </w:lvl>
    <w:lvl w:ilvl="3" w:tplc="63FE7A9E" w:tentative="1">
      <w:start w:val="1"/>
      <w:numFmt w:val="bullet"/>
      <w:lvlText w:val=""/>
      <w:lvlJc w:val="left"/>
      <w:pPr>
        <w:tabs>
          <w:tab w:val="num" w:pos="2880"/>
        </w:tabs>
        <w:ind w:left="2880" w:hanging="360"/>
      </w:pPr>
      <w:rPr>
        <w:rFonts w:ascii="Symbol" w:hAnsi="Symbol" w:hint="default"/>
      </w:rPr>
    </w:lvl>
    <w:lvl w:ilvl="4" w:tplc="981255D0" w:tentative="1">
      <w:start w:val="1"/>
      <w:numFmt w:val="bullet"/>
      <w:lvlText w:val="o"/>
      <w:lvlJc w:val="left"/>
      <w:pPr>
        <w:tabs>
          <w:tab w:val="num" w:pos="3600"/>
        </w:tabs>
        <w:ind w:left="3600" w:hanging="360"/>
      </w:pPr>
      <w:rPr>
        <w:rFonts w:ascii="Courier New" w:hAnsi="Courier New" w:cs="Courier New" w:hint="default"/>
      </w:rPr>
    </w:lvl>
    <w:lvl w:ilvl="5" w:tplc="91F84CD8" w:tentative="1">
      <w:start w:val="1"/>
      <w:numFmt w:val="bullet"/>
      <w:lvlText w:val=""/>
      <w:lvlJc w:val="left"/>
      <w:pPr>
        <w:tabs>
          <w:tab w:val="num" w:pos="4320"/>
        </w:tabs>
        <w:ind w:left="4320" w:hanging="360"/>
      </w:pPr>
      <w:rPr>
        <w:rFonts w:ascii="Wingdings" w:hAnsi="Wingdings" w:hint="default"/>
      </w:rPr>
    </w:lvl>
    <w:lvl w:ilvl="6" w:tplc="71F8D370" w:tentative="1">
      <w:start w:val="1"/>
      <w:numFmt w:val="bullet"/>
      <w:lvlText w:val=""/>
      <w:lvlJc w:val="left"/>
      <w:pPr>
        <w:tabs>
          <w:tab w:val="num" w:pos="5040"/>
        </w:tabs>
        <w:ind w:left="5040" w:hanging="360"/>
      </w:pPr>
      <w:rPr>
        <w:rFonts w:ascii="Symbol" w:hAnsi="Symbol" w:hint="default"/>
      </w:rPr>
    </w:lvl>
    <w:lvl w:ilvl="7" w:tplc="F2F668F4" w:tentative="1">
      <w:start w:val="1"/>
      <w:numFmt w:val="bullet"/>
      <w:lvlText w:val="o"/>
      <w:lvlJc w:val="left"/>
      <w:pPr>
        <w:tabs>
          <w:tab w:val="num" w:pos="5760"/>
        </w:tabs>
        <w:ind w:left="5760" w:hanging="360"/>
      </w:pPr>
      <w:rPr>
        <w:rFonts w:ascii="Courier New" w:hAnsi="Courier New" w:cs="Courier New" w:hint="default"/>
      </w:rPr>
    </w:lvl>
    <w:lvl w:ilvl="8" w:tplc="B9F2EA44" w:tentative="1">
      <w:start w:val="1"/>
      <w:numFmt w:val="bullet"/>
      <w:lvlText w:val=""/>
      <w:lvlJc w:val="left"/>
      <w:pPr>
        <w:tabs>
          <w:tab w:val="num" w:pos="6480"/>
        </w:tabs>
        <w:ind w:left="6480" w:hanging="360"/>
      </w:pPr>
      <w:rPr>
        <w:rFonts w:ascii="Wingdings" w:hAnsi="Wingdings" w:hint="default"/>
      </w:rPr>
    </w:lvl>
  </w:abstractNum>
  <w:abstractNum w:abstractNumId="5">
    <w:nsid w:val="443F74CB"/>
    <w:multiLevelType w:val="hybridMultilevel"/>
    <w:tmpl w:val="D5F80586"/>
    <w:lvl w:ilvl="0" w:tplc="45E48EE6">
      <w:start w:val="1"/>
      <w:numFmt w:val="decimal"/>
      <w:pStyle w:val="AERnumberedlistfirststyle"/>
      <w:lvlText w:val="%1."/>
      <w:lvlJc w:val="left"/>
      <w:pPr>
        <w:tabs>
          <w:tab w:val="num" w:pos="357"/>
        </w:tabs>
        <w:ind w:left="357" w:hanging="357"/>
      </w:pPr>
      <w:rPr>
        <w:rFonts w:ascii="Times New Roman" w:hAnsi="Times New Roman" w:hint="default"/>
        <w:b w:val="0"/>
        <w:i w:val="0"/>
        <w:sz w:val="24"/>
      </w:rPr>
    </w:lvl>
    <w:lvl w:ilvl="1" w:tplc="FC2E1422" w:tentative="1">
      <w:start w:val="1"/>
      <w:numFmt w:val="lowerLetter"/>
      <w:lvlText w:val="%2."/>
      <w:lvlJc w:val="left"/>
      <w:pPr>
        <w:tabs>
          <w:tab w:val="num" w:pos="1440"/>
        </w:tabs>
        <w:ind w:left="1440" w:hanging="360"/>
      </w:pPr>
    </w:lvl>
    <w:lvl w:ilvl="2" w:tplc="0C090005" w:tentative="1">
      <w:start w:val="1"/>
      <w:numFmt w:val="lowerRoman"/>
      <w:lvlText w:val="%3."/>
      <w:lvlJc w:val="right"/>
      <w:pPr>
        <w:tabs>
          <w:tab w:val="num" w:pos="2160"/>
        </w:tabs>
        <w:ind w:left="2160" w:hanging="180"/>
      </w:pPr>
    </w:lvl>
    <w:lvl w:ilvl="3" w:tplc="0C090001" w:tentative="1">
      <w:start w:val="1"/>
      <w:numFmt w:val="decimal"/>
      <w:lvlText w:val="%4."/>
      <w:lvlJc w:val="left"/>
      <w:pPr>
        <w:tabs>
          <w:tab w:val="num" w:pos="2880"/>
        </w:tabs>
        <w:ind w:left="2880" w:hanging="360"/>
      </w:pPr>
    </w:lvl>
    <w:lvl w:ilvl="4" w:tplc="0C090003">
      <w:start w:val="1"/>
      <w:numFmt w:val="lowerLetter"/>
      <w:lvlText w:val="%5."/>
      <w:lvlJc w:val="left"/>
      <w:pPr>
        <w:tabs>
          <w:tab w:val="num" w:pos="3600"/>
        </w:tabs>
        <w:ind w:left="3600" w:hanging="360"/>
      </w:pPr>
    </w:lvl>
    <w:lvl w:ilvl="5" w:tplc="0C090005">
      <w:start w:val="1"/>
      <w:numFmt w:val="lowerRoman"/>
      <w:lvlText w:val="%6."/>
      <w:lvlJc w:val="right"/>
      <w:pPr>
        <w:tabs>
          <w:tab w:val="num" w:pos="4320"/>
        </w:tabs>
        <w:ind w:left="4320" w:hanging="180"/>
      </w:pPr>
    </w:lvl>
    <w:lvl w:ilvl="6" w:tplc="0C090001" w:tentative="1">
      <w:start w:val="1"/>
      <w:numFmt w:val="decimal"/>
      <w:lvlText w:val="%7."/>
      <w:lvlJc w:val="left"/>
      <w:pPr>
        <w:tabs>
          <w:tab w:val="num" w:pos="5040"/>
        </w:tabs>
        <w:ind w:left="5040" w:hanging="360"/>
      </w:pPr>
    </w:lvl>
    <w:lvl w:ilvl="7" w:tplc="0C090003" w:tentative="1">
      <w:start w:val="1"/>
      <w:numFmt w:val="lowerLetter"/>
      <w:lvlText w:val="%8."/>
      <w:lvlJc w:val="left"/>
      <w:pPr>
        <w:tabs>
          <w:tab w:val="num" w:pos="5760"/>
        </w:tabs>
        <w:ind w:left="5760" w:hanging="360"/>
      </w:pPr>
    </w:lvl>
    <w:lvl w:ilvl="8" w:tplc="0C090005" w:tentative="1">
      <w:start w:val="1"/>
      <w:numFmt w:val="lowerRoman"/>
      <w:lvlText w:val="%9."/>
      <w:lvlJc w:val="right"/>
      <w:pPr>
        <w:tabs>
          <w:tab w:val="num" w:pos="6480"/>
        </w:tabs>
        <w:ind w:left="6480" w:hanging="180"/>
      </w:pPr>
    </w:lvl>
  </w:abstractNum>
  <w:abstractNum w:abstractNumId="6">
    <w:nsid w:val="50895FE3"/>
    <w:multiLevelType w:val="multilevel"/>
    <w:tmpl w:val="3F66B386"/>
    <w:lvl w:ilvl="0">
      <w:start w:val="1"/>
      <w:numFmt w:val="decimal"/>
      <w:pStyle w:val="AERfigureheading"/>
      <w:lvlText w:val="%1"/>
      <w:lvlJc w:val="left"/>
      <w:pPr>
        <w:tabs>
          <w:tab w:val="num" w:pos="851"/>
        </w:tabs>
        <w:ind w:left="851" w:hanging="851"/>
      </w:pPr>
      <w:rPr>
        <w:rFonts w:hint="default"/>
      </w:rPr>
    </w:lvl>
    <w:lvl w:ilvl="1">
      <w:start w:val="1"/>
      <w:numFmt w:val="decimal"/>
      <w:pStyle w:val="AERfigureheading-unnumbered"/>
      <w:lvlText w:val="%1.%2"/>
      <w:lvlJc w:val="left"/>
      <w:pPr>
        <w:tabs>
          <w:tab w:val="num" w:pos="851"/>
        </w:tabs>
        <w:ind w:left="851" w:hanging="851"/>
      </w:pPr>
      <w:rPr>
        <w:rFonts w:hint="default"/>
      </w:rPr>
    </w:lvl>
    <w:lvl w:ilvl="2">
      <w:start w:val="1"/>
      <w:numFmt w:val="decimal"/>
      <w:pStyle w:val="AERheading3"/>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Restart w:val="1"/>
      <w:pStyle w:val="AERtableheading"/>
      <w:lvlText w:val="Table %1.%5"/>
      <w:lvlJc w:val="left"/>
      <w:pPr>
        <w:tabs>
          <w:tab w:val="num" w:pos="1361"/>
        </w:tabs>
        <w:ind w:left="1361" w:hanging="1361"/>
      </w:pPr>
      <w:rPr>
        <w:rFonts w:hint="default"/>
      </w:rPr>
    </w:lvl>
    <w:lvl w:ilvl="5">
      <w:start w:val="1"/>
      <w:numFmt w:val="decimal"/>
      <w:lvlRestart w:val="1"/>
      <w:pStyle w:val="AERfigureheading"/>
      <w:lvlText w:val="Figure %1.%6"/>
      <w:lvlJc w:val="left"/>
      <w:pPr>
        <w:tabs>
          <w:tab w:val="num" w:pos="1361"/>
        </w:tabs>
        <w:ind w:left="1361" w:hanging="1361"/>
      </w:pPr>
      <w:rPr>
        <w:rFonts w:hint="default"/>
      </w:rPr>
    </w:lvl>
    <w:lvl w:ilvl="6">
      <w:start w:val="1"/>
      <w:numFmt w:val="decimal"/>
      <w:lvlRestart w:val="0"/>
      <w:pStyle w:val="AERtableheading-unnumbered"/>
      <w:lvlText w:val="Table %7"/>
      <w:lvlJc w:val="left"/>
      <w:pPr>
        <w:tabs>
          <w:tab w:val="num" w:pos="1361"/>
        </w:tabs>
        <w:ind w:left="1361" w:hanging="1361"/>
      </w:pPr>
      <w:rPr>
        <w:rFonts w:hint="default"/>
      </w:rPr>
    </w:lvl>
    <w:lvl w:ilvl="7">
      <w:start w:val="1"/>
      <w:numFmt w:val="decimal"/>
      <w:lvlRestart w:val="0"/>
      <w:pStyle w:val="AERfigureheading-unnumbered"/>
      <w:lvlText w:val="Figure %8"/>
      <w:lvlJc w:val="left"/>
      <w:pPr>
        <w:tabs>
          <w:tab w:val="num" w:pos="1361"/>
        </w:tabs>
        <w:ind w:left="1361" w:hanging="1361"/>
      </w:pPr>
      <w:rPr>
        <w:rFonts w:hint="default"/>
      </w:rPr>
    </w:lvl>
    <w:lvl w:ilvl="8">
      <w:start w:val="1"/>
      <w:numFmt w:val="none"/>
      <w:lvlText w:val=""/>
      <w:lvlJc w:val="right"/>
      <w:pPr>
        <w:tabs>
          <w:tab w:val="num" w:pos="1584"/>
        </w:tabs>
        <w:ind w:left="1584" w:hanging="144"/>
      </w:pPr>
      <w:rPr>
        <w:rFonts w:hint="default"/>
      </w:rPr>
    </w:lvl>
  </w:abstractNum>
  <w:abstractNum w:abstractNumId="7">
    <w:nsid w:val="51487971"/>
    <w:multiLevelType w:val="multilevel"/>
    <w:tmpl w:val="B1FCC85A"/>
    <w:lvl w:ilvl="0">
      <w:start w:val="1"/>
      <w:numFmt w:val="none"/>
      <w:pStyle w:val="AER1indentalphalista"/>
      <w:lvlText w:val="%1"/>
      <w:lvlJc w:val="left"/>
      <w:pPr>
        <w:tabs>
          <w:tab w:val="num" w:pos="0"/>
        </w:tabs>
        <w:ind w:left="0" w:firstLine="0"/>
      </w:pPr>
      <w:rPr>
        <w:rFonts w:hint="default"/>
      </w:rPr>
    </w:lvl>
    <w:lvl w:ilvl="1">
      <w:start w:val="1"/>
      <w:numFmt w:val="decimal"/>
      <w:pStyle w:val="AERAindentcapalphalista1"/>
      <w:lvlText w:val="%2."/>
      <w:lvlJc w:val="left"/>
      <w:pPr>
        <w:tabs>
          <w:tab w:val="num" w:pos="357"/>
        </w:tabs>
        <w:ind w:left="357" w:hanging="357"/>
      </w:pPr>
      <w:rPr>
        <w:rFonts w:hint="default"/>
      </w:rPr>
    </w:lvl>
    <w:lvl w:ilvl="2">
      <w:start w:val="1"/>
      <w:numFmt w:val="lowerLetter"/>
      <w:pStyle w:val="AERalphalist1"/>
      <w:lvlText w:val="%3."/>
      <w:lvlJc w:val="left"/>
      <w:pPr>
        <w:tabs>
          <w:tab w:val="num" w:pos="720"/>
        </w:tabs>
        <w:ind w:left="720" w:hanging="363"/>
      </w:pPr>
      <w:rPr>
        <w:rFonts w:hint="default"/>
      </w:rPr>
    </w:lvl>
    <w:lvl w:ilvl="3">
      <w:start w:val="1"/>
      <w:numFmt w:val="lowerRoman"/>
      <w:pStyle w:val="AERalphalista"/>
      <w:lvlText w:val="%4."/>
      <w:lvlJc w:val="left"/>
      <w:pPr>
        <w:tabs>
          <w:tab w:val="num" w:pos="1077"/>
        </w:tabs>
        <w:ind w:left="1077" w:hanging="357"/>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nsid w:val="62BF0570"/>
    <w:multiLevelType w:val="hybridMultilevel"/>
    <w:tmpl w:val="2C38EE7E"/>
    <w:lvl w:ilvl="0" w:tplc="1F5207DE">
      <w:start w:val="1"/>
      <w:numFmt w:val="bullet"/>
      <w:pStyle w:val="AERbulletlistthirdstyle"/>
      <w:lvlText w:val=""/>
      <w:lvlJc w:val="left"/>
      <w:pPr>
        <w:tabs>
          <w:tab w:val="num" w:pos="870"/>
        </w:tabs>
        <w:ind w:left="870" w:hanging="360"/>
      </w:pPr>
      <w:rPr>
        <w:rFonts w:ascii="Wingdings" w:hAnsi="Wingdings" w:hint="default"/>
        <w:color w:val="auto"/>
        <w:sz w:val="16"/>
        <w:szCs w:val="16"/>
      </w:rPr>
    </w:lvl>
    <w:lvl w:ilvl="1" w:tplc="53E6116E" w:tentative="1">
      <w:start w:val="1"/>
      <w:numFmt w:val="bullet"/>
      <w:lvlText w:val="o"/>
      <w:lvlJc w:val="left"/>
      <w:pPr>
        <w:tabs>
          <w:tab w:val="num" w:pos="1590"/>
        </w:tabs>
        <w:ind w:left="1590" w:hanging="360"/>
      </w:pPr>
      <w:rPr>
        <w:rFonts w:ascii="Courier New" w:hAnsi="Courier New" w:cs="Courier New" w:hint="default"/>
      </w:rPr>
    </w:lvl>
    <w:lvl w:ilvl="2" w:tplc="049E9112" w:tentative="1">
      <w:start w:val="1"/>
      <w:numFmt w:val="bullet"/>
      <w:lvlText w:val=""/>
      <w:lvlJc w:val="left"/>
      <w:pPr>
        <w:tabs>
          <w:tab w:val="num" w:pos="2310"/>
        </w:tabs>
        <w:ind w:left="2310" w:hanging="360"/>
      </w:pPr>
      <w:rPr>
        <w:rFonts w:ascii="Wingdings" w:hAnsi="Wingdings" w:hint="default"/>
      </w:rPr>
    </w:lvl>
    <w:lvl w:ilvl="3" w:tplc="C262AC2C" w:tentative="1">
      <w:start w:val="1"/>
      <w:numFmt w:val="bullet"/>
      <w:lvlText w:val=""/>
      <w:lvlJc w:val="left"/>
      <w:pPr>
        <w:tabs>
          <w:tab w:val="num" w:pos="3030"/>
        </w:tabs>
        <w:ind w:left="3030" w:hanging="360"/>
      </w:pPr>
      <w:rPr>
        <w:rFonts w:ascii="Symbol" w:hAnsi="Symbol" w:hint="default"/>
      </w:rPr>
    </w:lvl>
    <w:lvl w:ilvl="4" w:tplc="9D1CD726" w:tentative="1">
      <w:start w:val="1"/>
      <w:numFmt w:val="bullet"/>
      <w:lvlText w:val="o"/>
      <w:lvlJc w:val="left"/>
      <w:pPr>
        <w:tabs>
          <w:tab w:val="num" w:pos="3750"/>
        </w:tabs>
        <w:ind w:left="3750" w:hanging="360"/>
      </w:pPr>
      <w:rPr>
        <w:rFonts w:ascii="Courier New" w:hAnsi="Courier New" w:cs="Courier New" w:hint="default"/>
      </w:rPr>
    </w:lvl>
    <w:lvl w:ilvl="5" w:tplc="4966249E" w:tentative="1">
      <w:start w:val="1"/>
      <w:numFmt w:val="bullet"/>
      <w:lvlText w:val=""/>
      <w:lvlJc w:val="left"/>
      <w:pPr>
        <w:tabs>
          <w:tab w:val="num" w:pos="4470"/>
        </w:tabs>
        <w:ind w:left="4470" w:hanging="360"/>
      </w:pPr>
      <w:rPr>
        <w:rFonts w:ascii="Wingdings" w:hAnsi="Wingdings" w:hint="default"/>
      </w:rPr>
    </w:lvl>
    <w:lvl w:ilvl="6" w:tplc="2F485444" w:tentative="1">
      <w:start w:val="1"/>
      <w:numFmt w:val="bullet"/>
      <w:lvlText w:val=""/>
      <w:lvlJc w:val="left"/>
      <w:pPr>
        <w:tabs>
          <w:tab w:val="num" w:pos="5190"/>
        </w:tabs>
        <w:ind w:left="5190" w:hanging="360"/>
      </w:pPr>
      <w:rPr>
        <w:rFonts w:ascii="Symbol" w:hAnsi="Symbol" w:hint="default"/>
      </w:rPr>
    </w:lvl>
    <w:lvl w:ilvl="7" w:tplc="447A4C66" w:tentative="1">
      <w:start w:val="1"/>
      <w:numFmt w:val="bullet"/>
      <w:lvlText w:val="o"/>
      <w:lvlJc w:val="left"/>
      <w:pPr>
        <w:tabs>
          <w:tab w:val="num" w:pos="5910"/>
        </w:tabs>
        <w:ind w:left="5910" w:hanging="360"/>
      </w:pPr>
      <w:rPr>
        <w:rFonts w:ascii="Courier New" w:hAnsi="Courier New" w:cs="Courier New" w:hint="default"/>
      </w:rPr>
    </w:lvl>
    <w:lvl w:ilvl="8" w:tplc="3C166FAA" w:tentative="1">
      <w:start w:val="1"/>
      <w:numFmt w:val="bullet"/>
      <w:lvlText w:val=""/>
      <w:lvlJc w:val="left"/>
      <w:pPr>
        <w:tabs>
          <w:tab w:val="num" w:pos="6630"/>
        </w:tabs>
        <w:ind w:left="6630" w:hanging="360"/>
      </w:pPr>
      <w:rPr>
        <w:rFonts w:ascii="Wingdings" w:hAnsi="Wingdings" w:hint="default"/>
      </w:rPr>
    </w:lvl>
  </w:abstractNum>
  <w:abstractNum w:abstractNumId="9">
    <w:nsid w:val="7AEF67FF"/>
    <w:multiLevelType w:val="multilevel"/>
    <w:tmpl w:val="7AAEDBAA"/>
    <w:lvl w:ilvl="0">
      <w:start w:val="1"/>
      <w:numFmt w:val="bullet"/>
      <w:pStyle w:val="AERbulletlistfirststyle"/>
      <w:lvlText w:val=""/>
      <w:lvlJc w:val="left"/>
      <w:pPr>
        <w:tabs>
          <w:tab w:val="num" w:pos="357"/>
        </w:tabs>
        <w:ind w:left="357" w:hanging="357"/>
      </w:pPr>
      <w:rPr>
        <w:rFonts w:ascii="Wingdings" w:hAnsi="Wingdings" w:hint="default"/>
        <w:sz w:val="28"/>
      </w:rPr>
    </w:lvl>
    <w:lvl w:ilvl="1">
      <w:start w:val="1"/>
      <w:numFmt w:val="bullet"/>
      <w:lvlText w:val=""/>
      <w:lvlJc w:val="left"/>
      <w:pPr>
        <w:tabs>
          <w:tab w:val="num" w:pos="1440"/>
        </w:tabs>
        <w:ind w:left="1440" w:hanging="360"/>
      </w:pPr>
      <w:rPr>
        <w:rFonts w:ascii="Wingdings" w:hAnsi="Wingdings"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1"/>
  </w:num>
  <w:num w:numId="3">
    <w:abstractNumId w:val="8"/>
  </w:num>
  <w:num w:numId="4">
    <w:abstractNumId w:val="5"/>
  </w:num>
  <w:num w:numId="5">
    <w:abstractNumId w:val="3"/>
  </w:num>
  <w:num w:numId="6">
    <w:abstractNumId w:val="2"/>
  </w:num>
  <w:num w:numId="7">
    <w:abstractNumId w:val="4"/>
  </w:num>
  <w:num w:numId="8">
    <w:abstractNumId w:val="6"/>
  </w:num>
  <w:num w:numId="9">
    <w:abstractNumId w:val="0"/>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5"/>
  </w:num>
  <w:num w:numId="15">
    <w:abstractNumId w:val="5"/>
    <w:lvlOverride w:ilvl="0">
      <w:startOverride w:val="1"/>
    </w:lvlOverride>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formatting="1" w:enforcement="1" w:cryptProviderType="rsaFull" w:cryptAlgorithmClass="hash" w:cryptAlgorithmType="typeAny" w:cryptAlgorithmSid="4" w:cryptSpinCount="100000" w:hash="2gMbCRkVcJOeZA03z9KaICyn62s=" w:salt="qR7hjQSMA/HIIA9TJOYyXQ=="/>
  <w:defaultTabStop w:val="510"/>
  <w:evenAndOddHeaders/>
  <w:characterSpacingControl w:val="doNotCompress"/>
  <w:hdrShapeDefaults>
    <o:shapedefaults v:ext="edit" spidmax="1331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Offline Records (AC)\AER guide to the repex model. External version as released for consultation.docx"/>
  </w:docVars>
  <w:rsids>
    <w:rsidRoot w:val="00F46A92"/>
    <w:rsid w:val="00003E9F"/>
    <w:rsid w:val="00015BEC"/>
    <w:rsid w:val="000534CE"/>
    <w:rsid w:val="00077229"/>
    <w:rsid w:val="0009752B"/>
    <w:rsid w:val="00097BDE"/>
    <w:rsid w:val="000A28B1"/>
    <w:rsid w:val="000C2848"/>
    <w:rsid w:val="000D0279"/>
    <w:rsid w:val="000D0F2D"/>
    <w:rsid w:val="00104566"/>
    <w:rsid w:val="00154ECC"/>
    <w:rsid w:val="00182FE3"/>
    <w:rsid w:val="001901D1"/>
    <w:rsid w:val="001B23AD"/>
    <w:rsid w:val="00212DA5"/>
    <w:rsid w:val="00222299"/>
    <w:rsid w:val="002336A6"/>
    <w:rsid w:val="00246EF0"/>
    <w:rsid w:val="00274823"/>
    <w:rsid w:val="002C2735"/>
    <w:rsid w:val="00327B51"/>
    <w:rsid w:val="00350C79"/>
    <w:rsid w:val="0039142B"/>
    <w:rsid w:val="003B5266"/>
    <w:rsid w:val="003C0903"/>
    <w:rsid w:val="003F2771"/>
    <w:rsid w:val="004143F8"/>
    <w:rsid w:val="004A39F2"/>
    <w:rsid w:val="004B71D0"/>
    <w:rsid w:val="0054269D"/>
    <w:rsid w:val="00543C97"/>
    <w:rsid w:val="00573558"/>
    <w:rsid w:val="00575DC9"/>
    <w:rsid w:val="005A2158"/>
    <w:rsid w:val="005D7068"/>
    <w:rsid w:val="005E3BC0"/>
    <w:rsid w:val="0060680C"/>
    <w:rsid w:val="00625828"/>
    <w:rsid w:val="00661FDA"/>
    <w:rsid w:val="006A61B3"/>
    <w:rsid w:val="006B42D2"/>
    <w:rsid w:val="006C2B18"/>
    <w:rsid w:val="006C5C18"/>
    <w:rsid w:val="006C5E4E"/>
    <w:rsid w:val="006D2840"/>
    <w:rsid w:val="006E0DFD"/>
    <w:rsid w:val="00703075"/>
    <w:rsid w:val="00737E24"/>
    <w:rsid w:val="00746F05"/>
    <w:rsid w:val="00755A35"/>
    <w:rsid w:val="00773282"/>
    <w:rsid w:val="007F123F"/>
    <w:rsid w:val="007F28CC"/>
    <w:rsid w:val="007F3F6B"/>
    <w:rsid w:val="007F6143"/>
    <w:rsid w:val="00811EA3"/>
    <w:rsid w:val="0083521B"/>
    <w:rsid w:val="00846B69"/>
    <w:rsid w:val="00880BEE"/>
    <w:rsid w:val="00896C8D"/>
    <w:rsid w:val="008A23A7"/>
    <w:rsid w:val="008B436D"/>
    <w:rsid w:val="008C570E"/>
    <w:rsid w:val="008C7531"/>
    <w:rsid w:val="008D3662"/>
    <w:rsid w:val="0096258B"/>
    <w:rsid w:val="00970D34"/>
    <w:rsid w:val="00973D9B"/>
    <w:rsid w:val="009C4F2A"/>
    <w:rsid w:val="009D0F76"/>
    <w:rsid w:val="009E4AC2"/>
    <w:rsid w:val="00A17804"/>
    <w:rsid w:val="00A264E9"/>
    <w:rsid w:val="00A627E6"/>
    <w:rsid w:val="00A860FF"/>
    <w:rsid w:val="00A92509"/>
    <w:rsid w:val="00AA68B1"/>
    <w:rsid w:val="00AA6BCE"/>
    <w:rsid w:val="00B17FD3"/>
    <w:rsid w:val="00B32D40"/>
    <w:rsid w:val="00B36141"/>
    <w:rsid w:val="00B71525"/>
    <w:rsid w:val="00B766C6"/>
    <w:rsid w:val="00B94D38"/>
    <w:rsid w:val="00BC3D55"/>
    <w:rsid w:val="00BF2884"/>
    <w:rsid w:val="00C315BA"/>
    <w:rsid w:val="00C448B4"/>
    <w:rsid w:val="00C546D3"/>
    <w:rsid w:val="00C73F95"/>
    <w:rsid w:val="00CA4111"/>
    <w:rsid w:val="00CC689A"/>
    <w:rsid w:val="00CD7C27"/>
    <w:rsid w:val="00CF4D5D"/>
    <w:rsid w:val="00D00508"/>
    <w:rsid w:val="00D00B3D"/>
    <w:rsid w:val="00D10717"/>
    <w:rsid w:val="00D10CA9"/>
    <w:rsid w:val="00D10D1B"/>
    <w:rsid w:val="00D22BD2"/>
    <w:rsid w:val="00D35A92"/>
    <w:rsid w:val="00D61FCA"/>
    <w:rsid w:val="00D74FB6"/>
    <w:rsid w:val="00D81F09"/>
    <w:rsid w:val="00D95C3C"/>
    <w:rsid w:val="00DA2E0A"/>
    <w:rsid w:val="00DF4222"/>
    <w:rsid w:val="00E12471"/>
    <w:rsid w:val="00E27427"/>
    <w:rsid w:val="00E76B62"/>
    <w:rsid w:val="00EC4729"/>
    <w:rsid w:val="00EC4DA0"/>
    <w:rsid w:val="00F31320"/>
    <w:rsid w:val="00F41349"/>
    <w:rsid w:val="00F46A92"/>
    <w:rsid w:val="00FF06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lsdException w:name="toc 2" w:uiPriority="39"/>
    <w:lsdException w:name="toc 4" w:locked="1"/>
    <w:lsdException w:name="toc 5" w:locked="1"/>
    <w:lsdException w:name="toc 6" w:locked="1"/>
    <w:lsdException w:name="toc 7" w:locked="1"/>
    <w:lsdException w:name="toc 8" w:locked="1"/>
    <w:lsdException w:name="toc 9" w:locked="1"/>
    <w:lsdException w:name="Normal Indent" w:locked="1"/>
    <w:lsdException w:name="index heading" w:locked="1"/>
    <w:lsdException w:name="caption" w:locked="1" w:qFormat="1"/>
    <w:lsdException w:name="table of figures" w:locked="1"/>
    <w:lsdException w:name="envelope address" w:locked="1"/>
    <w:lsdException w:name="envelope return" w:locked="1"/>
    <w:lsdException w:name="lin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7427"/>
    <w:rPr>
      <w:sz w:val="24"/>
      <w:szCs w:val="24"/>
    </w:rPr>
  </w:style>
  <w:style w:type="paragraph" w:styleId="Heading1">
    <w:name w:val="heading 1"/>
    <w:basedOn w:val="Normal"/>
    <w:next w:val="Normal"/>
    <w:qFormat/>
    <w:locked/>
    <w:rsid w:val="0083521B"/>
    <w:pPr>
      <w:keepNext/>
      <w:spacing w:before="240" w:after="60"/>
      <w:outlineLvl w:val="0"/>
    </w:pPr>
    <w:rPr>
      <w:rFonts w:ascii="Arial" w:hAnsi="Arial" w:cs="Arial"/>
      <w:b/>
      <w:bCs/>
      <w:kern w:val="32"/>
      <w:sz w:val="32"/>
      <w:szCs w:val="32"/>
    </w:rPr>
  </w:style>
  <w:style w:type="paragraph" w:styleId="Heading2">
    <w:name w:val="heading 2"/>
    <w:basedOn w:val="Normal"/>
    <w:next w:val="Normal"/>
    <w:qFormat/>
    <w:locked/>
    <w:rsid w:val="0083521B"/>
    <w:pPr>
      <w:keepNext/>
      <w:spacing w:before="240" w:after="60"/>
      <w:outlineLvl w:val="1"/>
    </w:pPr>
    <w:rPr>
      <w:rFonts w:ascii="Arial" w:hAnsi="Arial" w:cs="Arial"/>
      <w:b/>
      <w:bCs/>
      <w:i/>
      <w:iCs/>
      <w:sz w:val="28"/>
      <w:szCs w:val="28"/>
    </w:rPr>
  </w:style>
  <w:style w:type="paragraph" w:styleId="Heading3">
    <w:name w:val="heading 3"/>
    <w:basedOn w:val="Normal"/>
    <w:next w:val="Normal"/>
    <w:qFormat/>
    <w:locked/>
    <w:rsid w:val="0083521B"/>
    <w:pPr>
      <w:keepNext/>
      <w:spacing w:before="240" w:after="60"/>
      <w:outlineLvl w:val="2"/>
    </w:pPr>
    <w:rPr>
      <w:rFonts w:ascii="Arial" w:hAnsi="Arial" w:cs="Arial"/>
      <w:b/>
      <w:bCs/>
      <w:sz w:val="26"/>
      <w:szCs w:val="26"/>
    </w:rPr>
  </w:style>
  <w:style w:type="paragraph" w:styleId="Heading4">
    <w:name w:val="heading 4"/>
    <w:basedOn w:val="Normal"/>
    <w:next w:val="Normal"/>
    <w:qFormat/>
    <w:locked/>
    <w:rsid w:val="0083521B"/>
    <w:pPr>
      <w:keepNext/>
      <w:spacing w:before="240" w:after="60"/>
      <w:outlineLvl w:val="3"/>
    </w:pPr>
    <w:rPr>
      <w:b/>
      <w:bCs/>
      <w:sz w:val="28"/>
      <w:szCs w:val="28"/>
    </w:rPr>
  </w:style>
  <w:style w:type="paragraph" w:styleId="Heading5">
    <w:name w:val="heading 5"/>
    <w:basedOn w:val="Normal"/>
    <w:next w:val="Normal"/>
    <w:qFormat/>
    <w:locked/>
    <w:rsid w:val="00A627E6"/>
    <w:pPr>
      <w:spacing w:before="240" w:after="60"/>
      <w:outlineLvl w:val="4"/>
    </w:pPr>
    <w:rPr>
      <w:b/>
      <w:bCs/>
      <w:i/>
      <w:iCs/>
      <w:sz w:val="26"/>
      <w:szCs w:val="26"/>
    </w:rPr>
  </w:style>
  <w:style w:type="paragraph" w:styleId="Heading6">
    <w:name w:val="heading 6"/>
    <w:basedOn w:val="Normal"/>
    <w:next w:val="Normal"/>
    <w:qFormat/>
    <w:locked/>
    <w:rsid w:val="00A627E6"/>
    <w:pPr>
      <w:spacing w:before="240" w:after="60"/>
      <w:outlineLvl w:val="5"/>
    </w:pPr>
    <w:rPr>
      <w:b/>
      <w:bCs/>
      <w:sz w:val="22"/>
      <w:szCs w:val="22"/>
    </w:rPr>
  </w:style>
  <w:style w:type="paragraph" w:styleId="Heading7">
    <w:name w:val="heading 7"/>
    <w:basedOn w:val="Normal"/>
    <w:next w:val="Normal"/>
    <w:link w:val="Heading7Char"/>
    <w:semiHidden/>
    <w:unhideWhenUsed/>
    <w:qFormat/>
    <w:locked/>
    <w:rsid w:val="00A92509"/>
    <w:pPr>
      <w:spacing w:before="240" w:after="60"/>
      <w:outlineLvl w:val="6"/>
    </w:pPr>
    <w:rPr>
      <w:rFonts w:asciiTheme="minorHAnsi" w:eastAsiaTheme="minorEastAsia" w:hAnsiTheme="minorHAnsi" w:cstheme="minorBidi"/>
    </w:rPr>
  </w:style>
  <w:style w:type="paragraph" w:styleId="Heading8">
    <w:name w:val="heading 8"/>
    <w:basedOn w:val="Normal"/>
    <w:next w:val="Normal"/>
    <w:link w:val="Heading8Char"/>
    <w:semiHidden/>
    <w:unhideWhenUsed/>
    <w:qFormat/>
    <w:locked/>
    <w:rsid w:val="00A92509"/>
    <w:pPr>
      <w:spacing w:before="240" w:after="60"/>
      <w:outlineLvl w:val="7"/>
    </w:pPr>
    <w:rPr>
      <w:rFonts w:asciiTheme="minorHAnsi" w:eastAsiaTheme="minorEastAsia" w:hAnsiTheme="minorHAnsi" w:cstheme="minorBidi"/>
      <w:i/>
      <w:iCs/>
    </w:rPr>
  </w:style>
  <w:style w:type="paragraph" w:styleId="Heading9">
    <w:name w:val="heading 9"/>
    <w:basedOn w:val="Normal"/>
    <w:next w:val="Normal"/>
    <w:link w:val="Heading9Char"/>
    <w:semiHidden/>
    <w:unhideWhenUsed/>
    <w:qFormat/>
    <w:locked/>
    <w:rsid w:val="00A92509"/>
    <w:p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R1indentalphalista">
    <w:name w:val="AER (1) indent alpha list (a)"/>
    <w:basedOn w:val="Normal"/>
    <w:next w:val="Normal"/>
    <w:locked/>
    <w:rsid w:val="0083521B"/>
    <w:pPr>
      <w:widowControl w:val="0"/>
      <w:tabs>
        <w:tab w:val="left" w:pos="1260"/>
      </w:tabs>
      <w:spacing w:after="240"/>
      <w:ind w:left="1259" w:hanging="539"/>
    </w:pPr>
    <w:rPr>
      <w:lang w:eastAsia="en-US"/>
    </w:rPr>
  </w:style>
  <w:style w:type="paragraph" w:customStyle="1" w:styleId="AERAindentcapalphalista1">
    <w:name w:val="AER (A.)  indent cap alpha list (a)(1)"/>
    <w:basedOn w:val="Normal"/>
    <w:next w:val="Normal"/>
    <w:locked/>
    <w:rsid w:val="0083521B"/>
    <w:pPr>
      <w:tabs>
        <w:tab w:val="left" w:pos="1800"/>
      </w:tabs>
      <w:spacing w:after="240"/>
      <w:ind w:left="1798" w:hanging="539"/>
    </w:pPr>
    <w:rPr>
      <w:lang w:eastAsia="en-US"/>
    </w:rPr>
  </w:style>
  <w:style w:type="paragraph" w:customStyle="1" w:styleId="AERalphalist1">
    <w:name w:val="AER alpha list (1)"/>
    <w:basedOn w:val="Normal"/>
    <w:locked/>
    <w:rsid w:val="0083521B"/>
    <w:pPr>
      <w:widowControl w:val="0"/>
      <w:tabs>
        <w:tab w:val="left" w:pos="1260"/>
      </w:tabs>
      <w:spacing w:after="240"/>
      <w:ind w:left="1797" w:hanging="1077"/>
    </w:pPr>
    <w:rPr>
      <w:lang w:eastAsia="en-US"/>
    </w:rPr>
  </w:style>
  <w:style w:type="paragraph" w:customStyle="1" w:styleId="AERalphalista">
    <w:name w:val="AER alpha list (a)"/>
    <w:basedOn w:val="Normal"/>
    <w:locked/>
    <w:rsid w:val="0083521B"/>
    <w:pPr>
      <w:spacing w:after="240"/>
      <w:ind w:left="720" w:hanging="720"/>
    </w:pPr>
    <w:rPr>
      <w:lang w:eastAsia="en-US"/>
    </w:rPr>
  </w:style>
  <w:style w:type="paragraph" w:customStyle="1" w:styleId="AERappendixfigureheading">
    <w:name w:val="AER appendix figure heading"/>
    <w:basedOn w:val="Normal"/>
    <w:next w:val="Normal"/>
    <w:rsid w:val="006C2B18"/>
    <w:pPr>
      <w:keepNext/>
      <w:numPr>
        <w:ilvl w:val="5"/>
        <w:numId w:val="9"/>
      </w:numPr>
      <w:spacing w:before="240" w:after="120"/>
      <w:outlineLvl w:val="3"/>
    </w:pPr>
    <w:rPr>
      <w:b/>
      <w:sz w:val="22"/>
      <w:lang w:eastAsia="en-US"/>
    </w:rPr>
  </w:style>
  <w:style w:type="paragraph" w:customStyle="1" w:styleId="AERappendixheading1">
    <w:name w:val="AER appendix heading 1"/>
    <w:basedOn w:val="AERheading1"/>
    <w:next w:val="AERbodytext"/>
    <w:rsid w:val="006C2B18"/>
    <w:pPr>
      <w:widowControl w:val="0"/>
      <w:numPr>
        <w:numId w:val="9"/>
      </w:numPr>
      <w:jc w:val="both"/>
    </w:pPr>
    <w:rPr>
      <w:rFonts w:ascii="Arial Bold" w:hAnsi="Arial Bold"/>
      <w:b w:val="0"/>
      <w:bCs w:val="0"/>
      <w:spacing w:val="5"/>
      <w:kern w:val="36"/>
      <w:szCs w:val="27"/>
    </w:rPr>
  </w:style>
  <w:style w:type="paragraph" w:customStyle="1" w:styleId="AERheading1">
    <w:name w:val="AER heading 1"/>
    <w:basedOn w:val="Heading1"/>
    <w:next w:val="AERbodytext"/>
    <w:rsid w:val="00575DC9"/>
    <w:pPr>
      <w:pageBreakBefore/>
      <w:tabs>
        <w:tab w:val="num" w:pos="851"/>
      </w:tabs>
      <w:spacing w:after="120"/>
      <w:ind w:left="851" w:hanging="851"/>
    </w:pPr>
    <w:rPr>
      <w:sz w:val="36"/>
      <w:lang w:eastAsia="en-US"/>
    </w:rPr>
  </w:style>
  <w:style w:type="paragraph" w:customStyle="1" w:styleId="AERbodytext">
    <w:name w:val="AER body text"/>
    <w:qFormat/>
    <w:rsid w:val="0083521B"/>
    <w:pPr>
      <w:spacing w:after="240"/>
    </w:pPr>
    <w:rPr>
      <w:sz w:val="24"/>
      <w:szCs w:val="24"/>
      <w:lang w:eastAsia="en-US"/>
    </w:rPr>
  </w:style>
  <w:style w:type="paragraph" w:customStyle="1" w:styleId="AERappendixheading2">
    <w:name w:val="AER appendix heading 2"/>
    <w:basedOn w:val="AERappendixheading1"/>
    <w:next w:val="AERbodytext"/>
    <w:rsid w:val="006C2B18"/>
    <w:pPr>
      <w:pageBreakBefore w:val="0"/>
      <w:numPr>
        <w:ilvl w:val="1"/>
      </w:numPr>
    </w:pPr>
    <w:rPr>
      <w:sz w:val="30"/>
    </w:rPr>
  </w:style>
  <w:style w:type="paragraph" w:customStyle="1" w:styleId="AERappendixheading3">
    <w:name w:val="AER appendix heading 3"/>
    <w:basedOn w:val="AERappendixheading2"/>
    <w:next w:val="AERbodytext"/>
    <w:rsid w:val="006C2B18"/>
    <w:pPr>
      <w:numPr>
        <w:ilvl w:val="2"/>
      </w:numPr>
    </w:pPr>
    <w:rPr>
      <w:sz w:val="24"/>
    </w:rPr>
  </w:style>
  <w:style w:type="paragraph" w:customStyle="1" w:styleId="AERappendixheading4">
    <w:name w:val="AER appendix heading 4"/>
    <w:basedOn w:val="AERheading4"/>
    <w:next w:val="AERbodytext"/>
    <w:rsid w:val="006C2B18"/>
  </w:style>
  <w:style w:type="paragraph" w:customStyle="1" w:styleId="AERheading4">
    <w:name w:val="AER heading 4"/>
    <w:basedOn w:val="Heading4"/>
    <w:next w:val="AERbodytext"/>
    <w:rsid w:val="00575DC9"/>
    <w:pPr>
      <w:tabs>
        <w:tab w:val="num" w:pos="851"/>
      </w:tabs>
      <w:spacing w:after="120"/>
      <w:ind w:left="851" w:hanging="851"/>
    </w:pPr>
    <w:rPr>
      <w:sz w:val="22"/>
      <w:lang w:eastAsia="en-US"/>
    </w:rPr>
  </w:style>
  <w:style w:type="paragraph" w:customStyle="1" w:styleId="AERtableheading">
    <w:name w:val="AER table heading"/>
    <w:basedOn w:val="Normal"/>
    <w:next w:val="Normal"/>
    <w:rsid w:val="00575DC9"/>
    <w:pPr>
      <w:keepNext/>
      <w:numPr>
        <w:ilvl w:val="4"/>
        <w:numId w:val="8"/>
      </w:numPr>
      <w:spacing w:before="240" w:after="120"/>
      <w:outlineLvl w:val="3"/>
    </w:pPr>
    <w:rPr>
      <w:b/>
      <w:sz w:val="22"/>
      <w:lang w:eastAsia="en-US"/>
    </w:rPr>
  </w:style>
  <w:style w:type="paragraph" w:customStyle="1" w:styleId="AERappendixtableheading">
    <w:name w:val="AER appendix table heading"/>
    <w:basedOn w:val="AERtableheading"/>
    <w:next w:val="AERbodytext"/>
    <w:rsid w:val="006C2B18"/>
    <w:pPr>
      <w:numPr>
        <w:ilvl w:val="0"/>
        <w:numId w:val="0"/>
      </w:numPr>
      <w:tabs>
        <w:tab w:val="num" w:pos="1361"/>
      </w:tabs>
      <w:ind w:left="1361" w:hanging="1361"/>
    </w:pPr>
  </w:style>
  <w:style w:type="character" w:customStyle="1" w:styleId="AERbold">
    <w:name w:val="AER bold"/>
    <w:rsid w:val="0083521B"/>
    <w:rPr>
      <w:b/>
    </w:rPr>
  </w:style>
  <w:style w:type="character" w:customStyle="1" w:styleId="AERbolditals">
    <w:name w:val="AER bold itals"/>
    <w:rsid w:val="0083521B"/>
    <w:rPr>
      <w:b/>
      <w:i/>
    </w:rPr>
  </w:style>
  <w:style w:type="paragraph" w:customStyle="1" w:styleId="AERbulletlistfirststyle">
    <w:name w:val="AER bullet list (first style)"/>
    <w:basedOn w:val="Normal"/>
    <w:rsid w:val="00896C8D"/>
    <w:pPr>
      <w:numPr>
        <w:numId w:val="1"/>
      </w:numPr>
      <w:spacing w:after="240" w:line="240" w:lineRule="atLeast"/>
    </w:pPr>
    <w:rPr>
      <w:lang w:eastAsia="en-US"/>
    </w:rPr>
  </w:style>
  <w:style w:type="paragraph" w:customStyle="1" w:styleId="AERbulletlistsecondstyle">
    <w:name w:val="AER bullet list (second style)"/>
    <w:basedOn w:val="AERbodytext"/>
    <w:rsid w:val="00896C8D"/>
    <w:pPr>
      <w:numPr>
        <w:numId w:val="2"/>
      </w:numPr>
      <w:tabs>
        <w:tab w:val="clear" w:pos="714"/>
        <w:tab w:val="left" w:pos="720"/>
      </w:tabs>
      <w:ind w:left="720" w:hanging="363"/>
    </w:pPr>
  </w:style>
  <w:style w:type="paragraph" w:customStyle="1" w:styleId="AERbulletlistthirdstyle">
    <w:name w:val="AER bullet list (third style)"/>
    <w:basedOn w:val="Normal"/>
    <w:rsid w:val="00896C8D"/>
    <w:pPr>
      <w:numPr>
        <w:numId w:val="3"/>
      </w:numPr>
      <w:tabs>
        <w:tab w:val="clear" w:pos="870"/>
        <w:tab w:val="left" w:pos="1077"/>
      </w:tabs>
      <w:spacing w:before="120" w:after="120"/>
      <w:ind w:left="1077" w:hanging="357"/>
    </w:pPr>
    <w:rPr>
      <w:lang w:eastAsia="en-US"/>
    </w:rPr>
  </w:style>
  <w:style w:type="paragraph" w:customStyle="1" w:styleId="AERcopyrighttext">
    <w:name w:val="AER copyright text"/>
    <w:basedOn w:val="Normal"/>
    <w:rsid w:val="0083521B"/>
    <w:pPr>
      <w:spacing w:before="240" w:after="240"/>
    </w:pPr>
    <w:rPr>
      <w:sz w:val="20"/>
      <w:lang w:eastAsia="en-US"/>
    </w:rPr>
  </w:style>
  <w:style w:type="paragraph" w:customStyle="1" w:styleId="AERDecisionBox">
    <w:name w:val="AER Decision Box"/>
    <w:basedOn w:val="AERbodytext"/>
    <w:rsid w:val="0083521B"/>
    <w:pPr>
      <w:keepLines/>
      <w:pBdr>
        <w:top w:val="single" w:sz="4" w:space="5" w:color="auto"/>
        <w:left w:val="single" w:sz="4" w:space="5" w:color="auto"/>
        <w:bottom w:val="single" w:sz="4" w:space="5" w:color="auto"/>
        <w:right w:val="single" w:sz="4" w:space="5" w:color="auto"/>
      </w:pBdr>
      <w:shd w:val="clear" w:color="auto" w:fill="CCCCCC"/>
    </w:pPr>
  </w:style>
  <w:style w:type="paragraph" w:customStyle="1" w:styleId="AERdraftfinalminortitle">
    <w:name w:val="AER 'draft/final' minor title"/>
    <w:next w:val="Title"/>
    <w:rsid w:val="0083521B"/>
    <w:pPr>
      <w:spacing w:before="3600" w:after="600"/>
      <w:jc w:val="center"/>
      <w:outlineLvl w:val="1"/>
    </w:pPr>
    <w:rPr>
      <w:rFonts w:ascii="Arial" w:hAnsi="Arial"/>
      <w:sz w:val="32"/>
      <w:lang w:eastAsia="en-US"/>
    </w:rPr>
  </w:style>
  <w:style w:type="paragraph" w:styleId="Title">
    <w:name w:val="Title"/>
    <w:next w:val="Subtitle"/>
    <w:qFormat/>
    <w:rsid w:val="0083521B"/>
    <w:pPr>
      <w:spacing w:before="2400" w:after="1920"/>
      <w:jc w:val="center"/>
    </w:pPr>
    <w:rPr>
      <w:rFonts w:ascii="Arial" w:hAnsi="Arial" w:cs="Arial"/>
      <w:b/>
      <w:bCs/>
      <w:kern w:val="28"/>
      <w:sz w:val="36"/>
      <w:szCs w:val="32"/>
      <w:lang w:eastAsia="en-US"/>
    </w:rPr>
  </w:style>
  <w:style w:type="paragraph" w:styleId="Subtitle">
    <w:name w:val="Subtitle"/>
    <w:qFormat/>
    <w:rsid w:val="0083521B"/>
    <w:pPr>
      <w:spacing w:after="60"/>
      <w:jc w:val="center"/>
      <w:outlineLvl w:val="1"/>
    </w:pPr>
    <w:rPr>
      <w:rFonts w:ascii="Arial" w:hAnsi="Arial" w:cs="Arial"/>
      <w:sz w:val="28"/>
      <w:szCs w:val="24"/>
      <w:lang w:eastAsia="en-US"/>
    </w:rPr>
  </w:style>
  <w:style w:type="paragraph" w:customStyle="1" w:styleId="AERfigureheading">
    <w:name w:val="AER figure heading"/>
    <w:basedOn w:val="Normal"/>
    <w:next w:val="AERbodytext"/>
    <w:rsid w:val="00575DC9"/>
    <w:pPr>
      <w:keepNext/>
      <w:numPr>
        <w:ilvl w:val="5"/>
        <w:numId w:val="8"/>
      </w:numPr>
      <w:spacing w:before="240" w:after="120"/>
      <w:outlineLvl w:val="3"/>
    </w:pPr>
    <w:rPr>
      <w:b/>
      <w:sz w:val="22"/>
      <w:lang w:eastAsia="en-US"/>
    </w:rPr>
  </w:style>
  <w:style w:type="paragraph" w:customStyle="1" w:styleId="AERfigureheading-unnumbered">
    <w:name w:val="AER figure heading - unnumbered"/>
    <w:basedOn w:val="AERfigureheading"/>
    <w:rsid w:val="00575DC9"/>
    <w:pPr>
      <w:numPr>
        <w:ilvl w:val="7"/>
      </w:numPr>
    </w:pPr>
  </w:style>
  <w:style w:type="paragraph" w:customStyle="1" w:styleId="AERFinalminortitle">
    <w:name w:val="AER 'Final' minor title"/>
    <w:next w:val="Title"/>
    <w:rsid w:val="0083521B"/>
    <w:pPr>
      <w:spacing w:before="3600" w:after="600"/>
      <w:jc w:val="center"/>
    </w:pPr>
    <w:rPr>
      <w:rFonts w:ascii="Arial" w:hAnsi="Arial" w:cs="Arial"/>
      <w:sz w:val="32"/>
      <w:szCs w:val="24"/>
      <w:lang w:eastAsia="en-US"/>
    </w:rPr>
  </w:style>
  <w:style w:type="paragraph" w:customStyle="1" w:styleId="AERheading2">
    <w:name w:val="AER heading 2"/>
    <w:basedOn w:val="Heading2"/>
    <w:next w:val="AERbodytext"/>
    <w:rsid w:val="00575DC9"/>
    <w:pPr>
      <w:tabs>
        <w:tab w:val="num" w:pos="851"/>
      </w:tabs>
      <w:spacing w:after="120"/>
      <w:ind w:left="851" w:hanging="851"/>
    </w:pPr>
    <w:rPr>
      <w:i w:val="0"/>
      <w:sz w:val="30"/>
      <w:lang w:eastAsia="en-US"/>
    </w:rPr>
  </w:style>
  <w:style w:type="paragraph" w:customStyle="1" w:styleId="AERheading3">
    <w:name w:val="AER heading 3"/>
    <w:basedOn w:val="Heading3"/>
    <w:next w:val="AERbodytext"/>
    <w:rsid w:val="00575DC9"/>
    <w:pPr>
      <w:numPr>
        <w:ilvl w:val="2"/>
        <w:numId w:val="8"/>
      </w:numPr>
      <w:spacing w:after="120"/>
    </w:pPr>
    <w:rPr>
      <w:rFonts w:ascii="Arial Bold" w:hAnsi="Arial Bold"/>
      <w:sz w:val="24"/>
      <w:szCs w:val="24"/>
      <w:lang w:eastAsia="en-US"/>
    </w:rPr>
  </w:style>
  <w:style w:type="character" w:customStyle="1" w:styleId="AERitals">
    <w:name w:val="AER itals"/>
    <w:rsid w:val="0083521B"/>
    <w:rPr>
      <w:i/>
    </w:rPr>
  </w:style>
  <w:style w:type="paragraph" w:customStyle="1" w:styleId="AERmaintitle">
    <w:name w:val="AER main title"/>
    <w:next w:val="AERdraftfinalminortitle"/>
    <w:rsid w:val="0083521B"/>
    <w:pPr>
      <w:spacing w:before="2400" w:after="2000"/>
    </w:pPr>
    <w:rPr>
      <w:rFonts w:ascii="Arial" w:hAnsi="Arial" w:cs="Arial"/>
      <w:b/>
      <w:bCs/>
      <w:kern w:val="28"/>
      <w:sz w:val="32"/>
      <w:szCs w:val="32"/>
      <w:lang w:eastAsia="en-US"/>
    </w:rPr>
  </w:style>
  <w:style w:type="paragraph" w:customStyle="1" w:styleId="AERnumberedlistfirststyle">
    <w:name w:val="AER numbered list (first style)"/>
    <w:qFormat/>
    <w:rsid w:val="006C5E4E"/>
    <w:pPr>
      <w:numPr>
        <w:numId w:val="4"/>
      </w:numPr>
      <w:spacing w:before="120" w:after="120" w:line="240" w:lineRule="atLeast"/>
    </w:pPr>
    <w:rPr>
      <w:sz w:val="24"/>
      <w:szCs w:val="24"/>
      <w:lang w:eastAsia="en-US"/>
    </w:rPr>
  </w:style>
  <w:style w:type="paragraph" w:customStyle="1" w:styleId="AERnumberedlistsecondstyle">
    <w:name w:val="AER numbered list (second style)"/>
    <w:basedOn w:val="AERnumberedlistfirststyle"/>
    <w:qFormat/>
    <w:rsid w:val="006C5E4E"/>
    <w:pPr>
      <w:numPr>
        <w:numId w:val="5"/>
      </w:numPr>
      <w:tabs>
        <w:tab w:val="left" w:pos="720"/>
      </w:tabs>
      <w:ind w:hanging="363"/>
    </w:pPr>
  </w:style>
  <w:style w:type="paragraph" w:customStyle="1" w:styleId="AERnumberedlistthirdstyle">
    <w:name w:val="AER numbered list (third style)"/>
    <w:basedOn w:val="AERnumberedlistsecondstyle"/>
    <w:qFormat/>
    <w:rsid w:val="006C5E4E"/>
    <w:pPr>
      <w:numPr>
        <w:numId w:val="6"/>
      </w:numPr>
      <w:tabs>
        <w:tab w:val="clear" w:pos="1440"/>
        <w:tab w:val="left" w:pos="720"/>
        <w:tab w:val="left" w:pos="1077"/>
      </w:tabs>
      <w:ind w:left="1077" w:hanging="357"/>
    </w:pPr>
  </w:style>
  <w:style w:type="paragraph" w:customStyle="1" w:styleId="AERquote">
    <w:name w:val="AER quote"/>
    <w:basedOn w:val="Normal"/>
    <w:next w:val="AERbodytext"/>
    <w:rsid w:val="00D95C3C"/>
    <w:pPr>
      <w:spacing w:after="240"/>
      <w:ind w:left="1077" w:right="1077"/>
    </w:pPr>
    <w:rPr>
      <w:color w:val="000000"/>
      <w:sz w:val="20"/>
      <w:lang w:eastAsia="en-US"/>
    </w:rPr>
  </w:style>
  <w:style w:type="paragraph" w:customStyle="1" w:styleId="AERquotebullet1">
    <w:name w:val="AER quote bullet 1"/>
    <w:basedOn w:val="AERquote"/>
    <w:rsid w:val="00D95C3C"/>
    <w:pPr>
      <w:numPr>
        <w:ilvl w:val="1"/>
        <w:numId w:val="7"/>
      </w:numPr>
      <w:tabs>
        <w:tab w:val="clear" w:pos="1378"/>
        <w:tab w:val="left" w:pos="1440"/>
      </w:tabs>
      <w:ind w:left="1440" w:hanging="363"/>
    </w:pPr>
  </w:style>
  <w:style w:type="character" w:customStyle="1" w:styleId="AERsubscript">
    <w:name w:val="AER subscript"/>
    <w:rsid w:val="0083521B"/>
    <w:rPr>
      <w:vertAlign w:val="subscript"/>
    </w:rPr>
  </w:style>
  <w:style w:type="character" w:customStyle="1" w:styleId="AERsuperscript">
    <w:name w:val="AER superscript"/>
    <w:rsid w:val="0083521B"/>
    <w:rPr>
      <w:vertAlign w:val="superscript"/>
    </w:rPr>
  </w:style>
  <w:style w:type="table" w:customStyle="1" w:styleId="AERtable-numbers">
    <w:name w:val="AER table - numbers"/>
    <w:basedOn w:val="TableNormal"/>
    <w:rsid w:val="0083521B"/>
    <w:pPr>
      <w:keepNext/>
      <w:spacing w:before="40" w:after="40"/>
      <w:jc w:val="right"/>
    </w:pPr>
    <w:tblPr>
      <w:tblStyleRowBandSize w:val="1"/>
      <w:tblInd w:w="0" w:type="dxa"/>
      <w:tblBorders>
        <w:top w:val="single" w:sz="12" w:space="0" w:color="auto"/>
        <w:bottom w:val="single" w:sz="4" w:space="0" w:color="auto"/>
      </w:tblBorders>
      <w:tblCellMar>
        <w:top w:w="0" w:type="dxa"/>
        <w:left w:w="108" w:type="dxa"/>
        <w:bottom w:w="0" w:type="dxa"/>
        <w:right w:w="108" w:type="dxa"/>
      </w:tblCellMar>
    </w:tblPr>
    <w:tcPr>
      <w:noWrap/>
      <w:tcMar>
        <w:top w:w="0" w:type="dxa"/>
        <w:bottom w:w="0" w:type="dxa"/>
      </w:tcMar>
    </w:tcPr>
    <w:tblStylePr w:type="firstRow">
      <w:rPr>
        <w:rFonts w:ascii="Times New Roman" w:hAnsi="Times New Roman"/>
        <w:b w:val="0"/>
      </w:rPr>
      <w:tblPr/>
      <w:tcPr>
        <w:tcBorders>
          <w:top w:val="single" w:sz="12" w:space="0" w:color="auto"/>
          <w:left w:val="nil"/>
          <w:bottom w:val="single" w:sz="4" w:space="0" w:color="auto"/>
          <w:right w:val="nil"/>
          <w:insideH w:val="nil"/>
          <w:insideV w:val="nil"/>
          <w:tl2br w:val="nil"/>
          <w:tr2bl w:val="nil"/>
        </w:tcBorders>
      </w:tcPr>
    </w:tblStylePr>
    <w:tblStylePr w:type="firstCol">
      <w:pPr>
        <w:jc w:val="left"/>
      </w:pPr>
    </w:tblStylePr>
  </w:style>
  <w:style w:type="paragraph" w:customStyle="1" w:styleId="AERtableheading-unnumbered">
    <w:name w:val="AER table heading - unnumbered"/>
    <w:basedOn w:val="AERtableheading"/>
    <w:rsid w:val="00575DC9"/>
    <w:pPr>
      <w:numPr>
        <w:ilvl w:val="6"/>
      </w:numPr>
    </w:pPr>
  </w:style>
  <w:style w:type="paragraph" w:customStyle="1" w:styleId="AERtablesource">
    <w:name w:val="AER table source"/>
    <w:next w:val="AERbodytext"/>
    <w:rsid w:val="0083521B"/>
    <w:pPr>
      <w:tabs>
        <w:tab w:val="left" w:pos="1361"/>
      </w:tabs>
      <w:spacing w:before="40" w:after="240"/>
      <w:ind w:left="794" w:right="1077" w:hanging="794"/>
      <w:contextualSpacing/>
    </w:pPr>
    <w:rPr>
      <w:szCs w:val="24"/>
      <w:lang w:eastAsia="en-US"/>
    </w:rPr>
  </w:style>
  <w:style w:type="paragraph" w:customStyle="1" w:styleId="AERtabletext">
    <w:name w:val="AER table text"/>
    <w:basedOn w:val="Normal"/>
    <w:rsid w:val="0083521B"/>
    <w:pPr>
      <w:widowControl w:val="0"/>
      <w:spacing w:before="120" w:after="120"/>
    </w:pPr>
    <w:rPr>
      <w:sz w:val="20"/>
      <w:lang w:eastAsia="en-US"/>
    </w:rPr>
  </w:style>
  <w:style w:type="paragraph" w:customStyle="1" w:styleId="AERtabletextheading">
    <w:name w:val="AER table text heading"/>
    <w:basedOn w:val="AERtabletext"/>
    <w:rsid w:val="0083521B"/>
    <w:rPr>
      <w:b/>
    </w:rPr>
  </w:style>
  <w:style w:type="character" w:customStyle="1" w:styleId="AERunderline">
    <w:name w:val="AER underline"/>
    <w:rsid w:val="0083521B"/>
    <w:rPr>
      <w:u w:val="single"/>
    </w:rPr>
  </w:style>
  <w:style w:type="paragraph" w:customStyle="1" w:styleId="AERunnumberedheading1">
    <w:name w:val="AER unnumbered heading 1"/>
    <w:basedOn w:val="Normal"/>
    <w:next w:val="AERbodytext"/>
    <w:rsid w:val="0083521B"/>
    <w:pPr>
      <w:pageBreakBefore/>
      <w:widowControl w:val="0"/>
      <w:tabs>
        <w:tab w:val="left" w:pos="851"/>
      </w:tabs>
      <w:spacing w:before="240" w:after="120"/>
      <w:outlineLvl w:val="0"/>
    </w:pPr>
    <w:rPr>
      <w:rFonts w:ascii="Arial Bold" w:hAnsi="Arial Bold"/>
      <w:b/>
      <w:bCs/>
      <w:spacing w:val="5"/>
      <w:kern w:val="36"/>
      <w:sz w:val="36"/>
      <w:szCs w:val="27"/>
      <w:lang w:eastAsia="en-US"/>
    </w:rPr>
  </w:style>
  <w:style w:type="paragraph" w:customStyle="1" w:styleId="AERunnumberedheading2">
    <w:name w:val="AER unnumbered heading 2"/>
    <w:basedOn w:val="Normal"/>
    <w:next w:val="AERbodytext"/>
    <w:rsid w:val="0083521B"/>
    <w:pPr>
      <w:keepNext/>
      <w:tabs>
        <w:tab w:val="left" w:pos="851"/>
      </w:tabs>
      <w:spacing w:before="240" w:after="120"/>
    </w:pPr>
    <w:rPr>
      <w:rFonts w:ascii="Arial Bold" w:hAnsi="Arial Bold"/>
      <w:sz w:val="30"/>
      <w:lang w:eastAsia="en-US"/>
    </w:rPr>
  </w:style>
  <w:style w:type="paragraph" w:customStyle="1" w:styleId="AERunnumberedheading3">
    <w:name w:val="AER unnumbered heading 3"/>
    <w:basedOn w:val="Normal"/>
    <w:next w:val="AERbodytext"/>
    <w:rsid w:val="0083521B"/>
    <w:pPr>
      <w:keepNext/>
      <w:tabs>
        <w:tab w:val="left" w:pos="851"/>
      </w:tabs>
      <w:spacing w:before="240" w:after="120"/>
    </w:pPr>
    <w:rPr>
      <w:rFonts w:ascii="Arial Bold" w:hAnsi="Arial Bold"/>
      <w:lang w:eastAsia="en-US"/>
    </w:rPr>
  </w:style>
  <w:style w:type="paragraph" w:customStyle="1" w:styleId="AERunnumberedheading4">
    <w:name w:val="AER unnumbered heading 4"/>
    <w:basedOn w:val="Normal"/>
    <w:next w:val="AERbodytext"/>
    <w:rsid w:val="0083521B"/>
    <w:pPr>
      <w:keepNext/>
      <w:tabs>
        <w:tab w:val="left" w:pos="851"/>
        <w:tab w:val="left" w:pos="1080"/>
      </w:tabs>
      <w:spacing w:before="240" w:after="120"/>
      <w:outlineLvl w:val="3"/>
    </w:pPr>
    <w:rPr>
      <w:b/>
      <w:sz w:val="22"/>
      <w:lang w:eastAsia="en-US"/>
    </w:rPr>
  </w:style>
  <w:style w:type="paragraph" w:styleId="Footer">
    <w:name w:val="footer"/>
    <w:basedOn w:val="Normal"/>
    <w:rsid w:val="00CF4D5D"/>
    <w:pPr>
      <w:pBdr>
        <w:top w:val="single" w:sz="4" w:space="4" w:color="auto"/>
      </w:pBdr>
      <w:tabs>
        <w:tab w:val="right" w:pos="8306"/>
      </w:tabs>
    </w:pPr>
    <w:rPr>
      <w:rFonts w:ascii="Arial" w:hAnsi="Arial"/>
      <w:smallCaps/>
      <w:sz w:val="20"/>
      <w:lang w:eastAsia="en-US"/>
    </w:rPr>
  </w:style>
  <w:style w:type="character" w:styleId="FootnoteReference">
    <w:name w:val="footnote reference"/>
    <w:aliases w:val="(NECG) Footnote Reference"/>
    <w:semiHidden/>
    <w:rsid w:val="0083521B"/>
    <w:rPr>
      <w:vertAlign w:val="superscript"/>
    </w:rPr>
  </w:style>
  <w:style w:type="paragraph" w:styleId="FootnoteText">
    <w:name w:val="footnote text"/>
    <w:aliases w:val="ALTS FOOTNOTE,(NECG) Footnote Text,Footnote text,AR Footnote Text,AR Footnote Text Char Char Char Char Char,AR Footnote Text Char Char Char Char Char Char"/>
    <w:basedOn w:val="Normal"/>
    <w:semiHidden/>
    <w:rsid w:val="0083521B"/>
    <w:pPr>
      <w:ind w:left="340" w:hanging="340"/>
    </w:pPr>
    <w:rPr>
      <w:sz w:val="20"/>
      <w:szCs w:val="20"/>
      <w:lang w:eastAsia="en-US"/>
    </w:rPr>
  </w:style>
  <w:style w:type="paragraph" w:styleId="Header">
    <w:name w:val="header"/>
    <w:basedOn w:val="Normal"/>
    <w:rsid w:val="0083521B"/>
    <w:pPr>
      <w:tabs>
        <w:tab w:val="center" w:pos="4153"/>
        <w:tab w:val="right" w:pos="8306"/>
      </w:tabs>
    </w:pPr>
    <w:rPr>
      <w:lang w:eastAsia="en-US"/>
    </w:rPr>
  </w:style>
  <w:style w:type="character" w:styleId="PageNumber">
    <w:name w:val="page number"/>
    <w:rsid w:val="0083521B"/>
    <w:rPr>
      <w:rFonts w:ascii="Arial" w:hAnsi="Arial"/>
      <w:sz w:val="20"/>
    </w:rPr>
  </w:style>
  <w:style w:type="paragraph" w:styleId="TOC1">
    <w:name w:val="toc 1"/>
    <w:basedOn w:val="Normal"/>
    <w:next w:val="Normal"/>
    <w:uiPriority w:val="39"/>
    <w:rsid w:val="006E0DFD"/>
    <w:pPr>
      <w:tabs>
        <w:tab w:val="left" w:pos="567"/>
        <w:tab w:val="right" w:leader="dot" w:pos="8307"/>
      </w:tabs>
      <w:spacing w:before="120" w:after="120"/>
    </w:pPr>
    <w:rPr>
      <w:b/>
      <w:lang w:eastAsia="en-US"/>
    </w:rPr>
  </w:style>
  <w:style w:type="paragraph" w:styleId="TOC2">
    <w:name w:val="toc 2"/>
    <w:basedOn w:val="Normal"/>
    <w:next w:val="Normal"/>
    <w:uiPriority w:val="39"/>
    <w:rsid w:val="006E0DFD"/>
    <w:pPr>
      <w:tabs>
        <w:tab w:val="left" w:pos="1080"/>
        <w:tab w:val="right" w:leader="dot" w:pos="8307"/>
      </w:tabs>
      <w:ind w:left="1134" w:hanging="567"/>
    </w:pPr>
    <w:rPr>
      <w:lang w:eastAsia="en-US"/>
    </w:rPr>
  </w:style>
  <w:style w:type="paragraph" w:styleId="TOC3">
    <w:name w:val="toc 3"/>
    <w:basedOn w:val="Normal"/>
    <w:next w:val="Normal"/>
    <w:rsid w:val="006E0DFD"/>
    <w:pPr>
      <w:tabs>
        <w:tab w:val="left" w:pos="1980"/>
        <w:tab w:val="right" w:leader="dot" w:pos="8307"/>
      </w:tabs>
      <w:ind w:left="1980" w:hanging="900"/>
    </w:pPr>
    <w:rPr>
      <w:lang w:eastAsia="en-US"/>
    </w:rPr>
  </w:style>
  <w:style w:type="character" w:styleId="Hyperlink">
    <w:name w:val="Hyperlink"/>
    <w:semiHidden/>
    <w:locked/>
    <w:rsid w:val="005E3BC0"/>
    <w:rPr>
      <w:color w:val="0000FF"/>
      <w:u w:val="single"/>
    </w:rPr>
  </w:style>
  <w:style w:type="table" w:customStyle="1" w:styleId="AERtable-text">
    <w:name w:val="AER table - text"/>
    <w:basedOn w:val="AERtable-numbers"/>
    <w:rsid w:val="00274823"/>
    <w:pPr>
      <w:jc w:val="left"/>
    </w:pPr>
    <w:tblPr>
      <w:tblStyleRowBandSize w:val="1"/>
      <w:tblInd w:w="0" w:type="dxa"/>
      <w:tblBorders>
        <w:top w:val="single" w:sz="12" w:space="0" w:color="auto"/>
        <w:bottom w:val="single" w:sz="4" w:space="0" w:color="auto"/>
      </w:tblBorders>
      <w:tblCellMar>
        <w:top w:w="0" w:type="dxa"/>
        <w:left w:w="108" w:type="dxa"/>
        <w:bottom w:w="0" w:type="dxa"/>
        <w:right w:w="108" w:type="dxa"/>
      </w:tblCellMar>
    </w:tblPr>
    <w:tcPr>
      <w:noWrap/>
      <w:tcMar>
        <w:top w:w="0" w:type="dxa"/>
        <w:bottom w:w="0" w:type="dxa"/>
      </w:tcMar>
    </w:tcPr>
    <w:tblStylePr w:type="firstRow">
      <w:rPr>
        <w:rFonts w:ascii="Times New Roman" w:hAnsi="Times New Roman"/>
        <w:b w:val="0"/>
      </w:rPr>
      <w:tblPr/>
      <w:tcPr>
        <w:tcBorders>
          <w:top w:val="single" w:sz="12" w:space="0" w:color="auto"/>
          <w:left w:val="nil"/>
          <w:bottom w:val="single" w:sz="4" w:space="0" w:color="auto"/>
          <w:right w:val="nil"/>
          <w:insideH w:val="nil"/>
          <w:insideV w:val="nil"/>
          <w:tl2br w:val="nil"/>
          <w:tr2bl w:val="nil"/>
        </w:tcBorders>
      </w:tcPr>
    </w:tblStylePr>
    <w:tblStylePr w:type="firstCol">
      <w:pPr>
        <w:jc w:val="left"/>
      </w:pPr>
    </w:tblStylePr>
  </w:style>
  <w:style w:type="paragraph" w:customStyle="1" w:styleId="AERquoteindent1">
    <w:name w:val="AER quote (indent 1)"/>
    <w:basedOn w:val="AERquote"/>
    <w:rsid w:val="00D95C3C"/>
    <w:pPr>
      <w:ind w:left="1440" w:right="1440"/>
    </w:pPr>
  </w:style>
  <w:style w:type="paragraph" w:customStyle="1" w:styleId="AERbodytextindent2">
    <w:name w:val="AER body text (indent 2)"/>
    <w:basedOn w:val="AERbodytext"/>
    <w:rsid w:val="00EC4DA0"/>
    <w:pPr>
      <w:ind w:left="720"/>
    </w:pPr>
  </w:style>
  <w:style w:type="paragraph" w:customStyle="1" w:styleId="AERbodytextindent1">
    <w:name w:val="AER body text (indent 1)"/>
    <w:basedOn w:val="AERbodytext"/>
    <w:rsid w:val="00EC4DA0"/>
    <w:pPr>
      <w:ind w:left="357"/>
    </w:pPr>
  </w:style>
  <w:style w:type="paragraph" w:customStyle="1" w:styleId="AERbodytextindent3">
    <w:name w:val="AER body text (indent 3)"/>
    <w:basedOn w:val="AERbodytext"/>
    <w:rsid w:val="00EC4DA0"/>
    <w:pPr>
      <w:ind w:left="1077"/>
    </w:pPr>
  </w:style>
  <w:style w:type="paragraph" w:customStyle="1" w:styleId="AERunnumberedheading5">
    <w:name w:val="AER unnumbered heading 5"/>
    <w:basedOn w:val="Heading5"/>
    <w:next w:val="AERbodytext"/>
    <w:rsid w:val="00A627E6"/>
    <w:pPr>
      <w:keepNext/>
      <w:spacing w:line="240" w:lineRule="atLeast"/>
    </w:pPr>
    <w:rPr>
      <w:sz w:val="22"/>
    </w:rPr>
  </w:style>
  <w:style w:type="paragraph" w:customStyle="1" w:styleId="AERunnumberedheading6">
    <w:name w:val="AER unnumbered heading 6"/>
    <w:basedOn w:val="Heading6"/>
    <w:next w:val="AERbodytext"/>
    <w:rsid w:val="00A627E6"/>
    <w:pPr>
      <w:spacing w:before="120" w:after="0"/>
    </w:pPr>
    <w:rPr>
      <w:b w:val="0"/>
      <w:i/>
      <w:lang w:eastAsia="en-US"/>
    </w:rPr>
  </w:style>
  <w:style w:type="paragraph" w:customStyle="1" w:styleId="AERquoteindent2">
    <w:name w:val="AER quote (indent 2)"/>
    <w:basedOn w:val="AERquoteindent1"/>
    <w:rsid w:val="00D95C3C"/>
    <w:pPr>
      <w:ind w:left="1797" w:right="1797"/>
    </w:pPr>
  </w:style>
  <w:style w:type="paragraph" w:customStyle="1" w:styleId="AERquoteindent3">
    <w:name w:val="AER quote (indent 3)"/>
    <w:basedOn w:val="AERquoteindent2"/>
    <w:rsid w:val="00D95C3C"/>
    <w:pPr>
      <w:ind w:left="2160" w:right="2160"/>
    </w:pPr>
  </w:style>
  <w:style w:type="paragraph" w:styleId="Caption">
    <w:name w:val="caption"/>
    <w:basedOn w:val="Normal"/>
    <w:next w:val="Normal"/>
    <w:qFormat/>
    <w:locked/>
    <w:rsid w:val="00F46A92"/>
    <w:rPr>
      <w:b/>
      <w:bCs/>
      <w:sz w:val="20"/>
      <w:szCs w:val="20"/>
    </w:rPr>
  </w:style>
  <w:style w:type="table" w:styleId="TableGrid">
    <w:name w:val="Table Grid"/>
    <w:basedOn w:val="TableNormal"/>
    <w:locked/>
    <w:rsid w:val="00F46A9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locked/>
    <w:rsid w:val="00F46A92"/>
    <w:rPr>
      <w:rFonts w:ascii="Tahoma" w:hAnsi="Tahoma" w:cs="Tahoma"/>
      <w:sz w:val="16"/>
      <w:szCs w:val="16"/>
    </w:rPr>
  </w:style>
  <w:style w:type="character" w:customStyle="1" w:styleId="Heading7Char">
    <w:name w:val="Heading 7 Char"/>
    <w:basedOn w:val="DefaultParagraphFont"/>
    <w:link w:val="Heading7"/>
    <w:semiHidden/>
    <w:rsid w:val="00A92509"/>
    <w:rPr>
      <w:rFonts w:asciiTheme="minorHAnsi" w:eastAsiaTheme="minorEastAsia" w:hAnsiTheme="minorHAnsi" w:cstheme="minorBidi"/>
      <w:sz w:val="24"/>
      <w:szCs w:val="24"/>
    </w:rPr>
  </w:style>
  <w:style w:type="character" w:customStyle="1" w:styleId="Heading8Char">
    <w:name w:val="Heading 8 Char"/>
    <w:basedOn w:val="DefaultParagraphFont"/>
    <w:link w:val="Heading8"/>
    <w:semiHidden/>
    <w:rsid w:val="00A92509"/>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semiHidden/>
    <w:rsid w:val="00A92509"/>
    <w:rPr>
      <w:rFonts w:asciiTheme="majorHAnsi" w:eastAsiaTheme="majorEastAsia" w:hAnsiTheme="majorHAnsi" w:cstheme="maj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lsdException w:name="toc 2" w:uiPriority="39"/>
    <w:lsdException w:name="toc 4" w:locked="1"/>
    <w:lsdException w:name="toc 5" w:locked="1"/>
    <w:lsdException w:name="toc 6" w:locked="1"/>
    <w:lsdException w:name="toc 7" w:locked="1"/>
    <w:lsdException w:name="toc 8" w:locked="1"/>
    <w:lsdException w:name="toc 9" w:locked="1"/>
    <w:lsdException w:name="Normal Indent" w:locked="1"/>
    <w:lsdException w:name="index heading" w:locked="1"/>
    <w:lsdException w:name="caption" w:locked="1" w:qFormat="1"/>
    <w:lsdException w:name="table of figures" w:locked="1"/>
    <w:lsdException w:name="envelope address" w:locked="1"/>
    <w:lsdException w:name="envelope return" w:locked="1"/>
    <w:lsdException w:name="lin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27427"/>
    <w:rPr>
      <w:sz w:val="24"/>
      <w:szCs w:val="24"/>
    </w:rPr>
  </w:style>
  <w:style w:type="paragraph" w:styleId="Heading1">
    <w:name w:val="heading 1"/>
    <w:basedOn w:val="Normal"/>
    <w:next w:val="Normal"/>
    <w:qFormat/>
    <w:locked/>
    <w:rsid w:val="0083521B"/>
    <w:pPr>
      <w:keepNext/>
      <w:spacing w:before="240" w:after="60"/>
      <w:outlineLvl w:val="0"/>
    </w:pPr>
    <w:rPr>
      <w:rFonts w:ascii="Arial" w:hAnsi="Arial" w:cs="Arial"/>
      <w:b/>
      <w:bCs/>
      <w:kern w:val="32"/>
      <w:sz w:val="32"/>
      <w:szCs w:val="32"/>
    </w:rPr>
  </w:style>
  <w:style w:type="paragraph" w:styleId="Heading2">
    <w:name w:val="heading 2"/>
    <w:basedOn w:val="Normal"/>
    <w:next w:val="Normal"/>
    <w:qFormat/>
    <w:locked/>
    <w:rsid w:val="0083521B"/>
    <w:pPr>
      <w:keepNext/>
      <w:spacing w:before="240" w:after="60"/>
      <w:outlineLvl w:val="1"/>
    </w:pPr>
    <w:rPr>
      <w:rFonts w:ascii="Arial" w:hAnsi="Arial" w:cs="Arial"/>
      <w:b/>
      <w:bCs/>
      <w:i/>
      <w:iCs/>
      <w:sz w:val="28"/>
      <w:szCs w:val="28"/>
    </w:rPr>
  </w:style>
  <w:style w:type="paragraph" w:styleId="Heading3">
    <w:name w:val="heading 3"/>
    <w:basedOn w:val="Normal"/>
    <w:next w:val="Normal"/>
    <w:qFormat/>
    <w:locked/>
    <w:rsid w:val="0083521B"/>
    <w:pPr>
      <w:keepNext/>
      <w:spacing w:before="240" w:after="60"/>
      <w:outlineLvl w:val="2"/>
    </w:pPr>
    <w:rPr>
      <w:rFonts w:ascii="Arial" w:hAnsi="Arial" w:cs="Arial"/>
      <w:b/>
      <w:bCs/>
      <w:sz w:val="26"/>
      <w:szCs w:val="26"/>
    </w:rPr>
  </w:style>
  <w:style w:type="paragraph" w:styleId="Heading4">
    <w:name w:val="heading 4"/>
    <w:basedOn w:val="Normal"/>
    <w:next w:val="Normal"/>
    <w:qFormat/>
    <w:locked/>
    <w:rsid w:val="0083521B"/>
    <w:pPr>
      <w:keepNext/>
      <w:spacing w:before="240" w:after="60"/>
      <w:outlineLvl w:val="3"/>
    </w:pPr>
    <w:rPr>
      <w:b/>
      <w:bCs/>
      <w:sz w:val="28"/>
      <w:szCs w:val="28"/>
    </w:rPr>
  </w:style>
  <w:style w:type="paragraph" w:styleId="Heading5">
    <w:name w:val="heading 5"/>
    <w:basedOn w:val="Normal"/>
    <w:next w:val="Normal"/>
    <w:qFormat/>
    <w:locked/>
    <w:rsid w:val="00A627E6"/>
    <w:pPr>
      <w:spacing w:before="240" w:after="60"/>
      <w:outlineLvl w:val="4"/>
    </w:pPr>
    <w:rPr>
      <w:b/>
      <w:bCs/>
      <w:i/>
      <w:iCs/>
      <w:sz w:val="26"/>
      <w:szCs w:val="26"/>
    </w:rPr>
  </w:style>
  <w:style w:type="paragraph" w:styleId="Heading6">
    <w:name w:val="heading 6"/>
    <w:basedOn w:val="Normal"/>
    <w:next w:val="Normal"/>
    <w:qFormat/>
    <w:locked/>
    <w:rsid w:val="00A627E6"/>
    <w:pPr>
      <w:spacing w:before="240" w:after="60"/>
      <w:outlineLvl w:val="5"/>
    </w:pPr>
    <w:rPr>
      <w:b/>
      <w:bCs/>
      <w:sz w:val="22"/>
      <w:szCs w:val="22"/>
    </w:rPr>
  </w:style>
  <w:style w:type="paragraph" w:styleId="Heading7">
    <w:name w:val="heading 7"/>
    <w:basedOn w:val="Normal"/>
    <w:next w:val="Normal"/>
    <w:link w:val="Heading7Char"/>
    <w:semiHidden/>
    <w:unhideWhenUsed/>
    <w:qFormat/>
    <w:locked/>
    <w:rsid w:val="00A92509"/>
    <w:pPr>
      <w:spacing w:before="240" w:after="60"/>
      <w:outlineLvl w:val="6"/>
    </w:pPr>
    <w:rPr>
      <w:rFonts w:asciiTheme="minorHAnsi" w:eastAsiaTheme="minorEastAsia" w:hAnsiTheme="minorHAnsi" w:cstheme="minorBidi"/>
    </w:rPr>
  </w:style>
  <w:style w:type="paragraph" w:styleId="Heading8">
    <w:name w:val="heading 8"/>
    <w:basedOn w:val="Normal"/>
    <w:next w:val="Normal"/>
    <w:link w:val="Heading8Char"/>
    <w:semiHidden/>
    <w:unhideWhenUsed/>
    <w:qFormat/>
    <w:locked/>
    <w:rsid w:val="00A92509"/>
    <w:pPr>
      <w:spacing w:before="240" w:after="60"/>
      <w:outlineLvl w:val="7"/>
    </w:pPr>
    <w:rPr>
      <w:rFonts w:asciiTheme="minorHAnsi" w:eastAsiaTheme="minorEastAsia" w:hAnsiTheme="minorHAnsi" w:cstheme="minorBidi"/>
      <w:i/>
      <w:iCs/>
    </w:rPr>
  </w:style>
  <w:style w:type="paragraph" w:styleId="Heading9">
    <w:name w:val="heading 9"/>
    <w:basedOn w:val="Normal"/>
    <w:next w:val="Normal"/>
    <w:link w:val="Heading9Char"/>
    <w:semiHidden/>
    <w:unhideWhenUsed/>
    <w:qFormat/>
    <w:locked/>
    <w:rsid w:val="00A92509"/>
    <w:p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ER1indentalphalista">
    <w:name w:val="AER (1) indent alpha list (a)"/>
    <w:basedOn w:val="Normal"/>
    <w:next w:val="Normal"/>
    <w:locked/>
    <w:rsid w:val="0083521B"/>
    <w:pPr>
      <w:widowControl w:val="0"/>
      <w:tabs>
        <w:tab w:val="left" w:pos="1260"/>
      </w:tabs>
      <w:spacing w:after="240"/>
      <w:ind w:left="1259" w:hanging="539"/>
    </w:pPr>
    <w:rPr>
      <w:lang w:eastAsia="en-US"/>
    </w:rPr>
  </w:style>
  <w:style w:type="paragraph" w:customStyle="1" w:styleId="AERAindentcapalphalista1">
    <w:name w:val="AER (A.)  indent cap alpha list (a)(1)"/>
    <w:basedOn w:val="Normal"/>
    <w:next w:val="Normal"/>
    <w:locked/>
    <w:rsid w:val="0083521B"/>
    <w:pPr>
      <w:tabs>
        <w:tab w:val="left" w:pos="1800"/>
      </w:tabs>
      <w:spacing w:after="240"/>
      <w:ind w:left="1798" w:hanging="539"/>
    </w:pPr>
    <w:rPr>
      <w:lang w:eastAsia="en-US"/>
    </w:rPr>
  </w:style>
  <w:style w:type="paragraph" w:customStyle="1" w:styleId="AERalphalist1">
    <w:name w:val="AER alpha list (1)"/>
    <w:basedOn w:val="Normal"/>
    <w:locked/>
    <w:rsid w:val="0083521B"/>
    <w:pPr>
      <w:widowControl w:val="0"/>
      <w:tabs>
        <w:tab w:val="left" w:pos="1260"/>
      </w:tabs>
      <w:spacing w:after="240"/>
      <w:ind w:left="1797" w:hanging="1077"/>
    </w:pPr>
    <w:rPr>
      <w:lang w:eastAsia="en-US"/>
    </w:rPr>
  </w:style>
  <w:style w:type="paragraph" w:customStyle="1" w:styleId="AERalphalista">
    <w:name w:val="AER alpha list (a)"/>
    <w:basedOn w:val="Normal"/>
    <w:locked/>
    <w:rsid w:val="0083521B"/>
    <w:pPr>
      <w:spacing w:after="240"/>
      <w:ind w:left="720" w:hanging="720"/>
    </w:pPr>
    <w:rPr>
      <w:lang w:eastAsia="en-US"/>
    </w:rPr>
  </w:style>
  <w:style w:type="paragraph" w:customStyle="1" w:styleId="AERappendixfigureheading">
    <w:name w:val="AER appendix figure heading"/>
    <w:basedOn w:val="Normal"/>
    <w:next w:val="Normal"/>
    <w:rsid w:val="006C2B18"/>
    <w:pPr>
      <w:keepNext/>
      <w:numPr>
        <w:ilvl w:val="5"/>
        <w:numId w:val="9"/>
      </w:numPr>
      <w:spacing w:before="240" w:after="120"/>
      <w:outlineLvl w:val="3"/>
    </w:pPr>
    <w:rPr>
      <w:b/>
      <w:sz w:val="22"/>
      <w:lang w:eastAsia="en-US"/>
    </w:rPr>
  </w:style>
  <w:style w:type="paragraph" w:customStyle="1" w:styleId="AERappendixheading1">
    <w:name w:val="AER appendix heading 1"/>
    <w:basedOn w:val="AERheading1"/>
    <w:next w:val="AERbodytext"/>
    <w:rsid w:val="006C2B18"/>
    <w:pPr>
      <w:widowControl w:val="0"/>
      <w:numPr>
        <w:numId w:val="9"/>
      </w:numPr>
      <w:jc w:val="both"/>
    </w:pPr>
    <w:rPr>
      <w:rFonts w:ascii="Arial Bold" w:hAnsi="Arial Bold"/>
      <w:b w:val="0"/>
      <w:bCs w:val="0"/>
      <w:spacing w:val="5"/>
      <w:kern w:val="36"/>
      <w:szCs w:val="27"/>
    </w:rPr>
  </w:style>
  <w:style w:type="paragraph" w:customStyle="1" w:styleId="AERheading1">
    <w:name w:val="AER heading 1"/>
    <w:basedOn w:val="Heading1"/>
    <w:next w:val="AERbodytext"/>
    <w:rsid w:val="00575DC9"/>
    <w:pPr>
      <w:pageBreakBefore/>
      <w:tabs>
        <w:tab w:val="num" w:pos="851"/>
      </w:tabs>
      <w:spacing w:after="120"/>
      <w:ind w:left="851" w:hanging="851"/>
    </w:pPr>
    <w:rPr>
      <w:sz w:val="36"/>
      <w:lang w:eastAsia="en-US"/>
    </w:rPr>
  </w:style>
  <w:style w:type="paragraph" w:customStyle="1" w:styleId="AERbodytext">
    <w:name w:val="AER body text"/>
    <w:qFormat/>
    <w:rsid w:val="0083521B"/>
    <w:pPr>
      <w:spacing w:after="240"/>
    </w:pPr>
    <w:rPr>
      <w:sz w:val="24"/>
      <w:szCs w:val="24"/>
      <w:lang w:eastAsia="en-US"/>
    </w:rPr>
  </w:style>
  <w:style w:type="paragraph" w:customStyle="1" w:styleId="AERappendixheading2">
    <w:name w:val="AER appendix heading 2"/>
    <w:basedOn w:val="AERappendixheading1"/>
    <w:next w:val="AERbodytext"/>
    <w:rsid w:val="006C2B18"/>
    <w:pPr>
      <w:pageBreakBefore w:val="0"/>
      <w:numPr>
        <w:ilvl w:val="1"/>
      </w:numPr>
    </w:pPr>
    <w:rPr>
      <w:sz w:val="30"/>
    </w:rPr>
  </w:style>
  <w:style w:type="paragraph" w:customStyle="1" w:styleId="AERappendixheading3">
    <w:name w:val="AER appendix heading 3"/>
    <w:basedOn w:val="AERappendixheading2"/>
    <w:next w:val="AERbodytext"/>
    <w:rsid w:val="006C2B18"/>
    <w:pPr>
      <w:numPr>
        <w:ilvl w:val="2"/>
      </w:numPr>
    </w:pPr>
    <w:rPr>
      <w:sz w:val="24"/>
    </w:rPr>
  </w:style>
  <w:style w:type="paragraph" w:customStyle="1" w:styleId="AERappendixheading4">
    <w:name w:val="AER appendix heading 4"/>
    <w:basedOn w:val="AERheading4"/>
    <w:next w:val="AERbodytext"/>
    <w:rsid w:val="006C2B18"/>
  </w:style>
  <w:style w:type="paragraph" w:customStyle="1" w:styleId="AERheading4">
    <w:name w:val="AER heading 4"/>
    <w:basedOn w:val="Heading4"/>
    <w:next w:val="AERbodytext"/>
    <w:rsid w:val="00575DC9"/>
    <w:pPr>
      <w:tabs>
        <w:tab w:val="num" w:pos="851"/>
      </w:tabs>
      <w:spacing w:after="120"/>
      <w:ind w:left="851" w:hanging="851"/>
    </w:pPr>
    <w:rPr>
      <w:sz w:val="22"/>
      <w:lang w:eastAsia="en-US"/>
    </w:rPr>
  </w:style>
  <w:style w:type="paragraph" w:customStyle="1" w:styleId="AERtableheading">
    <w:name w:val="AER table heading"/>
    <w:basedOn w:val="Normal"/>
    <w:next w:val="Normal"/>
    <w:rsid w:val="00575DC9"/>
    <w:pPr>
      <w:keepNext/>
      <w:numPr>
        <w:ilvl w:val="4"/>
        <w:numId w:val="8"/>
      </w:numPr>
      <w:spacing w:before="240" w:after="120"/>
      <w:outlineLvl w:val="3"/>
    </w:pPr>
    <w:rPr>
      <w:b/>
      <w:sz w:val="22"/>
      <w:lang w:eastAsia="en-US"/>
    </w:rPr>
  </w:style>
  <w:style w:type="paragraph" w:customStyle="1" w:styleId="AERappendixtableheading">
    <w:name w:val="AER appendix table heading"/>
    <w:basedOn w:val="AERtableheading"/>
    <w:next w:val="AERbodytext"/>
    <w:rsid w:val="006C2B18"/>
    <w:pPr>
      <w:numPr>
        <w:ilvl w:val="0"/>
        <w:numId w:val="0"/>
      </w:numPr>
      <w:tabs>
        <w:tab w:val="num" w:pos="1361"/>
      </w:tabs>
      <w:ind w:left="1361" w:hanging="1361"/>
    </w:pPr>
  </w:style>
  <w:style w:type="character" w:customStyle="1" w:styleId="AERbold">
    <w:name w:val="AER bold"/>
    <w:rsid w:val="0083521B"/>
    <w:rPr>
      <w:b/>
    </w:rPr>
  </w:style>
  <w:style w:type="character" w:customStyle="1" w:styleId="AERbolditals">
    <w:name w:val="AER bold itals"/>
    <w:rsid w:val="0083521B"/>
    <w:rPr>
      <w:b/>
      <w:i/>
    </w:rPr>
  </w:style>
  <w:style w:type="paragraph" w:customStyle="1" w:styleId="AERbulletlistfirststyle">
    <w:name w:val="AER bullet list (first style)"/>
    <w:basedOn w:val="Normal"/>
    <w:rsid w:val="00896C8D"/>
    <w:pPr>
      <w:numPr>
        <w:numId w:val="1"/>
      </w:numPr>
      <w:spacing w:after="240" w:line="240" w:lineRule="atLeast"/>
    </w:pPr>
    <w:rPr>
      <w:lang w:eastAsia="en-US"/>
    </w:rPr>
  </w:style>
  <w:style w:type="paragraph" w:customStyle="1" w:styleId="AERbulletlistsecondstyle">
    <w:name w:val="AER bullet list (second style)"/>
    <w:basedOn w:val="AERbodytext"/>
    <w:rsid w:val="00896C8D"/>
    <w:pPr>
      <w:numPr>
        <w:numId w:val="2"/>
      </w:numPr>
      <w:tabs>
        <w:tab w:val="clear" w:pos="714"/>
        <w:tab w:val="left" w:pos="720"/>
      </w:tabs>
      <w:ind w:left="720" w:hanging="363"/>
    </w:pPr>
  </w:style>
  <w:style w:type="paragraph" w:customStyle="1" w:styleId="AERbulletlistthirdstyle">
    <w:name w:val="AER bullet list (third style)"/>
    <w:basedOn w:val="Normal"/>
    <w:rsid w:val="00896C8D"/>
    <w:pPr>
      <w:numPr>
        <w:numId w:val="3"/>
      </w:numPr>
      <w:tabs>
        <w:tab w:val="clear" w:pos="870"/>
        <w:tab w:val="left" w:pos="1077"/>
      </w:tabs>
      <w:spacing w:before="120" w:after="120"/>
      <w:ind w:left="1077" w:hanging="357"/>
    </w:pPr>
    <w:rPr>
      <w:lang w:eastAsia="en-US"/>
    </w:rPr>
  </w:style>
  <w:style w:type="paragraph" w:customStyle="1" w:styleId="AERcopyrighttext">
    <w:name w:val="AER copyright text"/>
    <w:basedOn w:val="Normal"/>
    <w:rsid w:val="0083521B"/>
    <w:pPr>
      <w:spacing w:before="240" w:after="240"/>
    </w:pPr>
    <w:rPr>
      <w:sz w:val="20"/>
      <w:lang w:eastAsia="en-US"/>
    </w:rPr>
  </w:style>
  <w:style w:type="paragraph" w:customStyle="1" w:styleId="AERDecisionBox">
    <w:name w:val="AER Decision Box"/>
    <w:basedOn w:val="AERbodytext"/>
    <w:rsid w:val="0083521B"/>
    <w:pPr>
      <w:keepLines/>
      <w:pBdr>
        <w:top w:val="single" w:sz="4" w:space="5" w:color="auto"/>
        <w:left w:val="single" w:sz="4" w:space="5" w:color="auto"/>
        <w:bottom w:val="single" w:sz="4" w:space="5" w:color="auto"/>
        <w:right w:val="single" w:sz="4" w:space="5" w:color="auto"/>
      </w:pBdr>
      <w:shd w:val="clear" w:color="auto" w:fill="CCCCCC"/>
    </w:pPr>
  </w:style>
  <w:style w:type="paragraph" w:customStyle="1" w:styleId="AERdraftfinalminortitle">
    <w:name w:val="AER 'draft/final' minor title"/>
    <w:next w:val="Title"/>
    <w:rsid w:val="0083521B"/>
    <w:pPr>
      <w:spacing w:before="3600" w:after="600"/>
      <w:jc w:val="center"/>
      <w:outlineLvl w:val="1"/>
    </w:pPr>
    <w:rPr>
      <w:rFonts w:ascii="Arial" w:hAnsi="Arial"/>
      <w:sz w:val="32"/>
      <w:lang w:eastAsia="en-US"/>
    </w:rPr>
  </w:style>
  <w:style w:type="paragraph" w:styleId="Title">
    <w:name w:val="Title"/>
    <w:next w:val="Subtitle"/>
    <w:qFormat/>
    <w:rsid w:val="0083521B"/>
    <w:pPr>
      <w:spacing w:before="2400" w:after="1920"/>
      <w:jc w:val="center"/>
    </w:pPr>
    <w:rPr>
      <w:rFonts w:ascii="Arial" w:hAnsi="Arial" w:cs="Arial"/>
      <w:b/>
      <w:bCs/>
      <w:kern w:val="28"/>
      <w:sz w:val="36"/>
      <w:szCs w:val="32"/>
      <w:lang w:eastAsia="en-US"/>
    </w:rPr>
  </w:style>
  <w:style w:type="paragraph" w:styleId="Subtitle">
    <w:name w:val="Subtitle"/>
    <w:qFormat/>
    <w:rsid w:val="0083521B"/>
    <w:pPr>
      <w:spacing w:after="60"/>
      <w:jc w:val="center"/>
      <w:outlineLvl w:val="1"/>
    </w:pPr>
    <w:rPr>
      <w:rFonts w:ascii="Arial" w:hAnsi="Arial" w:cs="Arial"/>
      <w:sz w:val="28"/>
      <w:szCs w:val="24"/>
      <w:lang w:eastAsia="en-US"/>
    </w:rPr>
  </w:style>
  <w:style w:type="paragraph" w:customStyle="1" w:styleId="AERfigureheading">
    <w:name w:val="AER figure heading"/>
    <w:basedOn w:val="Normal"/>
    <w:next w:val="AERbodytext"/>
    <w:rsid w:val="00575DC9"/>
    <w:pPr>
      <w:keepNext/>
      <w:numPr>
        <w:ilvl w:val="5"/>
        <w:numId w:val="8"/>
      </w:numPr>
      <w:spacing w:before="240" w:after="120"/>
      <w:outlineLvl w:val="3"/>
    </w:pPr>
    <w:rPr>
      <w:b/>
      <w:sz w:val="22"/>
      <w:lang w:eastAsia="en-US"/>
    </w:rPr>
  </w:style>
  <w:style w:type="paragraph" w:customStyle="1" w:styleId="AERfigureheading-unnumbered">
    <w:name w:val="AER figure heading - unnumbered"/>
    <w:basedOn w:val="AERfigureheading"/>
    <w:rsid w:val="00575DC9"/>
    <w:pPr>
      <w:numPr>
        <w:ilvl w:val="7"/>
      </w:numPr>
    </w:pPr>
  </w:style>
  <w:style w:type="paragraph" w:customStyle="1" w:styleId="AERFinalminortitle">
    <w:name w:val="AER 'Final' minor title"/>
    <w:next w:val="Title"/>
    <w:rsid w:val="0083521B"/>
    <w:pPr>
      <w:spacing w:before="3600" w:after="600"/>
      <w:jc w:val="center"/>
    </w:pPr>
    <w:rPr>
      <w:rFonts w:ascii="Arial" w:hAnsi="Arial" w:cs="Arial"/>
      <w:sz w:val="32"/>
      <w:szCs w:val="24"/>
      <w:lang w:eastAsia="en-US"/>
    </w:rPr>
  </w:style>
  <w:style w:type="paragraph" w:customStyle="1" w:styleId="AERheading2">
    <w:name w:val="AER heading 2"/>
    <w:basedOn w:val="Heading2"/>
    <w:next w:val="AERbodytext"/>
    <w:rsid w:val="00575DC9"/>
    <w:pPr>
      <w:tabs>
        <w:tab w:val="num" w:pos="851"/>
      </w:tabs>
      <w:spacing w:after="120"/>
      <w:ind w:left="851" w:hanging="851"/>
    </w:pPr>
    <w:rPr>
      <w:i w:val="0"/>
      <w:sz w:val="30"/>
      <w:lang w:eastAsia="en-US"/>
    </w:rPr>
  </w:style>
  <w:style w:type="paragraph" w:customStyle="1" w:styleId="AERheading3">
    <w:name w:val="AER heading 3"/>
    <w:basedOn w:val="Heading3"/>
    <w:next w:val="AERbodytext"/>
    <w:rsid w:val="00575DC9"/>
    <w:pPr>
      <w:numPr>
        <w:ilvl w:val="2"/>
        <w:numId w:val="8"/>
      </w:numPr>
      <w:spacing w:after="120"/>
    </w:pPr>
    <w:rPr>
      <w:rFonts w:ascii="Arial Bold" w:hAnsi="Arial Bold"/>
      <w:sz w:val="24"/>
      <w:szCs w:val="24"/>
      <w:lang w:eastAsia="en-US"/>
    </w:rPr>
  </w:style>
  <w:style w:type="character" w:customStyle="1" w:styleId="AERitals">
    <w:name w:val="AER itals"/>
    <w:rsid w:val="0083521B"/>
    <w:rPr>
      <w:i/>
    </w:rPr>
  </w:style>
  <w:style w:type="paragraph" w:customStyle="1" w:styleId="AERmaintitle">
    <w:name w:val="AER main title"/>
    <w:next w:val="AERdraftfinalminortitle"/>
    <w:rsid w:val="0083521B"/>
    <w:pPr>
      <w:spacing w:before="2400" w:after="2000"/>
    </w:pPr>
    <w:rPr>
      <w:rFonts w:ascii="Arial" w:hAnsi="Arial" w:cs="Arial"/>
      <w:b/>
      <w:bCs/>
      <w:kern w:val="28"/>
      <w:sz w:val="32"/>
      <w:szCs w:val="32"/>
      <w:lang w:eastAsia="en-US"/>
    </w:rPr>
  </w:style>
  <w:style w:type="paragraph" w:customStyle="1" w:styleId="AERnumberedlistfirststyle">
    <w:name w:val="AER numbered list (first style)"/>
    <w:qFormat/>
    <w:rsid w:val="006C5E4E"/>
    <w:pPr>
      <w:numPr>
        <w:numId w:val="4"/>
      </w:numPr>
      <w:spacing w:before="120" w:after="120" w:line="240" w:lineRule="atLeast"/>
    </w:pPr>
    <w:rPr>
      <w:sz w:val="24"/>
      <w:szCs w:val="24"/>
      <w:lang w:eastAsia="en-US"/>
    </w:rPr>
  </w:style>
  <w:style w:type="paragraph" w:customStyle="1" w:styleId="AERnumberedlistsecondstyle">
    <w:name w:val="AER numbered list (second style)"/>
    <w:basedOn w:val="AERnumberedlistfirststyle"/>
    <w:qFormat/>
    <w:rsid w:val="006C5E4E"/>
    <w:pPr>
      <w:numPr>
        <w:numId w:val="5"/>
      </w:numPr>
      <w:tabs>
        <w:tab w:val="left" w:pos="720"/>
      </w:tabs>
      <w:ind w:hanging="363"/>
    </w:pPr>
  </w:style>
  <w:style w:type="paragraph" w:customStyle="1" w:styleId="AERnumberedlistthirdstyle">
    <w:name w:val="AER numbered list (third style)"/>
    <w:basedOn w:val="AERnumberedlistsecondstyle"/>
    <w:qFormat/>
    <w:rsid w:val="006C5E4E"/>
    <w:pPr>
      <w:numPr>
        <w:numId w:val="6"/>
      </w:numPr>
      <w:tabs>
        <w:tab w:val="clear" w:pos="1440"/>
        <w:tab w:val="left" w:pos="720"/>
        <w:tab w:val="left" w:pos="1077"/>
      </w:tabs>
      <w:ind w:left="1077" w:hanging="357"/>
    </w:pPr>
  </w:style>
  <w:style w:type="paragraph" w:customStyle="1" w:styleId="AERquote">
    <w:name w:val="AER quote"/>
    <w:basedOn w:val="Normal"/>
    <w:next w:val="AERbodytext"/>
    <w:rsid w:val="00D95C3C"/>
    <w:pPr>
      <w:spacing w:after="240"/>
      <w:ind w:left="1077" w:right="1077"/>
    </w:pPr>
    <w:rPr>
      <w:color w:val="000000"/>
      <w:sz w:val="20"/>
      <w:lang w:eastAsia="en-US"/>
    </w:rPr>
  </w:style>
  <w:style w:type="paragraph" w:customStyle="1" w:styleId="AERquotebullet1">
    <w:name w:val="AER quote bullet 1"/>
    <w:basedOn w:val="AERquote"/>
    <w:rsid w:val="00D95C3C"/>
    <w:pPr>
      <w:numPr>
        <w:ilvl w:val="1"/>
        <w:numId w:val="7"/>
      </w:numPr>
      <w:tabs>
        <w:tab w:val="clear" w:pos="1378"/>
        <w:tab w:val="left" w:pos="1440"/>
      </w:tabs>
      <w:ind w:left="1440" w:hanging="363"/>
    </w:pPr>
  </w:style>
  <w:style w:type="character" w:customStyle="1" w:styleId="AERsubscript">
    <w:name w:val="AER subscript"/>
    <w:rsid w:val="0083521B"/>
    <w:rPr>
      <w:vertAlign w:val="subscript"/>
    </w:rPr>
  </w:style>
  <w:style w:type="character" w:customStyle="1" w:styleId="AERsuperscript">
    <w:name w:val="AER superscript"/>
    <w:rsid w:val="0083521B"/>
    <w:rPr>
      <w:vertAlign w:val="superscript"/>
    </w:rPr>
  </w:style>
  <w:style w:type="table" w:customStyle="1" w:styleId="AERtable-numbers">
    <w:name w:val="AER table - numbers"/>
    <w:basedOn w:val="TableNormal"/>
    <w:rsid w:val="0083521B"/>
    <w:pPr>
      <w:keepNext/>
      <w:spacing w:before="40" w:after="40"/>
      <w:jc w:val="right"/>
    </w:pPr>
    <w:tblPr>
      <w:tblStyleRowBandSize w:val="1"/>
      <w:tblInd w:w="0" w:type="dxa"/>
      <w:tblBorders>
        <w:top w:val="single" w:sz="12" w:space="0" w:color="auto"/>
        <w:bottom w:val="single" w:sz="4" w:space="0" w:color="auto"/>
      </w:tblBorders>
      <w:tblCellMar>
        <w:top w:w="0" w:type="dxa"/>
        <w:left w:w="108" w:type="dxa"/>
        <w:bottom w:w="0" w:type="dxa"/>
        <w:right w:w="108" w:type="dxa"/>
      </w:tblCellMar>
    </w:tblPr>
    <w:tcPr>
      <w:noWrap/>
      <w:tcMar>
        <w:top w:w="0" w:type="dxa"/>
        <w:bottom w:w="0" w:type="dxa"/>
      </w:tcMar>
    </w:tcPr>
    <w:tblStylePr w:type="firstRow">
      <w:rPr>
        <w:rFonts w:ascii="Times New Roman" w:hAnsi="Times New Roman"/>
        <w:b w:val="0"/>
      </w:rPr>
      <w:tblPr/>
      <w:tcPr>
        <w:tcBorders>
          <w:top w:val="single" w:sz="12" w:space="0" w:color="auto"/>
          <w:left w:val="nil"/>
          <w:bottom w:val="single" w:sz="4" w:space="0" w:color="auto"/>
          <w:right w:val="nil"/>
          <w:insideH w:val="nil"/>
          <w:insideV w:val="nil"/>
          <w:tl2br w:val="nil"/>
          <w:tr2bl w:val="nil"/>
        </w:tcBorders>
      </w:tcPr>
    </w:tblStylePr>
    <w:tblStylePr w:type="firstCol">
      <w:pPr>
        <w:jc w:val="left"/>
      </w:pPr>
    </w:tblStylePr>
  </w:style>
  <w:style w:type="paragraph" w:customStyle="1" w:styleId="AERtableheading-unnumbered">
    <w:name w:val="AER table heading - unnumbered"/>
    <w:basedOn w:val="AERtableheading"/>
    <w:rsid w:val="00575DC9"/>
    <w:pPr>
      <w:numPr>
        <w:ilvl w:val="6"/>
      </w:numPr>
    </w:pPr>
  </w:style>
  <w:style w:type="paragraph" w:customStyle="1" w:styleId="AERtablesource">
    <w:name w:val="AER table source"/>
    <w:next w:val="AERbodytext"/>
    <w:rsid w:val="0083521B"/>
    <w:pPr>
      <w:tabs>
        <w:tab w:val="left" w:pos="1361"/>
      </w:tabs>
      <w:spacing w:before="40" w:after="240"/>
      <w:ind w:left="794" w:right="1077" w:hanging="794"/>
      <w:contextualSpacing/>
    </w:pPr>
    <w:rPr>
      <w:szCs w:val="24"/>
      <w:lang w:eastAsia="en-US"/>
    </w:rPr>
  </w:style>
  <w:style w:type="paragraph" w:customStyle="1" w:styleId="AERtabletext">
    <w:name w:val="AER table text"/>
    <w:basedOn w:val="Normal"/>
    <w:rsid w:val="0083521B"/>
    <w:pPr>
      <w:widowControl w:val="0"/>
      <w:spacing w:before="120" w:after="120"/>
    </w:pPr>
    <w:rPr>
      <w:sz w:val="20"/>
      <w:lang w:eastAsia="en-US"/>
    </w:rPr>
  </w:style>
  <w:style w:type="paragraph" w:customStyle="1" w:styleId="AERtabletextheading">
    <w:name w:val="AER table text heading"/>
    <w:basedOn w:val="AERtabletext"/>
    <w:rsid w:val="0083521B"/>
    <w:rPr>
      <w:b/>
    </w:rPr>
  </w:style>
  <w:style w:type="character" w:customStyle="1" w:styleId="AERunderline">
    <w:name w:val="AER underline"/>
    <w:rsid w:val="0083521B"/>
    <w:rPr>
      <w:u w:val="single"/>
    </w:rPr>
  </w:style>
  <w:style w:type="paragraph" w:customStyle="1" w:styleId="AERunnumberedheading1">
    <w:name w:val="AER unnumbered heading 1"/>
    <w:basedOn w:val="Normal"/>
    <w:next w:val="AERbodytext"/>
    <w:rsid w:val="0083521B"/>
    <w:pPr>
      <w:pageBreakBefore/>
      <w:widowControl w:val="0"/>
      <w:tabs>
        <w:tab w:val="left" w:pos="851"/>
      </w:tabs>
      <w:spacing w:before="240" w:after="120"/>
      <w:outlineLvl w:val="0"/>
    </w:pPr>
    <w:rPr>
      <w:rFonts w:ascii="Arial Bold" w:hAnsi="Arial Bold"/>
      <w:b/>
      <w:bCs/>
      <w:spacing w:val="5"/>
      <w:kern w:val="36"/>
      <w:sz w:val="36"/>
      <w:szCs w:val="27"/>
      <w:lang w:eastAsia="en-US"/>
    </w:rPr>
  </w:style>
  <w:style w:type="paragraph" w:customStyle="1" w:styleId="AERunnumberedheading2">
    <w:name w:val="AER unnumbered heading 2"/>
    <w:basedOn w:val="Normal"/>
    <w:next w:val="AERbodytext"/>
    <w:rsid w:val="0083521B"/>
    <w:pPr>
      <w:keepNext/>
      <w:tabs>
        <w:tab w:val="left" w:pos="851"/>
      </w:tabs>
      <w:spacing w:before="240" w:after="120"/>
    </w:pPr>
    <w:rPr>
      <w:rFonts w:ascii="Arial Bold" w:hAnsi="Arial Bold"/>
      <w:sz w:val="30"/>
      <w:lang w:eastAsia="en-US"/>
    </w:rPr>
  </w:style>
  <w:style w:type="paragraph" w:customStyle="1" w:styleId="AERunnumberedheading3">
    <w:name w:val="AER unnumbered heading 3"/>
    <w:basedOn w:val="Normal"/>
    <w:next w:val="AERbodytext"/>
    <w:rsid w:val="0083521B"/>
    <w:pPr>
      <w:keepNext/>
      <w:tabs>
        <w:tab w:val="left" w:pos="851"/>
      </w:tabs>
      <w:spacing w:before="240" w:after="120"/>
    </w:pPr>
    <w:rPr>
      <w:rFonts w:ascii="Arial Bold" w:hAnsi="Arial Bold"/>
      <w:lang w:eastAsia="en-US"/>
    </w:rPr>
  </w:style>
  <w:style w:type="paragraph" w:customStyle="1" w:styleId="AERunnumberedheading4">
    <w:name w:val="AER unnumbered heading 4"/>
    <w:basedOn w:val="Normal"/>
    <w:next w:val="AERbodytext"/>
    <w:rsid w:val="0083521B"/>
    <w:pPr>
      <w:keepNext/>
      <w:tabs>
        <w:tab w:val="left" w:pos="851"/>
        <w:tab w:val="left" w:pos="1080"/>
      </w:tabs>
      <w:spacing w:before="240" w:after="120"/>
      <w:outlineLvl w:val="3"/>
    </w:pPr>
    <w:rPr>
      <w:b/>
      <w:sz w:val="22"/>
      <w:lang w:eastAsia="en-US"/>
    </w:rPr>
  </w:style>
  <w:style w:type="paragraph" w:styleId="Footer">
    <w:name w:val="footer"/>
    <w:basedOn w:val="Normal"/>
    <w:rsid w:val="00CF4D5D"/>
    <w:pPr>
      <w:pBdr>
        <w:top w:val="single" w:sz="4" w:space="4" w:color="auto"/>
      </w:pBdr>
      <w:tabs>
        <w:tab w:val="right" w:pos="8306"/>
      </w:tabs>
    </w:pPr>
    <w:rPr>
      <w:rFonts w:ascii="Arial" w:hAnsi="Arial"/>
      <w:smallCaps/>
      <w:sz w:val="20"/>
      <w:lang w:eastAsia="en-US"/>
    </w:rPr>
  </w:style>
  <w:style w:type="character" w:styleId="FootnoteReference">
    <w:name w:val="footnote reference"/>
    <w:aliases w:val="(NECG) Footnote Reference"/>
    <w:semiHidden/>
    <w:rsid w:val="0083521B"/>
    <w:rPr>
      <w:vertAlign w:val="superscript"/>
    </w:rPr>
  </w:style>
  <w:style w:type="paragraph" w:styleId="FootnoteText">
    <w:name w:val="footnote text"/>
    <w:aliases w:val="ALTS FOOTNOTE,(NECG) Footnote Text,Footnote text,AR Footnote Text,AR Footnote Text Char Char Char Char Char,AR Footnote Text Char Char Char Char Char Char"/>
    <w:basedOn w:val="Normal"/>
    <w:semiHidden/>
    <w:rsid w:val="0083521B"/>
    <w:pPr>
      <w:ind w:left="340" w:hanging="340"/>
    </w:pPr>
    <w:rPr>
      <w:sz w:val="20"/>
      <w:szCs w:val="20"/>
      <w:lang w:eastAsia="en-US"/>
    </w:rPr>
  </w:style>
  <w:style w:type="paragraph" w:styleId="Header">
    <w:name w:val="header"/>
    <w:basedOn w:val="Normal"/>
    <w:rsid w:val="0083521B"/>
    <w:pPr>
      <w:tabs>
        <w:tab w:val="center" w:pos="4153"/>
        <w:tab w:val="right" w:pos="8306"/>
      </w:tabs>
    </w:pPr>
    <w:rPr>
      <w:lang w:eastAsia="en-US"/>
    </w:rPr>
  </w:style>
  <w:style w:type="character" w:styleId="PageNumber">
    <w:name w:val="page number"/>
    <w:rsid w:val="0083521B"/>
    <w:rPr>
      <w:rFonts w:ascii="Arial" w:hAnsi="Arial"/>
      <w:sz w:val="20"/>
    </w:rPr>
  </w:style>
  <w:style w:type="paragraph" w:styleId="TOC1">
    <w:name w:val="toc 1"/>
    <w:basedOn w:val="Normal"/>
    <w:next w:val="Normal"/>
    <w:uiPriority w:val="39"/>
    <w:rsid w:val="006E0DFD"/>
    <w:pPr>
      <w:tabs>
        <w:tab w:val="left" w:pos="567"/>
        <w:tab w:val="right" w:leader="dot" w:pos="8307"/>
      </w:tabs>
      <w:spacing w:before="120" w:after="120"/>
    </w:pPr>
    <w:rPr>
      <w:b/>
      <w:lang w:eastAsia="en-US"/>
    </w:rPr>
  </w:style>
  <w:style w:type="paragraph" w:styleId="TOC2">
    <w:name w:val="toc 2"/>
    <w:basedOn w:val="Normal"/>
    <w:next w:val="Normal"/>
    <w:uiPriority w:val="39"/>
    <w:rsid w:val="006E0DFD"/>
    <w:pPr>
      <w:tabs>
        <w:tab w:val="left" w:pos="1080"/>
        <w:tab w:val="right" w:leader="dot" w:pos="8307"/>
      </w:tabs>
      <w:ind w:left="1134" w:hanging="567"/>
    </w:pPr>
    <w:rPr>
      <w:lang w:eastAsia="en-US"/>
    </w:rPr>
  </w:style>
  <w:style w:type="paragraph" w:styleId="TOC3">
    <w:name w:val="toc 3"/>
    <w:basedOn w:val="Normal"/>
    <w:next w:val="Normal"/>
    <w:rsid w:val="006E0DFD"/>
    <w:pPr>
      <w:tabs>
        <w:tab w:val="left" w:pos="1980"/>
        <w:tab w:val="right" w:leader="dot" w:pos="8307"/>
      </w:tabs>
      <w:ind w:left="1980" w:hanging="900"/>
    </w:pPr>
    <w:rPr>
      <w:lang w:eastAsia="en-US"/>
    </w:rPr>
  </w:style>
  <w:style w:type="character" w:styleId="Hyperlink">
    <w:name w:val="Hyperlink"/>
    <w:semiHidden/>
    <w:locked/>
    <w:rsid w:val="005E3BC0"/>
    <w:rPr>
      <w:color w:val="0000FF"/>
      <w:u w:val="single"/>
    </w:rPr>
  </w:style>
  <w:style w:type="table" w:customStyle="1" w:styleId="AERtable-text">
    <w:name w:val="AER table - text"/>
    <w:basedOn w:val="AERtable-numbers"/>
    <w:rsid w:val="00274823"/>
    <w:pPr>
      <w:jc w:val="left"/>
    </w:pPr>
    <w:tblPr>
      <w:tblStyleRowBandSize w:val="1"/>
      <w:tblInd w:w="0" w:type="dxa"/>
      <w:tblBorders>
        <w:top w:val="single" w:sz="12" w:space="0" w:color="auto"/>
        <w:bottom w:val="single" w:sz="4" w:space="0" w:color="auto"/>
      </w:tblBorders>
      <w:tblCellMar>
        <w:top w:w="0" w:type="dxa"/>
        <w:left w:w="108" w:type="dxa"/>
        <w:bottom w:w="0" w:type="dxa"/>
        <w:right w:w="108" w:type="dxa"/>
      </w:tblCellMar>
    </w:tblPr>
    <w:tcPr>
      <w:noWrap/>
      <w:tcMar>
        <w:top w:w="0" w:type="dxa"/>
        <w:bottom w:w="0" w:type="dxa"/>
      </w:tcMar>
    </w:tcPr>
    <w:tblStylePr w:type="firstRow">
      <w:rPr>
        <w:rFonts w:ascii="Times New Roman" w:hAnsi="Times New Roman"/>
        <w:b w:val="0"/>
      </w:rPr>
      <w:tblPr/>
      <w:tcPr>
        <w:tcBorders>
          <w:top w:val="single" w:sz="12" w:space="0" w:color="auto"/>
          <w:left w:val="nil"/>
          <w:bottom w:val="single" w:sz="4" w:space="0" w:color="auto"/>
          <w:right w:val="nil"/>
          <w:insideH w:val="nil"/>
          <w:insideV w:val="nil"/>
          <w:tl2br w:val="nil"/>
          <w:tr2bl w:val="nil"/>
        </w:tcBorders>
      </w:tcPr>
    </w:tblStylePr>
    <w:tblStylePr w:type="firstCol">
      <w:pPr>
        <w:jc w:val="left"/>
      </w:pPr>
    </w:tblStylePr>
  </w:style>
  <w:style w:type="paragraph" w:customStyle="1" w:styleId="AERquoteindent1">
    <w:name w:val="AER quote (indent 1)"/>
    <w:basedOn w:val="AERquote"/>
    <w:rsid w:val="00D95C3C"/>
    <w:pPr>
      <w:ind w:left="1440" w:right="1440"/>
    </w:pPr>
  </w:style>
  <w:style w:type="paragraph" w:customStyle="1" w:styleId="AERbodytextindent2">
    <w:name w:val="AER body text (indent 2)"/>
    <w:basedOn w:val="AERbodytext"/>
    <w:rsid w:val="00EC4DA0"/>
    <w:pPr>
      <w:ind w:left="720"/>
    </w:pPr>
  </w:style>
  <w:style w:type="paragraph" w:customStyle="1" w:styleId="AERbodytextindent1">
    <w:name w:val="AER body text (indent 1)"/>
    <w:basedOn w:val="AERbodytext"/>
    <w:rsid w:val="00EC4DA0"/>
    <w:pPr>
      <w:ind w:left="357"/>
    </w:pPr>
  </w:style>
  <w:style w:type="paragraph" w:customStyle="1" w:styleId="AERbodytextindent3">
    <w:name w:val="AER body text (indent 3)"/>
    <w:basedOn w:val="AERbodytext"/>
    <w:rsid w:val="00EC4DA0"/>
    <w:pPr>
      <w:ind w:left="1077"/>
    </w:pPr>
  </w:style>
  <w:style w:type="paragraph" w:customStyle="1" w:styleId="AERunnumberedheading5">
    <w:name w:val="AER unnumbered heading 5"/>
    <w:basedOn w:val="Heading5"/>
    <w:next w:val="AERbodytext"/>
    <w:rsid w:val="00A627E6"/>
    <w:pPr>
      <w:keepNext/>
      <w:spacing w:line="240" w:lineRule="atLeast"/>
    </w:pPr>
    <w:rPr>
      <w:sz w:val="22"/>
    </w:rPr>
  </w:style>
  <w:style w:type="paragraph" w:customStyle="1" w:styleId="AERunnumberedheading6">
    <w:name w:val="AER unnumbered heading 6"/>
    <w:basedOn w:val="Heading6"/>
    <w:next w:val="AERbodytext"/>
    <w:rsid w:val="00A627E6"/>
    <w:pPr>
      <w:spacing w:before="120" w:after="0"/>
    </w:pPr>
    <w:rPr>
      <w:b w:val="0"/>
      <w:i/>
      <w:lang w:eastAsia="en-US"/>
    </w:rPr>
  </w:style>
  <w:style w:type="paragraph" w:customStyle="1" w:styleId="AERquoteindent2">
    <w:name w:val="AER quote (indent 2)"/>
    <w:basedOn w:val="AERquoteindent1"/>
    <w:rsid w:val="00D95C3C"/>
    <w:pPr>
      <w:ind w:left="1797" w:right="1797"/>
    </w:pPr>
  </w:style>
  <w:style w:type="paragraph" w:customStyle="1" w:styleId="AERquoteindent3">
    <w:name w:val="AER quote (indent 3)"/>
    <w:basedOn w:val="AERquoteindent2"/>
    <w:rsid w:val="00D95C3C"/>
    <w:pPr>
      <w:ind w:left="2160" w:right="2160"/>
    </w:pPr>
  </w:style>
  <w:style w:type="paragraph" w:styleId="Caption">
    <w:name w:val="caption"/>
    <w:basedOn w:val="Normal"/>
    <w:next w:val="Normal"/>
    <w:qFormat/>
    <w:locked/>
    <w:rsid w:val="00F46A92"/>
    <w:rPr>
      <w:b/>
      <w:bCs/>
      <w:sz w:val="20"/>
      <w:szCs w:val="20"/>
    </w:rPr>
  </w:style>
  <w:style w:type="table" w:styleId="TableGrid">
    <w:name w:val="Table Grid"/>
    <w:basedOn w:val="TableNormal"/>
    <w:locked/>
    <w:rsid w:val="00F46A9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locked/>
    <w:rsid w:val="00F46A92"/>
    <w:rPr>
      <w:rFonts w:ascii="Tahoma" w:hAnsi="Tahoma" w:cs="Tahoma"/>
      <w:sz w:val="16"/>
      <w:szCs w:val="16"/>
    </w:rPr>
  </w:style>
  <w:style w:type="character" w:customStyle="1" w:styleId="Heading7Char">
    <w:name w:val="Heading 7 Char"/>
    <w:basedOn w:val="DefaultParagraphFont"/>
    <w:link w:val="Heading7"/>
    <w:semiHidden/>
    <w:rsid w:val="00A92509"/>
    <w:rPr>
      <w:rFonts w:asciiTheme="minorHAnsi" w:eastAsiaTheme="minorEastAsia" w:hAnsiTheme="minorHAnsi" w:cstheme="minorBidi"/>
      <w:sz w:val="24"/>
      <w:szCs w:val="24"/>
    </w:rPr>
  </w:style>
  <w:style w:type="character" w:customStyle="1" w:styleId="Heading8Char">
    <w:name w:val="Heading 8 Char"/>
    <w:basedOn w:val="DefaultParagraphFont"/>
    <w:link w:val="Heading8"/>
    <w:semiHidden/>
    <w:rsid w:val="00A92509"/>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semiHidden/>
    <w:rsid w:val="00A92509"/>
    <w:rPr>
      <w:rFonts w:asciiTheme="majorHAnsi" w:eastAsiaTheme="majorEastAsia" w:hAnsiTheme="majorHAnsi" w:cstheme="maj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AERInquiry@aer.gov.a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8041</Words>
  <Characters>43414</Characters>
  <Application>Microsoft Office Word</Application>
  <DocSecurity>0</DocSecurity>
  <Lines>361</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51353</CharactersWithSpaces>
  <SharedDoc>false</SharedDoc>
  <HLinks>
    <vt:vector size="36" baseType="variant">
      <vt:variant>
        <vt:i4>1179701</vt:i4>
      </vt:variant>
      <vt:variant>
        <vt:i4>29</vt:i4>
      </vt:variant>
      <vt:variant>
        <vt:i4>0</vt:i4>
      </vt:variant>
      <vt:variant>
        <vt:i4>5</vt:i4>
      </vt:variant>
      <vt:variant>
        <vt:lpwstr/>
      </vt:variant>
      <vt:variant>
        <vt:lpwstr>_Toc309898658</vt:lpwstr>
      </vt:variant>
      <vt:variant>
        <vt:i4>1179701</vt:i4>
      </vt:variant>
      <vt:variant>
        <vt:i4>23</vt:i4>
      </vt:variant>
      <vt:variant>
        <vt:i4>0</vt:i4>
      </vt:variant>
      <vt:variant>
        <vt:i4>5</vt:i4>
      </vt:variant>
      <vt:variant>
        <vt:lpwstr/>
      </vt:variant>
      <vt:variant>
        <vt:lpwstr>_Toc309898654</vt:lpwstr>
      </vt:variant>
      <vt:variant>
        <vt:i4>1179701</vt:i4>
      </vt:variant>
      <vt:variant>
        <vt:i4>17</vt:i4>
      </vt:variant>
      <vt:variant>
        <vt:i4>0</vt:i4>
      </vt:variant>
      <vt:variant>
        <vt:i4>5</vt:i4>
      </vt:variant>
      <vt:variant>
        <vt:lpwstr/>
      </vt:variant>
      <vt:variant>
        <vt:lpwstr>_Toc309898653</vt:lpwstr>
      </vt:variant>
      <vt:variant>
        <vt:i4>1179701</vt:i4>
      </vt:variant>
      <vt:variant>
        <vt:i4>11</vt:i4>
      </vt:variant>
      <vt:variant>
        <vt:i4>0</vt:i4>
      </vt:variant>
      <vt:variant>
        <vt:i4>5</vt:i4>
      </vt:variant>
      <vt:variant>
        <vt:lpwstr/>
      </vt:variant>
      <vt:variant>
        <vt:lpwstr>_Toc309898652</vt:lpwstr>
      </vt:variant>
      <vt:variant>
        <vt:i4>1179701</vt:i4>
      </vt:variant>
      <vt:variant>
        <vt:i4>5</vt:i4>
      </vt:variant>
      <vt:variant>
        <vt:i4>0</vt:i4>
      </vt:variant>
      <vt:variant>
        <vt:i4>5</vt:i4>
      </vt:variant>
      <vt:variant>
        <vt:lpwstr/>
      </vt:variant>
      <vt:variant>
        <vt:lpwstr>_Toc309898651</vt:lpwstr>
      </vt:variant>
      <vt:variant>
        <vt:i4>2555972</vt:i4>
      </vt:variant>
      <vt:variant>
        <vt:i4>0</vt:i4>
      </vt:variant>
      <vt:variant>
        <vt:i4>0</vt:i4>
      </vt:variant>
      <vt:variant>
        <vt:i4>5</vt:i4>
      </vt:variant>
      <vt:variant>
        <vt:lpwstr>mailto:AERInquiry@aer.gov.au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2013-11-11T01:59:00Z</dcterms:created>
  <dcterms:modified xsi:type="dcterms:W3CDTF">2013-12-03T03:24:00Z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8068466</vt:lpwstr>
  </property>
  <property fmtid="{D5CDD505-2E9C-101B-9397-08002B2CF9AE}" pid="3" name="DatabaseID">
    <vt:lpwstr/>
  </property>
  <property fmtid="{D5CDD505-2E9C-101B-9397-08002B2CF9AE}" pid="4" name="OnClose">
    <vt:lpwstr/>
  </property>
  <property fmtid="{D5CDD505-2E9C-101B-9397-08002B2CF9AE}" pid="5" name="Status">
    <vt:lpwstr>Ready</vt:lpwstr>
  </property>
  <property fmtid="{D5CDD505-2E9C-101B-9397-08002B2CF9AE}" pid="6" name="currfile">
    <vt:lpwstr>\\cbrvpwxfs01\home$\Pdunn\aer guide to the repex model - (D2013-00139216).docx</vt:lpwstr>
  </property>
</Properties>
</file>