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53A2" w:rsidRPr="00C953A2" w:rsidRDefault="00C953A2" w:rsidP="00025139">
      <w:pPr>
        <w:jc w:val="center"/>
        <w:rPr>
          <w:rFonts w:ascii="Calibri" w:eastAsia="Calibri" w:hAnsi="Calibri" w:cs="Times New Roman"/>
          <w:b/>
          <w:sz w:val="32"/>
          <w:szCs w:val="32"/>
        </w:rPr>
      </w:pPr>
      <w:r>
        <w:rPr>
          <w:rFonts w:ascii="Calibri" w:eastAsia="Calibri" w:hAnsi="Calibri" w:cs="Times New Roman"/>
          <w:noProof/>
          <w:lang w:eastAsia="en-AU"/>
        </w:rPr>
        <w:drawing>
          <wp:inline distT="0" distB="0" distL="0" distR="0">
            <wp:extent cx="2880995" cy="724535"/>
            <wp:effectExtent l="0" t="0" r="0" b="0"/>
            <wp:docPr id="1" name="Picture 1" descr="A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ER 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80995" cy="724535"/>
                    </a:xfrm>
                    <a:prstGeom prst="rect">
                      <a:avLst/>
                    </a:prstGeom>
                    <a:noFill/>
                    <a:ln>
                      <a:noFill/>
                    </a:ln>
                  </pic:spPr>
                </pic:pic>
              </a:graphicData>
            </a:graphic>
          </wp:inline>
        </w:drawing>
      </w:r>
    </w:p>
    <w:p w:rsidR="00C953A2" w:rsidRPr="00C953A2" w:rsidRDefault="00C953A2" w:rsidP="00C953A2">
      <w:pPr>
        <w:spacing w:after="240" w:line="288" w:lineRule="auto"/>
        <w:rPr>
          <w:rFonts w:ascii="Gautami" w:eastAsia="Times New Roman" w:hAnsi="Gautami" w:cs="Times New Roman"/>
          <w:b/>
          <w:sz w:val="40"/>
          <w:szCs w:val="24"/>
          <w:lang w:eastAsia="en-AU"/>
        </w:rPr>
      </w:pPr>
      <w:bookmarkStart w:id="0" w:name="OLE_LINK1"/>
      <w:bookmarkStart w:id="1" w:name="OLE_LINK2"/>
      <w:r w:rsidRPr="00C953A2">
        <w:rPr>
          <w:rFonts w:ascii="Gautami" w:eastAsia="Times New Roman" w:hAnsi="Gautami" w:cs="Times New Roman"/>
          <w:b/>
          <w:sz w:val="40"/>
          <w:szCs w:val="24"/>
          <w:lang w:eastAsia="en-AU"/>
        </w:rPr>
        <w:t xml:space="preserve">Expenditure Forecast Assessment Guidelines </w:t>
      </w:r>
      <w:bookmarkEnd w:id="0"/>
      <w:bookmarkEnd w:id="1"/>
    </w:p>
    <w:p w:rsidR="00C953A2" w:rsidRPr="00C953A2" w:rsidRDefault="00C953A2" w:rsidP="00C953A2">
      <w:pPr>
        <w:keepNext/>
        <w:spacing w:before="240" w:after="60"/>
        <w:outlineLvl w:val="0"/>
        <w:rPr>
          <w:rFonts w:ascii="Cambria" w:eastAsia="Times New Roman" w:hAnsi="Cambria" w:cs="Gautami"/>
          <w:b/>
          <w:bCs/>
          <w:kern w:val="32"/>
          <w:sz w:val="32"/>
          <w:szCs w:val="32"/>
        </w:rPr>
      </w:pPr>
      <w:bookmarkStart w:id="2" w:name="OLE_LINK3"/>
      <w:bookmarkStart w:id="3" w:name="OLE_LINK4"/>
      <w:r w:rsidRPr="00C953A2">
        <w:rPr>
          <w:rFonts w:ascii="Cambria" w:eastAsia="Times New Roman" w:hAnsi="Cambria" w:cs="Gautami"/>
          <w:b/>
          <w:bCs/>
          <w:kern w:val="32"/>
          <w:sz w:val="32"/>
          <w:szCs w:val="32"/>
        </w:rPr>
        <w:t xml:space="preserve">Summary of meeting – </w:t>
      </w:r>
      <w:r>
        <w:rPr>
          <w:rFonts w:ascii="Cambria" w:eastAsia="Times New Roman" w:hAnsi="Cambria" w:cs="Gautami"/>
          <w:b/>
          <w:bCs/>
          <w:kern w:val="32"/>
          <w:sz w:val="32"/>
          <w:szCs w:val="32"/>
        </w:rPr>
        <w:t>2</w:t>
      </w:r>
      <w:r w:rsidR="004E3C7A">
        <w:rPr>
          <w:rFonts w:ascii="Cambria" w:eastAsia="Times New Roman" w:hAnsi="Cambria" w:cs="Gautami"/>
          <w:b/>
          <w:bCs/>
          <w:kern w:val="32"/>
          <w:sz w:val="32"/>
          <w:szCs w:val="32"/>
        </w:rPr>
        <w:t>6</w:t>
      </w:r>
      <w:r>
        <w:rPr>
          <w:rFonts w:ascii="Cambria" w:eastAsia="Times New Roman" w:hAnsi="Cambria" w:cs="Gautami"/>
          <w:b/>
          <w:bCs/>
          <w:kern w:val="32"/>
          <w:sz w:val="32"/>
          <w:szCs w:val="32"/>
        </w:rPr>
        <w:t xml:space="preserve"> September 2013 </w:t>
      </w:r>
    </w:p>
    <w:bookmarkEnd w:id="2"/>
    <w:bookmarkEnd w:id="3"/>
    <w:p w:rsidR="00C953A2" w:rsidRPr="00C953A2" w:rsidRDefault="004E3C7A" w:rsidP="00C953A2">
      <w:pPr>
        <w:keepNext/>
        <w:spacing w:before="240" w:after="60"/>
        <w:outlineLvl w:val="1"/>
        <w:rPr>
          <w:rFonts w:ascii="Cambria" w:eastAsia="Times New Roman" w:hAnsi="Cambria" w:cs="Times New Roman"/>
          <w:b/>
          <w:bCs/>
          <w:i/>
          <w:iCs/>
          <w:sz w:val="28"/>
          <w:szCs w:val="28"/>
        </w:rPr>
      </w:pPr>
      <w:r>
        <w:rPr>
          <w:rFonts w:ascii="Cambria" w:eastAsia="Times New Roman" w:hAnsi="Cambria" w:cs="Times New Roman"/>
          <w:b/>
          <w:bCs/>
          <w:i/>
          <w:iCs/>
          <w:sz w:val="28"/>
          <w:szCs w:val="28"/>
        </w:rPr>
        <w:t>Category analysis data templates</w:t>
      </w:r>
    </w:p>
    <w:p w:rsidR="00C953A2" w:rsidRPr="00C953A2" w:rsidRDefault="00C953A2" w:rsidP="00C953A2">
      <w:pPr>
        <w:rPr>
          <w:rFonts w:ascii="Calibri" w:eastAsia="Calibri" w:hAnsi="Calibri" w:cs="Times New Roman"/>
        </w:rPr>
      </w:pPr>
    </w:p>
    <w:p w:rsidR="00C953A2" w:rsidRPr="009350B9" w:rsidRDefault="00C953A2" w:rsidP="00C953A2">
      <w:pPr>
        <w:rPr>
          <w:rFonts w:eastAsia="Calibri" w:cstheme="minorHAnsi"/>
        </w:rPr>
      </w:pPr>
      <w:r w:rsidRPr="009350B9">
        <w:rPr>
          <w:rFonts w:eastAsia="Calibri" w:cstheme="minorHAnsi"/>
        </w:rPr>
        <w:t>Held via video link between AE</w:t>
      </w:r>
      <w:r w:rsidR="004E3C7A" w:rsidRPr="009350B9">
        <w:rPr>
          <w:rFonts w:eastAsia="Calibri" w:cstheme="minorHAnsi"/>
        </w:rPr>
        <w:t>R’s Melb</w:t>
      </w:r>
      <w:bookmarkStart w:id="4" w:name="_GoBack"/>
      <w:bookmarkEnd w:id="4"/>
      <w:r w:rsidR="004E3C7A" w:rsidRPr="009350B9">
        <w:rPr>
          <w:rFonts w:eastAsia="Calibri" w:cstheme="minorHAnsi"/>
        </w:rPr>
        <w:t xml:space="preserve">ourne and Canberra </w:t>
      </w:r>
      <w:r w:rsidRPr="009350B9">
        <w:rPr>
          <w:rFonts w:eastAsia="Calibri" w:cstheme="minorHAnsi"/>
        </w:rPr>
        <w:t>offices</w:t>
      </w:r>
    </w:p>
    <w:p w:rsidR="00C953A2" w:rsidRPr="009350B9" w:rsidRDefault="00C953A2" w:rsidP="00C953A2">
      <w:pPr>
        <w:rPr>
          <w:rFonts w:eastAsia="Calibri" w:cstheme="minorHAnsi"/>
        </w:rPr>
      </w:pPr>
      <w:r w:rsidRPr="009350B9">
        <w:rPr>
          <w:rFonts w:eastAsia="Calibri" w:cstheme="minorHAnsi"/>
        </w:rPr>
        <w:t>On 2</w:t>
      </w:r>
      <w:r w:rsidR="004E3C7A" w:rsidRPr="009350B9">
        <w:rPr>
          <w:rFonts w:eastAsia="Calibri" w:cstheme="minorHAnsi"/>
        </w:rPr>
        <w:t>6</w:t>
      </w:r>
      <w:r w:rsidRPr="009350B9">
        <w:rPr>
          <w:rFonts w:eastAsia="Calibri" w:cstheme="minorHAnsi"/>
        </w:rPr>
        <w:t xml:space="preserve"> September 2013, the AER, as part of its Better Regulation work program, hosted a meeting </w:t>
      </w:r>
      <w:r w:rsidR="0001766B" w:rsidRPr="009350B9">
        <w:rPr>
          <w:rFonts w:eastAsia="Calibri" w:cstheme="minorHAnsi"/>
        </w:rPr>
        <w:t>to</w:t>
      </w:r>
      <w:r w:rsidRPr="009350B9">
        <w:rPr>
          <w:rFonts w:eastAsia="Calibri" w:cstheme="minorHAnsi"/>
        </w:rPr>
        <w:t xml:space="preserve"> discuss the category analysis data templates published with the AER Draft Expenditure Assessment Guidelines on 9 August 2013. The meeting ran from 9:00 am to 1:00 pm and was chaired by </w:t>
      </w:r>
      <w:r w:rsidR="004E3C7A" w:rsidRPr="009350B9">
        <w:rPr>
          <w:rFonts w:eastAsia="Calibri" w:cstheme="minorHAnsi"/>
        </w:rPr>
        <w:t xml:space="preserve">Cameron Smith </w:t>
      </w:r>
      <w:r w:rsidRPr="009350B9">
        <w:rPr>
          <w:rFonts w:eastAsia="Calibri" w:cstheme="minorHAnsi"/>
        </w:rPr>
        <w:t xml:space="preserve">of the AER. A full attendee list can be found in Attachment A. </w:t>
      </w:r>
    </w:p>
    <w:p w:rsidR="00C953A2" w:rsidRPr="009350B9" w:rsidRDefault="00C52847" w:rsidP="00C953A2">
      <w:pPr>
        <w:rPr>
          <w:rFonts w:eastAsia="Calibri" w:cstheme="minorHAnsi"/>
        </w:rPr>
      </w:pPr>
      <w:r w:rsidRPr="00DA330F">
        <w:rPr>
          <w:rFonts w:eastAsia="Calibri" w:cstheme="minorHAnsi"/>
        </w:rPr>
        <w:t>This summary outlines the key topics and themes of the meeting, including views expressed at the meeting. The outline broa</w:t>
      </w:r>
      <w:r>
        <w:rPr>
          <w:rFonts w:eastAsia="Calibri" w:cstheme="minorHAnsi"/>
        </w:rPr>
        <w:t>dly follows that of the agenda.</w:t>
      </w:r>
    </w:p>
    <w:p w:rsidR="00C953A2" w:rsidRPr="00DD3082" w:rsidRDefault="00C953A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O</w:t>
      </w:r>
      <w:r w:rsidR="0001766B" w:rsidRPr="00DD3082">
        <w:rPr>
          <w:rFonts w:ascii="Cambria" w:eastAsia="Times New Roman" w:hAnsi="Cambria" w:cs="Times New Roman"/>
          <w:b/>
          <w:bCs/>
          <w:i/>
          <w:iCs/>
          <w:sz w:val="28"/>
          <w:szCs w:val="28"/>
        </w:rPr>
        <w:t>bjectives and general comments</w:t>
      </w:r>
    </w:p>
    <w:p w:rsidR="00C953A2" w:rsidRPr="009350B9" w:rsidRDefault="00C953A2" w:rsidP="00C953A2">
      <w:pPr>
        <w:rPr>
          <w:rFonts w:eastAsia="Calibri" w:cstheme="minorHAnsi"/>
        </w:rPr>
      </w:pPr>
      <w:r w:rsidRPr="009350B9">
        <w:rPr>
          <w:rFonts w:eastAsia="Calibri" w:cstheme="minorHAnsi"/>
        </w:rPr>
        <w:t>The objectives of the workshop were to:</w:t>
      </w:r>
    </w:p>
    <w:p w:rsidR="00C953A2" w:rsidRPr="004F1025" w:rsidRDefault="00C953A2"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discuss how the businesses could complete the templates</w:t>
      </w:r>
    </w:p>
    <w:p w:rsidR="00C953A2" w:rsidRPr="004F1025" w:rsidRDefault="00C953A2"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discuss comments in response to the Category Analysis Survey and relevant comments in the businesses submissions, and</w:t>
      </w:r>
    </w:p>
    <w:p w:rsidR="00C953A2" w:rsidRPr="004F1025" w:rsidRDefault="00C953A2"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where businesses has indicated challenges existed to completing the templates:</w:t>
      </w:r>
    </w:p>
    <w:p w:rsidR="00C953A2" w:rsidRPr="009350B9" w:rsidRDefault="00C953A2" w:rsidP="00C953A2">
      <w:pPr>
        <w:numPr>
          <w:ilvl w:val="1"/>
          <w:numId w:val="1"/>
        </w:numPr>
        <w:rPr>
          <w:rFonts w:eastAsia="Calibri" w:cstheme="minorHAnsi"/>
        </w:rPr>
      </w:pPr>
      <w:r w:rsidRPr="009350B9">
        <w:rPr>
          <w:rFonts w:eastAsia="Calibri" w:cstheme="minorHAnsi"/>
        </w:rPr>
        <w:t>identify what specific issues are; and</w:t>
      </w:r>
    </w:p>
    <w:p w:rsidR="00C953A2" w:rsidRPr="009350B9" w:rsidRDefault="00C953A2" w:rsidP="00C953A2">
      <w:pPr>
        <w:numPr>
          <w:ilvl w:val="1"/>
          <w:numId w:val="1"/>
        </w:numPr>
        <w:rPr>
          <w:rFonts w:eastAsia="Calibri" w:cstheme="minorHAnsi"/>
        </w:rPr>
      </w:pPr>
      <w:proofErr w:type="gramStart"/>
      <w:r w:rsidRPr="009350B9">
        <w:rPr>
          <w:rFonts w:eastAsia="Calibri" w:cstheme="minorHAnsi"/>
        </w:rPr>
        <w:t>how</w:t>
      </w:r>
      <w:proofErr w:type="gramEnd"/>
      <w:r w:rsidRPr="009350B9">
        <w:rPr>
          <w:rFonts w:eastAsia="Calibri" w:cstheme="minorHAnsi"/>
        </w:rPr>
        <w:t xml:space="preserve"> specific issues can be overcome. </w:t>
      </w:r>
    </w:p>
    <w:p w:rsidR="0001766B" w:rsidRPr="009350B9" w:rsidRDefault="0001766B" w:rsidP="0001766B">
      <w:pPr>
        <w:rPr>
          <w:rFonts w:eastAsia="Calibri" w:cstheme="minorHAnsi"/>
        </w:rPr>
      </w:pPr>
      <w:r w:rsidRPr="009350B9">
        <w:rPr>
          <w:rFonts w:eastAsia="Calibri" w:cstheme="minorHAnsi"/>
        </w:rPr>
        <w:t xml:space="preserve">AER staff indicated at the start of the meeting the objectives above, that the views expressed were AER staff member views, and that minutes and actions would be recorded and published. </w:t>
      </w:r>
    </w:p>
    <w:p w:rsidR="0001766B" w:rsidRPr="009350B9" w:rsidRDefault="0001766B" w:rsidP="0001766B">
      <w:pPr>
        <w:rPr>
          <w:rFonts w:eastAsia="Calibri" w:cstheme="minorHAnsi"/>
        </w:rPr>
      </w:pPr>
      <w:r w:rsidRPr="009350B9">
        <w:rPr>
          <w:rFonts w:eastAsia="Calibri" w:cstheme="minorHAnsi"/>
        </w:rPr>
        <w:t xml:space="preserve">AER staff then worked through each of the key expenditure </w:t>
      </w:r>
      <w:r w:rsidR="00D20E48" w:rsidRPr="009350B9">
        <w:rPr>
          <w:rFonts w:eastAsia="Calibri" w:cstheme="minorHAnsi"/>
        </w:rPr>
        <w:t xml:space="preserve">assessment </w:t>
      </w:r>
      <w:r w:rsidRPr="009350B9">
        <w:rPr>
          <w:rFonts w:eastAsia="Calibri" w:cstheme="minorHAnsi"/>
        </w:rPr>
        <w:t>categories</w:t>
      </w:r>
      <w:r w:rsidR="00D20E48" w:rsidRPr="009350B9">
        <w:rPr>
          <w:rFonts w:eastAsia="Calibri" w:cstheme="minorHAnsi"/>
        </w:rPr>
        <w:t xml:space="preserve"> and associated templates.</w:t>
      </w:r>
    </w:p>
    <w:p w:rsidR="00C953A2" w:rsidRPr="00DD3082" w:rsidRDefault="00214399"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Pr>
          <w:rFonts w:ascii="Cambria" w:eastAsia="Times New Roman" w:hAnsi="Cambria" w:cs="Times New Roman"/>
          <w:b/>
          <w:bCs/>
          <w:i/>
          <w:iCs/>
          <w:sz w:val="28"/>
          <w:szCs w:val="28"/>
        </w:rPr>
        <w:t>Replacement capex</w:t>
      </w:r>
    </w:p>
    <w:p w:rsidR="00E11159" w:rsidRPr="009350B9" w:rsidRDefault="00E11159" w:rsidP="00F5216F">
      <w:pPr>
        <w:rPr>
          <w:rFonts w:eastAsia="Calibri" w:cstheme="minorHAnsi"/>
        </w:rPr>
      </w:pPr>
      <w:r w:rsidRPr="009350B9">
        <w:rPr>
          <w:rFonts w:eastAsia="Calibri" w:cstheme="minorHAnsi"/>
        </w:rPr>
        <w:t xml:space="preserve">AER staff initiated the discussion of the repex data requirements by noting the objective in repex is to standardise the asset categories making up the asset groups that NSPs are currently required to report against. </w:t>
      </w:r>
    </w:p>
    <w:p w:rsidR="00E11159" w:rsidRPr="009350B9" w:rsidRDefault="00E11159" w:rsidP="00F5216F">
      <w:pPr>
        <w:rPr>
          <w:rFonts w:eastAsia="Calibri" w:cstheme="minorHAnsi"/>
        </w:rPr>
      </w:pPr>
      <w:r w:rsidRPr="009350B9">
        <w:rPr>
          <w:rFonts w:eastAsia="Calibri" w:cstheme="minorHAnsi"/>
        </w:rPr>
        <w:t xml:space="preserve">AER staff then briefly recapped the process so far taken to meet these standardisation objectives.  </w:t>
      </w:r>
    </w:p>
    <w:p w:rsidR="00765534" w:rsidRDefault="00E11159" w:rsidP="00F5216F">
      <w:pPr>
        <w:rPr>
          <w:rFonts w:eastAsia="Calibri" w:cstheme="minorHAnsi"/>
        </w:rPr>
      </w:pPr>
      <w:r w:rsidRPr="009350B9">
        <w:rPr>
          <w:rFonts w:eastAsia="Calibri" w:cstheme="minorHAnsi"/>
        </w:rPr>
        <w:lastRenderedPageBreak/>
        <w:t xml:space="preserve">AER staff noted that the Issues Paper proposed to maintain the approach of collecting asset volumes and unit costs. NSPs provided feedback on using repex model asset groups used in </w:t>
      </w:r>
      <w:r w:rsidR="00F5216F" w:rsidRPr="009350B9">
        <w:rPr>
          <w:rFonts w:eastAsia="Calibri" w:cstheme="minorHAnsi"/>
        </w:rPr>
        <w:t xml:space="preserve">the AER’s </w:t>
      </w:r>
      <w:r w:rsidRPr="009350B9">
        <w:rPr>
          <w:rFonts w:eastAsia="Calibri" w:cstheme="minorHAnsi"/>
        </w:rPr>
        <w:t xml:space="preserve">latest determinations. AER staff noted that NSPs generally supported that the asset groups capture material differences in work processes and asset lives. </w:t>
      </w:r>
    </w:p>
    <w:p w:rsidR="00E11159" w:rsidRPr="009350B9" w:rsidRDefault="00E11159" w:rsidP="00F5216F">
      <w:pPr>
        <w:rPr>
          <w:rFonts w:eastAsia="Calibri" w:cstheme="minorHAnsi"/>
        </w:rPr>
      </w:pPr>
      <w:r w:rsidRPr="009350B9">
        <w:rPr>
          <w:rFonts w:eastAsia="Calibri" w:cstheme="minorHAnsi"/>
        </w:rPr>
        <w:t xml:space="preserve">AER staff noted the major issues identified at the </w:t>
      </w:r>
      <w:r w:rsidR="00F5216F" w:rsidRPr="009350B9">
        <w:rPr>
          <w:rFonts w:eastAsia="Calibri" w:cstheme="minorHAnsi"/>
        </w:rPr>
        <w:t>I</w:t>
      </w:r>
      <w:r w:rsidRPr="009350B9">
        <w:rPr>
          <w:rFonts w:eastAsia="Calibri" w:cstheme="minorHAnsi"/>
        </w:rPr>
        <w:t xml:space="preserve">ssues </w:t>
      </w:r>
      <w:r w:rsidR="00F5216F" w:rsidRPr="009350B9">
        <w:rPr>
          <w:rFonts w:eastAsia="Calibri" w:cstheme="minorHAnsi"/>
        </w:rPr>
        <w:t>P</w:t>
      </w:r>
      <w:r w:rsidRPr="009350B9">
        <w:rPr>
          <w:rFonts w:eastAsia="Calibri" w:cstheme="minorHAnsi"/>
        </w:rPr>
        <w:t xml:space="preserve">aper stage by NSPs were that they should have discretion to classify assets below the asset groups.  </w:t>
      </w:r>
      <w:r w:rsidR="00F5216F" w:rsidRPr="009350B9">
        <w:rPr>
          <w:rFonts w:eastAsia="Calibri" w:cstheme="minorHAnsi"/>
        </w:rPr>
        <w:t>S</w:t>
      </w:r>
      <w:r w:rsidRPr="009350B9">
        <w:rPr>
          <w:rFonts w:eastAsia="Calibri" w:cstheme="minorHAnsi"/>
        </w:rPr>
        <w:t xml:space="preserve">ome NSPs indicated a preference for some groups to aggregate into major categories. AER staff noted that after receiving responses to the </w:t>
      </w:r>
      <w:r w:rsidR="00F5216F" w:rsidRPr="009350B9">
        <w:rPr>
          <w:rFonts w:eastAsia="Calibri" w:cstheme="minorHAnsi"/>
        </w:rPr>
        <w:t>I</w:t>
      </w:r>
      <w:r w:rsidRPr="009350B9">
        <w:rPr>
          <w:rFonts w:eastAsia="Calibri" w:cstheme="minorHAnsi"/>
        </w:rPr>
        <w:t xml:space="preserve">ssues </w:t>
      </w:r>
      <w:r w:rsidR="00F5216F" w:rsidRPr="009350B9">
        <w:rPr>
          <w:rFonts w:eastAsia="Calibri" w:cstheme="minorHAnsi"/>
        </w:rPr>
        <w:t>P</w:t>
      </w:r>
      <w:r w:rsidRPr="009350B9">
        <w:rPr>
          <w:rFonts w:eastAsia="Calibri" w:cstheme="minorHAnsi"/>
        </w:rPr>
        <w:t>aper there was a pre–draft guideline consultation period</w:t>
      </w:r>
      <w:r w:rsidR="00765534">
        <w:rPr>
          <w:rFonts w:eastAsia="Calibri" w:cstheme="minorHAnsi"/>
        </w:rPr>
        <w:t xml:space="preserve">, where </w:t>
      </w:r>
      <w:r w:rsidRPr="009350B9">
        <w:rPr>
          <w:rFonts w:eastAsia="Calibri" w:cstheme="minorHAnsi"/>
        </w:rPr>
        <w:t xml:space="preserve">AER staff circulated a </w:t>
      </w:r>
      <w:r w:rsidR="00F5216F" w:rsidRPr="009350B9">
        <w:rPr>
          <w:rFonts w:eastAsia="Calibri" w:cstheme="minorHAnsi"/>
        </w:rPr>
        <w:t>“</w:t>
      </w:r>
      <w:r w:rsidRPr="009350B9">
        <w:rPr>
          <w:rFonts w:eastAsia="Calibri" w:cstheme="minorHAnsi"/>
        </w:rPr>
        <w:t>straw</w:t>
      </w:r>
      <w:r w:rsidR="00F5216F" w:rsidRPr="009350B9">
        <w:rPr>
          <w:rFonts w:eastAsia="Calibri" w:cstheme="minorHAnsi"/>
        </w:rPr>
        <w:t>-</w:t>
      </w:r>
      <w:r w:rsidRPr="009350B9">
        <w:rPr>
          <w:rFonts w:eastAsia="Calibri" w:cstheme="minorHAnsi"/>
        </w:rPr>
        <w:t>man</w:t>
      </w:r>
      <w:r w:rsidR="00F5216F" w:rsidRPr="009350B9">
        <w:rPr>
          <w:rFonts w:eastAsia="Calibri" w:cstheme="minorHAnsi"/>
        </w:rPr>
        <w:t>”</w:t>
      </w:r>
      <w:r w:rsidRPr="009350B9">
        <w:rPr>
          <w:rFonts w:eastAsia="Calibri" w:cstheme="minorHAnsi"/>
        </w:rPr>
        <w:t xml:space="preserve"> outlining standardise</w:t>
      </w:r>
      <w:r w:rsidR="008F62E9">
        <w:rPr>
          <w:rFonts w:eastAsia="Calibri" w:cstheme="minorHAnsi"/>
        </w:rPr>
        <w:t>d</w:t>
      </w:r>
      <w:r w:rsidRPr="009350B9">
        <w:rPr>
          <w:rFonts w:eastAsia="Calibri" w:cstheme="minorHAnsi"/>
        </w:rPr>
        <w:t xml:space="preserve"> asset types, proposing they </w:t>
      </w:r>
      <w:r w:rsidR="00F5216F" w:rsidRPr="009350B9">
        <w:rPr>
          <w:rFonts w:eastAsia="Calibri" w:cstheme="minorHAnsi"/>
        </w:rPr>
        <w:t xml:space="preserve">be </w:t>
      </w:r>
      <w:r w:rsidR="008F62E9">
        <w:rPr>
          <w:rFonts w:eastAsia="Calibri" w:cstheme="minorHAnsi"/>
        </w:rPr>
        <w:t xml:space="preserve">on </w:t>
      </w:r>
      <w:r w:rsidRPr="009350B9">
        <w:rPr>
          <w:rFonts w:eastAsia="Calibri" w:cstheme="minorHAnsi"/>
        </w:rPr>
        <w:t>bas</w:t>
      </w:r>
      <w:r w:rsidR="00F5216F" w:rsidRPr="009350B9">
        <w:rPr>
          <w:rFonts w:eastAsia="Calibri" w:cstheme="minorHAnsi"/>
        </w:rPr>
        <w:t>ed</w:t>
      </w:r>
      <w:r w:rsidRPr="009350B9">
        <w:rPr>
          <w:rFonts w:eastAsia="Calibri" w:cstheme="minorHAnsi"/>
        </w:rPr>
        <w:t xml:space="preserve"> design specifications materially affecting cost. </w:t>
      </w:r>
      <w:r w:rsidR="00892EE0" w:rsidRPr="009350B9">
        <w:rPr>
          <w:rFonts w:eastAsia="Calibri" w:cstheme="minorHAnsi"/>
        </w:rPr>
        <w:t>T</w:t>
      </w:r>
      <w:r w:rsidRPr="009350B9">
        <w:rPr>
          <w:rFonts w:eastAsia="Calibri" w:cstheme="minorHAnsi"/>
        </w:rPr>
        <w:t xml:space="preserve">he </w:t>
      </w:r>
      <w:r w:rsidR="00892EE0" w:rsidRPr="009350B9">
        <w:rPr>
          <w:rFonts w:eastAsia="Calibri" w:cstheme="minorHAnsi"/>
        </w:rPr>
        <w:t xml:space="preserve">repex </w:t>
      </w:r>
      <w:r w:rsidRPr="009350B9">
        <w:rPr>
          <w:rFonts w:eastAsia="Calibri" w:cstheme="minorHAnsi"/>
        </w:rPr>
        <w:t>data template</w:t>
      </w:r>
      <w:r w:rsidR="00892EE0" w:rsidRPr="009350B9">
        <w:rPr>
          <w:rFonts w:eastAsia="Calibri" w:cstheme="minorHAnsi"/>
        </w:rPr>
        <w:t xml:space="preserve"> released with the draft guidelines</w:t>
      </w:r>
      <w:r w:rsidRPr="009350B9">
        <w:rPr>
          <w:rFonts w:eastAsia="Calibri" w:cstheme="minorHAnsi"/>
        </w:rPr>
        <w:t xml:space="preserve"> is an illustration of </w:t>
      </w:r>
      <w:r w:rsidR="00892EE0" w:rsidRPr="009350B9">
        <w:rPr>
          <w:rFonts w:eastAsia="Calibri" w:cstheme="minorHAnsi"/>
        </w:rPr>
        <w:t>staff’s further reflection on NSP responses to the straw-man</w:t>
      </w:r>
      <w:r w:rsidRPr="009350B9">
        <w:rPr>
          <w:rFonts w:eastAsia="Calibri" w:cstheme="minorHAnsi"/>
        </w:rPr>
        <w:t>.</w:t>
      </w:r>
    </w:p>
    <w:p w:rsidR="007C11F3" w:rsidRPr="009350B9" w:rsidRDefault="00E13318" w:rsidP="00F5216F">
      <w:pPr>
        <w:rPr>
          <w:rFonts w:eastAsia="Calibri" w:cstheme="minorHAnsi"/>
        </w:rPr>
      </w:pPr>
      <w:r>
        <w:rPr>
          <w:rFonts w:eastAsia="Calibri" w:cstheme="minorHAnsi"/>
        </w:rPr>
        <w:t>CitiPower/Powercor</w:t>
      </w:r>
      <w:r w:rsidR="007C11F3" w:rsidRPr="009350B9">
        <w:rPr>
          <w:rFonts w:eastAsia="Calibri" w:cstheme="minorHAnsi"/>
        </w:rPr>
        <w:t xml:space="preserve"> commented that it understood the AER’s “straw-man” </w:t>
      </w:r>
      <w:r w:rsidR="007929C6">
        <w:rPr>
          <w:rFonts w:eastAsia="Calibri" w:cstheme="minorHAnsi"/>
        </w:rPr>
        <w:t>sub-</w:t>
      </w:r>
      <w:r w:rsidR="007C11F3" w:rsidRPr="009350B9">
        <w:rPr>
          <w:rFonts w:eastAsia="Calibri" w:cstheme="minorHAnsi"/>
        </w:rPr>
        <w:t xml:space="preserve">categories were suggestive rather than prescriptive, and was under the impression that NSPs would retain flexibility to use their own </w:t>
      </w:r>
      <w:r w:rsidR="007929C6">
        <w:rPr>
          <w:rFonts w:eastAsia="Calibri" w:cstheme="minorHAnsi"/>
        </w:rPr>
        <w:t xml:space="preserve">appropriate </w:t>
      </w:r>
      <w:r w:rsidR="007C11F3" w:rsidRPr="009350B9">
        <w:rPr>
          <w:rFonts w:eastAsia="Calibri" w:cstheme="minorHAnsi"/>
        </w:rPr>
        <w:t xml:space="preserve">asset </w:t>
      </w:r>
      <w:r w:rsidR="007929C6">
        <w:rPr>
          <w:rFonts w:eastAsia="Calibri" w:cstheme="minorHAnsi"/>
        </w:rPr>
        <w:t>sub-</w:t>
      </w:r>
      <w:r w:rsidR="007C11F3" w:rsidRPr="009350B9">
        <w:rPr>
          <w:rFonts w:eastAsia="Calibri" w:cstheme="minorHAnsi"/>
        </w:rPr>
        <w:t>categories.</w:t>
      </w:r>
    </w:p>
    <w:p w:rsidR="00E11159" w:rsidRPr="009350B9" w:rsidRDefault="00E11159" w:rsidP="00F5216F">
      <w:pPr>
        <w:rPr>
          <w:rFonts w:eastAsia="Calibri" w:cstheme="minorHAnsi"/>
        </w:rPr>
      </w:pPr>
      <w:r w:rsidRPr="009350B9">
        <w:rPr>
          <w:rFonts w:eastAsia="Calibri" w:cstheme="minorHAnsi"/>
        </w:rPr>
        <w:t xml:space="preserve">AER staff </w:t>
      </w:r>
      <w:r w:rsidR="00892EE0" w:rsidRPr="009350B9">
        <w:rPr>
          <w:rFonts w:eastAsia="Calibri" w:cstheme="minorHAnsi"/>
        </w:rPr>
        <w:t xml:space="preserve">provided the following clarifications in response to NSP </w:t>
      </w:r>
      <w:r w:rsidRPr="009350B9">
        <w:rPr>
          <w:rFonts w:eastAsia="Calibri" w:cstheme="minorHAnsi"/>
        </w:rPr>
        <w:t xml:space="preserve">concerns </w:t>
      </w:r>
      <w:r w:rsidR="00892EE0" w:rsidRPr="009350B9">
        <w:rPr>
          <w:rFonts w:eastAsia="Calibri" w:cstheme="minorHAnsi"/>
        </w:rPr>
        <w:t>around the indicative repex templates:</w:t>
      </w:r>
      <w:r w:rsidRPr="009350B9">
        <w:rPr>
          <w:rFonts w:eastAsia="Calibri" w:cstheme="minorHAnsi"/>
        </w:rPr>
        <w:t xml:space="preserve"> </w:t>
      </w:r>
    </w:p>
    <w:p w:rsidR="007C11F3" w:rsidRPr="004F1025" w:rsidRDefault="00892EE0"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 xml:space="preserve">NSPs would be requested to provide </w:t>
      </w:r>
      <w:r w:rsidR="00E11159" w:rsidRPr="004F1025">
        <w:rPr>
          <w:rFonts w:asciiTheme="minorHAnsi" w:hAnsiTheme="minorHAnsi" w:cstheme="minorHAnsi"/>
          <w:sz w:val="22"/>
          <w:szCs w:val="22"/>
        </w:rPr>
        <w:t xml:space="preserve">unit cost data </w:t>
      </w:r>
      <w:r w:rsidRPr="004F1025">
        <w:rPr>
          <w:rFonts w:asciiTheme="minorHAnsi" w:hAnsiTheme="minorHAnsi" w:cstheme="minorHAnsi"/>
          <w:sz w:val="22"/>
          <w:szCs w:val="22"/>
        </w:rPr>
        <w:t xml:space="preserve">and replacement volumes </w:t>
      </w:r>
      <w:r w:rsidR="00E11159" w:rsidRPr="004F1025">
        <w:rPr>
          <w:rFonts w:asciiTheme="minorHAnsi" w:hAnsiTheme="minorHAnsi" w:cstheme="minorHAnsi"/>
          <w:sz w:val="22"/>
          <w:szCs w:val="22"/>
        </w:rPr>
        <w:t xml:space="preserve">back-cast for the last five years of historical data and forecast for the </w:t>
      </w:r>
      <w:r w:rsidR="00B172DF" w:rsidRPr="004F1025">
        <w:rPr>
          <w:rFonts w:asciiTheme="minorHAnsi" w:hAnsiTheme="minorHAnsi" w:cstheme="minorHAnsi"/>
          <w:sz w:val="22"/>
          <w:szCs w:val="22"/>
        </w:rPr>
        <w:t xml:space="preserve">five years of the </w:t>
      </w:r>
      <w:r w:rsidR="00E11159" w:rsidRPr="004F1025">
        <w:rPr>
          <w:rFonts w:asciiTheme="minorHAnsi" w:hAnsiTheme="minorHAnsi" w:cstheme="minorHAnsi"/>
          <w:sz w:val="22"/>
          <w:szCs w:val="22"/>
        </w:rPr>
        <w:t>future regulatory period when prepared as part of the determination process. CitiPower</w:t>
      </w:r>
      <w:r w:rsidRPr="004F1025">
        <w:rPr>
          <w:rFonts w:asciiTheme="minorHAnsi" w:hAnsiTheme="minorHAnsi" w:cstheme="minorHAnsi"/>
          <w:sz w:val="22"/>
          <w:szCs w:val="22"/>
        </w:rPr>
        <w:t>/</w:t>
      </w:r>
      <w:r w:rsidR="00E11159" w:rsidRPr="004F1025">
        <w:rPr>
          <w:rFonts w:asciiTheme="minorHAnsi" w:hAnsiTheme="minorHAnsi" w:cstheme="minorHAnsi"/>
          <w:sz w:val="22"/>
          <w:szCs w:val="22"/>
        </w:rPr>
        <w:t>Powercor sought clarification that the purpose of the back-cast data was for applying the repex model. NSPs sought further clarification around the specific 5 years of back-cast data given the transitional period. CitiPower</w:t>
      </w:r>
      <w:r w:rsidRPr="004F1025">
        <w:rPr>
          <w:rFonts w:asciiTheme="minorHAnsi" w:hAnsiTheme="minorHAnsi" w:cstheme="minorHAnsi"/>
          <w:sz w:val="22"/>
          <w:szCs w:val="22"/>
        </w:rPr>
        <w:t>/</w:t>
      </w:r>
      <w:r w:rsidR="00E11159" w:rsidRPr="004F1025">
        <w:rPr>
          <w:rFonts w:asciiTheme="minorHAnsi" w:hAnsiTheme="minorHAnsi" w:cstheme="minorHAnsi"/>
          <w:sz w:val="22"/>
          <w:szCs w:val="22"/>
        </w:rPr>
        <w:t>Powercor asked for clarification that the age profile would be required at the standardised asset category level. CitiPower</w:t>
      </w:r>
      <w:r w:rsidRPr="004F1025">
        <w:rPr>
          <w:rFonts w:asciiTheme="minorHAnsi" w:hAnsiTheme="minorHAnsi" w:cstheme="minorHAnsi"/>
          <w:sz w:val="22"/>
          <w:szCs w:val="22"/>
        </w:rPr>
        <w:t>/</w:t>
      </w:r>
      <w:r w:rsidR="00E11159" w:rsidRPr="004F1025">
        <w:rPr>
          <w:rFonts w:asciiTheme="minorHAnsi" w:hAnsiTheme="minorHAnsi" w:cstheme="minorHAnsi"/>
          <w:sz w:val="22"/>
          <w:szCs w:val="22"/>
        </w:rPr>
        <w:t>Powercor considered adjusting current reporting systems to</w:t>
      </w:r>
      <w:r w:rsidR="00757047" w:rsidRPr="004F1025">
        <w:rPr>
          <w:rFonts w:asciiTheme="minorHAnsi" w:hAnsiTheme="minorHAnsi" w:cstheme="minorHAnsi"/>
          <w:sz w:val="22"/>
          <w:szCs w:val="22"/>
        </w:rPr>
        <w:t xml:space="preserve"> provide the data would require significant business and operational changes</w:t>
      </w:r>
      <w:r w:rsidR="00EB53E4" w:rsidRPr="004F1025">
        <w:rPr>
          <w:rFonts w:asciiTheme="minorHAnsi" w:hAnsiTheme="minorHAnsi" w:cstheme="minorHAnsi"/>
          <w:sz w:val="22"/>
          <w:szCs w:val="22"/>
        </w:rPr>
        <w:t xml:space="preserve">. </w:t>
      </w:r>
      <w:r w:rsidR="007C11F3" w:rsidRPr="004F1025">
        <w:rPr>
          <w:rFonts w:asciiTheme="minorHAnsi" w:hAnsiTheme="minorHAnsi" w:cstheme="minorHAnsi"/>
          <w:sz w:val="22"/>
          <w:szCs w:val="22"/>
        </w:rPr>
        <w:t>AER staff undertook to confirm which year age profile data would be required, including as it relates to running the repex model.</w:t>
      </w:r>
    </w:p>
    <w:p w:rsidR="00E11159" w:rsidRPr="004F1025" w:rsidRDefault="00E11159"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 xml:space="preserve">NSPs </w:t>
      </w:r>
      <w:r w:rsidR="00892EE0" w:rsidRPr="004F1025">
        <w:rPr>
          <w:rFonts w:asciiTheme="minorHAnsi" w:hAnsiTheme="minorHAnsi" w:cstheme="minorHAnsi"/>
          <w:sz w:val="22"/>
          <w:szCs w:val="22"/>
        </w:rPr>
        <w:t xml:space="preserve">would </w:t>
      </w:r>
      <w:r w:rsidRPr="004F1025">
        <w:rPr>
          <w:rFonts w:asciiTheme="minorHAnsi" w:hAnsiTheme="minorHAnsi" w:cstheme="minorHAnsi"/>
          <w:sz w:val="22"/>
          <w:szCs w:val="22"/>
        </w:rPr>
        <w:t xml:space="preserve">have </w:t>
      </w:r>
      <w:r w:rsidR="00892EE0" w:rsidRPr="004F1025">
        <w:rPr>
          <w:rFonts w:asciiTheme="minorHAnsi" w:hAnsiTheme="minorHAnsi" w:cstheme="minorHAnsi"/>
          <w:sz w:val="22"/>
          <w:szCs w:val="22"/>
        </w:rPr>
        <w:t xml:space="preserve">discretion </w:t>
      </w:r>
      <w:r w:rsidRPr="004F1025">
        <w:rPr>
          <w:rFonts w:asciiTheme="minorHAnsi" w:hAnsiTheme="minorHAnsi" w:cstheme="minorHAnsi"/>
          <w:sz w:val="22"/>
          <w:szCs w:val="22"/>
        </w:rPr>
        <w:t>to disaggregate the asset categories at a lower level than those in the template</w:t>
      </w:r>
      <w:r w:rsidR="00892EE0" w:rsidRPr="004F1025">
        <w:rPr>
          <w:rFonts w:asciiTheme="minorHAnsi" w:hAnsiTheme="minorHAnsi" w:cstheme="minorHAnsi"/>
          <w:sz w:val="22"/>
          <w:szCs w:val="22"/>
        </w:rPr>
        <w:t xml:space="preserve">, provided they </w:t>
      </w:r>
      <w:r w:rsidRPr="004F1025">
        <w:rPr>
          <w:rFonts w:asciiTheme="minorHAnsi" w:hAnsiTheme="minorHAnsi" w:cstheme="minorHAnsi"/>
          <w:sz w:val="22"/>
          <w:szCs w:val="22"/>
        </w:rPr>
        <w:t>were transparent in how they did this.</w:t>
      </w:r>
    </w:p>
    <w:p w:rsidR="00E11159" w:rsidRPr="009350B9" w:rsidRDefault="00892EE0" w:rsidP="00F5216F">
      <w:pPr>
        <w:rPr>
          <w:rFonts w:eastAsia="Calibri" w:cstheme="minorHAnsi"/>
        </w:rPr>
      </w:pPr>
      <w:r w:rsidRPr="009350B9">
        <w:rPr>
          <w:rFonts w:eastAsia="Calibri" w:cstheme="minorHAnsi"/>
        </w:rPr>
        <w:t xml:space="preserve">The following key issues were then discussed between </w:t>
      </w:r>
      <w:r w:rsidR="00E11159" w:rsidRPr="009350B9">
        <w:rPr>
          <w:rFonts w:eastAsia="Calibri" w:cstheme="minorHAnsi"/>
        </w:rPr>
        <w:t>AER staff and the NSPs:</w:t>
      </w:r>
    </w:p>
    <w:p w:rsidR="00E11159" w:rsidRPr="004F1025" w:rsidRDefault="00892EE0"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 xml:space="preserve">Regarding </w:t>
      </w:r>
      <w:r w:rsidR="00E11159" w:rsidRPr="004F1025">
        <w:rPr>
          <w:rFonts w:asciiTheme="minorHAnsi" w:hAnsiTheme="minorHAnsi" w:cstheme="minorHAnsi"/>
          <w:sz w:val="22"/>
          <w:szCs w:val="22"/>
        </w:rPr>
        <w:t>definitions of high, medium and low ampere rating bands applying to various repex asset categories</w:t>
      </w:r>
      <w:r w:rsidRPr="004F1025">
        <w:rPr>
          <w:rFonts w:asciiTheme="minorHAnsi" w:hAnsiTheme="minorHAnsi" w:cstheme="minorHAnsi"/>
          <w:sz w:val="22"/>
          <w:szCs w:val="22"/>
        </w:rPr>
        <w:t xml:space="preserve">, </w:t>
      </w:r>
      <w:r w:rsidR="00E11159" w:rsidRPr="004F1025">
        <w:rPr>
          <w:rFonts w:asciiTheme="minorHAnsi" w:hAnsiTheme="minorHAnsi" w:cstheme="minorHAnsi"/>
          <w:sz w:val="22"/>
          <w:szCs w:val="22"/>
        </w:rPr>
        <w:t xml:space="preserve">AER staff clarified that </w:t>
      </w:r>
      <w:r w:rsidRPr="004F1025">
        <w:rPr>
          <w:rFonts w:asciiTheme="minorHAnsi" w:hAnsiTheme="minorHAnsi" w:cstheme="minorHAnsi"/>
          <w:sz w:val="22"/>
          <w:szCs w:val="22"/>
        </w:rPr>
        <w:t xml:space="preserve">these </w:t>
      </w:r>
      <w:r w:rsidR="00E11159" w:rsidRPr="004F1025">
        <w:rPr>
          <w:rFonts w:asciiTheme="minorHAnsi" w:hAnsiTheme="minorHAnsi" w:cstheme="minorHAnsi"/>
          <w:sz w:val="22"/>
          <w:szCs w:val="22"/>
        </w:rPr>
        <w:t>bands</w:t>
      </w:r>
      <w:r w:rsidRPr="004F1025">
        <w:rPr>
          <w:rFonts w:asciiTheme="minorHAnsi" w:hAnsiTheme="minorHAnsi" w:cstheme="minorHAnsi"/>
          <w:sz w:val="22"/>
          <w:szCs w:val="22"/>
        </w:rPr>
        <w:t xml:space="preserve"> were not specified </w:t>
      </w:r>
      <w:r w:rsidR="00A34DFB" w:rsidRPr="004F1025">
        <w:rPr>
          <w:rFonts w:asciiTheme="minorHAnsi" w:hAnsiTheme="minorHAnsi" w:cstheme="minorHAnsi"/>
          <w:sz w:val="22"/>
          <w:szCs w:val="22"/>
        </w:rPr>
        <w:t>o</w:t>
      </w:r>
      <w:r w:rsidRPr="004F1025">
        <w:rPr>
          <w:rFonts w:asciiTheme="minorHAnsi" w:hAnsiTheme="minorHAnsi" w:cstheme="minorHAnsi"/>
          <w:sz w:val="22"/>
          <w:szCs w:val="22"/>
        </w:rPr>
        <w:t xml:space="preserve">n purpose. This was because they </w:t>
      </w:r>
      <w:r w:rsidR="00E11159" w:rsidRPr="004F1025">
        <w:rPr>
          <w:rFonts w:asciiTheme="minorHAnsi" w:hAnsiTheme="minorHAnsi" w:cstheme="minorHAnsi"/>
          <w:sz w:val="22"/>
          <w:szCs w:val="22"/>
        </w:rPr>
        <w:t>consider</w:t>
      </w:r>
      <w:r w:rsidR="00757047" w:rsidRPr="004F1025">
        <w:rPr>
          <w:rFonts w:asciiTheme="minorHAnsi" w:hAnsiTheme="minorHAnsi" w:cstheme="minorHAnsi"/>
          <w:sz w:val="22"/>
          <w:szCs w:val="22"/>
        </w:rPr>
        <w:t>ed</w:t>
      </w:r>
      <w:r w:rsidR="00E11159" w:rsidRPr="004F1025">
        <w:rPr>
          <w:rFonts w:asciiTheme="minorHAnsi" w:hAnsiTheme="minorHAnsi" w:cstheme="minorHAnsi"/>
          <w:sz w:val="22"/>
          <w:szCs w:val="22"/>
        </w:rPr>
        <w:t xml:space="preserve"> it likely only a few discrete rating bands applied to each asset type</w:t>
      </w:r>
      <w:r w:rsidRPr="004F1025">
        <w:rPr>
          <w:rFonts w:asciiTheme="minorHAnsi" w:hAnsiTheme="minorHAnsi" w:cstheme="minorHAnsi"/>
          <w:sz w:val="22"/>
          <w:szCs w:val="22"/>
        </w:rPr>
        <w:t xml:space="preserve">, and </w:t>
      </w:r>
      <w:r w:rsidR="00E11159" w:rsidRPr="004F1025">
        <w:rPr>
          <w:rFonts w:asciiTheme="minorHAnsi" w:hAnsiTheme="minorHAnsi" w:cstheme="minorHAnsi"/>
          <w:sz w:val="22"/>
          <w:szCs w:val="22"/>
        </w:rPr>
        <w:t xml:space="preserve">NSPs would be in the best position to classify these. NSPs agreed to provide feedback on this approach after consulting with their relevant technical experts. </w:t>
      </w:r>
    </w:p>
    <w:p w:rsidR="00E11159" w:rsidRPr="004F1025" w:rsidRDefault="00E11159"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 xml:space="preserve">Jemena raised a broad point that providing asset volume information would be less onerous than the unit cost information, especially with the way contracts are structured. NSPs noted that they aggregate large portions of the replacement works into contractual arrangements and </w:t>
      </w:r>
      <w:r w:rsidR="00714669" w:rsidRPr="004F1025">
        <w:rPr>
          <w:rFonts w:asciiTheme="minorHAnsi" w:hAnsiTheme="minorHAnsi" w:cstheme="minorHAnsi"/>
          <w:sz w:val="22"/>
          <w:szCs w:val="22"/>
        </w:rPr>
        <w:t xml:space="preserve">hence the </w:t>
      </w:r>
      <w:r w:rsidRPr="004F1025">
        <w:rPr>
          <w:rFonts w:asciiTheme="minorHAnsi" w:hAnsiTheme="minorHAnsi" w:cstheme="minorHAnsi"/>
          <w:sz w:val="22"/>
          <w:szCs w:val="22"/>
        </w:rPr>
        <w:t xml:space="preserve">splitting </w:t>
      </w:r>
      <w:r w:rsidR="00757047" w:rsidRPr="004F1025">
        <w:rPr>
          <w:rFonts w:asciiTheme="minorHAnsi" w:hAnsiTheme="minorHAnsi" w:cstheme="minorHAnsi"/>
          <w:sz w:val="22"/>
          <w:szCs w:val="22"/>
        </w:rPr>
        <w:t xml:space="preserve">of </w:t>
      </w:r>
      <w:r w:rsidRPr="004F1025">
        <w:rPr>
          <w:rFonts w:asciiTheme="minorHAnsi" w:hAnsiTheme="minorHAnsi" w:cstheme="minorHAnsi"/>
          <w:sz w:val="22"/>
          <w:szCs w:val="22"/>
        </w:rPr>
        <w:t xml:space="preserve">unit costs </w:t>
      </w:r>
      <w:r w:rsidR="00714669" w:rsidRPr="004F1025">
        <w:rPr>
          <w:rFonts w:asciiTheme="minorHAnsi" w:hAnsiTheme="minorHAnsi" w:cstheme="minorHAnsi"/>
          <w:sz w:val="22"/>
          <w:szCs w:val="22"/>
        </w:rPr>
        <w:t xml:space="preserve">into asset categories </w:t>
      </w:r>
      <w:r w:rsidRPr="004F1025">
        <w:rPr>
          <w:rFonts w:asciiTheme="minorHAnsi" w:hAnsiTheme="minorHAnsi" w:cstheme="minorHAnsi"/>
          <w:sz w:val="22"/>
          <w:szCs w:val="22"/>
        </w:rPr>
        <w:t>is difficult. Splitting the</w:t>
      </w:r>
      <w:r w:rsidR="00757047" w:rsidRPr="004F1025">
        <w:rPr>
          <w:rFonts w:asciiTheme="minorHAnsi" w:hAnsiTheme="minorHAnsi" w:cstheme="minorHAnsi"/>
          <w:sz w:val="22"/>
          <w:szCs w:val="22"/>
        </w:rPr>
        <w:t>se</w:t>
      </w:r>
      <w:r w:rsidRPr="004F1025">
        <w:rPr>
          <w:rFonts w:asciiTheme="minorHAnsi" w:hAnsiTheme="minorHAnsi" w:cstheme="minorHAnsi"/>
          <w:sz w:val="22"/>
          <w:szCs w:val="22"/>
        </w:rPr>
        <w:t xml:space="preserve"> unit costs </w:t>
      </w:r>
      <w:r w:rsidR="00714669" w:rsidRPr="004F1025">
        <w:rPr>
          <w:rFonts w:asciiTheme="minorHAnsi" w:hAnsiTheme="minorHAnsi" w:cstheme="minorHAnsi"/>
          <w:sz w:val="22"/>
          <w:szCs w:val="22"/>
        </w:rPr>
        <w:t xml:space="preserve">into future data templates </w:t>
      </w:r>
      <w:r w:rsidRPr="004F1025">
        <w:rPr>
          <w:rFonts w:asciiTheme="minorHAnsi" w:hAnsiTheme="minorHAnsi" w:cstheme="minorHAnsi"/>
          <w:sz w:val="22"/>
          <w:szCs w:val="22"/>
        </w:rPr>
        <w:t>would require contract renegotiations and changes in asset management</w:t>
      </w:r>
      <w:r w:rsidR="00757047" w:rsidRPr="004F1025">
        <w:rPr>
          <w:rFonts w:asciiTheme="minorHAnsi" w:hAnsiTheme="minorHAnsi" w:cstheme="minorHAnsi"/>
          <w:sz w:val="22"/>
          <w:szCs w:val="22"/>
        </w:rPr>
        <w:t xml:space="preserve"> practices</w:t>
      </w:r>
      <w:r w:rsidR="007C11F3" w:rsidRPr="004F1025">
        <w:rPr>
          <w:rFonts w:asciiTheme="minorHAnsi" w:hAnsiTheme="minorHAnsi" w:cstheme="minorHAnsi"/>
          <w:sz w:val="22"/>
          <w:szCs w:val="22"/>
        </w:rPr>
        <w:t xml:space="preserve">. </w:t>
      </w:r>
      <w:r w:rsidRPr="004F1025">
        <w:rPr>
          <w:rFonts w:asciiTheme="minorHAnsi" w:hAnsiTheme="minorHAnsi" w:cstheme="minorHAnsi"/>
          <w:sz w:val="22"/>
          <w:szCs w:val="22"/>
        </w:rPr>
        <w:t>NSPs noted historical allocations and assumptions would provide poor quality back-cast data.</w:t>
      </w:r>
    </w:p>
    <w:p w:rsidR="00E11159" w:rsidRPr="004F1025" w:rsidRDefault="00E11159"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lastRenderedPageBreak/>
        <w:t xml:space="preserve">AER staff sought views on </w:t>
      </w:r>
      <w:r w:rsidR="00714669" w:rsidRPr="004F1025">
        <w:rPr>
          <w:rFonts w:asciiTheme="minorHAnsi" w:hAnsiTheme="minorHAnsi" w:cstheme="minorHAnsi"/>
          <w:sz w:val="22"/>
          <w:szCs w:val="22"/>
        </w:rPr>
        <w:t xml:space="preserve">a suggestion raised </w:t>
      </w:r>
      <w:r w:rsidR="005E6AD0" w:rsidRPr="004F1025">
        <w:rPr>
          <w:rFonts w:asciiTheme="minorHAnsi" w:hAnsiTheme="minorHAnsi" w:cstheme="minorHAnsi"/>
          <w:sz w:val="22"/>
          <w:szCs w:val="22"/>
        </w:rPr>
        <w:t xml:space="preserve">in earlier consultation </w:t>
      </w:r>
      <w:r w:rsidR="00714669" w:rsidRPr="004F1025">
        <w:rPr>
          <w:rFonts w:asciiTheme="minorHAnsi" w:hAnsiTheme="minorHAnsi" w:cstheme="minorHAnsi"/>
          <w:sz w:val="22"/>
          <w:szCs w:val="22"/>
        </w:rPr>
        <w:t xml:space="preserve">of </w:t>
      </w:r>
      <w:r w:rsidRPr="004F1025">
        <w:rPr>
          <w:rFonts w:asciiTheme="minorHAnsi" w:hAnsiTheme="minorHAnsi" w:cstheme="minorHAnsi"/>
          <w:sz w:val="22"/>
          <w:szCs w:val="22"/>
        </w:rPr>
        <w:t xml:space="preserve">including a </w:t>
      </w:r>
      <w:r w:rsidR="00714669" w:rsidRPr="004F1025">
        <w:rPr>
          <w:rFonts w:asciiTheme="minorHAnsi" w:hAnsiTheme="minorHAnsi" w:cstheme="minorHAnsi"/>
          <w:sz w:val="22"/>
          <w:szCs w:val="22"/>
        </w:rPr>
        <w:t>“</w:t>
      </w:r>
      <w:r w:rsidRPr="004F1025">
        <w:rPr>
          <w:rFonts w:asciiTheme="minorHAnsi" w:hAnsiTheme="minorHAnsi" w:cstheme="minorHAnsi"/>
          <w:sz w:val="22"/>
          <w:szCs w:val="22"/>
        </w:rPr>
        <w:t>distribution substations</w:t>
      </w:r>
      <w:r w:rsidR="00714669" w:rsidRPr="004F1025">
        <w:rPr>
          <w:rFonts w:asciiTheme="minorHAnsi" w:hAnsiTheme="minorHAnsi" w:cstheme="minorHAnsi"/>
          <w:sz w:val="22"/>
          <w:szCs w:val="22"/>
        </w:rPr>
        <w:t>”</w:t>
      </w:r>
      <w:r w:rsidRPr="004F1025">
        <w:rPr>
          <w:rFonts w:asciiTheme="minorHAnsi" w:hAnsiTheme="minorHAnsi" w:cstheme="minorHAnsi"/>
          <w:sz w:val="22"/>
          <w:szCs w:val="22"/>
        </w:rPr>
        <w:t xml:space="preserve"> group, containing asset categories specific to substations such as transformers and switchgear. NSPs were </w:t>
      </w:r>
      <w:r w:rsidR="00714669" w:rsidRPr="004F1025">
        <w:rPr>
          <w:rFonts w:asciiTheme="minorHAnsi" w:hAnsiTheme="minorHAnsi" w:cstheme="minorHAnsi"/>
          <w:sz w:val="22"/>
          <w:szCs w:val="22"/>
        </w:rPr>
        <w:t xml:space="preserve">generally </w:t>
      </w:r>
      <w:r w:rsidRPr="004F1025">
        <w:rPr>
          <w:rFonts w:asciiTheme="minorHAnsi" w:hAnsiTheme="minorHAnsi" w:cstheme="minorHAnsi"/>
          <w:sz w:val="22"/>
          <w:szCs w:val="22"/>
        </w:rPr>
        <w:t>supportive of this approach and agreed to provide feedback on this after consulting with their relevant technical experts.</w:t>
      </w:r>
    </w:p>
    <w:p w:rsidR="00E11159" w:rsidRPr="004F1025" w:rsidRDefault="00E11159"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 xml:space="preserve">United Energy expressed concern with the </w:t>
      </w:r>
      <w:r w:rsidR="00714669" w:rsidRPr="004F1025">
        <w:rPr>
          <w:rFonts w:asciiTheme="minorHAnsi" w:hAnsiTheme="minorHAnsi" w:cstheme="minorHAnsi"/>
          <w:sz w:val="22"/>
          <w:szCs w:val="22"/>
        </w:rPr>
        <w:t>“</w:t>
      </w:r>
      <w:r w:rsidRPr="004F1025">
        <w:rPr>
          <w:rFonts w:asciiTheme="minorHAnsi" w:hAnsiTheme="minorHAnsi" w:cstheme="minorHAnsi"/>
          <w:sz w:val="22"/>
          <w:szCs w:val="22"/>
        </w:rPr>
        <w:t>pole top structures</w:t>
      </w:r>
      <w:r w:rsidR="00714669" w:rsidRPr="004F1025">
        <w:rPr>
          <w:rFonts w:asciiTheme="minorHAnsi" w:hAnsiTheme="minorHAnsi" w:cstheme="minorHAnsi"/>
          <w:sz w:val="22"/>
          <w:szCs w:val="22"/>
        </w:rPr>
        <w:t>”</w:t>
      </w:r>
      <w:r w:rsidRPr="004F1025">
        <w:rPr>
          <w:rFonts w:asciiTheme="minorHAnsi" w:hAnsiTheme="minorHAnsi" w:cstheme="minorHAnsi"/>
          <w:sz w:val="22"/>
          <w:szCs w:val="22"/>
        </w:rPr>
        <w:t xml:space="preserve"> asset categories, citing the need for a meaningful definition to apply the category. NSPs noted the unique nature of pole top structures, using the example that some structures include </w:t>
      </w:r>
      <w:r w:rsidR="000E5992">
        <w:rPr>
          <w:rFonts w:asciiTheme="minorHAnsi" w:hAnsiTheme="minorHAnsi" w:cstheme="minorHAnsi"/>
          <w:sz w:val="22"/>
          <w:szCs w:val="22"/>
        </w:rPr>
        <w:t xml:space="preserve">LV </w:t>
      </w:r>
      <w:r w:rsidRPr="004F1025">
        <w:rPr>
          <w:rFonts w:asciiTheme="minorHAnsi" w:hAnsiTheme="minorHAnsi" w:cstheme="minorHAnsi"/>
          <w:sz w:val="22"/>
          <w:szCs w:val="22"/>
        </w:rPr>
        <w:t>switches. The</w:t>
      </w:r>
      <w:r w:rsidR="00714669" w:rsidRPr="004F1025">
        <w:rPr>
          <w:rFonts w:asciiTheme="minorHAnsi" w:hAnsiTheme="minorHAnsi" w:cstheme="minorHAnsi"/>
          <w:sz w:val="22"/>
          <w:szCs w:val="22"/>
        </w:rPr>
        <w:t xml:space="preserve">se additional characteristics may </w:t>
      </w:r>
      <w:r w:rsidRPr="004F1025">
        <w:rPr>
          <w:rFonts w:asciiTheme="minorHAnsi" w:hAnsiTheme="minorHAnsi" w:cstheme="minorHAnsi"/>
          <w:sz w:val="22"/>
          <w:szCs w:val="22"/>
        </w:rPr>
        <w:t>impact cost but are not differentiated in the AER categories.</w:t>
      </w:r>
    </w:p>
    <w:p w:rsidR="00B214FA" w:rsidRDefault="00DD308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 xml:space="preserve">Demand </w:t>
      </w:r>
      <w:r w:rsidR="00B214FA">
        <w:rPr>
          <w:rFonts w:ascii="Cambria" w:eastAsia="Times New Roman" w:hAnsi="Cambria" w:cs="Times New Roman"/>
          <w:b/>
          <w:bCs/>
          <w:i/>
          <w:iCs/>
          <w:sz w:val="28"/>
          <w:szCs w:val="28"/>
        </w:rPr>
        <w:t xml:space="preserve">forecasting </w:t>
      </w:r>
    </w:p>
    <w:p w:rsidR="00B214FA" w:rsidRPr="007C11F3" w:rsidRDefault="00B214FA" w:rsidP="00B214FA">
      <w:pPr>
        <w:rPr>
          <w:rFonts w:cstheme="minorHAnsi"/>
        </w:rPr>
      </w:pPr>
      <w:r w:rsidRPr="007C11F3">
        <w:rPr>
          <w:rFonts w:cstheme="minorHAnsi"/>
        </w:rPr>
        <w:t>AER staff noted the indicative templates contained two formats for collecting demand data:</w:t>
      </w:r>
    </w:p>
    <w:p w:rsidR="00B214FA" w:rsidRPr="004F1025" w:rsidRDefault="00B214FA"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for demand forecast assessments (tabs 3.1 and 3.2)</w:t>
      </w:r>
    </w:p>
    <w:p w:rsidR="00B214FA" w:rsidRPr="004F1025" w:rsidRDefault="00B214FA"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for populating the augex model (tabs 3.3 and 3.4)</w:t>
      </w:r>
    </w:p>
    <w:p w:rsidR="00B214FA" w:rsidRPr="007C11F3" w:rsidRDefault="00127C9F" w:rsidP="00B214FA">
      <w:pPr>
        <w:rPr>
          <w:rFonts w:cstheme="minorHAnsi"/>
        </w:rPr>
      </w:pPr>
      <w:r>
        <w:rPr>
          <w:rFonts w:cstheme="minorHAnsi"/>
        </w:rPr>
        <w:t>T</w:t>
      </w:r>
      <w:r w:rsidR="00B214FA" w:rsidRPr="007C11F3">
        <w:rPr>
          <w:rFonts w:cstheme="minorHAnsi"/>
        </w:rPr>
        <w:t xml:space="preserve">he two formats </w:t>
      </w:r>
      <w:r>
        <w:rPr>
          <w:rFonts w:cstheme="minorHAnsi"/>
        </w:rPr>
        <w:t>would collect</w:t>
      </w:r>
      <w:r w:rsidR="00B214FA" w:rsidRPr="007C11F3">
        <w:rPr>
          <w:rFonts w:cstheme="minorHAnsi"/>
        </w:rPr>
        <w:t xml:space="preserve"> very similar information</w:t>
      </w:r>
      <w:r>
        <w:rPr>
          <w:rFonts w:cstheme="minorHAnsi"/>
        </w:rPr>
        <w:t xml:space="preserve"> and may be </w:t>
      </w:r>
      <w:r w:rsidR="00B214FA" w:rsidRPr="007C11F3">
        <w:rPr>
          <w:rFonts w:cstheme="minorHAnsi"/>
        </w:rPr>
        <w:t>consolidat</w:t>
      </w:r>
      <w:r>
        <w:rPr>
          <w:rFonts w:cstheme="minorHAnsi"/>
        </w:rPr>
        <w:t xml:space="preserve">ed to </w:t>
      </w:r>
      <w:r w:rsidR="00B214FA" w:rsidRPr="007C11F3">
        <w:rPr>
          <w:rFonts w:cstheme="minorHAnsi"/>
        </w:rPr>
        <w:t xml:space="preserve">avoid potential duplication. This </w:t>
      </w:r>
      <w:r>
        <w:rPr>
          <w:rFonts w:cstheme="minorHAnsi"/>
        </w:rPr>
        <w:t xml:space="preserve">depends on </w:t>
      </w:r>
      <w:r w:rsidR="00B214FA" w:rsidRPr="007C11F3">
        <w:rPr>
          <w:rFonts w:cstheme="minorHAnsi"/>
        </w:rPr>
        <w:t>segments use</w:t>
      </w:r>
      <w:r>
        <w:rPr>
          <w:rFonts w:cstheme="minorHAnsi"/>
        </w:rPr>
        <w:t>d</w:t>
      </w:r>
      <w:r w:rsidR="00B214FA" w:rsidRPr="007C11F3">
        <w:rPr>
          <w:rFonts w:cstheme="minorHAnsi"/>
        </w:rPr>
        <w:t xml:space="preserve"> for demand forecasting purposes </w:t>
      </w:r>
      <w:r>
        <w:rPr>
          <w:rFonts w:cstheme="minorHAnsi"/>
        </w:rPr>
        <w:t xml:space="preserve">being </w:t>
      </w:r>
      <w:r w:rsidR="00B214FA" w:rsidRPr="007C11F3">
        <w:rPr>
          <w:rFonts w:cstheme="minorHAnsi"/>
        </w:rPr>
        <w:t xml:space="preserve">consistent with the segments for the augex model. </w:t>
      </w:r>
    </w:p>
    <w:p w:rsidR="00B214FA" w:rsidRDefault="00B214FA" w:rsidP="00B214FA">
      <w:pPr>
        <w:rPr>
          <w:rFonts w:cstheme="minorHAnsi"/>
        </w:rPr>
      </w:pPr>
      <w:r w:rsidRPr="007C11F3">
        <w:rPr>
          <w:rFonts w:cstheme="minorHAnsi"/>
        </w:rPr>
        <w:t xml:space="preserve">CitiPower/Powercor asked how far back NSPs </w:t>
      </w:r>
      <w:r w:rsidR="00A34DFB">
        <w:rPr>
          <w:rFonts w:cstheme="minorHAnsi"/>
        </w:rPr>
        <w:t xml:space="preserve">were expected </w:t>
      </w:r>
      <w:r w:rsidRPr="007C11F3">
        <w:rPr>
          <w:rFonts w:cstheme="minorHAnsi"/>
        </w:rPr>
        <w:t xml:space="preserve">to provide historical maximum demand data. </w:t>
      </w:r>
      <w:r w:rsidR="00127C9F">
        <w:rPr>
          <w:rFonts w:cstheme="minorHAnsi"/>
        </w:rPr>
        <w:t>AER staff</w:t>
      </w:r>
      <w:r w:rsidRPr="007C11F3">
        <w:rPr>
          <w:rFonts w:cstheme="minorHAnsi"/>
        </w:rPr>
        <w:t xml:space="preserve"> stated </w:t>
      </w:r>
      <w:r w:rsidR="00127C9F">
        <w:rPr>
          <w:rFonts w:cstheme="minorHAnsi"/>
        </w:rPr>
        <w:t xml:space="preserve">that </w:t>
      </w:r>
      <w:r w:rsidRPr="007C11F3">
        <w:rPr>
          <w:rFonts w:cstheme="minorHAnsi"/>
        </w:rPr>
        <w:t xml:space="preserve">NSPs </w:t>
      </w:r>
      <w:r w:rsidR="00127C9F">
        <w:rPr>
          <w:rFonts w:cstheme="minorHAnsi"/>
        </w:rPr>
        <w:t xml:space="preserve">would be required </w:t>
      </w:r>
      <w:r w:rsidRPr="007C11F3">
        <w:rPr>
          <w:rFonts w:cstheme="minorHAnsi"/>
        </w:rPr>
        <w:t xml:space="preserve">to provide historical demand data for the last five years. If NSPs use a longer time series as the basis for their regulatory proposals’ demand forecasts, however, NSPs would be </w:t>
      </w:r>
      <w:r w:rsidR="00127C9F">
        <w:rPr>
          <w:rFonts w:cstheme="minorHAnsi"/>
        </w:rPr>
        <w:t xml:space="preserve">expected </w:t>
      </w:r>
      <w:r w:rsidRPr="007C11F3">
        <w:rPr>
          <w:rFonts w:cstheme="minorHAnsi"/>
        </w:rPr>
        <w:t>to provide such data at the time of the determination.</w:t>
      </w:r>
    </w:p>
    <w:p w:rsidR="00FF6F01" w:rsidRPr="009350B9" w:rsidRDefault="00E13318" w:rsidP="00B214FA">
      <w:pPr>
        <w:rPr>
          <w:rFonts w:eastAsia="Calibri" w:cstheme="minorHAnsi"/>
        </w:rPr>
      </w:pPr>
      <w:r>
        <w:rPr>
          <w:rFonts w:eastAsia="Calibri" w:cstheme="minorHAnsi"/>
        </w:rPr>
        <w:t>CitiPower/Powercor</w:t>
      </w:r>
      <w:r w:rsidR="00FF6F01" w:rsidRPr="009350B9">
        <w:rPr>
          <w:rFonts w:eastAsia="Calibri" w:cstheme="minorHAnsi"/>
        </w:rPr>
        <w:t xml:space="preserve"> questioned whether the AER expected NSPs to “recreate” the network configuration up to 5 years ago to generate this data. </w:t>
      </w:r>
      <w:r w:rsidR="0026164B">
        <w:rPr>
          <w:rFonts w:eastAsia="Calibri" w:cstheme="minorHAnsi"/>
        </w:rPr>
        <w:t>It was noted that this issue would be</w:t>
      </w:r>
      <w:r w:rsidR="0026164B" w:rsidRPr="009350B9">
        <w:rPr>
          <w:rFonts w:eastAsia="Calibri" w:cstheme="minorHAnsi"/>
        </w:rPr>
        <w:t xml:space="preserve"> </w:t>
      </w:r>
      <w:r w:rsidR="0026164B">
        <w:rPr>
          <w:rFonts w:eastAsia="Calibri" w:cstheme="minorHAnsi"/>
        </w:rPr>
        <w:t xml:space="preserve">covered under augex data templates. </w:t>
      </w:r>
      <w:r w:rsidR="00FF6F01" w:rsidRPr="009350B9">
        <w:rPr>
          <w:rFonts w:eastAsia="Calibri" w:cstheme="minorHAnsi"/>
        </w:rPr>
        <w:t xml:space="preserve">AER staff considered that NSPs should be able to capture this information in SCADA </w:t>
      </w:r>
      <w:proofErr w:type="gramStart"/>
      <w:r w:rsidR="00FF6F01" w:rsidRPr="009350B9">
        <w:rPr>
          <w:rFonts w:eastAsia="Calibri" w:cstheme="minorHAnsi"/>
        </w:rPr>
        <w:t>systems,</w:t>
      </w:r>
      <w:proofErr w:type="gramEnd"/>
      <w:r w:rsidR="00FF6F01" w:rsidRPr="009350B9">
        <w:rPr>
          <w:rFonts w:eastAsia="Calibri" w:cstheme="minorHAnsi"/>
        </w:rPr>
        <w:t xml:space="preserve"> however </w:t>
      </w:r>
      <w:r>
        <w:rPr>
          <w:rFonts w:eastAsia="Calibri" w:cstheme="minorHAnsi"/>
        </w:rPr>
        <w:t>CitiPower/Powercor</w:t>
      </w:r>
      <w:r w:rsidR="0026164B">
        <w:rPr>
          <w:rFonts w:eastAsia="Calibri" w:cstheme="minorHAnsi"/>
        </w:rPr>
        <w:t xml:space="preserve"> </w:t>
      </w:r>
      <w:r w:rsidR="00FF6F01" w:rsidRPr="009350B9">
        <w:rPr>
          <w:rFonts w:eastAsia="Calibri" w:cstheme="minorHAnsi"/>
        </w:rPr>
        <w:t xml:space="preserve">responded that demand data </w:t>
      </w:r>
      <w:r w:rsidR="007929C6">
        <w:rPr>
          <w:rFonts w:eastAsia="Calibri" w:cstheme="minorHAnsi"/>
        </w:rPr>
        <w:t xml:space="preserve">such as co-incident maximum demand data is not captured for business needs, and will involve a time consuming process </w:t>
      </w:r>
      <w:r w:rsidR="00283698">
        <w:rPr>
          <w:rFonts w:eastAsia="Calibri" w:cstheme="minorHAnsi"/>
        </w:rPr>
        <w:t xml:space="preserve">to </w:t>
      </w:r>
      <w:r w:rsidR="007929C6">
        <w:rPr>
          <w:rFonts w:eastAsia="Calibri" w:cstheme="minorHAnsi"/>
        </w:rPr>
        <w:t xml:space="preserve">re-create this data. This requires analysis of </w:t>
      </w:r>
      <w:r w:rsidR="00FF6F01" w:rsidRPr="009350B9">
        <w:rPr>
          <w:rFonts w:eastAsia="Calibri" w:cstheme="minorHAnsi"/>
        </w:rPr>
        <w:t xml:space="preserve">abnormal </w:t>
      </w:r>
      <w:r w:rsidR="007929C6">
        <w:rPr>
          <w:rFonts w:eastAsia="Calibri" w:cstheme="minorHAnsi"/>
        </w:rPr>
        <w:t xml:space="preserve">network </w:t>
      </w:r>
      <w:r w:rsidR="00FF6F01" w:rsidRPr="009350B9">
        <w:rPr>
          <w:rFonts w:eastAsia="Calibri" w:cstheme="minorHAnsi"/>
        </w:rPr>
        <w:t xml:space="preserve">operating conditions </w:t>
      </w:r>
      <w:r w:rsidR="007929C6">
        <w:rPr>
          <w:rFonts w:eastAsia="Calibri" w:cstheme="minorHAnsi"/>
        </w:rPr>
        <w:t xml:space="preserve">at the time, </w:t>
      </w:r>
      <w:r w:rsidR="00FF6F01" w:rsidRPr="009350B9">
        <w:rPr>
          <w:rFonts w:eastAsia="Calibri" w:cstheme="minorHAnsi"/>
        </w:rPr>
        <w:t>or other adjustments required for normalisation.</w:t>
      </w:r>
      <w:r w:rsidR="0026164B">
        <w:rPr>
          <w:rFonts w:eastAsia="Calibri" w:cstheme="minorHAnsi"/>
        </w:rPr>
        <w:t xml:space="preserve"> </w:t>
      </w:r>
    </w:p>
    <w:p w:rsidR="00B214FA" w:rsidRPr="007C11F3" w:rsidRDefault="00B214FA" w:rsidP="00B214FA">
      <w:pPr>
        <w:rPr>
          <w:rFonts w:cstheme="minorHAnsi"/>
        </w:rPr>
      </w:pPr>
      <w:r w:rsidRPr="007C11F3">
        <w:rPr>
          <w:rFonts w:cstheme="minorHAnsi"/>
        </w:rPr>
        <w:t xml:space="preserve">In </w:t>
      </w:r>
      <w:r w:rsidR="00FF6F01">
        <w:rPr>
          <w:rFonts w:cstheme="minorHAnsi"/>
        </w:rPr>
        <w:t xml:space="preserve">its survey response to </w:t>
      </w:r>
      <w:r w:rsidRPr="007C11F3">
        <w:rPr>
          <w:rFonts w:cstheme="minorHAnsi"/>
        </w:rPr>
        <w:t xml:space="preserve">the indicative data templates, </w:t>
      </w:r>
      <w:r w:rsidR="00E13318">
        <w:rPr>
          <w:rFonts w:cstheme="minorHAnsi"/>
        </w:rPr>
        <w:t>Jemena</w:t>
      </w:r>
      <w:r w:rsidRPr="007C11F3">
        <w:rPr>
          <w:rFonts w:cstheme="minorHAnsi"/>
        </w:rPr>
        <w:t xml:space="preserve"> stated it does not collect demand data in MVA. At the meeting, </w:t>
      </w:r>
      <w:r w:rsidR="00E13318">
        <w:rPr>
          <w:rFonts w:cstheme="minorHAnsi"/>
        </w:rPr>
        <w:t>Jemena</w:t>
      </w:r>
      <w:r w:rsidRPr="007C11F3">
        <w:rPr>
          <w:rFonts w:cstheme="minorHAnsi"/>
        </w:rPr>
        <w:t xml:space="preserve"> clarified that </w:t>
      </w:r>
      <w:r w:rsidR="00FF6F01">
        <w:rPr>
          <w:rFonts w:cstheme="minorHAnsi"/>
        </w:rPr>
        <w:t xml:space="preserve">it </w:t>
      </w:r>
      <w:r w:rsidRPr="007C11F3">
        <w:rPr>
          <w:rFonts w:cstheme="minorHAnsi"/>
        </w:rPr>
        <w:t xml:space="preserve">collects spatial demand data in MW. </w:t>
      </w:r>
      <w:r w:rsidR="00127C9F">
        <w:rPr>
          <w:rFonts w:cstheme="minorHAnsi"/>
        </w:rPr>
        <w:t xml:space="preserve">AER staff </w:t>
      </w:r>
      <w:r w:rsidRPr="007C11F3">
        <w:rPr>
          <w:rFonts w:cstheme="minorHAnsi"/>
        </w:rPr>
        <w:t xml:space="preserve">noted </w:t>
      </w:r>
      <w:r w:rsidR="00FF6F01">
        <w:rPr>
          <w:rFonts w:cstheme="minorHAnsi"/>
        </w:rPr>
        <w:t xml:space="preserve">that NSPs would be collecting </w:t>
      </w:r>
      <w:r w:rsidRPr="007C11F3">
        <w:rPr>
          <w:rFonts w:cstheme="minorHAnsi"/>
        </w:rPr>
        <w:t xml:space="preserve">demand data in MVA terms </w:t>
      </w:r>
      <w:r w:rsidR="00FF6F01">
        <w:rPr>
          <w:rFonts w:cstheme="minorHAnsi"/>
        </w:rPr>
        <w:t>for the purposes of typical network management</w:t>
      </w:r>
      <w:r w:rsidRPr="007C11F3">
        <w:rPr>
          <w:rFonts w:cstheme="minorHAnsi"/>
        </w:rPr>
        <w:t xml:space="preserve">. CitiPower/Powercor confirmed demand data in MVA terms is the driver for augex projects. Jemena </w:t>
      </w:r>
      <w:r w:rsidR="00FF6F01">
        <w:rPr>
          <w:rFonts w:cstheme="minorHAnsi"/>
        </w:rPr>
        <w:t xml:space="preserve">indicated they would confirm its practice, and that </w:t>
      </w:r>
      <w:r w:rsidRPr="007C11F3">
        <w:rPr>
          <w:rFonts w:cstheme="minorHAnsi"/>
        </w:rPr>
        <w:t xml:space="preserve">demand data in MW </w:t>
      </w:r>
      <w:r w:rsidR="00FF6F01">
        <w:rPr>
          <w:rFonts w:cstheme="minorHAnsi"/>
        </w:rPr>
        <w:t xml:space="preserve">can be converted into </w:t>
      </w:r>
      <w:r w:rsidRPr="007C11F3">
        <w:rPr>
          <w:rFonts w:cstheme="minorHAnsi"/>
        </w:rPr>
        <w:t>MVA</w:t>
      </w:r>
      <w:r w:rsidR="00FF6F01">
        <w:rPr>
          <w:rFonts w:cstheme="minorHAnsi"/>
        </w:rPr>
        <w:t>, h</w:t>
      </w:r>
      <w:r w:rsidRPr="007C11F3">
        <w:rPr>
          <w:rFonts w:cstheme="minorHAnsi"/>
        </w:rPr>
        <w:t xml:space="preserve">owever, this </w:t>
      </w:r>
      <w:r w:rsidR="00FF6F01">
        <w:rPr>
          <w:rFonts w:cstheme="minorHAnsi"/>
        </w:rPr>
        <w:t xml:space="preserve">may be </w:t>
      </w:r>
      <w:r w:rsidRPr="007C11F3">
        <w:rPr>
          <w:rFonts w:cstheme="minorHAnsi"/>
        </w:rPr>
        <w:t>a labour-intensive task.</w:t>
      </w:r>
    </w:p>
    <w:p w:rsidR="00B214FA" w:rsidRPr="007C11F3" w:rsidRDefault="00B214FA" w:rsidP="00B214FA">
      <w:pPr>
        <w:rPr>
          <w:rFonts w:cstheme="minorHAnsi"/>
        </w:rPr>
      </w:pPr>
      <w:r w:rsidRPr="007C11F3">
        <w:rPr>
          <w:rFonts w:cstheme="minorHAnsi"/>
        </w:rPr>
        <w:t xml:space="preserve">CitiPower/Powercor noted winter maximum demand data is not kept for the majority of substations </w:t>
      </w:r>
      <w:r w:rsidR="009B56B1">
        <w:rPr>
          <w:rFonts w:cstheme="minorHAnsi"/>
        </w:rPr>
        <w:t xml:space="preserve">that are subject to </w:t>
      </w:r>
      <w:r w:rsidRPr="007C11F3">
        <w:rPr>
          <w:rFonts w:cstheme="minorHAnsi"/>
        </w:rPr>
        <w:t>summer peaks. CitiPower/Powercor suggested consolidating winter and summer maximum demand data into a single tab</w:t>
      </w:r>
      <w:r w:rsidR="009B56B1">
        <w:rPr>
          <w:rFonts w:cstheme="minorHAnsi"/>
        </w:rPr>
        <w:t>, with the ability of NSPs to indicate whether the substation was winter or summer peaking</w:t>
      </w:r>
      <w:r w:rsidRPr="007C11F3">
        <w:rPr>
          <w:rFonts w:cstheme="minorHAnsi"/>
        </w:rPr>
        <w:t>.</w:t>
      </w:r>
    </w:p>
    <w:p w:rsidR="00B214FA" w:rsidRPr="007C11F3" w:rsidRDefault="00B214FA" w:rsidP="00B214FA">
      <w:pPr>
        <w:rPr>
          <w:rFonts w:cstheme="minorHAnsi"/>
        </w:rPr>
      </w:pPr>
      <w:r w:rsidRPr="007C11F3">
        <w:rPr>
          <w:rFonts w:cstheme="minorHAnsi"/>
        </w:rPr>
        <w:t xml:space="preserve">CitiPower/Powercor noted the concept of 10% or 50% </w:t>
      </w:r>
      <w:proofErr w:type="spellStart"/>
      <w:r w:rsidRPr="007C11F3">
        <w:rPr>
          <w:rFonts w:cstheme="minorHAnsi"/>
        </w:rPr>
        <w:t>PoE</w:t>
      </w:r>
      <w:proofErr w:type="spellEnd"/>
      <w:r w:rsidRPr="007C11F3">
        <w:rPr>
          <w:rFonts w:cstheme="minorHAnsi"/>
        </w:rPr>
        <w:t xml:space="preserve"> do not apply to raw maximum demand. </w:t>
      </w:r>
      <w:r w:rsidR="00127C9F">
        <w:rPr>
          <w:rFonts w:cstheme="minorHAnsi"/>
        </w:rPr>
        <w:t xml:space="preserve">AER staff </w:t>
      </w:r>
      <w:r w:rsidRPr="007C11F3">
        <w:rPr>
          <w:rFonts w:cstheme="minorHAnsi"/>
        </w:rPr>
        <w:t xml:space="preserve">acknowledged the indicative templates require some work and re-formatting to clarify concepts such as </w:t>
      </w:r>
      <w:proofErr w:type="gramStart"/>
      <w:r w:rsidRPr="007C11F3">
        <w:rPr>
          <w:rFonts w:cstheme="minorHAnsi"/>
        </w:rPr>
        <w:t>those</w:t>
      </w:r>
      <w:proofErr w:type="gramEnd"/>
      <w:r w:rsidRPr="007C11F3">
        <w:rPr>
          <w:rFonts w:cstheme="minorHAnsi"/>
        </w:rPr>
        <w:t xml:space="preserve"> CitiPower/Powercor raised.</w:t>
      </w:r>
    </w:p>
    <w:p w:rsidR="00B214FA" w:rsidRPr="00E13318" w:rsidRDefault="009B56B1" w:rsidP="00E13318">
      <w:pPr>
        <w:rPr>
          <w:rFonts w:cstheme="minorHAnsi"/>
        </w:rPr>
      </w:pPr>
      <w:r>
        <w:rPr>
          <w:rFonts w:cstheme="minorHAnsi"/>
        </w:rPr>
        <w:t xml:space="preserve">When questioned on its forecasting approach, </w:t>
      </w:r>
      <w:r w:rsidR="00B214FA" w:rsidRPr="007C11F3">
        <w:rPr>
          <w:rFonts w:cstheme="minorHAnsi"/>
        </w:rPr>
        <w:t xml:space="preserve">SP AusNet </w:t>
      </w:r>
      <w:r>
        <w:rPr>
          <w:rFonts w:cstheme="minorHAnsi"/>
        </w:rPr>
        <w:t xml:space="preserve">noted it </w:t>
      </w:r>
      <w:r w:rsidR="001B2B07">
        <w:rPr>
          <w:rFonts w:cstheme="minorHAnsi"/>
        </w:rPr>
        <w:t xml:space="preserve">would follow up on whether it could provide the spatial demand data and forecasts being sought, </w:t>
      </w:r>
      <w:r w:rsidR="00B214FA" w:rsidRPr="007C11F3">
        <w:rPr>
          <w:rFonts w:cstheme="minorHAnsi"/>
        </w:rPr>
        <w:t xml:space="preserve">and </w:t>
      </w:r>
      <w:r w:rsidR="00A34DFB">
        <w:rPr>
          <w:rFonts w:cstheme="minorHAnsi"/>
        </w:rPr>
        <w:t xml:space="preserve">undertook to provide further information on this </w:t>
      </w:r>
      <w:r w:rsidR="00B214FA" w:rsidRPr="007C11F3">
        <w:rPr>
          <w:rFonts w:cstheme="minorHAnsi"/>
        </w:rPr>
        <w:t>subsequent to the meeting.</w:t>
      </w:r>
    </w:p>
    <w:p w:rsidR="00DD3082" w:rsidRPr="00DD3082" w:rsidRDefault="00DD308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Augmentation</w:t>
      </w:r>
      <w:r w:rsidR="00214399">
        <w:rPr>
          <w:rFonts w:ascii="Cambria" w:eastAsia="Times New Roman" w:hAnsi="Cambria" w:cs="Times New Roman"/>
          <w:b/>
          <w:bCs/>
          <w:i/>
          <w:iCs/>
          <w:sz w:val="28"/>
          <w:szCs w:val="28"/>
        </w:rPr>
        <w:t>s capex</w:t>
      </w:r>
    </w:p>
    <w:p w:rsidR="00B214FA" w:rsidRPr="009350B9" w:rsidRDefault="00B214FA" w:rsidP="00B214FA">
      <w:pPr>
        <w:rPr>
          <w:rFonts w:cstheme="minorHAnsi"/>
        </w:rPr>
      </w:pPr>
      <w:r w:rsidRPr="009350B9">
        <w:rPr>
          <w:rFonts w:cstheme="minorHAnsi"/>
        </w:rPr>
        <w:t>AER staff noted t</w:t>
      </w:r>
      <w:r w:rsidR="00A34DFB">
        <w:rPr>
          <w:rFonts w:cstheme="minorHAnsi"/>
        </w:rPr>
        <w:t>he indicative templates would collect</w:t>
      </w:r>
      <w:r w:rsidRPr="009350B9">
        <w:rPr>
          <w:rFonts w:cstheme="minorHAnsi"/>
        </w:rPr>
        <w:t xml:space="preserve"> augex information for two separate processes:</w:t>
      </w:r>
    </w:p>
    <w:p w:rsidR="00B214FA" w:rsidRPr="004F1025" w:rsidRDefault="00B214FA"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To populate the augex model</w:t>
      </w:r>
      <w:r w:rsidR="00A11686" w:rsidRPr="004F1025">
        <w:rPr>
          <w:rFonts w:asciiTheme="minorHAnsi" w:hAnsiTheme="minorHAnsi" w:cstheme="minorHAnsi"/>
          <w:sz w:val="22"/>
          <w:szCs w:val="22"/>
        </w:rPr>
        <w:t xml:space="preserve"> (templates 4.6 to 4.13)</w:t>
      </w:r>
    </w:p>
    <w:p w:rsidR="00B214FA" w:rsidRPr="004F1025" w:rsidRDefault="00B214FA"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For asset data analysis</w:t>
      </w:r>
      <w:r w:rsidR="00A11686" w:rsidRPr="004F1025">
        <w:rPr>
          <w:rFonts w:asciiTheme="minorHAnsi" w:hAnsiTheme="minorHAnsi" w:cstheme="minorHAnsi"/>
          <w:sz w:val="22"/>
          <w:szCs w:val="22"/>
        </w:rPr>
        <w:t xml:space="preserve"> (templates 4.1 to 4.5)</w:t>
      </w:r>
    </w:p>
    <w:p w:rsidR="0026164B" w:rsidRDefault="0026164B" w:rsidP="00B214FA">
      <w:pPr>
        <w:rPr>
          <w:rFonts w:cstheme="minorHAnsi"/>
        </w:rPr>
      </w:pPr>
      <w:r>
        <w:rPr>
          <w:rFonts w:cstheme="minorHAnsi"/>
        </w:rPr>
        <w:t xml:space="preserve">AER staff noted that </w:t>
      </w:r>
      <w:r w:rsidR="00B214FA" w:rsidRPr="009350B9">
        <w:rPr>
          <w:rFonts w:cstheme="minorHAnsi"/>
        </w:rPr>
        <w:t xml:space="preserve">the augex model, by itself, may not be sufficient to assess augex forecasts. Hence, </w:t>
      </w:r>
      <w:r>
        <w:rPr>
          <w:rFonts w:cstheme="minorHAnsi"/>
        </w:rPr>
        <w:t xml:space="preserve">the AER </w:t>
      </w:r>
      <w:r w:rsidR="00254263">
        <w:rPr>
          <w:rFonts w:cstheme="minorHAnsi"/>
        </w:rPr>
        <w:t>proposes</w:t>
      </w:r>
      <w:r w:rsidR="00B214FA" w:rsidRPr="009350B9">
        <w:rPr>
          <w:rFonts w:cstheme="minorHAnsi"/>
        </w:rPr>
        <w:t xml:space="preserve"> to collect cost information for individual augex projects, including physical metrics, unit costs and volumes for the major assets that comprise augex projects (such as transformers and switches for substation augmentations), and other labour and material costs. </w:t>
      </w:r>
    </w:p>
    <w:p w:rsidR="00A11686" w:rsidRDefault="00A11686" w:rsidP="00A11686">
      <w:pPr>
        <w:rPr>
          <w:rFonts w:cstheme="minorHAnsi"/>
        </w:rPr>
      </w:pPr>
      <w:r>
        <w:rPr>
          <w:rFonts w:cstheme="minorHAnsi"/>
        </w:rPr>
        <w:t>AER staff clarified that the templates instructions incorrectly ask for projects commissioned in a particular year, whereas they would be requested for the full historic</w:t>
      </w:r>
      <w:r w:rsidR="00254263">
        <w:rPr>
          <w:rFonts w:cstheme="minorHAnsi"/>
        </w:rPr>
        <w:t>al</w:t>
      </w:r>
      <w:r>
        <w:rPr>
          <w:rFonts w:cstheme="minorHAnsi"/>
        </w:rPr>
        <w:t xml:space="preserve"> time period (5 years).</w:t>
      </w:r>
    </w:p>
    <w:p w:rsidR="0008668A" w:rsidRPr="009350B9" w:rsidRDefault="0008668A" w:rsidP="0008668A">
      <w:pPr>
        <w:rPr>
          <w:rFonts w:cstheme="minorHAnsi"/>
        </w:rPr>
      </w:pPr>
      <w:r w:rsidRPr="009350B9">
        <w:rPr>
          <w:rFonts w:cstheme="minorHAnsi"/>
        </w:rPr>
        <w:t xml:space="preserve">CitiPower/Powercor noted their understanding that the augex model requires information on the current state of the network, and hence does not require data </w:t>
      </w:r>
      <w:proofErr w:type="spellStart"/>
      <w:r w:rsidRPr="009350B9">
        <w:rPr>
          <w:rFonts w:cstheme="minorHAnsi"/>
        </w:rPr>
        <w:t>backcast</w:t>
      </w:r>
      <w:proofErr w:type="spellEnd"/>
      <w:r w:rsidRPr="009350B9">
        <w:rPr>
          <w:rFonts w:cstheme="minorHAnsi"/>
        </w:rPr>
        <w:t xml:space="preserve"> for the last 5 years</w:t>
      </w:r>
      <w:r w:rsidR="007929C6">
        <w:rPr>
          <w:rFonts w:cstheme="minorHAnsi"/>
        </w:rPr>
        <w:t>, especially levels of utilisation going back 5 years</w:t>
      </w:r>
      <w:r w:rsidRPr="009350B9">
        <w:rPr>
          <w:rFonts w:cstheme="minorHAnsi"/>
        </w:rPr>
        <w:t xml:space="preserve">. </w:t>
      </w:r>
      <w:r>
        <w:rPr>
          <w:rFonts w:cstheme="minorHAnsi"/>
        </w:rPr>
        <w:t xml:space="preserve">AER staff </w:t>
      </w:r>
      <w:r w:rsidRPr="009350B9">
        <w:rPr>
          <w:rFonts w:cstheme="minorHAnsi"/>
        </w:rPr>
        <w:t>noted some aspects of the augex model rel</w:t>
      </w:r>
      <w:r>
        <w:rPr>
          <w:rFonts w:cstheme="minorHAnsi"/>
        </w:rPr>
        <w:t xml:space="preserve">y </w:t>
      </w:r>
      <w:r w:rsidRPr="009350B9">
        <w:rPr>
          <w:rFonts w:cstheme="minorHAnsi"/>
        </w:rPr>
        <w:t xml:space="preserve">on historical information for its calculations, however </w:t>
      </w:r>
      <w:r>
        <w:rPr>
          <w:rFonts w:cstheme="minorHAnsi"/>
        </w:rPr>
        <w:t xml:space="preserve">this would be </w:t>
      </w:r>
      <w:r w:rsidRPr="009350B9">
        <w:rPr>
          <w:rFonts w:cstheme="minorHAnsi"/>
        </w:rPr>
        <w:t>clarif</w:t>
      </w:r>
      <w:r>
        <w:rPr>
          <w:rFonts w:cstheme="minorHAnsi"/>
        </w:rPr>
        <w:t>ied. United Energy sought clarification on the purpose of the different templates with respect to augex assessment. AER staff noted that templates 4.6 to 4.13 were used to populate the augex model, while 4.1 to 4.5 were for the assessment of asset data.</w:t>
      </w:r>
    </w:p>
    <w:p w:rsidR="00B214FA" w:rsidRPr="009350B9" w:rsidRDefault="00C04EBB" w:rsidP="00B214FA">
      <w:pPr>
        <w:rPr>
          <w:rFonts w:cstheme="minorHAnsi"/>
        </w:rPr>
      </w:pPr>
      <w:r>
        <w:rPr>
          <w:rFonts w:cstheme="minorHAnsi"/>
        </w:rPr>
        <w:t xml:space="preserve">AER staff noted that the purpose of asset data was to develop a </w:t>
      </w:r>
      <w:r w:rsidR="00254263">
        <w:rPr>
          <w:rFonts w:cstheme="minorHAnsi"/>
        </w:rPr>
        <w:t>type</w:t>
      </w:r>
      <w:r>
        <w:rPr>
          <w:rFonts w:cstheme="minorHAnsi"/>
        </w:rPr>
        <w:t xml:space="preserve"> of cost database for benchmarking, and were interested in the appropriateness of the major cost items listed, e.g. poles, towers and cables. </w:t>
      </w:r>
      <w:r w:rsidR="00B214FA" w:rsidRPr="009350B9">
        <w:rPr>
          <w:rFonts w:cstheme="minorHAnsi"/>
        </w:rPr>
        <w:t xml:space="preserve">In responding to a question from CitiPower/Powercor, </w:t>
      </w:r>
      <w:r w:rsidR="0026164B">
        <w:rPr>
          <w:rFonts w:cstheme="minorHAnsi"/>
        </w:rPr>
        <w:t xml:space="preserve">AER staff </w:t>
      </w:r>
      <w:r w:rsidR="00B214FA" w:rsidRPr="009350B9">
        <w:rPr>
          <w:rFonts w:cstheme="minorHAnsi"/>
        </w:rPr>
        <w:t>clarified that information for each project for distribution substations and LV feeders</w:t>
      </w:r>
      <w:r w:rsidR="0026164B">
        <w:rPr>
          <w:rFonts w:cstheme="minorHAnsi"/>
        </w:rPr>
        <w:t xml:space="preserve"> would not be requested</w:t>
      </w:r>
      <w:r w:rsidR="00B214FA" w:rsidRPr="009350B9">
        <w:rPr>
          <w:rFonts w:cstheme="minorHAnsi"/>
        </w:rPr>
        <w:t xml:space="preserve">. For such high volume, low cost projects, DNSPs </w:t>
      </w:r>
      <w:r w:rsidR="0026164B">
        <w:rPr>
          <w:rFonts w:cstheme="minorHAnsi"/>
        </w:rPr>
        <w:t xml:space="preserve">would be required </w:t>
      </w:r>
      <w:r w:rsidR="00B214FA" w:rsidRPr="009350B9">
        <w:rPr>
          <w:rFonts w:cstheme="minorHAnsi"/>
        </w:rPr>
        <w:t xml:space="preserve">to aggregate </w:t>
      </w:r>
      <w:r w:rsidR="0026164B">
        <w:rPr>
          <w:rFonts w:cstheme="minorHAnsi"/>
        </w:rPr>
        <w:t xml:space="preserve">information </w:t>
      </w:r>
      <w:r w:rsidR="00B214FA" w:rsidRPr="009350B9">
        <w:rPr>
          <w:rFonts w:cstheme="minorHAnsi"/>
        </w:rPr>
        <w:t xml:space="preserve">to </w:t>
      </w:r>
      <w:r w:rsidR="0026164B">
        <w:rPr>
          <w:rFonts w:cstheme="minorHAnsi"/>
        </w:rPr>
        <w:t xml:space="preserve">a handful of generic </w:t>
      </w:r>
      <w:r w:rsidR="00B214FA" w:rsidRPr="009350B9">
        <w:rPr>
          <w:rFonts w:cstheme="minorHAnsi"/>
        </w:rPr>
        <w:t xml:space="preserve">activities. The indicative templates, for example, require DNSPs to group distribution substation augex into either “New substations” or “Substation upgrade”. </w:t>
      </w:r>
      <w:r w:rsidR="0026164B">
        <w:rPr>
          <w:rFonts w:cstheme="minorHAnsi"/>
        </w:rPr>
        <w:t xml:space="preserve">AER staff noted that they would be open to suggestions of </w:t>
      </w:r>
      <w:r w:rsidR="00B214FA" w:rsidRPr="009350B9">
        <w:rPr>
          <w:rFonts w:cstheme="minorHAnsi"/>
        </w:rPr>
        <w:t>more appropriate subcategories.</w:t>
      </w:r>
      <w:r w:rsidR="001B2B07" w:rsidRPr="001B2B07">
        <w:t xml:space="preserve"> </w:t>
      </w:r>
      <w:r w:rsidR="001B2B07">
        <w:t>NSPs noted that aggregation of projects would not make the task easier if there was still a requirement to provide the data on capacity change (i.e. this would still need to be determined for each project).</w:t>
      </w:r>
    </w:p>
    <w:p w:rsidR="00B214FA" w:rsidRPr="009350B9" w:rsidRDefault="00B214FA" w:rsidP="00B214FA">
      <w:pPr>
        <w:rPr>
          <w:rFonts w:cstheme="minorHAnsi"/>
        </w:rPr>
      </w:pPr>
      <w:r w:rsidRPr="009350B9">
        <w:rPr>
          <w:rFonts w:cstheme="minorHAnsi"/>
        </w:rPr>
        <w:t xml:space="preserve">NSPs </w:t>
      </w:r>
      <w:r w:rsidR="0026164B">
        <w:rPr>
          <w:rFonts w:cstheme="minorHAnsi"/>
        </w:rPr>
        <w:t xml:space="preserve">were asked </w:t>
      </w:r>
      <w:r w:rsidRPr="009350B9">
        <w:rPr>
          <w:rFonts w:cstheme="minorHAnsi"/>
        </w:rPr>
        <w:t xml:space="preserve">whether they </w:t>
      </w:r>
      <w:r w:rsidR="0026164B">
        <w:rPr>
          <w:rFonts w:cstheme="minorHAnsi"/>
        </w:rPr>
        <w:t xml:space="preserve">could </w:t>
      </w:r>
      <w:r w:rsidRPr="009350B9">
        <w:rPr>
          <w:rFonts w:cstheme="minorHAnsi"/>
        </w:rPr>
        <w:t xml:space="preserve">provide augex data at this level of disaggregation. CitiPower/Powercor stated they forecast augex projects disaggregated into labour, materials and contracts </w:t>
      </w:r>
      <w:r w:rsidR="001B2B07">
        <w:rPr>
          <w:rFonts w:cstheme="minorHAnsi"/>
        </w:rPr>
        <w:t xml:space="preserve">consistent with </w:t>
      </w:r>
      <w:r w:rsidRPr="009350B9">
        <w:rPr>
          <w:rFonts w:cstheme="minorHAnsi"/>
        </w:rPr>
        <w:t xml:space="preserve">distribution </w:t>
      </w:r>
      <w:r w:rsidR="001B2B07">
        <w:rPr>
          <w:rFonts w:cstheme="minorHAnsi"/>
        </w:rPr>
        <w:t xml:space="preserve">price </w:t>
      </w:r>
      <w:r w:rsidRPr="009350B9">
        <w:rPr>
          <w:rFonts w:cstheme="minorHAnsi"/>
        </w:rPr>
        <w:t>determination purposes</w:t>
      </w:r>
      <w:r w:rsidR="001B2B07">
        <w:rPr>
          <w:rFonts w:cstheme="minorHAnsi"/>
        </w:rPr>
        <w:t>, and for standard business processes</w:t>
      </w:r>
      <w:r w:rsidRPr="009350B9">
        <w:rPr>
          <w:rFonts w:cstheme="minorHAnsi"/>
        </w:rPr>
        <w:t xml:space="preserve">. Hence this is the disaggregation at which they </w:t>
      </w:r>
      <w:r w:rsidR="001B2B07">
        <w:rPr>
          <w:rFonts w:cstheme="minorHAnsi"/>
        </w:rPr>
        <w:t xml:space="preserve">can report </w:t>
      </w:r>
      <w:r w:rsidRPr="009350B9">
        <w:rPr>
          <w:rFonts w:cstheme="minorHAnsi"/>
        </w:rPr>
        <w:t>such information.</w:t>
      </w:r>
      <w:r w:rsidR="00C04EBB">
        <w:rPr>
          <w:rFonts w:cstheme="minorHAnsi"/>
        </w:rPr>
        <w:t xml:space="preserve"> </w:t>
      </w:r>
    </w:p>
    <w:p w:rsidR="00B214FA" w:rsidRDefault="0026164B" w:rsidP="00B214FA">
      <w:pPr>
        <w:rPr>
          <w:rFonts w:cstheme="minorHAnsi"/>
        </w:rPr>
      </w:pPr>
      <w:r>
        <w:rPr>
          <w:rFonts w:cstheme="minorHAnsi"/>
        </w:rPr>
        <w:t xml:space="preserve">AER staff </w:t>
      </w:r>
      <w:r w:rsidR="00B214FA" w:rsidRPr="009350B9">
        <w:rPr>
          <w:rFonts w:cstheme="minorHAnsi"/>
        </w:rPr>
        <w:t xml:space="preserve">stated </w:t>
      </w:r>
      <w:r>
        <w:rPr>
          <w:rFonts w:cstheme="minorHAnsi"/>
        </w:rPr>
        <w:t xml:space="preserve">their </w:t>
      </w:r>
      <w:r w:rsidR="00B214FA" w:rsidRPr="009350B9">
        <w:rPr>
          <w:rFonts w:cstheme="minorHAnsi"/>
        </w:rPr>
        <w:t xml:space="preserve">understanding that augmentation of lines (at the transmission and </w:t>
      </w:r>
      <w:proofErr w:type="spellStart"/>
      <w:r w:rsidR="00B214FA" w:rsidRPr="009350B9">
        <w:rPr>
          <w:rFonts w:cstheme="minorHAnsi"/>
        </w:rPr>
        <w:t>subtransmission</w:t>
      </w:r>
      <w:proofErr w:type="spellEnd"/>
      <w:r w:rsidR="00B214FA" w:rsidRPr="009350B9">
        <w:rPr>
          <w:rFonts w:cstheme="minorHAnsi"/>
        </w:rPr>
        <w:t xml:space="preserve"> levels) and substations (at the transmission, </w:t>
      </w:r>
      <w:proofErr w:type="spellStart"/>
      <w:r w:rsidR="00B214FA" w:rsidRPr="009350B9">
        <w:rPr>
          <w:rFonts w:cstheme="minorHAnsi"/>
        </w:rPr>
        <w:t>subtransmission</w:t>
      </w:r>
      <w:proofErr w:type="spellEnd"/>
      <w:r w:rsidR="00B214FA" w:rsidRPr="009350B9">
        <w:rPr>
          <w:rFonts w:cstheme="minorHAnsi"/>
        </w:rPr>
        <w:t xml:space="preserve"> and zone substation levels) are often significant </w:t>
      </w:r>
      <w:r>
        <w:rPr>
          <w:rFonts w:cstheme="minorHAnsi"/>
        </w:rPr>
        <w:t xml:space="preserve">projects with material </w:t>
      </w:r>
      <w:r w:rsidR="00B214FA" w:rsidRPr="009350B9">
        <w:rPr>
          <w:rFonts w:cstheme="minorHAnsi"/>
        </w:rPr>
        <w:t xml:space="preserve">costs. NSPs </w:t>
      </w:r>
      <w:r>
        <w:rPr>
          <w:rFonts w:cstheme="minorHAnsi"/>
        </w:rPr>
        <w:t xml:space="preserve">should therefore </w:t>
      </w:r>
      <w:r w:rsidR="00B214FA" w:rsidRPr="009350B9">
        <w:rPr>
          <w:rFonts w:cstheme="minorHAnsi"/>
        </w:rPr>
        <w:t xml:space="preserve">be able to disaggregate such costs beyond labour, materials and contracts. For example, NSPs would disaggregate such costs when they are budgeting for such projects, or deriving their augex forecasts for regulatory determinations. SP AusNet stated </w:t>
      </w:r>
      <w:r>
        <w:rPr>
          <w:rFonts w:cstheme="minorHAnsi"/>
        </w:rPr>
        <w:t xml:space="preserve">that </w:t>
      </w:r>
      <w:proofErr w:type="spellStart"/>
      <w:r w:rsidR="00B214FA" w:rsidRPr="009350B9">
        <w:rPr>
          <w:rFonts w:cstheme="minorHAnsi"/>
        </w:rPr>
        <w:t>backcasting</w:t>
      </w:r>
      <w:proofErr w:type="spellEnd"/>
      <w:r w:rsidR="00B214FA" w:rsidRPr="009350B9">
        <w:rPr>
          <w:rFonts w:cstheme="minorHAnsi"/>
        </w:rPr>
        <w:t xml:space="preserve"> such data </w:t>
      </w:r>
      <w:r w:rsidR="001B2B07">
        <w:rPr>
          <w:rFonts w:cstheme="minorHAnsi"/>
        </w:rPr>
        <w:t xml:space="preserve">would be very resource intensive and </w:t>
      </w:r>
      <w:r w:rsidR="00B214FA" w:rsidRPr="009350B9">
        <w:rPr>
          <w:rFonts w:cstheme="minorHAnsi"/>
        </w:rPr>
        <w:t xml:space="preserve">will require looking at </w:t>
      </w:r>
      <w:r w:rsidR="001B2B07">
        <w:rPr>
          <w:rFonts w:cstheme="minorHAnsi"/>
        </w:rPr>
        <w:t xml:space="preserve">business cases </w:t>
      </w:r>
      <w:r w:rsidR="00B214FA" w:rsidRPr="009350B9">
        <w:rPr>
          <w:rFonts w:cstheme="minorHAnsi"/>
        </w:rPr>
        <w:t>for projects</w:t>
      </w:r>
      <w:r w:rsidR="001B2B07">
        <w:rPr>
          <w:rFonts w:cstheme="minorHAnsi"/>
        </w:rPr>
        <w:t xml:space="preserve"> as a guide to allocation of actuals, as actuals are not captured at this level of disaggregation </w:t>
      </w:r>
      <w:r w:rsidR="00B214FA" w:rsidRPr="009350B9">
        <w:rPr>
          <w:rFonts w:cstheme="minorHAnsi"/>
        </w:rPr>
        <w:t>. CitiPower/Powercor noted it</w:t>
      </w:r>
      <w:r w:rsidR="001B2B07">
        <w:rPr>
          <w:rFonts w:cstheme="minorHAnsi"/>
        </w:rPr>
        <w:t>s standard business reporting does not provide</w:t>
      </w:r>
      <w:r w:rsidR="00B214FA" w:rsidRPr="009350B9">
        <w:rPr>
          <w:rFonts w:cstheme="minorHAnsi"/>
        </w:rPr>
        <w:t xml:space="preserve"> a breakdown of project costs to the level specified in the indicative templates. </w:t>
      </w:r>
      <w:r w:rsidR="00C04EBB">
        <w:rPr>
          <w:rFonts w:cstheme="minorHAnsi"/>
        </w:rPr>
        <w:t xml:space="preserve">It stated that some cost breakdowns would be available for big projects. </w:t>
      </w:r>
      <w:r w:rsidR="00B214FA" w:rsidRPr="009350B9">
        <w:rPr>
          <w:rFonts w:cstheme="minorHAnsi"/>
        </w:rPr>
        <w:t xml:space="preserve">It was agreed that the NSPs </w:t>
      </w:r>
      <w:r>
        <w:rPr>
          <w:rFonts w:cstheme="minorHAnsi"/>
        </w:rPr>
        <w:t xml:space="preserve">would </w:t>
      </w:r>
      <w:r w:rsidR="00B214FA" w:rsidRPr="009350B9">
        <w:rPr>
          <w:rFonts w:cstheme="minorHAnsi"/>
        </w:rPr>
        <w:t xml:space="preserve">provide </w:t>
      </w:r>
      <w:r>
        <w:rPr>
          <w:rFonts w:cstheme="minorHAnsi"/>
        </w:rPr>
        <w:t xml:space="preserve">specific </w:t>
      </w:r>
      <w:r w:rsidR="00B214FA" w:rsidRPr="009350B9">
        <w:rPr>
          <w:rFonts w:cstheme="minorHAnsi"/>
        </w:rPr>
        <w:t xml:space="preserve">feedback on how they can </w:t>
      </w:r>
      <w:r w:rsidR="00C04EBB">
        <w:rPr>
          <w:rFonts w:cstheme="minorHAnsi"/>
        </w:rPr>
        <w:t xml:space="preserve">and do </w:t>
      </w:r>
      <w:r w:rsidR="00B214FA" w:rsidRPr="009350B9">
        <w:rPr>
          <w:rFonts w:cstheme="minorHAnsi"/>
        </w:rPr>
        <w:t>break down augex project costs.</w:t>
      </w:r>
    </w:p>
    <w:p w:rsidR="00DD3082" w:rsidRPr="00464FDE" w:rsidRDefault="00C04EBB" w:rsidP="00464FDE">
      <w:pPr>
        <w:rPr>
          <w:rFonts w:cstheme="minorHAnsi"/>
        </w:rPr>
      </w:pPr>
      <w:r>
        <w:rPr>
          <w:rFonts w:cstheme="minorHAnsi"/>
        </w:rPr>
        <w:t xml:space="preserve">United Energy asked about the materiality threshold applying to the breakdown of individual projects versus reporting of average/ aggregated projects at lower levels in the templates. AER </w:t>
      </w:r>
      <w:proofErr w:type="gramStart"/>
      <w:r>
        <w:rPr>
          <w:rFonts w:cstheme="minorHAnsi"/>
        </w:rPr>
        <w:t>staff were</w:t>
      </w:r>
      <w:proofErr w:type="gramEnd"/>
      <w:r>
        <w:rPr>
          <w:rFonts w:cstheme="minorHAnsi"/>
        </w:rPr>
        <w:t xml:space="preserve"> open to suggestions</w:t>
      </w:r>
      <w:r w:rsidR="003C26C6">
        <w:rPr>
          <w:rFonts w:cstheme="minorHAnsi"/>
        </w:rPr>
        <w:t xml:space="preserve"> on defining a threshold</w:t>
      </w:r>
      <w:r>
        <w:rPr>
          <w:rFonts w:cstheme="minorHAnsi"/>
        </w:rPr>
        <w:t xml:space="preserve">, noting that the templates asked for individual project information at </w:t>
      </w:r>
      <w:r w:rsidR="0090315E">
        <w:rPr>
          <w:rFonts w:cstheme="minorHAnsi"/>
        </w:rPr>
        <w:t xml:space="preserve">the level of </w:t>
      </w:r>
      <w:r>
        <w:rPr>
          <w:rFonts w:cstheme="minorHAnsi"/>
        </w:rPr>
        <w:t>zone substation</w:t>
      </w:r>
      <w:r w:rsidR="0090315E">
        <w:rPr>
          <w:rFonts w:cstheme="minorHAnsi"/>
        </w:rPr>
        <w:t>s</w:t>
      </w:r>
      <w:r>
        <w:rPr>
          <w:rFonts w:cstheme="minorHAnsi"/>
        </w:rPr>
        <w:t xml:space="preserve"> and above, which they considered to be material.</w:t>
      </w:r>
    </w:p>
    <w:p w:rsidR="00DD3082" w:rsidRPr="00DD3082" w:rsidRDefault="00DD308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Connections and customer driven works</w:t>
      </w:r>
    </w:p>
    <w:p w:rsidR="00B214FA" w:rsidRPr="0090315E" w:rsidRDefault="00B214FA" w:rsidP="0090315E">
      <w:pPr>
        <w:pStyle w:val="Heading3"/>
        <w:rPr>
          <w:rFonts w:ascii="Gautami" w:eastAsia="Calibri" w:hAnsi="Gautami" w:cs="Times New Roman"/>
          <w:sz w:val="20"/>
        </w:rPr>
      </w:pPr>
      <w:r w:rsidRPr="0090315E">
        <w:rPr>
          <w:rFonts w:ascii="Gautami" w:eastAsia="Calibri" w:hAnsi="Gautami" w:cs="Times New Roman"/>
          <w:sz w:val="20"/>
        </w:rPr>
        <w:t>Connections – Distribution</w:t>
      </w:r>
    </w:p>
    <w:p w:rsidR="0090315E" w:rsidRDefault="00B214FA" w:rsidP="00B214FA">
      <w:pPr>
        <w:rPr>
          <w:lang w:val="en-US"/>
        </w:rPr>
      </w:pPr>
      <w:r>
        <w:t>AER staff outlined the definition of simple connections as a single span of wire connecting the customer’s premises to an existing portion of the network</w:t>
      </w:r>
      <w:r w:rsidR="0090315E">
        <w:t xml:space="preserve">. These projects were </w:t>
      </w:r>
      <w:r>
        <w:t xml:space="preserve">expected to represent the majority of connection works performed by DNSPs over a regulatory period. AER staff expected that this connection activity was similar across DNSPs and </w:t>
      </w:r>
      <w:r w:rsidR="0090315E">
        <w:t xml:space="preserve">was amenable to </w:t>
      </w:r>
      <w:r>
        <w:t>benchmark</w:t>
      </w:r>
      <w:r w:rsidR="0090315E">
        <w:t>ing</w:t>
      </w:r>
      <w:r>
        <w:t>. Additionally, AER staff explained that complex connections would be any connection that is not simple, for instance a connection involving the installation of a transformer or any augmentation of the upstream distribution network.</w:t>
      </w:r>
      <w:r w:rsidRPr="00B214FA">
        <w:rPr>
          <w:lang w:val="en-US"/>
        </w:rPr>
        <w:t xml:space="preserve"> </w:t>
      </w:r>
      <w:r w:rsidR="00E13318">
        <w:rPr>
          <w:lang w:val="en-US"/>
        </w:rPr>
        <w:t>CitiPower/Powercor</w:t>
      </w:r>
      <w:r w:rsidRPr="00B214FA">
        <w:rPr>
          <w:lang w:val="en-US"/>
        </w:rPr>
        <w:t xml:space="preserve"> indicated that they </w:t>
      </w:r>
      <w:r w:rsidR="0090315E">
        <w:rPr>
          <w:lang w:val="en-US"/>
        </w:rPr>
        <w:t xml:space="preserve">currently </w:t>
      </w:r>
      <w:r w:rsidRPr="00B214FA">
        <w:rPr>
          <w:lang w:val="en-US"/>
        </w:rPr>
        <w:t xml:space="preserve">reported </w:t>
      </w:r>
      <w:r w:rsidR="0090315E">
        <w:rPr>
          <w:lang w:val="en-US"/>
        </w:rPr>
        <w:t xml:space="preserve">between two and six </w:t>
      </w:r>
      <w:r w:rsidRPr="00B214FA">
        <w:rPr>
          <w:lang w:val="en-US"/>
        </w:rPr>
        <w:t xml:space="preserve">connection activities </w:t>
      </w:r>
      <w:r w:rsidR="0090315E">
        <w:rPr>
          <w:lang w:val="en-US"/>
        </w:rPr>
        <w:t xml:space="preserve">that </w:t>
      </w:r>
      <w:r w:rsidRPr="00B214FA">
        <w:rPr>
          <w:lang w:val="en-US"/>
        </w:rPr>
        <w:t>could be mapped to the simple category</w:t>
      </w:r>
      <w:r w:rsidR="0090315E">
        <w:rPr>
          <w:lang w:val="en-US"/>
        </w:rPr>
        <w:t xml:space="preserve"> without much difficulty</w:t>
      </w:r>
      <w:r w:rsidRPr="00B214FA">
        <w:rPr>
          <w:lang w:val="en-US"/>
        </w:rPr>
        <w:t xml:space="preserve">. </w:t>
      </w:r>
      <w:r w:rsidR="0090315E">
        <w:rPr>
          <w:lang w:val="en-US"/>
        </w:rPr>
        <w:t>However, t</w:t>
      </w:r>
      <w:r w:rsidRPr="00B214FA">
        <w:rPr>
          <w:lang w:val="en-US"/>
        </w:rPr>
        <w:t>hey stressed that the AER would need to clearly understand each DNSP</w:t>
      </w:r>
      <w:r w:rsidR="0090315E">
        <w:rPr>
          <w:lang w:val="en-US"/>
        </w:rPr>
        <w:t>’</w:t>
      </w:r>
      <w:r w:rsidRPr="00B214FA">
        <w:rPr>
          <w:lang w:val="en-US"/>
        </w:rPr>
        <w:t xml:space="preserve">s definition of the connection activities which were being </w:t>
      </w:r>
      <w:r w:rsidR="0090315E">
        <w:rPr>
          <w:lang w:val="en-US"/>
        </w:rPr>
        <w:t>mapped</w:t>
      </w:r>
      <w:r w:rsidRPr="00B214FA">
        <w:rPr>
          <w:lang w:val="en-US"/>
        </w:rPr>
        <w:t xml:space="preserve">. </w:t>
      </w:r>
    </w:p>
    <w:p w:rsidR="00B214FA" w:rsidRPr="00B214FA" w:rsidRDefault="00B214FA" w:rsidP="00B214FA">
      <w:pPr>
        <w:rPr>
          <w:lang w:val="en-US"/>
        </w:rPr>
      </w:pPr>
      <w:r w:rsidRPr="00B214FA">
        <w:rPr>
          <w:lang w:val="en-US"/>
        </w:rPr>
        <w:t xml:space="preserve">SP AusNet </w:t>
      </w:r>
      <w:r w:rsidR="0058736F">
        <w:rPr>
          <w:lang w:val="en-US"/>
        </w:rPr>
        <w:t xml:space="preserve">indicated </w:t>
      </w:r>
      <w:proofErr w:type="gramStart"/>
      <w:r w:rsidR="0058736F">
        <w:rPr>
          <w:lang w:val="en-US"/>
        </w:rPr>
        <w:t>distribution connections was</w:t>
      </w:r>
      <w:proofErr w:type="gramEnd"/>
      <w:r w:rsidR="0058736F">
        <w:rPr>
          <w:lang w:val="en-US"/>
        </w:rPr>
        <w:t xml:space="preserve"> an area where it had very limited data on unit costs. </w:t>
      </w:r>
      <w:r w:rsidR="00E13318">
        <w:rPr>
          <w:lang w:val="en-US"/>
        </w:rPr>
        <w:t>CitiPower/Powercor</w:t>
      </w:r>
      <w:r w:rsidRPr="00B214FA">
        <w:rPr>
          <w:lang w:val="en-US"/>
        </w:rPr>
        <w:t xml:space="preserve"> indicated that they would be able to report simple and complex connections by the material, </w:t>
      </w:r>
      <w:proofErr w:type="spellStart"/>
      <w:r w:rsidRPr="00B214FA">
        <w:rPr>
          <w:lang w:val="en-US"/>
        </w:rPr>
        <w:t>labour</w:t>
      </w:r>
      <w:proofErr w:type="spellEnd"/>
      <w:r w:rsidRPr="00B214FA">
        <w:rPr>
          <w:lang w:val="en-US"/>
        </w:rPr>
        <w:t xml:space="preserve"> and contract categories, as per the </w:t>
      </w:r>
      <w:r w:rsidR="0090315E">
        <w:rPr>
          <w:lang w:val="en-US"/>
        </w:rPr>
        <w:t xml:space="preserve">indicative </w:t>
      </w:r>
      <w:r w:rsidRPr="00B214FA">
        <w:rPr>
          <w:lang w:val="en-US"/>
        </w:rPr>
        <w:t xml:space="preserve">template. </w:t>
      </w:r>
    </w:p>
    <w:p w:rsidR="00B214FA" w:rsidRPr="00B214FA" w:rsidRDefault="0090315E" w:rsidP="00B214FA">
      <w:pPr>
        <w:rPr>
          <w:lang w:val="en-US"/>
        </w:rPr>
      </w:pPr>
      <w:r>
        <w:rPr>
          <w:lang w:val="en-US"/>
        </w:rPr>
        <w:t xml:space="preserve">The </w:t>
      </w:r>
      <w:r w:rsidR="00B214FA" w:rsidRPr="00B214FA">
        <w:rPr>
          <w:lang w:val="en-US"/>
        </w:rPr>
        <w:t xml:space="preserve">NSPs sought further clarification of whether simple and complex connection classifications were intended to include both standard and alternative control activities. </w:t>
      </w:r>
      <w:r>
        <w:rPr>
          <w:lang w:val="en-US"/>
        </w:rPr>
        <w:t xml:space="preserve">This would need to be clarified in further discussion between NSP </w:t>
      </w:r>
      <w:r w:rsidR="00B214FA" w:rsidRPr="00B214FA">
        <w:rPr>
          <w:lang w:val="en-US"/>
        </w:rPr>
        <w:t>technical staff and AER staff.</w:t>
      </w:r>
    </w:p>
    <w:p w:rsidR="00B214FA" w:rsidRPr="00B214FA" w:rsidRDefault="00E13318" w:rsidP="00B214FA">
      <w:pPr>
        <w:rPr>
          <w:lang w:val="en-US"/>
        </w:rPr>
      </w:pPr>
      <w:r>
        <w:rPr>
          <w:lang w:val="en-US"/>
        </w:rPr>
        <w:t>CitiPower/Powercor</w:t>
      </w:r>
      <w:r w:rsidR="00B214FA" w:rsidRPr="00B214FA">
        <w:rPr>
          <w:lang w:val="en-US"/>
        </w:rPr>
        <w:t xml:space="preserve"> and United Energy indicated that they would not be able to report forecast connections data by location, given the uncertainty about where connections would take place on the network. </w:t>
      </w:r>
      <w:r>
        <w:rPr>
          <w:lang w:val="en-US"/>
        </w:rPr>
        <w:t>CitiPower/Powercor</w:t>
      </w:r>
      <w:r w:rsidR="0090315E">
        <w:rPr>
          <w:lang w:val="en-US"/>
        </w:rPr>
        <w:t xml:space="preserve"> </w:t>
      </w:r>
      <w:r w:rsidR="00B214FA" w:rsidRPr="00B214FA">
        <w:rPr>
          <w:lang w:val="en-US"/>
        </w:rPr>
        <w:t xml:space="preserve">indicated that historical data reported by location </w:t>
      </w:r>
      <w:r w:rsidR="00A231B3">
        <w:rPr>
          <w:lang w:val="en-US"/>
        </w:rPr>
        <w:t xml:space="preserve">would be possible to obtain in terms of </w:t>
      </w:r>
      <w:r w:rsidR="00B214FA" w:rsidRPr="00B214FA">
        <w:rPr>
          <w:lang w:val="en-US"/>
        </w:rPr>
        <w:t>number</w:t>
      </w:r>
      <w:r w:rsidR="00A231B3">
        <w:rPr>
          <w:lang w:val="en-US"/>
        </w:rPr>
        <w:t>s</w:t>
      </w:r>
      <w:r w:rsidR="00B214FA" w:rsidRPr="00B214FA">
        <w:rPr>
          <w:lang w:val="en-US"/>
        </w:rPr>
        <w:t xml:space="preserve"> of connections </w:t>
      </w:r>
      <w:r w:rsidR="00A231B3">
        <w:rPr>
          <w:lang w:val="en-US"/>
        </w:rPr>
        <w:t xml:space="preserve">done </w:t>
      </w:r>
      <w:r w:rsidR="00B214FA" w:rsidRPr="00B214FA">
        <w:rPr>
          <w:lang w:val="en-US"/>
        </w:rPr>
        <w:t xml:space="preserve">by depot. United Energy indicated that historical connection works of the last two years were able to be reported by </w:t>
      </w:r>
      <w:r w:rsidR="000D1505">
        <w:rPr>
          <w:lang w:val="en-US"/>
        </w:rPr>
        <w:t xml:space="preserve">service </w:t>
      </w:r>
      <w:r w:rsidR="00B214FA" w:rsidRPr="00B214FA">
        <w:rPr>
          <w:lang w:val="en-US"/>
        </w:rPr>
        <w:t>region. AER staff stressed that location information would help to understand the locational factors (i</w:t>
      </w:r>
      <w:r w:rsidR="00A231B3">
        <w:rPr>
          <w:lang w:val="en-US"/>
        </w:rPr>
        <w:t>.</w:t>
      </w:r>
      <w:r w:rsidR="00B214FA" w:rsidRPr="00B214FA">
        <w:rPr>
          <w:lang w:val="en-US"/>
        </w:rPr>
        <w:t xml:space="preserve">e. </w:t>
      </w:r>
      <w:r w:rsidR="00A231B3">
        <w:rPr>
          <w:lang w:val="en-US"/>
        </w:rPr>
        <w:t>d</w:t>
      </w:r>
      <w:r w:rsidR="00B214FA" w:rsidRPr="00B214FA">
        <w:rPr>
          <w:lang w:val="en-US"/>
        </w:rPr>
        <w:t xml:space="preserve">istance travelled to works, </w:t>
      </w:r>
      <w:r w:rsidR="005B3957">
        <w:rPr>
          <w:lang w:val="en-US"/>
        </w:rPr>
        <w:t>topography, ground surface etc.</w:t>
      </w:r>
      <w:r w:rsidR="00B214FA" w:rsidRPr="00B214FA">
        <w:rPr>
          <w:lang w:val="en-US"/>
        </w:rPr>
        <w:t xml:space="preserve">) which influence the costs of providing connections services. </w:t>
      </w:r>
      <w:r w:rsidR="00A231B3">
        <w:rPr>
          <w:lang w:val="en-US"/>
        </w:rPr>
        <w:t xml:space="preserve">United Energy indicated that the nature of the connections, rather than the location, was a material cost driver. </w:t>
      </w:r>
      <w:r>
        <w:rPr>
          <w:lang w:val="en-US"/>
        </w:rPr>
        <w:t>CitiPower/Powercor</w:t>
      </w:r>
      <w:r w:rsidR="00B214FA" w:rsidRPr="00B214FA">
        <w:rPr>
          <w:lang w:val="en-US"/>
        </w:rPr>
        <w:t xml:space="preserve"> </w:t>
      </w:r>
      <w:r w:rsidR="00A231B3">
        <w:rPr>
          <w:lang w:val="en-US"/>
        </w:rPr>
        <w:t xml:space="preserve">also </w:t>
      </w:r>
      <w:r w:rsidR="00B214FA" w:rsidRPr="00B214FA">
        <w:rPr>
          <w:lang w:val="en-US"/>
        </w:rPr>
        <w:t>indicated that travel time was not necessarily a factor driving cost of a connection given the use of local service agents</w:t>
      </w:r>
      <w:r w:rsidR="001B2B07">
        <w:rPr>
          <w:lang w:val="en-US"/>
        </w:rPr>
        <w:t>, the size and nature of the connection is more a cost driver</w:t>
      </w:r>
      <w:r w:rsidR="00B214FA" w:rsidRPr="00B214FA">
        <w:rPr>
          <w:lang w:val="en-US"/>
        </w:rPr>
        <w:t xml:space="preserve">. </w:t>
      </w:r>
      <w:r w:rsidR="00A231B3">
        <w:rPr>
          <w:lang w:val="en-US"/>
        </w:rPr>
        <w:t xml:space="preserve">It was suggested that location may not be identified as a cost driver for United Energy (given its mostly urban service area) or even within </w:t>
      </w:r>
      <w:proofErr w:type="spellStart"/>
      <w:r w:rsidR="00A231B3">
        <w:rPr>
          <w:lang w:val="en-US"/>
        </w:rPr>
        <w:t>Powercor’s</w:t>
      </w:r>
      <w:proofErr w:type="spellEnd"/>
      <w:r w:rsidR="00A231B3">
        <w:rPr>
          <w:lang w:val="en-US"/>
        </w:rPr>
        <w:t xml:space="preserve"> network on </w:t>
      </w:r>
      <w:proofErr w:type="gramStart"/>
      <w:r w:rsidR="00A231B3">
        <w:rPr>
          <w:lang w:val="en-US"/>
        </w:rPr>
        <w:t>average,</w:t>
      </w:r>
      <w:proofErr w:type="gramEnd"/>
      <w:r w:rsidR="00A231B3">
        <w:rPr>
          <w:lang w:val="en-US"/>
        </w:rPr>
        <w:t xml:space="preserve"> however this was likely to be a critical factor in future benchmarking studies. This would be the subject of further bilateral discussions between the </w:t>
      </w:r>
      <w:r w:rsidR="00B214FA" w:rsidRPr="00B214FA">
        <w:rPr>
          <w:lang w:val="en-US"/>
        </w:rPr>
        <w:t>NSPs’ technical staff and AER staff.</w:t>
      </w:r>
    </w:p>
    <w:p w:rsidR="00B214FA" w:rsidRPr="0090315E" w:rsidRDefault="00B214FA" w:rsidP="0090315E">
      <w:pPr>
        <w:pStyle w:val="Heading3"/>
        <w:rPr>
          <w:rFonts w:ascii="Gautami" w:eastAsia="Calibri" w:hAnsi="Gautami" w:cs="Times New Roman"/>
          <w:sz w:val="20"/>
        </w:rPr>
      </w:pPr>
      <w:r w:rsidRPr="0090315E">
        <w:rPr>
          <w:rFonts w:ascii="Gautami" w:eastAsia="Calibri" w:hAnsi="Gautami" w:cs="Times New Roman"/>
          <w:sz w:val="20"/>
        </w:rPr>
        <w:t>Connections – Transmission</w:t>
      </w:r>
    </w:p>
    <w:p w:rsidR="00B214FA" w:rsidRPr="00B214FA" w:rsidRDefault="00B214FA" w:rsidP="00B214FA">
      <w:pPr>
        <w:rPr>
          <w:lang w:val="en-US"/>
        </w:rPr>
      </w:pPr>
      <w:r w:rsidRPr="00B214FA">
        <w:rPr>
          <w:lang w:val="en-US"/>
        </w:rPr>
        <w:t xml:space="preserve">SP AusNet asked for clarification of which services the AER’s templates were </w:t>
      </w:r>
      <w:r w:rsidR="00A231B3">
        <w:rPr>
          <w:lang w:val="en-US"/>
        </w:rPr>
        <w:t xml:space="preserve">intending to </w:t>
      </w:r>
      <w:r w:rsidRPr="00B214FA">
        <w:rPr>
          <w:lang w:val="en-US"/>
        </w:rPr>
        <w:t>captur</w:t>
      </w:r>
      <w:r w:rsidR="00A231B3">
        <w:rPr>
          <w:lang w:val="en-US"/>
        </w:rPr>
        <w:t>e</w:t>
      </w:r>
      <w:r w:rsidRPr="00B214FA">
        <w:rPr>
          <w:lang w:val="en-US"/>
        </w:rPr>
        <w:t xml:space="preserve">. AER staff stated that it was only attempting to capture expenditure related to prescribed activities. AER staff </w:t>
      </w:r>
      <w:r w:rsidR="00A231B3">
        <w:rPr>
          <w:lang w:val="en-US"/>
        </w:rPr>
        <w:t xml:space="preserve">noted that </w:t>
      </w:r>
      <w:r w:rsidRPr="00B214FA">
        <w:rPr>
          <w:lang w:val="en-US"/>
        </w:rPr>
        <w:t xml:space="preserve">in previous workshops other TNSPs had indicated the majority of future connection projects would be connections to the distribution network. SP AusNet noted that each transmission network faced different circumstances, and accordingly, had a different program of connection works. SP AusNet </w:t>
      </w:r>
      <w:r w:rsidR="0058736F">
        <w:rPr>
          <w:lang w:val="en-US"/>
        </w:rPr>
        <w:t>suggested it would be appropriate to discuss Transmission issues, including issues relating to the unique Victorian transmission arrangements on a bilateral basis, rather than at a meeting focused on distribution issues.</w:t>
      </w:r>
    </w:p>
    <w:p w:rsidR="00B214FA" w:rsidRPr="0090315E" w:rsidRDefault="00B214FA" w:rsidP="0090315E">
      <w:pPr>
        <w:pStyle w:val="Heading3"/>
        <w:rPr>
          <w:rFonts w:ascii="Gautami" w:eastAsia="Calibri" w:hAnsi="Gautami" w:cs="Times New Roman"/>
          <w:sz w:val="20"/>
        </w:rPr>
      </w:pPr>
      <w:r w:rsidRPr="0090315E">
        <w:rPr>
          <w:rFonts w:ascii="Gautami" w:eastAsia="Calibri" w:hAnsi="Gautami" w:cs="Times New Roman"/>
          <w:sz w:val="20"/>
        </w:rPr>
        <w:t>Metering – Distribution</w:t>
      </w:r>
    </w:p>
    <w:p w:rsidR="00B214FA" w:rsidRPr="00B214FA" w:rsidRDefault="00B214FA" w:rsidP="00B214FA">
      <w:pPr>
        <w:rPr>
          <w:lang w:val="en-US"/>
        </w:rPr>
      </w:pPr>
      <w:r w:rsidRPr="00B214FA">
        <w:rPr>
          <w:lang w:val="en-US"/>
        </w:rPr>
        <w:t xml:space="preserve">All NSPs indicated that expenditure related to metering activities </w:t>
      </w:r>
      <w:r w:rsidR="00CF77F7" w:rsidRPr="00B214FA">
        <w:rPr>
          <w:lang w:val="en-US"/>
        </w:rPr>
        <w:t>was</w:t>
      </w:r>
      <w:r w:rsidRPr="00B214FA">
        <w:rPr>
          <w:lang w:val="en-US"/>
        </w:rPr>
        <w:t xml:space="preserve"> not split into material, </w:t>
      </w:r>
      <w:proofErr w:type="spellStart"/>
      <w:r w:rsidRPr="00B214FA">
        <w:rPr>
          <w:lang w:val="en-US"/>
        </w:rPr>
        <w:t>labour</w:t>
      </w:r>
      <w:proofErr w:type="spellEnd"/>
      <w:r w:rsidRPr="00B214FA">
        <w:rPr>
          <w:lang w:val="en-US"/>
        </w:rPr>
        <w:t xml:space="preserve"> and contract categories. Many metering activities were contracted out to third parties and contracts provided little disaggregation. </w:t>
      </w:r>
      <w:r w:rsidR="00A231B3">
        <w:rPr>
          <w:lang w:val="en-US"/>
        </w:rPr>
        <w:t xml:space="preserve">SP AusNet noted it captured cost information against meter replacement and new connection activities. NSPs and AER staff undertook to discuss this further, including </w:t>
      </w:r>
      <w:r w:rsidRPr="00B214FA">
        <w:rPr>
          <w:lang w:val="en-US"/>
        </w:rPr>
        <w:t xml:space="preserve">the extent to which expenditure stated within contracts can be disaggregated. </w:t>
      </w:r>
    </w:p>
    <w:p w:rsidR="0058736F" w:rsidRDefault="00B214FA" w:rsidP="00372D10">
      <w:pPr>
        <w:rPr>
          <w:rFonts w:ascii="Cambria" w:eastAsia="Times New Roman" w:hAnsi="Cambria" w:cs="Times New Roman"/>
          <w:b/>
          <w:bCs/>
          <w:i/>
          <w:iCs/>
          <w:sz w:val="28"/>
          <w:szCs w:val="28"/>
        </w:rPr>
      </w:pPr>
      <w:r w:rsidRPr="00B214FA">
        <w:rPr>
          <w:lang w:val="en-US"/>
        </w:rPr>
        <w:t xml:space="preserve">United Energy sought clarification about the definition of meter model within the AER’s forecast expenditure template. AER staff stated that meter model is defined as meter type under the NER. United Energy also asked which metering activities would be captured within the metering template. AER staff explained that the template intended to capture all metering activities (purchase, installation and ongoing maintenance). </w:t>
      </w:r>
      <w:r w:rsidR="00A07664">
        <w:rPr>
          <w:lang w:val="en-US"/>
        </w:rPr>
        <w:t xml:space="preserve">The </w:t>
      </w:r>
      <w:r w:rsidRPr="00B214FA">
        <w:rPr>
          <w:lang w:val="en-US"/>
        </w:rPr>
        <w:t>NSPs sought clarity about whether the metering expenditure related to standard control o</w:t>
      </w:r>
      <w:r w:rsidR="00372D10">
        <w:rPr>
          <w:lang w:val="en-US"/>
        </w:rPr>
        <w:t>r alternative control services.</w:t>
      </w:r>
      <w:r w:rsidRPr="00B214FA">
        <w:rPr>
          <w:lang w:val="en-US"/>
        </w:rPr>
        <w:t xml:space="preserve"> SP AusNet added that </w:t>
      </w:r>
      <w:r w:rsidR="0058736F">
        <w:rPr>
          <w:lang w:val="en-US"/>
        </w:rPr>
        <w:t xml:space="preserve">testing activity for </w:t>
      </w:r>
      <w:r w:rsidR="000D1505" w:rsidRPr="00B214FA">
        <w:rPr>
          <w:lang w:val="en-US"/>
        </w:rPr>
        <w:t xml:space="preserve">advanced metering infrastructure </w:t>
      </w:r>
      <w:r w:rsidR="000D1505">
        <w:rPr>
          <w:lang w:val="en-US"/>
        </w:rPr>
        <w:t>(</w:t>
      </w:r>
      <w:r w:rsidRPr="00B214FA">
        <w:rPr>
          <w:lang w:val="en-US"/>
        </w:rPr>
        <w:t>AMI</w:t>
      </w:r>
      <w:r w:rsidR="000D1505">
        <w:rPr>
          <w:lang w:val="en-US"/>
        </w:rPr>
        <w:t>)</w:t>
      </w:r>
      <w:r w:rsidRPr="00B214FA">
        <w:rPr>
          <w:lang w:val="en-US"/>
        </w:rPr>
        <w:t xml:space="preserve"> was made on a different basis than older metering infrastructure. </w:t>
      </w:r>
      <w:r w:rsidR="00372D10">
        <w:rPr>
          <w:lang w:val="en-US"/>
        </w:rPr>
        <w:t xml:space="preserve">This would need to be discussed further, in particular how AMI services would be regulated into the future and the AER’s definitions of metering activities. </w:t>
      </w:r>
      <w:r w:rsidR="0058736F">
        <w:rPr>
          <w:lang w:val="en-US"/>
        </w:rPr>
        <w:t>AER staff undertook to reconsider the metering template and how it would be amended to accommodate the Victorian AMI program.</w:t>
      </w:r>
    </w:p>
    <w:p w:rsidR="00DD3082" w:rsidRPr="00DD3082" w:rsidRDefault="00DD308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Non-network expenditure</w:t>
      </w:r>
    </w:p>
    <w:p w:rsidR="00E11159" w:rsidRDefault="00E11159" w:rsidP="00E11159">
      <w:r>
        <w:t xml:space="preserve">AER staff indicated </w:t>
      </w:r>
      <w:r w:rsidR="00372D10">
        <w:t>the template’s reference to “</w:t>
      </w:r>
      <w:r>
        <w:t>recurrent</w:t>
      </w:r>
      <w:r w:rsidR="00372D10">
        <w:t>”</w:t>
      </w:r>
      <w:r>
        <w:t xml:space="preserve"> </w:t>
      </w:r>
      <w:r w:rsidR="00372D10">
        <w:t xml:space="preserve">expenditure </w:t>
      </w:r>
      <w:r>
        <w:t xml:space="preserve">was used in the context of ordinary English usage of the word and meant expenditure that is ongoing in nature. While personal computers have been identified by the AER, </w:t>
      </w:r>
      <w:r w:rsidR="003A0B20">
        <w:t xml:space="preserve">NSPs </w:t>
      </w:r>
      <w:r>
        <w:t>are free to identify other recurrent expenditures and relevant cost drivers. Recur</w:t>
      </w:r>
      <w:r w:rsidR="003A0B20">
        <w:t>rent expenditure may be assessed</w:t>
      </w:r>
      <w:r>
        <w:t xml:space="preserve"> via trend analysis. Material non</w:t>
      </w:r>
      <w:r w:rsidR="003A0B20">
        <w:t>-</w:t>
      </w:r>
      <w:r>
        <w:t>recurrent expenditures would likely be assessed by examining business cases. The intent would be all costs would be examined (opex and capex) give</w:t>
      </w:r>
      <w:r w:rsidR="003A0B20">
        <w:t>n</w:t>
      </w:r>
      <w:r>
        <w:t xml:space="preserve"> the ability to undertake expenditure via either opex or capex in these categories.</w:t>
      </w:r>
    </w:p>
    <w:p w:rsidR="00E11159" w:rsidRDefault="00E11159" w:rsidP="00E11159">
      <w:r>
        <w:t>AER staff indicated the intention was to collect 5 years of historical information from all businesses and forecast information from businesses at their revenue determinations.</w:t>
      </w:r>
    </w:p>
    <w:p w:rsidR="00E11159" w:rsidRDefault="00E11159" w:rsidP="00E11159">
      <w:r>
        <w:t>NSPs sought clarification on the opex versus capex information to be collected and fixed versus variable costs. One NSP indicated opex would be reported in overheads as opposed to non-network expenditure</w:t>
      </w:r>
      <w:r w:rsidR="003A0B20">
        <w:t>.</w:t>
      </w:r>
    </w:p>
    <w:p w:rsidR="00E11159" w:rsidRDefault="00E11159" w:rsidP="00E11159">
      <w:r>
        <w:t xml:space="preserve">AER staff indicated the same information is sought in the non-network sheet regardless of whether it is opex or capex (i.e. leased or purchased). In relation to fixed costs, this would include things like annual depreciation or fixed lease payments. Variable costs would be costs that vary with usage. </w:t>
      </w:r>
    </w:p>
    <w:p w:rsidR="00E11159" w:rsidRDefault="00E11159" w:rsidP="00E11159">
      <w:r>
        <w:t>NSPs asked for clarification on how depreciation in relation to vehicles would be reported</w:t>
      </w:r>
      <w:r w:rsidR="003A0B20">
        <w:t xml:space="preserve">, for example, </w:t>
      </w:r>
      <w:r>
        <w:t>regulato</w:t>
      </w:r>
      <w:r w:rsidR="003A0B20">
        <w:t xml:space="preserve">ry versus actual depreciation. </w:t>
      </w:r>
    </w:p>
    <w:p w:rsidR="00E11159" w:rsidRDefault="00E11159" w:rsidP="00E11159">
      <w:r>
        <w:t>AER staff indicated that for historical information the AER would want actual depreciation/capital costs over the prior five year period taking into account purchase and sale prices of vehicles. Forecasts depreciation will be estimated.</w:t>
      </w:r>
    </w:p>
    <w:p w:rsidR="00E11159" w:rsidRDefault="00E11159" w:rsidP="00E11159">
      <w:r>
        <w:t>AER staff clarified mobile plant costs are to be included in the “other” non-network category and currently no utili</w:t>
      </w:r>
      <w:r w:rsidR="00866033">
        <w:t>sation measures are specified, although suggested time rather than distance travelled may be a more appropriate utilisation measure. It was noted that the templates should make it clear where such expenditure is to be captured.</w:t>
      </w:r>
    </w:p>
    <w:p w:rsidR="00E11159" w:rsidRDefault="00E11159" w:rsidP="00E11159">
      <w:r>
        <w:t xml:space="preserve">AER staff indicated vehicles were to be allocated between network and non-network and if a vehicle is used for both, it is to be allocated to the category in which it is </w:t>
      </w:r>
      <w:r w:rsidR="00CF0965">
        <w:t>primarily used</w:t>
      </w:r>
      <w:r>
        <w:t>.</w:t>
      </w:r>
    </w:p>
    <w:p w:rsidR="00462605" w:rsidRDefault="00E11159" w:rsidP="00E11159">
      <w:r>
        <w:t xml:space="preserve">NSPs indicated historical </w:t>
      </w:r>
      <w:r w:rsidR="003A0B20">
        <w:t xml:space="preserve">expenditure on buildings </w:t>
      </w:r>
      <w:r>
        <w:t>may need to be allocated between categories</w:t>
      </w:r>
      <w:r w:rsidR="003A0B20">
        <w:t>, for example overhead or corporate expenditures, affecting the quality of data</w:t>
      </w:r>
      <w:r>
        <w:t>.</w:t>
      </w:r>
      <w:r w:rsidR="003A0B20">
        <w:t xml:space="preserve"> </w:t>
      </w:r>
      <w:r>
        <w:t xml:space="preserve">AER staff indicated </w:t>
      </w:r>
      <w:r w:rsidR="003A0B20">
        <w:t xml:space="preserve">that </w:t>
      </w:r>
      <w:r>
        <w:t xml:space="preserve">transparency on any allocations </w:t>
      </w:r>
      <w:r w:rsidR="003A0B20">
        <w:t xml:space="preserve">would be </w:t>
      </w:r>
      <w:r>
        <w:t>required.</w:t>
      </w:r>
      <w:r w:rsidR="00A07664">
        <w:t xml:space="preserve"> </w:t>
      </w:r>
      <w:r w:rsidR="00462605">
        <w:t>NSPs undertook to provide more information on how they might capture this information.</w:t>
      </w:r>
    </w:p>
    <w:p w:rsidR="00B214FA" w:rsidRDefault="00E11159" w:rsidP="00721E0C">
      <w:pPr>
        <w:rPr>
          <w:rFonts w:ascii="Cambria" w:eastAsia="Times New Roman" w:hAnsi="Cambria" w:cs="Times New Roman"/>
          <w:b/>
          <w:bCs/>
          <w:i/>
          <w:iCs/>
          <w:sz w:val="28"/>
          <w:szCs w:val="28"/>
        </w:rPr>
      </w:pPr>
      <w:r>
        <w:t>AER staff indicated the current intention is for businesses to report land and building expenditure related to network operations (i.e. lines and substations) under the major network expenditure categories of augex and repex.</w:t>
      </w:r>
      <w:r w:rsidR="00462605">
        <w:t xml:space="preserve"> </w:t>
      </w:r>
    </w:p>
    <w:p w:rsidR="00DD3082" w:rsidRPr="00DD3082" w:rsidRDefault="00DD308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Vegetation  management</w:t>
      </w:r>
    </w:p>
    <w:p w:rsidR="00E11159" w:rsidRPr="007C48FA" w:rsidRDefault="00E11159" w:rsidP="00E11159">
      <w:r w:rsidRPr="007C48FA">
        <w:t xml:space="preserve">AER staff explained that the intention behind the concept of vegetation management </w:t>
      </w:r>
      <w:proofErr w:type="gramStart"/>
      <w:r w:rsidRPr="007C48FA">
        <w:t>zones was</w:t>
      </w:r>
      <w:proofErr w:type="gramEnd"/>
      <w:r w:rsidRPr="007C48FA">
        <w:t xml:space="preserve"> to account for differences in costs caused by regulations and volumes of work performed. Collecting data on tree growth rates has been proposed as </w:t>
      </w:r>
      <w:r w:rsidR="00721E0C">
        <w:t xml:space="preserve">it was raised in previous workshops as a </w:t>
      </w:r>
      <w:r w:rsidRPr="007C48FA">
        <w:t>driver of tree cutting cycles and</w:t>
      </w:r>
      <w:r w:rsidR="00721E0C">
        <w:t>,</w:t>
      </w:r>
      <w:r w:rsidRPr="007C48FA">
        <w:t xml:space="preserve"> by extension</w:t>
      </w:r>
      <w:r w:rsidR="00721E0C">
        <w:t>,</w:t>
      </w:r>
      <w:r w:rsidRPr="007C48FA">
        <w:t xml:space="preserve"> the amount for tree trimming work required to be performed</w:t>
      </w:r>
      <w:r w:rsidR="00721E0C">
        <w:t xml:space="preserve"> by different NSPs.</w:t>
      </w:r>
    </w:p>
    <w:p w:rsidR="005F1A35" w:rsidRDefault="00D17B37" w:rsidP="00917F9B">
      <w:r>
        <w:t>United Energy</w:t>
      </w:r>
      <w:r w:rsidR="00E11159" w:rsidRPr="007C48FA">
        <w:t xml:space="preserve"> commented that they do not collect data on sunshine exposure</w:t>
      </w:r>
      <w:r w:rsidR="000D1505">
        <w:t>, rainfall</w:t>
      </w:r>
      <w:r w:rsidR="00E11159" w:rsidRPr="007C48FA">
        <w:t xml:space="preserve"> and tree growth rates, and they do not consider these as part of their business process. They suggest</w:t>
      </w:r>
      <w:r w:rsidR="00721E0C">
        <w:t>ed</w:t>
      </w:r>
      <w:r w:rsidR="00E11159" w:rsidRPr="007C48FA">
        <w:t xml:space="preserve"> that AER staff reconsider the collection of sunshine data </w:t>
      </w:r>
      <w:r w:rsidR="005F1A35" w:rsidRPr="00917F9B">
        <w:t>from other agencies such as the Bureau of Meteorology as NSPs would not be able to use such information for their own purposes.</w:t>
      </w:r>
    </w:p>
    <w:p w:rsidR="00E11159" w:rsidRPr="007C48FA" w:rsidRDefault="00E11159" w:rsidP="00E11159">
      <w:r w:rsidRPr="007C48FA">
        <w:t xml:space="preserve">AER staff commented that they have obtained relevant climate data, so one arrangement may be for NSPs to nominate weather stations with data collected to the vegetation management zones they proposed. </w:t>
      </w:r>
      <w:r w:rsidR="00E13318">
        <w:t>CitiPower/Powercor</w:t>
      </w:r>
      <w:r w:rsidR="00721E0C">
        <w:t xml:space="preserve"> </w:t>
      </w:r>
      <w:r w:rsidRPr="007C48FA">
        <w:t xml:space="preserve">and </w:t>
      </w:r>
      <w:r w:rsidR="00D17B37">
        <w:t>United Energy</w:t>
      </w:r>
      <w:r w:rsidRPr="007C48FA">
        <w:t xml:space="preserve"> noted that they also do not collect this information and questioned </w:t>
      </w:r>
      <w:r w:rsidR="00721E0C">
        <w:t xml:space="preserve">its </w:t>
      </w:r>
      <w:r w:rsidRPr="007C48FA">
        <w:t>usefulness.</w:t>
      </w:r>
    </w:p>
    <w:p w:rsidR="00E11159" w:rsidRPr="007C48FA" w:rsidRDefault="00E11159" w:rsidP="00E11159">
      <w:r w:rsidRPr="007C48FA">
        <w:t xml:space="preserve">Jemena said they collected some data on tree species, but any data on growth rates would be an estimate. </w:t>
      </w:r>
      <w:r w:rsidR="00721E0C">
        <w:t xml:space="preserve">When asked, </w:t>
      </w:r>
      <w:r w:rsidRPr="007C48FA">
        <w:t xml:space="preserve">Jemena </w:t>
      </w:r>
      <w:r w:rsidR="00721E0C">
        <w:t>responded that they did not collect</w:t>
      </w:r>
      <w:r w:rsidRPr="007C48FA">
        <w:t xml:space="preserve"> tree growth rates at intervals (e.g. low/high). </w:t>
      </w:r>
    </w:p>
    <w:p w:rsidR="00E11159" w:rsidRPr="007C48FA" w:rsidRDefault="00E11159" w:rsidP="00E11159">
      <w:r w:rsidRPr="007C48FA">
        <w:t xml:space="preserve">SP AusNet said their vegetation management works were primarily driven by regulatory obligations. They noted that while they collect a greater amount of the data requested in the </w:t>
      </w:r>
      <w:proofErr w:type="spellStart"/>
      <w:r w:rsidRPr="007C48FA">
        <w:t>spreadsheets</w:t>
      </w:r>
      <w:proofErr w:type="spellEnd"/>
      <w:r w:rsidRPr="007C48FA">
        <w:t xml:space="preserve"> than other</w:t>
      </w:r>
      <w:r w:rsidR="00721E0C">
        <w:t xml:space="preserve"> NSP</w:t>
      </w:r>
      <w:r w:rsidRPr="007C48FA">
        <w:t xml:space="preserve">s, they consider that terrain is a more significant driver of costs. AER staff asked if SP AusNet collected information relating to terrain. SP AusNet took this question on notice. </w:t>
      </w:r>
      <w:r w:rsidR="00D17B37">
        <w:t>United Energy</w:t>
      </w:r>
      <w:r w:rsidRPr="007C48FA">
        <w:t xml:space="preserve"> noted that terrain was a factor as it affected the ability to gain access to some lines.</w:t>
      </w:r>
    </w:p>
    <w:p w:rsidR="00E11159" w:rsidRPr="007C48FA" w:rsidRDefault="00E11159" w:rsidP="00E11159">
      <w:r w:rsidRPr="007C48FA">
        <w:t>Jemena commented that if the AER were to use information on rainfall and sunshine, they would have to take into account that the correlation between these factors and tree growth rates may not be high. The results should not be given much weight. AER staff noted this feedback.</w:t>
      </w:r>
    </w:p>
    <w:p w:rsidR="00E11159" w:rsidRPr="007C48FA" w:rsidRDefault="00E13318" w:rsidP="00E11159">
      <w:r>
        <w:t>CitiPower/Powercor</w:t>
      </w:r>
      <w:r w:rsidR="00721E0C">
        <w:t xml:space="preserve"> </w:t>
      </w:r>
      <w:r w:rsidR="00E11159" w:rsidRPr="007C48FA">
        <w:t>commented that their decisions to cut were not based on forecast growth rates. They have set cutting cycles. AER staff asked if the frequency of inspection and cutting cycles were determined by legislation. SP AusNet replied that this was not necessarily the case</w:t>
      </w:r>
      <w:r w:rsidR="009B69E4">
        <w:t>—</w:t>
      </w:r>
      <w:r w:rsidR="00721E0C">
        <w:t xml:space="preserve"> </w:t>
      </w:r>
      <w:r w:rsidR="00E11159" w:rsidRPr="007C48FA">
        <w:t xml:space="preserve">tree trimming works have to be performed as required to ensure they </w:t>
      </w:r>
      <w:r w:rsidR="0058736F">
        <w:t xml:space="preserve">are compliant </w:t>
      </w:r>
      <w:r w:rsidR="00E11159" w:rsidRPr="007C48FA">
        <w:t xml:space="preserve">with legislation. </w:t>
      </w:r>
    </w:p>
    <w:p w:rsidR="009B69E4" w:rsidRDefault="00E11159" w:rsidP="00E11159">
      <w:r w:rsidRPr="007C48FA">
        <w:t xml:space="preserve">AER staff asked what NSPs include within their contractual arrangements for vegetation management. </w:t>
      </w:r>
      <w:r w:rsidR="00D17B37">
        <w:t>United Energy</w:t>
      </w:r>
      <w:r w:rsidRPr="007C48FA">
        <w:t xml:space="preserve"> said they look for efficient contract prices based on performance and governance of that performance. They collect data on spans cut and inspections, with inspection work based on their audit regime. </w:t>
      </w:r>
      <w:r w:rsidR="009B69E4">
        <w:t>NSPs undertook to consider what information in the indicative templates could be obtained from contractual arrangements.</w:t>
      </w:r>
    </w:p>
    <w:p w:rsidR="00E11159" w:rsidRPr="007C48FA" w:rsidRDefault="00721E0C" w:rsidP="00E11159">
      <w:r>
        <w:t xml:space="preserve">Based on existing contract information, </w:t>
      </w:r>
      <w:r w:rsidR="00D17B37">
        <w:t>United Energy</w:t>
      </w:r>
      <w:r>
        <w:t xml:space="preserve"> </w:t>
      </w:r>
      <w:r w:rsidR="00E11159" w:rsidRPr="007C48FA">
        <w:t>cannot split their data by the proposed activity categories</w:t>
      </w:r>
      <w:r w:rsidR="009B69E4">
        <w:t xml:space="preserve">, and indicated that it may lose some </w:t>
      </w:r>
      <w:proofErr w:type="gramStart"/>
      <w:r w:rsidR="009B69E4">
        <w:t>efficiencies</w:t>
      </w:r>
      <w:proofErr w:type="gramEnd"/>
      <w:r w:rsidR="009B69E4">
        <w:t xml:space="preserve"> from requesting this information</w:t>
      </w:r>
      <w:r w:rsidR="00E11159" w:rsidRPr="007C48FA">
        <w:t xml:space="preserve">. </w:t>
      </w:r>
      <w:r w:rsidRPr="007C48FA">
        <w:t>Jemena representatives said they could provide the historical data</w:t>
      </w:r>
      <w:r>
        <w:t xml:space="preserve"> against these categories</w:t>
      </w:r>
      <w:r w:rsidRPr="007C48FA">
        <w:t xml:space="preserve"> but the figures would be estimates.</w:t>
      </w:r>
    </w:p>
    <w:p w:rsidR="00E11159" w:rsidRPr="007C48FA" w:rsidRDefault="00E13318" w:rsidP="00E11159">
      <w:r>
        <w:t>CitiPower/Powercor</w:t>
      </w:r>
      <w:r w:rsidR="00D17B37">
        <w:t xml:space="preserve"> </w:t>
      </w:r>
      <w:r w:rsidR="00E11159" w:rsidRPr="007C48FA">
        <w:t xml:space="preserve">noted that they are unlikely in many cases to be able to extend tree clearance cycles due to customer complaints around the aesthetics of trees trimmed. AER staff asked </w:t>
      </w:r>
      <w:r w:rsidR="00D17B37">
        <w:t>if this was an area where customers were consulted on the cost/ value of NSP activities. United Energy</w:t>
      </w:r>
      <w:r w:rsidR="00E11159" w:rsidRPr="007C48FA">
        <w:t xml:space="preserve"> responded that their customers </w:t>
      </w:r>
      <w:r w:rsidR="00D17B37">
        <w:t>approached the NSP with complaints</w:t>
      </w:r>
      <w:r w:rsidR="00E11159" w:rsidRPr="007C48FA">
        <w:t xml:space="preserve">. </w:t>
      </w:r>
    </w:p>
    <w:p w:rsidR="00DD3082" w:rsidRPr="00721E0C" w:rsidRDefault="00D17B37" w:rsidP="00721E0C">
      <w:r>
        <w:t xml:space="preserve">When asked, </w:t>
      </w:r>
      <w:r w:rsidR="00E11159" w:rsidRPr="007C48FA">
        <w:t xml:space="preserve">SP AusNet </w:t>
      </w:r>
      <w:r>
        <w:t xml:space="preserve">indicated they </w:t>
      </w:r>
      <w:r w:rsidR="00E11159" w:rsidRPr="007C48FA">
        <w:t>could provide most of the data</w:t>
      </w:r>
      <w:r>
        <w:t xml:space="preserve"> in the templates</w:t>
      </w:r>
      <w:r w:rsidR="00E11159" w:rsidRPr="007C48FA">
        <w:t>.</w:t>
      </w:r>
      <w:r>
        <w:t xml:space="preserve"> </w:t>
      </w:r>
      <w:r w:rsidR="00E13318">
        <w:t>CitiPower/Powercor</w:t>
      </w:r>
      <w:r>
        <w:t xml:space="preserve"> </w:t>
      </w:r>
      <w:r w:rsidR="00E11159" w:rsidRPr="007C48FA">
        <w:t>noted that they will provide more detailed fee</w:t>
      </w:r>
      <w:r w:rsidR="00721E0C">
        <w:t>dback on what data they colle</w:t>
      </w:r>
      <w:r>
        <w:t>c</w:t>
      </w:r>
      <w:r w:rsidR="00721E0C">
        <w:t>t.</w:t>
      </w:r>
    </w:p>
    <w:p w:rsidR="00DD3082" w:rsidRPr="00DD3082" w:rsidRDefault="00DD3082"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 xml:space="preserve">Maintenance and emergency </w:t>
      </w:r>
      <w:r w:rsidR="009350B9">
        <w:rPr>
          <w:rFonts w:ascii="Cambria" w:eastAsia="Times New Roman" w:hAnsi="Cambria" w:cs="Times New Roman"/>
          <w:b/>
          <w:bCs/>
          <w:i/>
          <w:iCs/>
          <w:sz w:val="28"/>
          <w:szCs w:val="28"/>
        </w:rPr>
        <w:t>response</w:t>
      </w:r>
    </w:p>
    <w:p w:rsidR="0006060E" w:rsidRPr="0006060E" w:rsidRDefault="00E13318" w:rsidP="0006060E">
      <w:r>
        <w:t>Jemena</w:t>
      </w:r>
      <w:r w:rsidR="00767E5F" w:rsidRPr="0006060E">
        <w:t xml:space="preserve"> does not collect </w:t>
      </w:r>
      <w:r w:rsidR="0006060E" w:rsidRPr="0006060E">
        <w:t xml:space="preserve">Maintenance </w:t>
      </w:r>
      <w:r w:rsidR="00767E5F" w:rsidRPr="0006060E">
        <w:t xml:space="preserve">data in the way envisaged by this template. </w:t>
      </w:r>
      <w:r>
        <w:t>Jemena</w:t>
      </w:r>
      <w:r w:rsidR="00767E5F" w:rsidRPr="0006060E">
        <w:t xml:space="preserve"> is not aware of any meaningful methodology to estimate the type of break</w:t>
      </w:r>
      <w:r w:rsidR="004F1025">
        <w:t>-</w:t>
      </w:r>
      <w:r w:rsidR="00767E5F" w:rsidRPr="0006060E">
        <w:t xml:space="preserve">down required. </w:t>
      </w:r>
    </w:p>
    <w:p w:rsidR="00767E5F" w:rsidRPr="0006060E" w:rsidRDefault="00E13318" w:rsidP="0006060E">
      <w:r>
        <w:t>CitiPower/Powercor</w:t>
      </w:r>
      <w:r w:rsidR="00767E5F" w:rsidRPr="0006060E">
        <w:t xml:space="preserve"> stated that some top-down derivations may be able to be made for current years and for forecasts, as these costs are not specifically captured against the asset class but at an activity level. </w:t>
      </w:r>
      <w:r>
        <w:t>CitiPower/Powercor</w:t>
      </w:r>
      <w:r w:rsidR="00767E5F" w:rsidRPr="0006060E">
        <w:t xml:space="preserve"> does not collect time or other cost element</w:t>
      </w:r>
      <w:r w:rsidR="004F1025">
        <w:t>s</w:t>
      </w:r>
      <w:r w:rsidR="00767E5F" w:rsidRPr="0006060E">
        <w:t xml:space="preserve"> at an asset level, and so any data provided will have to be derived from </w:t>
      </w:r>
      <w:r w:rsidR="001B2B07">
        <w:t xml:space="preserve">aggregate function code activity expenditure. </w:t>
      </w:r>
      <w:r w:rsidR="00767E5F" w:rsidRPr="0006060E">
        <w:t xml:space="preserve">While costs can be </w:t>
      </w:r>
      <w:r w:rsidR="001B2B07">
        <w:t>arbitrarily mapped into the asset categories</w:t>
      </w:r>
      <w:r w:rsidR="00767E5F" w:rsidRPr="0006060E">
        <w:t>, there may be a significant possible error range in terms of the actual cost of any unit/asset and as such it would not be appropriate to benchmark any individual category cost.</w:t>
      </w:r>
    </w:p>
    <w:p w:rsidR="00767E5F" w:rsidRPr="0006060E" w:rsidRDefault="00E13318" w:rsidP="0006060E">
      <w:r>
        <w:t>United Energy</w:t>
      </w:r>
      <w:r w:rsidR="00767E5F" w:rsidRPr="0006060E">
        <w:t xml:space="preserve"> also commented that </w:t>
      </w:r>
      <w:r w:rsidR="0006060E">
        <w:t>it</w:t>
      </w:r>
      <w:r w:rsidR="0006060E" w:rsidRPr="0006060E">
        <w:t xml:space="preserve"> </w:t>
      </w:r>
      <w:r w:rsidR="00767E5F" w:rsidRPr="0006060E">
        <w:t>currently do</w:t>
      </w:r>
      <w:r w:rsidR="0006060E">
        <w:t>es</w:t>
      </w:r>
      <w:r w:rsidR="00767E5F" w:rsidRPr="0006060E">
        <w:t xml:space="preserve"> not collect </w:t>
      </w:r>
      <w:r w:rsidR="004F1025">
        <w:t>m</w:t>
      </w:r>
      <w:r w:rsidR="0006060E" w:rsidRPr="0006060E">
        <w:t xml:space="preserve">aintenance </w:t>
      </w:r>
      <w:r w:rsidR="00767E5F" w:rsidRPr="0006060E">
        <w:t xml:space="preserve">data or make </w:t>
      </w:r>
      <w:r w:rsidR="00CF77F7">
        <w:t>its</w:t>
      </w:r>
      <w:r w:rsidR="0006060E" w:rsidRPr="0006060E">
        <w:t xml:space="preserve"> </w:t>
      </w:r>
      <w:r w:rsidR="00767E5F" w:rsidRPr="0006060E">
        <w:t>maintenance budget by asset subcategories, unit costs, etc.</w:t>
      </w:r>
    </w:p>
    <w:p w:rsidR="0006060E" w:rsidRPr="0006060E" w:rsidRDefault="0006060E" w:rsidP="0006060E">
      <w:r>
        <w:t xml:space="preserve">For </w:t>
      </w:r>
      <w:r w:rsidR="004F1025">
        <w:t>e</w:t>
      </w:r>
      <w:r>
        <w:t xml:space="preserve">mergency </w:t>
      </w:r>
      <w:r w:rsidR="004F1025">
        <w:t>r</w:t>
      </w:r>
      <w:r>
        <w:t xml:space="preserve">esponse data, </w:t>
      </w:r>
      <w:r w:rsidR="00E13318">
        <w:t>Jemena</w:t>
      </w:r>
      <w:r w:rsidR="00767E5F" w:rsidRPr="0006060E">
        <w:t xml:space="preserve"> does not collect data collected in the way envisaged by this template, and is not aware of any meaningful methodology to estimate the type of break down required. </w:t>
      </w:r>
    </w:p>
    <w:p w:rsidR="00767E5F" w:rsidRPr="0006060E" w:rsidRDefault="00E13318" w:rsidP="0006060E">
      <w:r>
        <w:t>CitiPower/Powercor</w:t>
      </w:r>
      <w:r w:rsidR="00767E5F" w:rsidRPr="0006060E">
        <w:t xml:space="preserve"> stated that there is no </w:t>
      </w:r>
      <w:r w:rsidR="004F1025">
        <w:t>e</w:t>
      </w:r>
      <w:r w:rsidR="00767E5F" w:rsidRPr="0006060E">
        <w:t xml:space="preserve">mergency </w:t>
      </w:r>
      <w:r w:rsidR="004F1025">
        <w:t>r</w:t>
      </w:r>
      <w:r w:rsidR="00767E5F" w:rsidRPr="0006060E">
        <w:t xml:space="preserve">esponse data related to the asset groups included in the </w:t>
      </w:r>
      <w:r w:rsidR="004F1025">
        <w:t>indicative templates</w:t>
      </w:r>
      <w:r w:rsidR="001B2B07">
        <w:t>, as costs are captured at an activity level</w:t>
      </w:r>
      <w:r w:rsidR="00767E5F" w:rsidRPr="0006060E">
        <w:t xml:space="preserve">. Emergency response activities are mainly labour and minor materials, and there is no business process to allocate each activity to the asset classes proposed. </w:t>
      </w:r>
    </w:p>
    <w:p w:rsidR="00DD3082" w:rsidRPr="0006060E" w:rsidRDefault="00767E5F" w:rsidP="0006060E">
      <w:r w:rsidRPr="0006060E">
        <w:t xml:space="preserve">AER </w:t>
      </w:r>
      <w:r w:rsidR="004F1025">
        <w:t xml:space="preserve">staff </w:t>
      </w:r>
      <w:r w:rsidRPr="0006060E">
        <w:t xml:space="preserve">clarified that the </w:t>
      </w:r>
      <w:r w:rsidR="004F1025">
        <w:t>e</w:t>
      </w:r>
      <w:r w:rsidRPr="0006060E">
        <w:t xml:space="preserve">mergency </w:t>
      </w:r>
      <w:r w:rsidR="004F1025">
        <w:t>r</w:t>
      </w:r>
      <w:r w:rsidRPr="0006060E">
        <w:t xml:space="preserve">esponse </w:t>
      </w:r>
      <w:r w:rsidR="00CF77F7" w:rsidRPr="0006060E">
        <w:t>expenditure by</w:t>
      </w:r>
      <w:r w:rsidRPr="0006060E">
        <w:t xml:space="preserve"> cause is not required by asset groups.</w:t>
      </w:r>
    </w:p>
    <w:p w:rsidR="003A0B20" w:rsidRPr="0006060E" w:rsidRDefault="00DD3082" w:rsidP="003A0B20">
      <w:pPr>
        <w:pStyle w:val="ListParagraph"/>
        <w:keepNext/>
        <w:numPr>
          <w:ilvl w:val="0"/>
          <w:numId w:val="5"/>
        </w:numPr>
        <w:spacing w:before="240" w:after="60"/>
        <w:outlineLvl w:val="1"/>
        <w:rPr>
          <w:rFonts w:ascii="Cambria" w:eastAsia="Times New Roman" w:hAnsi="Cambria" w:cs="Times New Roman"/>
          <w:b/>
          <w:bCs/>
          <w:i/>
          <w:iCs/>
          <w:sz w:val="28"/>
          <w:szCs w:val="28"/>
        </w:rPr>
      </w:pPr>
      <w:r w:rsidRPr="00DD3082">
        <w:rPr>
          <w:rFonts w:ascii="Cambria" w:eastAsia="Times New Roman" w:hAnsi="Cambria" w:cs="Times New Roman"/>
          <w:b/>
          <w:bCs/>
          <w:i/>
          <w:iCs/>
          <w:sz w:val="28"/>
          <w:szCs w:val="28"/>
        </w:rPr>
        <w:t>Overheads</w:t>
      </w:r>
    </w:p>
    <w:p w:rsidR="003A0B20" w:rsidRDefault="00E13318" w:rsidP="003A0B20">
      <w:r>
        <w:t>CitiPower/Powercor</w:t>
      </w:r>
      <w:r w:rsidR="003A0B20">
        <w:t xml:space="preserve"> expressed reservations about the usefulness of reporting overheads </w:t>
      </w:r>
      <w:r w:rsidR="001B2B07">
        <w:t xml:space="preserve">within </w:t>
      </w:r>
      <w:r w:rsidR="003A0B20">
        <w:t>direct cost</w:t>
      </w:r>
      <w:r w:rsidR="001B2B07">
        <w:t xml:space="preserve"> category template</w:t>
      </w:r>
      <w:r w:rsidR="003A0B20">
        <w:t>s</w:t>
      </w:r>
      <w:r w:rsidR="001B2B07">
        <w:t>, as they are also being collected in the overheads template and the doubling up appears to serve no purpose</w:t>
      </w:r>
      <w:r w:rsidR="003A0B20">
        <w:t>. AER staff noted that this was simply for reconciliation purposes. NSPs noted that full reconciliation would not be possible unless data for each individual project was being requested, noting comments previously about averaging/ aggregating projects for auge</w:t>
      </w:r>
      <w:r w:rsidR="00055546">
        <w:t xml:space="preserve">x data. </w:t>
      </w:r>
      <w:r w:rsidR="003A0B20" w:rsidRPr="003A0B20">
        <w:t>United Energy sought clarification on the purpose of the different templates with respect to augex assessment. AER staff noted that templates 4.6 to 4.13 were used to populate the augex model, while 4.1 to 4.5 were for the assessment of asset data.</w:t>
      </w:r>
    </w:p>
    <w:p w:rsidR="005842AA" w:rsidRDefault="00E13318" w:rsidP="003A0B20">
      <w:r>
        <w:t>CitiPower/Powercor</w:t>
      </w:r>
      <w:r w:rsidR="005842AA">
        <w:t xml:space="preserve"> noted that some projects, for example, fault level mitigation, would not be picked up under the indicative templates. SP AusNet noted that it would be useful for the NSPs to understand </w:t>
      </w:r>
      <w:r w:rsidR="001B2B07">
        <w:t xml:space="preserve">if </w:t>
      </w:r>
      <w:r w:rsidR="005842AA">
        <w:t>all capex is intended to be captured in the templates.</w:t>
      </w:r>
    </w:p>
    <w:p w:rsidR="0006060E" w:rsidRDefault="00E13318" w:rsidP="0006060E">
      <w:r>
        <w:t>Jemena</w:t>
      </w:r>
      <w:r w:rsidR="0006060E">
        <w:t xml:space="preserve"> commented that o</w:t>
      </w:r>
      <w:r w:rsidR="0006060E" w:rsidRPr="00E444DE">
        <w:t xml:space="preserve">nly estimates can be made of the requested data that would be signed off by Management. </w:t>
      </w:r>
      <w:r w:rsidR="0006060E">
        <w:t>It is further concerned that the e</w:t>
      </w:r>
      <w:r w:rsidR="0006060E" w:rsidRPr="00E444DE">
        <w:t>stimate may not pass audit</w:t>
      </w:r>
      <w:r w:rsidR="0006060E">
        <w:t>.</w:t>
      </w:r>
    </w:p>
    <w:p w:rsidR="0006060E" w:rsidRPr="005837C5" w:rsidRDefault="0006060E" w:rsidP="0006060E">
      <w:r w:rsidRPr="005837C5">
        <w:t xml:space="preserve">SP </w:t>
      </w:r>
      <w:r w:rsidR="00E13318">
        <w:t xml:space="preserve">AusNet </w:t>
      </w:r>
      <w:r w:rsidRPr="005837C5">
        <w:t>commented that the template should indicate which line items are non-discretionary and which are discretionary. (</w:t>
      </w:r>
      <w:proofErr w:type="gramStart"/>
      <w:r w:rsidRPr="005837C5">
        <w:t>e.g</w:t>
      </w:r>
      <w:proofErr w:type="gramEnd"/>
      <w:r w:rsidRPr="005837C5">
        <w:t>. additional line items or different corporate overhead line items).</w:t>
      </w:r>
    </w:p>
    <w:p w:rsidR="0006060E" w:rsidRPr="00423B1B" w:rsidRDefault="00E13318" w:rsidP="0006060E">
      <w:r>
        <w:t>CitiPower/Powercor</w:t>
      </w:r>
      <w:r w:rsidR="0006060E" w:rsidRPr="00423B1B">
        <w:t xml:space="preserve"> made the following comments: </w:t>
      </w:r>
    </w:p>
    <w:p w:rsidR="0006060E" w:rsidRPr="004F1025" w:rsidRDefault="0006060E"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Its statutory accounts do not report any overhead categories.</w:t>
      </w:r>
    </w:p>
    <w:p w:rsidR="0006060E" w:rsidRPr="004F1025" w:rsidRDefault="0006060E"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Does the AER intend for network and corporate overheads to reconcile with those reported in other templates?  If so, then these will need to reflect those costs which are classified as direct and indirect overheads in the RINs.</w:t>
      </w:r>
    </w:p>
    <w:p w:rsidR="0006060E" w:rsidRPr="004F1025" w:rsidRDefault="0006060E"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Some of the corporate overheads listed in the template are included in its labour rates and therefore captured as a direct cost, e.g. superannuation costs.</w:t>
      </w:r>
    </w:p>
    <w:p w:rsidR="0006060E" w:rsidRPr="004F1025" w:rsidRDefault="0006060E"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Not known how a related party service is to be reported.  Should all costs be shown to be contract inclusive of margin?  If not, where should margin be included?</w:t>
      </w:r>
    </w:p>
    <w:p w:rsidR="0006060E" w:rsidRDefault="0006060E" w:rsidP="004F1025">
      <w:pPr>
        <w:pStyle w:val="AERbodytext"/>
        <w:numPr>
          <w:ilvl w:val="0"/>
          <w:numId w:val="8"/>
        </w:numPr>
        <w:rPr>
          <w:rFonts w:asciiTheme="minorHAnsi" w:hAnsiTheme="minorHAnsi" w:cstheme="minorHAnsi"/>
          <w:sz w:val="22"/>
          <w:szCs w:val="22"/>
        </w:rPr>
      </w:pPr>
      <w:r w:rsidRPr="004F1025">
        <w:rPr>
          <w:rFonts w:asciiTheme="minorHAnsi" w:hAnsiTheme="minorHAnsi" w:cstheme="minorHAnsi"/>
          <w:sz w:val="22"/>
          <w:szCs w:val="22"/>
        </w:rPr>
        <w:t>Additional column required for metering services for Victoria or AER should indicate in which column these costs should appear.</w:t>
      </w:r>
    </w:p>
    <w:p w:rsidR="00BE6691" w:rsidRDefault="00BE6691" w:rsidP="00BE6691">
      <w:pPr>
        <w:pStyle w:val="AERbodytext"/>
        <w:rPr>
          <w:rFonts w:asciiTheme="minorHAnsi" w:hAnsiTheme="minorHAnsi" w:cstheme="minorHAnsi"/>
          <w:sz w:val="22"/>
          <w:szCs w:val="22"/>
        </w:rPr>
      </w:pPr>
      <w:r>
        <w:rPr>
          <w:rFonts w:asciiTheme="minorHAnsi" w:hAnsiTheme="minorHAnsi" w:cstheme="minorHAnsi"/>
          <w:sz w:val="22"/>
          <w:szCs w:val="22"/>
        </w:rPr>
        <w:t>AER staff clarified the following:</w:t>
      </w:r>
    </w:p>
    <w:p w:rsidR="00BE6691" w:rsidRDefault="00BE6691" w:rsidP="00E31E03">
      <w:pPr>
        <w:pStyle w:val="AERbodytext"/>
        <w:numPr>
          <w:ilvl w:val="0"/>
          <w:numId w:val="17"/>
        </w:numPr>
        <w:rPr>
          <w:rFonts w:asciiTheme="minorHAnsi" w:hAnsiTheme="minorHAnsi" w:cstheme="minorHAnsi"/>
          <w:sz w:val="22"/>
          <w:szCs w:val="22"/>
        </w:rPr>
      </w:pPr>
      <w:r>
        <w:rPr>
          <w:rFonts w:asciiTheme="minorHAnsi" w:hAnsiTheme="minorHAnsi" w:cstheme="minorHAnsi"/>
          <w:sz w:val="22"/>
          <w:szCs w:val="22"/>
        </w:rPr>
        <w:t>For Corporate Overhead line items, NSPs can maintain their current individual expenditure items and these do not have to be the same across NSPs. The AER will benchmark corporate overhead as an aggregate expenditure.</w:t>
      </w:r>
    </w:p>
    <w:p w:rsidR="003E36DD" w:rsidRDefault="00BE6691" w:rsidP="008F62E9">
      <w:pPr>
        <w:pStyle w:val="AERbodytext"/>
        <w:numPr>
          <w:ilvl w:val="0"/>
          <w:numId w:val="17"/>
        </w:numPr>
        <w:rPr>
          <w:rFonts w:asciiTheme="minorHAnsi" w:hAnsiTheme="minorHAnsi" w:cstheme="minorHAnsi"/>
          <w:sz w:val="22"/>
          <w:szCs w:val="22"/>
        </w:rPr>
      </w:pPr>
      <w:r>
        <w:rPr>
          <w:rFonts w:asciiTheme="minorHAnsi" w:hAnsiTheme="minorHAnsi" w:cstheme="minorHAnsi"/>
          <w:sz w:val="22"/>
          <w:szCs w:val="22"/>
        </w:rPr>
        <w:t>Related party transactions should be shown with margins and without margins, in separate sheets as currently done by the VIC DNSPs.</w:t>
      </w:r>
    </w:p>
    <w:p w:rsidR="008F62E9" w:rsidRPr="008F62E9" w:rsidRDefault="008F62E9" w:rsidP="008F62E9">
      <w:pPr>
        <w:pStyle w:val="AERbodytext"/>
        <w:rPr>
          <w:rFonts w:asciiTheme="minorHAnsi" w:hAnsiTheme="minorHAnsi" w:cstheme="minorHAnsi"/>
          <w:sz w:val="22"/>
          <w:szCs w:val="22"/>
        </w:rPr>
      </w:pPr>
    </w:p>
    <w:p w:rsidR="00104F29" w:rsidRDefault="008F62E9" w:rsidP="00DD3082">
      <w:pPr>
        <w:pStyle w:val="ListParagraph"/>
        <w:keepNext/>
        <w:numPr>
          <w:ilvl w:val="0"/>
          <w:numId w:val="5"/>
        </w:numPr>
        <w:spacing w:before="240" w:after="60"/>
        <w:outlineLvl w:val="1"/>
        <w:rPr>
          <w:rFonts w:ascii="Cambria" w:eastAsia="Times New Roman" w:hAnsi="Cambria" w:cs="Times New Roman"/>
          <w:b/>
          <w:bCs/>
          <w:i/>
          <w:iCs/>
          <w:sz w:val="28"/>
          <w:szCs w:val="28"/>
        </w:rPr>
      </w:pPr>
      <w:r>
        <w:rPr>
          <w:rFonts w:ascii="Cambria" w:eastAsia="Times New Roman" w:hAnsi="Cambria" w:cs="Times New Roman"/>
          <w:b/>
          <w:bCs/>
          <w:i/>
          <w:iCs/>
          <w:sz w:val="28"/>
          <w:szCs w:val="28"/>
        </w:rPr>
        <w:t>A</w:t>
      </w:r>
      <w:r w:rsidR="00104F29">
        <w:rPr>
          <w:rFonts w:ascii="Cambria" w:eastAsia="Times New Roman" w:hAnsi="Cambria" w:cs="Times New Roman"/>
          <w:b/>
          <w:bCs/>
          <w:i/>
          <w:iCs/>
          <w:sz w:val="28"/>
          <w:szCs w:val="28"/>
        </w:rPr>
        <w:t>ction</w:t>
      </w:r>
      <w:r>
        <w:rPr>
          <w:rFonts w:ascii="Cambria" w:eastAsia="Times New Roman" w:hAnsi="Cambria" w:cs="Times New Roman"/>
          <w:b/>
          <w:bCs/>
          <w:i/>
          <w:iCs/>
          <w:sz w:val="28"/>
          <w:szCs w:val="28"/>
        </w:rPr>
        <w:t xml:space="preserve"> item</w:t>
      </w:r>
      <w:r w:rsidR="00104F29">
        <w:rPr>
          <w:rFonts w:ascii="Cambria" w:eastAsia="Times New Roman" w:hAnsi="Cambria" w:cs="Times New Roman"/>
          <w:b/>
          <w:bCs/>
          <w:i/>
          <w:iCs/>
          <w:sz w:val="28"/>
          <w:szCs w:val="28"/>
        </w:rPr>
        <w:t>s</w:t>
      </w:r>
    </w:p>
    <w:p w:rsidR="00104F29" w:rsidRPr="00025139" w:rsidRDefault="00025139" w:rsidP="00025139">
      <w:pPr>
        <w:pStyle w:val="Heading3"/>
        <w:rPr>
          <w:rFonts w:ascii="Gautami" w:eastAsia="Calibri" w:hAnsi="Gautami" w:cs="Times New Roman"/>
          <w:sz w:val="20"/>
        </w:rPr>
      </w:pPr>
      <w:r w:rsidRPr="00025139">
        <w:rPr>
          <w:rFonts w:ascii="Gautami" w:eastAsia="Calibri" w:hAnsi="Gautami" w:cs="Times New Roman"/>
          <w:sz w:val="20"/>
        </w:rPr>
        <w:t>Repex</w:t>
      </w:r>
    </w:p>
    <w:p w:rsidR="00025139" w:rsidRPr="00025139" w:rsidRDefault="00025139" w:rsidP="00025139">
      <w:pPr>
        <w:pStyle w:val="ListParagraph"/>
        <w:numPr>
          <w:ilvl w:val="0"/>
          <w:numId w:val="11"/>
        </w:numPr>
        <w:rPr>
          <w:rFonts w:cstheme="minorHAnsi"/>
        </w:rPr>
      </w:pPr>
      <w:r w:rsidRPr="00025139">
        <w:rPr>
          <w:rFonts w:cstheme="minorHAnsi"/>
        </w:rPr>
        <w:t xml:space="preserve">AER staff undertook to confirm </w:t>
      </w:r>
      <w:r w:rsidR="008F62E9">
        <w:rPr>
          <w:rFonts w:cstheme="minorHAnsi"/>
        </w:rPr>
        <w:t xml:space="preserve">for </w:t>
      </w:r>
      <w:r w:rsidRPr="00025139">
        <w:rPr>
          <w:rFonts w:cstheme="minorHAnsi"/>
        </w:rPr>
        <w:t>which year age profile data would be required, including as it relates to running the repex model.</w:t>
      </w:r>
    </w:p>
    <w:p w:rsidR="00025139" w:rsidRPr="00025139" w:rsidRDefault="00025139" w:rsidP="00025139">
      <w:pPr>
        <w:pStyle w:val="ListParagraph"/>
        <w:numPr>
          <w:ilvl w:val="0"/>
          <w:numId w:val="11"/>
        </w:numPr>
        <w:rPr>
          <w:rFonts w:cstheme="minorHAnsi"/>
        </w:rPr>
      </w:pPr>
      <w:r w:rsidRPr="00025139">
        <w:rPr>
          <w:rFonts w:cstheme="minorHAnsi"/>
        </w:rPr>
        <w:t xml:space="preserve">NSPs to </w:t>
      </w:r>
      <w:r>
        <w:rPr>
          <w:rFonts w:cstheme="minorHAnsi"/>
        </w:rPr>
        <w:t>p</w:t>
      </w:r>
      <w:r w:rsidRPr="00025139">
        <w:rPr>
          <w:rFonts w:cstheme="minorHAnsi"/>
        </w:rPr>
        <w:t>rovide feedback on ratings bands</w:t>
      </w:r>
    </w:p>
    <w:p w:rsidR="00025139" w:rsidRPr="009350B9" w:rsidRDefault="00025139" w:rsidP="00025139">
      <w:pPr>
        <w:pStyle w:val="ListParagraph"/>
        <w:numPr>
          <w:ilvl w:val="0"/>
          <w:numId w:val="11"/>
        </w:numPr>
        <w:rPr>
          <w:rFonts w:cstheme="minorHAnsi"/>
        </w:rPr>
      </w:pPr>
      <w:r>
        <w:rPr>
          <w:rFonts w:cstheme="minorHAnsi"/>
        </w:rPr>
        <w:t>NSPs to c</w:t>
      </w:r>
      <w:r w:rsidRPr="009350B9">
        <w:rPr>
          <w:rFonts w:cstheme="minorHAnsi"/>
        </w:rPr>
        <w:t>onsider the appropriateness of grouping certain assets into a “distribution substation” category</w:t>
      </w:r>
    </w:p>
    <w:p w:rsidR="00025139" w:rsidRPr="009350B9" w:rsidRDefault="00025139" w:rsidP="00025139">
      <w:pPr>
        <w:pStyle w:val="ListParagraph"/>
        <w:numPr>
          <w:ilvl w:val="0"/>
          <w:numId w:val="11"/>
        </w:numPr>
        <w:rPr>
          <w:rFonts w:cstheme="minorHAnsi"/>
        </w:rPr>
      </w:pPr>
      <w:r>
        <w:rPr>
          <w:rFonts w:cstheme="minorHAnsi"/>
        </w:rPr>
        <w:t>NSPs to consider h</w:t>
      </w:r>
      <w:r w:rsidRPr="009350B9">
        <w:rPr>
          <w:rFonts w:cstheme="minorHAnsi"/>
        </w:rPr>
        <w:t>ow existing asset records could map to the proposed pole top structures categories</w:t>
      </w:r>
    </w:p>
    <w:p w:rsidR="00025139" w:rsidRPr="007C11F3" w:rsidRDefault="00025139" w:rsidP="00025139">
      <w:pPr>
        <w:pStyle w:val="Heading3"/>
        <w:rPr>
          <w:rFonts w:asciiTheme="minorHAnsi" w:hAnsiTheme="minorHAnsi" w:cstheme="minorHAnsi"/>
        </w:rPr>
      </w:pPr>
      <w:r>
        <w:rPr>
          <w:rFonts w:asciiTheme="minorHAnsi" w:hAnsiTheme="minorHAnsi" w:cstheme="minorHAnsi"/>
        </w:rPr>
        <w:t>Demand forecasting</w:t>
      </w:r>
    </w:p>
    <w:p w:rsidR="00025139" w:rsidRPr="007C11F3" w:rsidRDefault="00025139" w:rsidP="00025139">
      <w:pPr>
        <w:pStyle w:val="ListParagraph"/>
        <w:numPr>
          <w:ilvl w:val="0"/>
          <w:numId w:val="11"/>
        </w:numPr>
        <w:rPr>
          <w:rFonts w:cstheme="minorHAnsi"/>
        </w:rPr>
      </w:pPr>
      <w:r w:rsidRPr="007C11F3">
        <w:rPr>
          <w:rFonts w:cstheme="minorHAnsi"/>
        </w:rPr>
        <w:t xml:space="preserve">SP AusNet to provide an update on </w:t>
      </w:r>
      <w:r w:rsidR="0058736F">
        <w:rPr>
          <w:rFonts w:cstheme="minorHAnsi"/>
        </w:rPr>
        <w:t>whether it would have difficulties providing the location specific demand forecasts.</w:t>
      </w:r>
    </w:p>
    <w:p w:rsidR="00025139" w:rsidRDefault="00025139" w:rsidP="00025139">
      <w:pPr>
        <w:pStyle w:val="ListParagraph"/>
        <w:numPr>
          <w:ilvl w:val="0"/>
          <w:numId w:val="11"/>
        </w:numPr>
        <w:rPr>
          <w:rFonts w:cstheme="minorHAnsi"/>
        </w:rPr>
      </w:pPr>
      <w:r w:rsidRPr="007C11F3">
        <w:rPr>
          <w:rFonts w:cstheme="minorHAnsi"/>
        </w:rPr>
        <w:t>AER staff to amend templates to improve their clarity. This includes work on the instructions, and including definitions in the demand sheets, and the formatting of the templates.</w:t>
      </w:r>
    </w:p>
    <w:p w:rsidR="00025139" w:rsidRPr="009350B9" w:rsidRDefault="00025139" w:rsidP="00025139">
      <w:pPr>
        <w:pStyle w:val="Heading3"/>
        <w:rPr>
          <w:rFonts w:asciiTheme="minorHAnsi" w:hAnsiTheme="minorHAnsi" w:cstheme="minorHAnsi"/>
        </w:rPr>
      </w:pPr>
      <w:r w:rsidRPr="009350B9">
        <w:rPr>
          <w:rFonts w:asciiTheme="minorHAnsi" w:hAnsiTheme="minorHAnsi" w:cstheme="minorHAnsi"/>
        </w:rPr>
        <w:t>A</w:t>
      </w:r>
      <w:r>
        <w:rPr>
          <w:rFonts w:asciiTheme="minorHAnsi" w:hAnsiTheme="minorHAnsi" w:cstheme="minorHAnsi"/>
        </w:rPr>
        <w:t>ug</w:t>
      </w:r>
      <w:r w:rsidR="00462605">
        <w:rPr>
          <w:rFonts w:asciiTheme="minorHAnsi" w:hAnsiTheme="minorHAnsi" w:cstheme="minorHAnsi"/>
        </w:rPr>
        <w:t>mentations</w:t>
      </w:r>
    </w:p>
    <w:p w:rsidR="00025139" w:rsidRPr="009350B9" w:rsidRDefault="00025139" w:rsidP="00025139">
      <w:pPr>
        <w:pStyle w:val="ListParagraph"/>
        <w:numPr>
          <w:ilvl w:val="0"/>
          <w:numId w:val="11"/>
        </w:numPr>
        <w:rPr>
          <w:rFonts w:cstheme="minorHAnsi"/>
        </w:rPr>
      </w:pPr>
      <w:r w:rsidRPr="009350B9">
        <w:rPr>
          <w:rFonts w:cstheme="minorHAnsi"/>
        </w:rPr>
        <w:t>NSPs to provide comments on appropriate ways to classify high volume, low cost augex such as augex for distribution substations or LV feeders.</w:t>
      </w:r>
    </w:p>
    <w:p w:rsidR="00025139" w:rsidRPr="009350B9" w:rsidRDefault="00025139" w:rsidP="00025139">
      <w:pPr>
        <w:pStyle w:val="ListParagraph"/>
        <w:numPr>
          <w:ilvl w:val="0"/>
          <w:numId w:val="11"/>
        </w:numPr>
        <w:rPr>
          <w:rFonts w:cstheme="minorHAnsi"/>
        </w:rPr>
      </w:pPr>
      <w:r w:rsidRPr="009350B9">
        <w:rPr>
          <w:rFonts w:cstheme="minorHAnsi"/>
        </w:rPr>
        <w:t>NSPs to provide feedback on how they can break down augex project costs.</w:t>
      </w:r>
      <w:r w:rsidR="00254263">
        <w:rPr>
          <w:rFonts w:cstheme="minorHAnsi"/>
        </w:rPr>
        <w:t xml:space="preserve"> In particular, the AER is interested in </w:t>
      </w:r>
      <w:r w:rsidR="00367C8E">
        <w:rPr>
          <w:rFonts w:cstheme="minorHAnsi"/>
        </w:rPr>
        <w:t>ascertaining whether NSPs can disaggregate</w:t>
      </w:r>
      <w:r w:rsidR="00254263">
        <w:rPr>
          <w:rFonts w:cstheme="minorHAnsi"/>
        </w:rPr>
        <w:t xml:space="preserve"> augex project costs into major plant items (for example, transformers in substations, and overhead cable for </w:t>
      </w:r>
      <w:proofErr w:type="spellStart"/>
      <w:r w:rsidR="00254263">
        <w:rPr>
          <w:rFonts w:cstheme="minorHAnsi"/>
        </w:rPr>
        <w:t>subtransmission</w:t>
      </w:r>
      <w:proofErr w:type="spellEnd"/>
      <w:r w:rsidR="00254263">
        <w:rPr>
          <w:rFonts w:cstheme="minorHAnsi"/>
        </w:rPr>
        <w:t xml:space="preserve"> lines), and other labour and materials costs, as proposed in the indicative templates.</w:t>
      </w:r>
    </w:p>
    <w:p w:rsidR="00025139" w:rsidRPr="009350B9" w:rsidRDefault="00025139" w:rsidP="00025139">
      <w:pPr>
        <w:pStyle w:val="ListParagraph"/>
        <w:numPr>
          <w:ilvl w:val="0"/>
          <w:numId w:val="11"/>
        </w:numPr>
        <w:rPr>
          <w:rFonts w:cstheme="minorHAnsi"/>
        </w:rPr>
      </w:pPr>
      <w:r w:rsidRPr="009350B9">
        <w:rPr>
          <w:rFonts w:cstheme="minorHAnsi"/>
        </w:rPr>
        <w:t>AER staff to amend templates to improve their clarity. This includes work on the instructions, and including definitions in the demand sheets.</w:t>
      </w:r>
    </w:p>
    <w:p w:rsidR="00025139" w:rsidRDefault="00025139" w:rsidP="00025139">
      <w:pPr>
        <w:pStyle w:val="ListParagraph"/>
        <w:numPr>
          <w:ilvl w:val="0"/>
          <w:numId w:val="11"/>
        </w:numPr>
        <w:rPr>
          <w:rFonts w:cstheme="minorHAnsi"/>
        </w:rPr>
      </w:pPr>
      <w:r w:rsidRPr="009350B9">
        <w:rPr>
          <w:rFonts w:cstheme="minorHAnsi"/>
        </w:rPr>
        <w:t xml:space="preserve">AER staff to clarify whether the augex model also requires </w:t>
      </w:r>
      <w:proofErr w:type="spellStart"/>
      <w:r w:rsidRPr="009350B9">
        <w:rPr>
          <w:rFonts w:cstheme="minorHAnsi"/>
        </w:rPr>
        <w:t>backcast</w:t>
      </w:r>
      <w:proofErr w:type="spellEnd"/>
      <w:r w:rsidRPr="009350B9">
        <w:rPr>
          <w:rFonts w:cstheme="minorHAnsi"/>
        </w:rPr>
        <w:t xml:space="preserve"> data for the last five years.</w:t>
      </w:r>
    </w:p>
    <w:p w:rsidR="00EA4F00" w:rsidRPr="00EA4F00" w:rsidRDefault="00EA4F00" w:rsidP="00EA4F00">
      <w:pPr>
        <w:pStyle w:val="Heading3"/>
        <w:rPr>
          <w:rFonts w:asciiTheme="minorHAnsi" w:hAnsiTheme="minorHAnsi" w:cstheme="minorHAnsi"/>
        </w:rPr>
      </w:pPr>
      <w:r w:rsidRPr="00EA4F00">
        <w:rPr>
          <w:rFonts w:asciiTheme="minorHAnsi" w:hAnsiTheme="minorHAnsi" w:cstheme="minorHAnsi"/>
        </w:rPr>
        <w:t>Connections and customer driven works</w:t>
      </w:r>
    </w:p>
    <w:p w:rsidR="007344AE" w:rsidRPr="007344AE" w:rsidRDefault="007344AE" w:rsidP="007344AE">
      <w:pPr>
        <w:pStyle w:val="ListParagraph"/>
        <w:numPr>
          <w:ilvl w:val="0"/>
          <w:numId w:val="11"/>
        </w:numPr>
        <w:rPr>
          <w:rFonts w:cstheme="minorHAnsi"/>
        </w:rPr>
      </w:pPr>
      <w:r w:rsidRPr="007344AE">
        <w:rPr>
          <w:rFonts w:cstheme="minorHAnsi"/>
        </w:rPr>
        <w:t>AER staff</w:t>
      </w:r>
      <w:r>
        <w:rPr>
          <w:rFonts w:cstheme="minorHAnsi"/>
        </w:rPr>
        <w:t xml:space="preserve"> to </w:t>
      </w:r>
      <w:r w:rsidRPr="007344AE">
        <w:rPr>
          <w:rFonts w:cstheme="minorHAnsi"/>
        </w:rPr>
        <w:t>clarif</w:t>
      </w:r>
      <w:r>
        <w:rPr>
          <w:rFonts w:cstheme="minorHAnsi"/>
        </w:rPr>
        <w:t xml:space="preserve">y </w:t>
      </w:r>
      <w:r w:rsidRPr="007344AE">
        <w:rPr>
          <w:rFonts w:cstheme="minorHAnsi"/>
        </w:rPr>
        <w:t xml:space="preserve">whether simple and complex connection classifications were intended to include both standard and </w:t>
      </w:r>
      <w:r>
        <w:rPr>
          <w:rFonts w:cstheme="minorHAnsi"/>
        </w:rPr>
        <w:t>alternative control activities.</w:t>
      </w:r>
    </w:p>
    <w:p w:rsidR="00EA4F00" w:rsidRPr="007344AE" w:rsidRDefault="007344AE" w:rsidP="007344AE">
      <w:pPr>
        <w:pStyle w:val="ListParagraph"/>
        <w:numPr>
          <w:ilvl w:val="0"/>
          <w:numId w:val="11"/>
        </w:numPr>
        <w:rPr>
          <w:rFonts w:cstheme="minorHAnsi"/>
        </w:rPr>
      </w:pPr>
      <w:r>
        <w:rPr>
          <w:rFonts w:cstheme="minorHAnsi"/>
        </w:rPr>
        <w:t xml:space="preserve">AER staff to arrange discussions with NSPs on capturing </w:t>
      </w:r>
      <w:r w:rsidRPr="007344AE">
        <w:rPr>
          <w:rFonts w:cstheme="minorHAnsi"/>
        </w:rPr>
        <w:t xml:space="preserve">location </w:t>
      </w:r>
      <w:r>
        <w:rPr>
          <w:rFonts w:cstheme="minorHAnsi"/>
        </w:rPr>
        <w:t xml:space="preserve">as a </w:t>
      </w:r>
      <w:r w:rsidRPr="007344AE">
        <w:rPr>
          <w:rFonts w:cstheme="minorHAnsi"/>
        </w:rPr>
        <w:t>cost driver</w:t>
      </w:r>
      <w:r>
        <w:rPr>
          <w:rFonts w:cstheme="minorHAnsi"/>
        </w:rPr>
        <w:t>,</w:t>
      </w:r>
      <w:r w:rsidRPr="007344AE">
        <w:rPr>
          <w:rFonts w:cstheme="minorHAnsi"/>
        </w:rPr>
        <w:t xml:space="preserve"> </w:t>
      </w:r>
      <w:r>
        <w:rPr>
          <w:rFonts w:cstheme="minorHAnsi"/>
        </w:rPr>
        <w:t xml:space="preserve">as </w:t>
      </w:r>
      <w:r w:rsidRPr="007344AE">
        <w:rPr>
          <w:rFonts w:cstheme="minorHAnsi"/>
        </w:rPr>
        <w:t>a critical factor in future benchmarking studies.</w:t>
      </w:r>
    </w:p>
    <w:p w:rsidR="007344AE" w:rsidRPr="007344AE" w:rsidRDefault="007344AE" w:rsidP="007344AE">
      <w:pPr>
        <w:pStyle w:val="ListParagraph"/>
        <w:numPr>
          <w:ilvl w:val="0"/>
          <w:numId w:val="11"/>
        </w:numPr>
        <w:rPr>
          <w:rFonts w:cstheme="minorHAnsi"/>
        </w:rPr>
      </w:pPr>
      <w:r w:rsidRPr="007344AE">
        <w:rPr>
          <w:rFonts w:cstheme="minorHAnsi"/>
        </w:rPr>
        <w:t xml:space="preserve">SP AusNet </w:t>
      </w:r>
      <w:r>
        <w:rPr>
          <w:rFonts w:cstheme="minorHAnsi"/>
        </w:rPr>
        <w:t xml:space="preserve">to </w:t>
      </w:r>
      <w:r w:rsidRPr="007344AE">
        <w:rPr>
          <w:rFonts w:cstheme="minorHAnsi"/>
        </w:rPr>
        <w:t>confirm the likely nature of upcoming connection projects.</w:t>
      </w:r>
    </w:p>
    <w:p w:rsidR="007344AE" w:rsidRPr="007344AE" w:rsidRDefault="007344AE" w:rsidP="007344AE">
      <w:pPr>
        <w:pStyle w:val="ListParagraph"/>
        <w:numPr>
          <w:ilvl w:val="0"/>
          <w:numId w:val="11"/>
        </w:numPr>
        <w:rPr>
          <w:rFonts w:cstheme="minorHAnsi"/>
        </w:rPr>
      </w:pPr>
      <w:r w:rsidRPr="007344AE">
        <w:rPr>
          <w:rFonts w:cstheme="minorHAnsi"/>
        </w:rPr>
        <w:t>NSPs and AER staff to discuss further</w:t>
      </w:r>
      <w:r>
        <w:rPr>
          <w:rFonts w:cstheme="minorHAnsi"/>
        </w:rPr>
        <w:t xml:space="preserve"> </w:t>
      </w:r>
      <w:r w:rsidRPr="007344AE">
        <w:rPr>
          <w:rFonts w:cstheme="minorHAnsi"/>
        </w:rPr>
        <w:t xml:space="preserve">the extent to which expenditure stated within </w:t>
      </w:r>
      <w:r>
        <w:rPr>
          <w:rFonts w:cstheme="minorHAnsi"/>
        </w:rPr>
        <w:t xml:space="preserve">metering </w:t>
      </w:r>
      <w:r w:rsidRPr="007344AE">
        <w:rPr>
          <w:rFonts w:cstheme="minorHAnsi"/>
        </w:rPr>
        <w:t>contracts can be disaggregated.</w:t>
      </w:r>
    </w:p>
    <w:p w:rsidR="007344AE" w:rsidRPr="00EA4F00" w:rsidRDefault="007344AE" w:rsidP="007344AE">
      <w:pPr>
        <w:pStyle w:val="ListParagraph"/>
        <w:numPr>
          <w:ilvl w:val="0"/>
          <w:numId w:val="11"/>
        </w:numPr>
        <w:rPr>
          <w:rFonts w:cstheme="minorHAnsi"/>
        </w:rPr>
      </w:pPr>
      <w:r>
        <w:rPr>
          <w:rFonts w:cstheme="minorHAnsi"/>
        </w:rPr>
        <w:t xml:space="preserve">AER staff to discuss with NSPs </w:t>
      </w:r>
      <w:r w:rsidRPr="007344AE">
        <w:rPr>
          <w:rFonts w:cstheme="minorHAnsi"/>
        </w:rPr>
        <w:t>how AMI services would be regulated into the future and the AER’s definitions of metering activities.</w:t>
      </w:r>
    </w:p>
    <w:p w:rsidR="00104F29" w:rsidRPr="00104F29" w:rsidRDefault="00462605" w:rsidP="00462605">
      <w:pPr>
        <w:pStyle w:val="Heading3"/>
        <w:rPr>
          <w:rFonts w:ascii="Gautami" w:eastAsia="Calibri" w:hAnsi="Gautami" w:cs="Times New Roman"/>
          <w:sz w:val="20"/>
        </w:rPr>
      </w:pPr>
      <w:r>
        <w:rPr>
          <w:rFonts w:asciiTheme="minorHAnsi" w:hAnsiTheme="minorHAnsi" w:cstheme="minorHAnsi"/>
        </w:rPr>
        <w:t>Non-network expenditure</w:t>
      </w:r>
    </w:p>
    <w:p w:rsidR="00462605" w:rsidRPr="00462605" w:rsidRDefault="00462605" w:rsidP="00462605">
      <w:pPr>
        <w:pStyle w:val="ListParagraph"/>
        <w:numPr>
          <w:ilvl w:val="0"/>
          <w:numId w:val="11"/>
        </w:numPr>
        <w:rPr>
          <w:rFonts w:cstheme="minorHAnsi"/>
        </w:rPr>
      </w:pPr>
      <w:r w:rsidRPr="00462605">
        <w:rPr>
          <w:rFonts w:cstheme="minorHAnsi"/>
        </w:rPr>
        <w:t xml:space="preserve">NSPs to provide more information on how they might capture historical expenditure on buildings </w:t>
      </w:r>
      <w:r>
        <w:rPr>
          <w:rFonts w:cstheme="minorHAnsi"/>
        </w:rPr>
        <w:t xml:space="preserve">across different categories i.e. as part of direct replacement or augmentation projects versus </w:t>
      </w:r>
      <w:r w:rsidRPr="00462605">
        <w:rPr>
          <w:rFonts w:cstheme="minorHAnsi"/>
        </w:rPr>
        <w:t>overhead or corporate expenditures.</w:t>
      </w:r>
    </w:p>
    <w:p w:rsidR="00721E0C" w:rsidRPr="00025139" w:rsidRDefault="00721E0C" w:rsidP="00721E0C">
      <w:pPr>
        <w:pStyle w:val="Heading3"/>
        <w:rPr>
          <w:rFonts w:ascii="Gautami" w:eastAsia="Calibri" w:hAnsi="Gautami" w:cs="Times New Roman"/>
          <w:sz w:val="20"/>
        </w:rPr>
      </w:pPr>
      <w:r>
        <w:rPr>
          <w:rFonts w:ascii="Gautami" w:eastAsia="Calibri" w:hAnsi="Gautami" w:cs="Times New Roman"/>
          <w:sz w:val="20"/>
        </w:rPr>
        <w:t>Vegetation management</w:t>
      </w:r>
    </w:p>
    <w:p w:rsidR="009B69E4" w:rsidRPr="009B69E4" w:rsidRDefault="009B69E4" w:rsidP="009B69E4">
      <w:pPr>
        <w:pStyle w:val="ListParagraph"/>
        <w:numPr>
          <w:ilvl w:val="0"/>
          <w:numId w:val="11"/>
        </w:numPr>
        <w:rPr>
          <w:rFonts w:cstheme="minorHAnsi"/>
        </w:rPr>
      </w:pPr>
      <w:r>
        <w:t xml:space="preserve">NSPs to </w:t>
      </w:r>
      <w:r w:rsidR="008F62E9">
        <w:t xml:space="preserve">confirm </w:t>
      </w:r>
      <w:r>
        <w:t>what information in the indicative templates could be obtained from contractual arrangements.</w:t>
      </w:r>
    </w:p>
    <w:p w:rsidR="00BE5AE4" w:rsidRPr="009B69E4" w:rsidRDefault="00BE5AE4" w:rsidP="009B69E4">
      <w:pPr>
        <w:pStyle w:val="ListParagraph"/>
        <w:numPr>
          <w:ilvl w:val="0"/>
          <w:numId w:val="11"/>
        </w:numPr>
        <w:rPr>
          <w:rFonts w:cstheme="minorHAnsi"/>
        </w:rPr>
      </w:pPr>
      <w:r w:rsidRPr="009B69E4">
        <w:rPr>
          <w:rFonts w:cstheme="minorHAnsi"/>
        </w:rPr>
        <w:t>SP AusNet to confirm whether and what information it collects relating to terrain.</w:t>
      </w:r>
    </w:p>
    <w:p w:rsidR="00BE5AE4" w:rsidRPr="009B69E4" w:rsidRDefault="00E13318" w:rsidP="009B69E4">
      <w:pPr>
        <w:pStyle w:val="ListParagraph"/>
        <w:numPr>
          <w:ilvl w:val="0"/>
          <w:numId w:val="11"/>
        </w:numPr>
        <w:rPr>
          <w:rFonts w:cstheme="minorHAnsi"/>
        </w:rPr>
      </w:pPr>
      <w:r>
        <w:rPr>
          <w:rFonts w:cstheme="minorHAnsi"/>
        </w:rPr>
        <w:t>CitiPower/Powercor</w:t>
      </w:r>
      <w:r w:rsidR="00BE5AE4" w:rsidRPr="009B69E4">
        <w:rPr>
          <w:rFonts w:cstheme="minorHAnsi"/>
        </w:rPr>
        <w:t xml:space="preserve"> </w:t>
      </w:r>
      <w:r w:rsidR="00680EDA">
        <w:rPr>
          <w:rFonts w:cstheme="minorHAnsi"/>
        </w:rPr>
        <w:t>to</w:t>
      </w:r>
      <w:r w:rsidR="00BE5AE4" w:rsidRPr="009B69E4">
        <w:rPr>
          <w:rFonts w:cstheme="minorHAnsi"/>
        </w:rPr>
        <w:t xml:space="preserve"> provide more detailed feedback on what data they collect.</w:t>
      </w:r>
    </w:p>
    <w:p w:rsidR="009B69E4" w:rsidRDefault="00721E0C" w:rsidP="00721E0C">
      <w:pPr>
        <w:pStyle w:val="Heading3"/>
        <w:rPr>
          <w:rFonts w:ascii="Gautami" w:eastAsia="Calibri" w:hAnsi="Gautami" w:cs="Times New Roman"/>
          <w:sz w:val="20"/>
        </w:rPr>
      </w:pPr>
      <w:r>
        <w:rPr>
          <w:rFonts w:ascii="Gautami" w:eastAsia="Calibri" w:hAnsi="Gautami" w:cs="Times New Roman"/>
          <w:sz w:val="20"/>
        </w:rPr>
        <w:t xml:space="preserve">Maintenance </w:t>
      </w:r>
    </w:p>
    <w:p w:rsidR="009B69E4" w:rsidRDefault="00FD3B45" w:rsidP="00FD3B45">
      <w:pPr>
        <w:pStyle w:val="ListParagraph"/>
        <w:numPr>
          <w:ilvl w:val="0"/>
          <w:numId w:val="11"/>
        </w:numPr>
        <w:rPr>
          <w:rFonts w:cstheme="minorHAnsi"/>
        </w:rPr>
      </w:pPr>
      <w:r w:rsidRPr="00FD3B45">
        <w:rPr>
          <w:rFonts w:cstheme="minorHAnsi"/>
        </w:rPr>
        <w:t>NSPs to provide more feedback on what detailed data they collect (by asset groups and subcategories)</w:t>
      </w:r>
    </w:p>
    <w:p w:rsidR="00C74576" w:rsidRPr="00FD3B45" w:rsidRDefault="00C74576" w:rsidP="00FD3B45">
      <w:pPr>
        <w:pStyle w:val="ListParagraph"/>
        <w:numPr>
          <w:ilvl w:val="0"/>
          <w:numId w:val="11"/>
        </w:numPr>
        <w:rPr>
          <w:rFonts w:cstheme="minorHAnsi"/>
        </w:rPr>
      </w:pPr>
      <w:r>
        <w:rPr>
          <w:rFonts w:cstheme="minorHAnsi"/>
        </w:rPr>
        <w:t>AER staff to discuss with NSPs mapping their existing maintenance expenditure into Routine and Non-Routine.</w:t>
      </w:r>
    </w:p>
    <w:p w:rsidR="00721E0C" w:rsidRPr="00025139" w:rsidRDefault="009B69E4" w:rsidP="00721E0C">
      <w:pPr>
        <w:pStyle w:val="Heading3"/>
        <w:rPr>
          <w:rFonts w:ascii="Gautami" w:eastAsia="Calibri" w:hAnsi="Gautami" w:cs="Times New Roman"/>
          <w:sz w:val="20"/>
        </w:rPr>
      </w:pPr>
      <w:r>
        <w:rPr>
          <w:rFonts w:ascii="Gautami" w:eastAsia="Calibri" w:hAnsi="Gautami" w:cs="Times New Roman"/>
          <w:sz w:val="20"/>
        </w:rPr>
        <w:t>E</w:t>
      </w:r>
      <w:r w:rsidR="00721E0C">
        <w:rPr>
          <w:rFonts w:ascii="Gautami" w:eastAsia="Calibri" w:hAnsi="Gautami" w:cs="Times New Roman"/>
          <w:sz w:val="20"/>
        </w:rPr>
        <w:t>mergency response</w:t>
      </w:r>
    </w:p>
    <w:p w:rsidR="009B69E4" w:rsidRDefault="00FD3B45" w:rsidP="00FD3B45">
      <w:pPr>
        <w:pStyle w:val="ListParagraph"/>
        <w:numPr>
          <w:ilvl w:val="0"/>
          <w:numId w:val="11"/>
        </w:numPr>
        <w:rPr>
          <w:rFonts w:cstheme="minorHAnsi"/>
        </w:rPr>
      </w:pPr>
      <w:r w:rsidRPr="00FD3B45">
        <w:rPr>
          <w:rFonts w:cstheme="minorHAnsi"/>
        </w:rPr>
        <w:t>NSPs to provide more feedback on what detailed data they collect (by causes)</w:t>
      </w:r>
    </w:p>
    <w:p w:rsidR="00C74576" w:rsidRPr="00917F9B" w:rsidRDefault="00C74576" w:rsidP="00917F9B">
      <w:pPr>
        <w:pStyle w:val="ListParagraph"/>
        <w:numPr>
          <w:ilvl w:val="0"/>
          <w:numId w:val="11"/>
        </w:numPr>
        <w:rPr>
          <w:rFonts w:cstheme="minorHAnsi"/>
        </w:rPr>
      </w:pPr>
      <w:r>
        <w:rPr>
          <w:rFonts w:cstheme="minorHAnsi"/>
        </w:rPr>
        <w:t>AER staff to discuss with NSPs mapping their existing emergency response expenditure into Emergency Response.</w:t>
      </w:r>
    </w:p>
    <w:p w:rsidR="00721E0C" w:rsidRPr="00025139" w:rsidRDefault="00721E0C" w:rsidP="00721E0C">
      <w:pPr>
        <w:pStyle w:val="Heading3"/>
        <w:rPr>
          <w:rFonts w:ascii="Gautami" w:eastAsia="Calibri" w:hAnsi="Gautami" w:cs="Times New Roman"/>
          <w:sz w:val="20"/>
        </w:rPr>
      </w:pPr>
      <w:r>
        <w:rPr>
          <w:rFonts w:ascii="Gautami" w:eastAsia="Calibri" w:hAnsi="Gautami" w:cs="Times New Roman"/>
          <w:sz w:val="20"/>
        </w:rPr>
        <w:t>Overheads</w:t>
      </w:r>
    </w:p>
    <w:p w:rsidR="008F62E9" w:rsidRDefault="00C74576" w:rsidP="008F62E9">
      <w:pPr>
        <w:pStyle w:val="ListParagraph"/>
        <w:numPr>
          <w:ilvl w:val="0"/>
          <w:numId w:val="11"/>
        </w:numPr>
        <w:rPr>
          <w:rFonts w:cstheme="minorHAnsi"/>
        </w:rPr>
      </w:pPr>
      <w:r w:rsidRPr="00C74576">
        <w:rPr>
          <w:rFonts w:cstheme="minorHAnsi"/>
        </w:rPr>
        <w:t xml:space="preserve">AER staff to </w:t>
      </w:r>
      <w:r w:rsidR="008F62E9">
        <w:rPr>
          <w:rFonts w:cstheme="minorHAnsi"/>
        </w:rPr>
        <w:t>ensure templates enable expenditure to be identified as c</w:t>
      </w:r>
      <w:r w:rsidRPr="00C74576">
        <w:rPr>
          <w:rFonts w:cstheme="minorHAnsi"/>
        </w:rPr>
        <w:t xml:space="preserve">apex </w:t>
      </w:r>
      <w:r w:rsidR="008F62E9">
        <w:rPr>
          <w:rFonts w:cstheme="minorHAnsi"/>
        </w:rPr>
        <w:t>or</w:t>
      </w:r>
      <w:r w:rsidR="008F62E9" w:rsidRPr="00C74576">
        <w:rPr>
          <w:rFonts w:cstheme="minorHAnsi"/>
        </w:rPr>
        <w:t xml:space="preserve"> </w:t>
      </w:r>
      <w:r w:rsidR="008F62E9">
        <w:rPr>
          <w:rFonts w:cstheme="minorHAnsi"/>
        </w:rPr>
        <w:t>o</w:t>
      </w:r>
      <w:r w:rsidRPr="00C74576">
        <w:rPr>
          <w:rFonts w:cstheme="minorHAnsi"/>
        </w:rPr>
        <w:t>pex</w:t>
      </w:r>
    </w:p>
    <w:p w:rsidR="00C74576" w:rsidRPr="00680EDA" w:rsidRDefault="00C74576" w:rsidP="008F62E9">
      <w:pPr>
        <w:pStyle w:val="ListParagraph"/>
        <w:numPr>
          <w:ilvl w:val="0"/>
          <w:numId w:val="11"/>
        </w:numPr>
        <w:rPr>
          <w:rFonts w:cstheme="minorHAnsi"/>
        </w:rPr>
      </w:pPr>
      <w:r w:rsidRPr="00C74576">
        <w:rPr>
          <w:rFonts w:cstheme="minorHAnsi"/>
        </w:rPr>
        <w:t>AER staff to determine where in the template Metering Services (AMI) shoul</w:t>
      </w:r>
      <w:r w:rsidRPr="00E31E03">
        <w:rPr>
          <w:rFonts w:cstheme="minorHAnsi"/>
        </w:rPr>
        <w:t>d be reported by VIC DNSPs.</w:t>
      </w:r>
    </w:p>
    <w:p w:rsidR="009B69E4" w:rsidRPr="00025139" w:rsidRDefault="009B69E4" w:rsidP="009B69E4">
      <w:pPr>
        <w:pStyle w:val="Heading3"/>
        <w:rPr>
          <w:rFonts w:ascii="Gautami" w:eastAsia="Calibri" w:hAnsi="Gautami" w:cs="Times New Roman"/>
          <w:sz w:val="20"/>
        </w:rPr>
      </w:pPr>
      <w:r>
        <w:rPr>
          <w:rFonts w:ascii="Gautami" w:eastAsia="Calibri" w:hAnsi="Gautami" w:cs="Times New Roman"/>
          <w:sz w:val="20"/>
        </w:rPr>
        <w:t>Other</w:t>
      </w:r>
    </w:p>
    <w:p w:rsidR="008F62E9" w:rsidRDefault="009B69E4" w:rsidP="008F62E9">
      <w:pPr>
        <w:pStyle w:val="ListParagraph"/>
        <w:numPr>
          <w:ilvl w:val="0"/>
          <w:numId w:val="11"/>
        </w:numPr>
        <w:rPr>
          <w:rFonts w:cstheme="minorHAnsi"/>
        </w:rPr>
      </w:pPr>
      <w:r w:rsidRPr="00E31E03">
        <w:rPr>
          <w:rFonts w:cstheme="minorHAnsi"/>
        </w:rPr>
        <w:t>When issuing the draft RIN, the AER would provide a statement explaining changes with respect to the indicative category templates</w:t>
      </w:r>
      <w:r w:rsidR="008F62E9">
        <w:rPr>
          <w:rFonts w:cstheme="minorHAnsi"/>
        </w:rPr>
        <w:t>.</w:t>
      </w:r>
    </w:p>
    <w:p w:rsidR="004F1025" w:rsidRPr="004F1025" w:rsidRDefault="004F1025" w:rsidP="004F1025">
      <w:pPr>
        <w:pStyle w:val="Heading2"/>
        <w:keepLines w:val="0"/>
        <w:spacing w:before="240" w:after="60"/>
        <w:rPr>
          <w:rFonts w:ascii="Gautami" w:eastAsia="Times New Roman" w:hAnsi="Gautami" w:cs="Gautami"/>
          <w:i/>
          <w:iCs/>
          <w:color w:val="auto"/>
          <w:sz w:val="20"/>
          <w:szCs w:val="20"/>
        </w:rPr>
      </w:pPr>
      <w:r w:rsidRPr="004F1025">
        <w:rPr>
          <w:rFonts w:ascii="Gautami" w:eastAsia="Times New Roman" w:hAnsi="Gautami" w:cs="Gautami"/>
          <w:i/>
          <w:iCs/>
          <w:color w:val="auto"/>
          <w:sz w:val="20"/>
          <w:szCs w:val="20"/>
        </w:rPr>
        <w:t>Attachment A: Attendee list</w:t>
      </w:r>
    </w:p>
    <w:p w:rsidR="003A41D8" w:rsidRPr="004F1025" w:rsidRDefault="00630577" w:rsidP="004F1025">
      <w:pPr>
        <w:pStyle w:val="Heading3"/>
        <w:keepLines w:val="0"/>
        <w:spacing w:before="240" w:after="60"/>
        <w:rPr>
          <w:rFonts w:ascii="Gautami" w:hAnsi="Gautami" w:cs="Gautami"/>
          <w:color w:val="auto"/>
          <w:sz w:val="20"/>
          <w:szCs w:val="20"/>
        </w:rPr>
      </w:pPr>
      <w:r>
        <w:rPr>
          <w:rFonts w:ascii="Gautami" w:hAnsi="Gautami" w:cs="Gautami"/>
          <w:color w:val="auto"/>
          <w:sz w:val="20"/>
          <w:szCs w:val="20"/>
        </w:rPr>
        <w:t>Melbourne</w:t>
      </w:r>
      <w:r w:rsidR="003A41D8" w:rsidRPr="004F1025">
        <w:rPr>
          <w:rFonts w:ascii="Gautami" w:hAnsi="Gautami" w:cs="Gautami"/>
          <w:color w:val="auto"/>
          <w:sz w:val="20"/>
          <w:szCs w:val="20"/>
        </w:rPr>
        <w:t xml:space="preserve"> office</w:t>
      </w:r>
    </w:p>
    <w:tbl>
      <w:tblPr>
        <w:tblW w:w="6108"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22"/>
        <w:gridCol w:w="3686"/>
      </w:tblGrid>
      <w:tr w:rsidR="003A41D8" w:rsidTr="003A41D8">
        <w:trPr>
          <w:trHeight w:val="300"/>
        </w:trPr>
        <w:tc>
          <w:tcPr>
            <w:tcW w:w="2422" w:type="dxa"/>
            <w:tcBorders>
              <w:top w:val="single" w:sz="4" w:space="0" w:color="auto"/>
              <w:left w:val="single" w:sz="4" w:space="0" w:color="auto"/>
              <w:bottom w:val="single" w:sz="4" w:space="0" w:color="auto"/>
              <w:right w:val="single" w:sz="4" w:space="0" w:color="auto"/>
            </w:tcBorders>
            <w:noWrap/>
            <w:vAlign w:val="bottom"/>
            <w:hideMark/>
          </w:tcPr>
          <w:p w:rsidR="003A41D8" w:rsidRDefault="003A41D8">
            <w:pPr>
              <w:spacing w:after="0" w:line="240" w:lineRule="auto"/>
              <w:rPr>
                <w:rFonts w:ascii="Gautami" w:hAnsi="Gautami" w:cs="Gautami"/>
                <w:b/>
                <w:sz w:val="20"/>
                <w:szCs w:val="20"/>
                <w:lang w:eastAsia="en-AU"/>
              </w:rPr>
            </w:pPr>
            <w:r>
              <w:rPr>
                <w:rFonts w:ascii="Gautami" w:hAnsi="Gautami" w:cs="Gautami"/>
                <w:b/>
                <w:sz w:val="20"/>
                <w:szCs w:val="20"/>
                <w:lang w:eastAsia="en-AU"/>
              </w:rPr>
              <w:t>Name</w:t>
            </w:r>
          </w:p>
        </w:tc>
        <w:tc>
          <w:tcPr>
            <w:tcW w:w="3686" w:type="dxa"/>
            <w:tcBorders>
              <w:top w:val="single" w:sz="4" w:space="0" w:color="auto"/>
              <w:left w:val="single" w:sz="4" w:space="0" w:color="auto"/>
              <w:bottom w:val="single" w:sz="4" w:space="0" w:color="auto"/>
              <w:right w:val="single" w:sz="4" w:space="0" w:color="auto"/>
            </w:tcBorders>
            <w:noWrap/>
            <w:vAlign w:val="bottom"/>
            <w:hideMark/>
          </w:tcPr>
          <w:p w:rsidR="003A41D8" w:rsidRDefault="003A41D8">
            <w:pPr>
              <w:spacing w:after="0" w:line="240" w:lineRule="auto"/>
              <w:ind w:right="-825"/>
              <w:rPr>
                <w:rFonts w:ascii="Gautami" w:hAnsi="Gautami" w:cs="Gautami"/>
                <w:b/>
                <w:sz w:val="20"/>
                <w:szCs w:val="20"/>
                <w:lang w:eastAsia="en-AU"/>
              </w:rPr>
            </w:pPr>
            <w:r>
              <w:rPr>
                <w:rFonts w:ascii="Gautami" w:hAnsi="Gautami" w:cs="Gautami"/>
                <w:b/>
                <w:sz w:val="20"/>
                <w:szCs w:val="20"/>
                <w:lang w:eastAsia="en-AU"/>
              </w:rPr>
              <w:t>Organisation</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Neil Watt</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CitiPower/Powercor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Peter Livingstone</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United Energy</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Stephanie McDougall</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United Energy</w:t>
            </w:r>
          </w:p>
        </w:tc>
      </w:tr>
      <w:tr w:rsidR="004F1025"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EE2E64">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 xml:space="preserve">Eugene </w:t>
            </w:r>
            <w:r w:rsidR="00EE2E64">
              <w:rPr>
                <w:rFonts w:ascii="Gautami" w:eastAsia="Times New Roman" w:hAnsi="Gautami" w:cs="Gautami"/>
                <w:sz w:val="20"/>
                <w:szCs w:val="20"/>
                <w:lang w:eastAsia="en-AU"/>
              </w:rPr>
              <w:t xml:space="preserve">Whittaker </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Jemena</w:t>
            </w:r>
          </w:p>
        </w:tc>
      </w:tr>
      <w:tr w:rsidR="004F1025"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EE2E64">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 xml:space="preserve">Peter </w:t>
            </w:r>
            <w:r w:rsidR="00EE2E64">
              <w:rPr>
                <w:rFonts w:ascii="Gautami" w:eastAsia="Times New Roman" w:hAnsi="Gautami" w:cs="Gautami"/>
                <w:sz w:val="20"/>
                <w:szCs w:val="20"/>
                <w:lang w:eastAsia="en-AU"/>
              </w:rPr>
              <w:t>Le</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Jemena</w:t>
            </w:r>
          </w:p>
        </w:tc>
      </w:tr>
      <w:tr w:rsidR="004F1025"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Eli Grace-Webb</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Jemena</w:t>
            </w:r>
          </w:p>
        </w:tc>
      </w:tr>
      <w:tr w:rsidR="004F1025"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Jon Chan</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Jemena</w:t>
            </w:r>
          </w:p>
        </w:tc>
      </w:tr>
      <w:tr w:rsidR="004F1025"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tcPr>
          <w:p w:rsid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Katie Yates</w:t>
            </w:r>
          </w:p>
        </w:tc>
        <w:tc>
          <w:tcPr>
            <w:tcW w:w="3686" w:type="dxa"/>
            <w:tcBorders>
              <w:top w:val="single" w:sz="4" w:space="0" w:color="auto"/>
              <w:left w:val="single" w:sz="4" w:space="0" w:color="auto"/>
              <w:bottom w:val="single" w:sz="4" w:space="0" w:color="auto"/>
              <w:right w:val="single" w:sz="4" w:space="0" w:color="auto"/>
            </w:tcBorders>
            <w:noWrap/>
            <w:vAlign w:val="center"/>
          </w:tcPr>
          <w:p w:rsidR="004F1025"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SP AusNet</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Pr>
                <w:rFonts w:ascii="Gautami" w:eastAsia="Times New Roman" w:hAnsi="Gautami" w:cs="Gautami"/>
                <w:sz w:val="20"/>
                <w:szCs w:val="20"/>
                <w:lang w:eastAsia="en-AU"/>
              </w:rPr>
              <w:t>Lawrence Irlam</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Pr>
                <w:rFonts w:ascii="Gautami" w:eastAsia="Times New Roman" w:hAnsi="Gautami" w:cs="Gautami"/>
                <w:sz w:val="20"/>
                <w:szCs w:val="20"/>
                <w:lang w:eastAsia="en-AU"/>
              </w:rPr>
              <w:t>Esmond Smith</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Pr>
                <w:rFonts w:ascii="Gautami" w:eastAsia="Times New Roman" w:hAnsi="Gautami" w:cs="Gautami"/>
                <w:sz w:val="20"/>
                <w:szCs w:val="20"/>
                <w:lang w:eastAsia="en-AU"/>
              </w:rPr>
              <w:t>Max Hooper</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Pr>
                <w:rFonts w:ascii="Gautami" w:eastAsia="Times New Roman" w:hAnsi="Gautami" w:cs="Gautami"/>
                <w:sz w:val="20"/>
                <w:szCs w:val="20"/>
                <w:lang w:eastAsia="en-AU"/>
              </w:rPr>
              <w:t>Jess Manahan</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Pr>
                <w:rFonts w:ascii="Gautami" w:eastAsia="Times New Roman" w:hAnsi="Gautami" w:cs="Gautami"/>
                <w:sz w:val="20"/>
                <w:szCs w:val="20"/>
                <w:lang w:eastAsia="en-AU"/>
              </w:rPr>
              <w:t>Anthony Hynes</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Pr>
                <w:rFonts w:ascii="Gautami" w:eastAsia="Times New Roman" w:hAnsi="Gautami" w:cs="Gautami"/>
                <w:sz w:val="20"/>
                <w:szCs w:val="20"/>
                <w:lang w:eastAsia="en-AU"/>
              </w:rPr>
              <w:t>Cameron Smith</w:t>
            </w:r>
          </w:p>
        </w:tc>
        <w:tc>
          <w:tcPr>
            <w:tcW w:w="3686" w:type="dxa"/>
            <w:tcBorders>
              <w:top w:val="single" w:sz="4" w:space="0" w:color="auto"/>
              <w:left w:val="single" w:sz="4" w:space="0" w:color="auto"/>
              <w:bottom w:val="single" w:sz="4" w:space="0" w:color="auto"/>
              <w:right w:val="single" w:sz="4" w:space="0" w:color="auto"/>
            </w:tcBorders>
            <w:noWrap/>
            <w:vAlign w:val="center"/>
            <w:hideMark/>
          </w:tcPr>
          <w:p w:rsidR="003A41D8" w:rsidRPr="004F1025" w:rsidRDefault="003A41D8"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r w:rsidR="003A41D8" w:rsidTr="00D3609E">
        <w:trPr>
          <w:trHeight w:val="300"/>
        </w:trPr>
        <w:tc>
          <w:tcPr>
            <w:tcW w:w="2422" w:type="dxa"/>
            <w:tcBorders>
              <w:top w:val="single" w:sz="4" w:space="0" w:color="auto"/>
              <w:left w:val="single" w:sz="4" w:space="0" w:color="auto"/>
              <w:bottom w:val="single" w:sz="4" w:space="0" w:color="auto"/>
              <w:right w:val="single" w:sz="4" w:space="0" w:color="auto"/>
            </w:tcBorders>
            <w:noWrap/>
            <w:vAlign w:val="center"/>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Israel del Mundo</w:t>
            </w:r>
          </w:p>
        </w:tc>
        <w:tc>
          <w:tcPr>
            <w:tcW w:w="3686" w:type="dxa"/>
            <w:tcBorders>
              <w:top w:val="single" w:sz="4" w:space="0" w:color="auto"/>
              <w:left w:val="single" w:sz="4" w:space="0" w:color="auto"/>
              <w:bottom w:val="single" w:sz="4" w:space="0" w:color="auto"/>
              <w:right w:val="single" w:sz="4" w:space="0" w:color="auto"/>
            </w:tcBorders>
            <w:noWrap/>
            <w:vAlign w:val="center"/>
          </w:tcPr>
          <w:p w:rsidR="003A41D8" w:rsidRPr="004F1025" w:rsidRDefault="004F1025" w:rsidP="00D3609E">
            <w:pPr>
              <w:spacing w:after="0" w:line="240" w:lineRule="auto"/>
              <w:rPr>
                <w:rFonts w:ascii="Gautami" w:eastAsia="Times New Roman" w:hAnsi="Gautami" w:cs="Gautami"/>
                <w:sz w:val="20"/>
                <w:szCs w:val="20"/>
                <w:lang w:eastAsia="en-AU"/>
              </w:rPr>
            </w:pPr>
            <w:r w:rsidRPr="004F1025">
              <w:rPr>
                <w:rFonts w:ascii="Gautami" w:eastAsia="Times New Roman" w:hAnsi="Gautami" w:cs="Gautami"/>
                <w:sz w:val="20"/>
                <w:szCs w:val="20"/>
                <w:lang w:eastAsia="en-AU"/>
              </w:rPr>
              <w:t>AER</w:t>
            </w:r>
          </w:p>
        </w:tc>
      </w:tr>
    </w:tbl>
    <w:p w:rsidR="003A41D8" w:rsidRDefault="003A41D8" w:rsidP="003A41D8">
      <w:pPr>
        <w:spacing w:after="0" w:line="240" w:lineRule="auto"/>
        <w:rPr>
          <w:rFonts w:ascii="Gautami" w:eastAsia="Times New Roman" w:hAnsi="Gautami" w:cs="Gautami"/>
          <w:b/>
          <w:sz w:val="20"/>
          <w:szCs w:val="20"/>
          <w:lang w:val="en-GB" w:eastAsia="en-AU"/>
        </w:rPr>
      </w:pPr>
    </w:p>
    <w:p w:rsidR="003A41D8" w:rsidRPr="004F1025" w:rsidRDefault="004F1025" w:rsidP="004F1025">
      <w:pPr>
        <w:pStyle w:val="Heading3"/>
        <w:keepLines w:val="0"/>
        <w:spacing w:before="240" w:after="60"/>
        <w:rPr>
          <w:rFonts w:ascii="Gautami" w:hAnsi="Gautami" w:cs="Gautami"/>
          <w:color w:val="auto"/>
          <w:sz w:val="20"/>
          <w:szCs w:val="20"/>
        </w:rPr>
      </w:pPr>
      <w:r>
        <w:rPr>
          <w:rFonts w:ascii="Gautami" w:hAnsi="Gautami" w:cs="Gautami"/>
          <w:color w:val="auto"/>
          <w:sz w:val="20"/>
          <w:szCs w:val="20"/>
        </w:rPr>
        <w:t>Canberra office</w:t>
      </w:r>
    </w:p>
    <w:tbl>
      <w:tblPr>
        <w:tblW w:w="6108"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22"/>
        <w:gridCol w:w="3686"/>
      </w:tblGrid>
      <w:tr w:rsidR="003A41D8" w:rsidTr="003A41D8">
        <w:trPr>
          <w:trHeight w:val="300"/>
        </w:trPr>
        <w:tc>
          <w:tcPr>
            <w:tcW w:w="2422" w:type="dxa"/>
            <w:tcBorders>
              <w:top w:val="single" w:sz="4" w:space="0" w:color="auto"/>
              <w:left w:val="single" w:sz="4" w:space="0" w:color="auto"/>
              <w:bottom w:val="single" w:sz="4" w:space="0" w:color="auto"/>
              <w:right w:val="single" w:sz="4" w:space="0" w:color="auto"/>
            </w:tcBorders>
            <w:noWrap/>
            <w:vAlign w:val="bottom"/>
            <w:hideMark/>
          </w:tcPr>
          <w:p w:rsidR="003A41D8" w:rsidRDefault="003A41D8">
            <w:pPr>
              <w:spacing w:after="0" w:line="240" w:lineRule="auto"/>
              <w:rPr>
                <w:rFonts w:ascii="Gautami" w:hAnsi="Gautami" w:cs="Gautami"/>
                <w:b/>
                <w:sz w:val="20"/>
                <w:szCs w:val="20"/>
                <w:lang w:eastAsia="en-AU"/>
              </w:rPr>
            </w:pPr>
            <w:r>
              <w:rPr>
                <w:rFonts w:ascii="Gautami" w:hAnsi="Gautami" w:cs="Gautami"/>
                <w:b/>
                <w:sz w:val="20"/>
                <w:szCs w:val="20"/>
                <w:lang w:eastAsia="en-AU"/>
              </w:rPr>
              <w:t>Name</w:t>
            </w:r>
          </w:p>
        </w:tc>
        <w:tc>
          <w:tcPr>
            <w:tcW w:w="3686" w:type="dxa"/>
            <w:tcBorders>
              <w:top w:val="single" w:sz="4" w:space="0" w:color="auto"/>
              <w:left w:val="single" w:sz="4" w:space="0" w:color="auto"/>
              <w:bottom w:val="single" w:sz="4" w:space="0" w:color="auto"/>
              <w:right w:val="single" w:sz="4" w:space="0" w:color="auto"/>
            </w:tcBorders>
            <w:noWrap/>
            <w:vAlign w:val="bottom"/>
            <w:hideMark/>
          </w:tcPr>
          <w:p w:rsidR="003A41D8" w:rsidRDefault="003A41D8">
            <w:pPr>
              <w:spacing w:after="0" w:line="240" w:lineRule="auto"/>
              <w:ind w:right="-825"/>
              <w:rPr>
                <w:rFonts w:ascii="Gautami" w:hAnsi="Gautami" w:cs="Gautami"/>
                <w:b/>
                <w:sz w:val="20"/>
                <w:szCs w:val="20"/>
                <w:lang w:eastAsia="en-AU"/>
              </w:rPr>
            </w:pPr>
            <w:r>
              <w:rPr>
                <w:rFonts w:ascii="Gautami" w:hAnsi="Gautami" w:cs="Gautami"/>
                <w:b/>
                <w:sz w:val="20"/>
                <w:szCs w:val="20"/>
                <w:lang w:eastAsia="en-AU"/>
              </w:rPr>
              <w:t>Organisation</w:t>
            </w:r>
          </w:p>
        </w:tc>
      </w:tr>
      <w:tr w:rsidR="003A41D8" w:rsidTr="003A41D8">
        <w:trPr>
          <w:trHeight w:val="300"/>
        </w:trPr>
        <w:tc>
          <w:tcPr>
            <w:tcW w:w="2422" w:type="dxa"/>
            <w:tcBorders>
              <w:top w:val="single" w:sz="4" w:space="0" w:color="auto"/>
              <w:left w:val="single" w:sz="4" w:space="0" w:color="auto"/>
              <w:bottom w:val="single" w:sz="4" w:space="0" w:color="auto"/>
              <w:right w:val="single" w:sz="4" w:space="0" w:color="auto"/>
            </w:tcBorders>
            <w:noWrap/>
            <w:vAlign w:val="bottom"/>
            <w:hideMark/>
          </w:tcPr>
          <w:p w:rsidR="003A41D8" w:rsidRDefault="003A41D8">
            <w:pPr>
              <w:spacing w:after="0" w:line="240" w:lineRule="auto"/>
              <w:rPr>
                <w:rFonts w:ascii="Gautami" w:hAnsi="Gautami" w:cs="Gautami"/>
                <w:sz w:val="20"/>
                <w:szCs w:val="20"/>
                <w:lang w:eastAsia="en-AU"/>
              </w:rPr>
            </w:pPr>
            <w:r>
              <w:rPr>
                <w:rFonts w:ascii="Gautami" w:eastAsia="Times New Roman" w:hAnsi="Gautami" w:cs="Gautami"/>
                <w:sz w:val="20"/>
                <w:szCs w:val="20"/>
                <w:lang w:eastAsia="en-AU"/>
              </w:rPr>
              <w:t>Yili Zhu</w:t>
            </w:r>
          </w:p>
        </w:tc>
        <w:tc>
          <w:tcPr>
            <w:tcW w:w="3686" w:type="dxa"/>
            <w:tcBorders>
              <w:top w:val="single" w:sz="4" w:space="0" w:color="auto"/>
              <w:left w:val="single" w:sz="4" w:space="0" w:color="auto"/>
              <w:bottom w:val="single" w:sz="4" w:space="0" w:color="auto"/>
              <w:right w:val="single" w:sz="4" w:space="0" w:color="auto"/>
            </w:tcBorders>
            <w:noWrap/>
            <w:vAlign w:val="bottom"/>
            <w:hideMark/>
          </w:tcPr>
          <w:p w:rsidR="003A41D8" w:rsidRDefault="004F1025" w:rsidP="004F1025">
            <w:pPr>
              <w:spacing w:after="0" w:line="240" w:lineRule="auto"/>
              <w:rPr>
                <w:rFonts w:ascii="Gautami" w:hAnsi="Gautami" w:cs="Gautami"/>
                <w:sz w:val="20"/>
                <w:szCs w:val="20"/>
                <w:lang w:eastAsia="en-AU"/>
              </w:rPr>
            </w:pPr>
            <w:r>
              <w:rPr>
                <w:rFonts w:ascii="Gautami" w:hAnsi="Gautami" w:cs="Gautami"/>
                <w:sz w:val="20"/>
                <w:szCs w:val="20"/>
                <w:lang w:eastAsia="en-AU"/>
              </w:rPr>
              <w:t>AER</w:t>
            </w:r>
          </w:p>
        </w:tc>
      </w:tr>
    </w:tbl>
    <w:p w:rsidR="003A41D8" w:rsidRDefault="003A41D8" w:rsidP="003A41D8">
      <w:pPr>
        <w:spacing w:after="0" w:line="240" w:lineRule="auto"/>
        <w:rPr>
          <w:rFonts w:ascii="Times New Roman" w:eastAsia="Times New Roman" w:hAnsi="Times New Roman" w:cs="Times New Roman"/>
          <w:b/>
          <w:sz w:val="28"/>
          <w:szCs w:val="20"/>
          <w:lang w:val="en-GB" w:eastAsia="en-AU"/>
        </w:rPr>
      </w:pPr>
    </w:p>
    <w:sectPr w:rsidR="003A41D8" w:rsidSect="00104F29">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1505" w:rsidRDefault="000D1505" w:rsidP="00C953A2">
      <w:pPr>
        <w:spacing w:after="0" w:line="240" w:lineRule="auto"/>
      </w:pPr>
      <w:r>
        <w:separator/>
      </w:r>
    </w:p>
  </w:endnote>
  <w:endnote w:type="continuationSeparator" w:id="0">
    <w:p w:rsidR="000D1505" w:rsidRDefault="000D1505" w:rsidP="00C953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Gautami">
    <w:panose1 w:val="02000500000000000000"/>
    <w:charset w:val="00"/>
    <w:family w:val="auto"/>
    <w:pitch w:val="variable"/>
    <w:sig w:usb0="002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505" w:rsidRDefault="000D1505">
    <w:pPr>
      <w:pStyle w:val="Footer"/>
      <w:jc w:val="right"/>
    </w:pPr>
    <w:r>
      <w:fldChar w:fldCharType="begin"/>
    </w:r>
    <w:r>
      <w:instrText xml:space="preserve"> PAGE   \* MERGEFORMAT </w:instrText>
    </w:r>
    <w:r>
      <w:fldChar w:fldCharType="separate"/>
    </w:r>
    <w:r w:rsidR="00917F9B">
      <w:rPr>
        <w:noProof/>
      </w:rPr>
      <w:t>1</w:t>
    </w:r>
    <w:r>
      <w:rPr>
        <w:noProof/>
      </w:rPr>
      <w:fldChar w:fldCharType="end"/>
    </w:r>
  </w:p>
  <w:p w:rsidR="000D1505" w:rsidRDefault="000D15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1505" w:rsidRDefault="000D1505" w:rsidP="00C953A2">
      <w:pPr>
        <w:spacing w:after="0" w:line="240" w:lineRule="auto"/>
      </w:pPr>
      <w:r>
        <w:separator/>
      </w:r>
    </w:p>
  </w:footnote>
  <w:footnote w:type="continuationSeparator" w:id="0">
    <w:p w:rsidR="000D1505" w:rsidRDefault="000D1505" w:rsidP="00C953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1505" w:rsidRDefault="000D1505" w:rsidP="003A41D8">
    <w:pPr>
      <w:pStyle w:val="Header"/>
      <w:tabs>
        <w:tab w:val="clear" w:pos="4513"/>
        <w:tab w:val="clear" w:pos="9026"/>
        <w:tab w:val="left" w:pos="2541"/>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A2939"/>
    <w:multiLevelType w:val="hybridMultilevel"/>
    <w:tmpl w:val="5EC05B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492146D"/>
    <w:multiLevelType w:val="hybridMultilevel"/>
    <w:tmpl w:val="97D404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1DDD5520"/>
    <w:multiLevelType w:val="hybridMultilevel"/>
    <w:tmpl w:val="E366510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2DBB0D17"/>
    <w:multiLevelType w:val="hybridMultilevel"/>
    <w:tmpl w:val="D090C3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33074C81"/>
    <w:multiLevelType w:val="hybridMultilevel"/>
    <w:tmpl w:val="4734FA1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3AC30422"/>
    <w:multiLevelType w:val="hybridMultilevel"/>
    <w:tmpl w:val="9ACE79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409E2822"/>
    <w:multiLevelType w:val="hybridMultilevel"/>
    <w:tmpl w:val="E9505A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4AA14005"/>
    <w:multiLevelType w:val="hybridMultilevel"/>
    <w:tmpl w:val="A6E4F3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5D8575DF"/>
    <w:multiLevelType w:val="hybridMultilevel"/>
    <w:tmpl w:val="8BA23CA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604A34BF"/>
    <w:multiLevelType w:val="hybridMultilevel"/>
    <w:tmpl w:val="E9505A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66186A28"/>
    <w:multiLevelType w:val="hybridMultilevel"/>
    <w:tmpl w:val="5E4C1454"/>
    <w:lvl w:ilvl="0" w:tplc="81E48922">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67E472C6"/>
    <w:multiLevelType w:val="hybridMultilevel"/>
    <w:tmpl w:val="EC6ED2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68BD6FA5"/>
    <w:multiLevelType w:val="hybridMultilevel"/>
    <w:tmpl w:val="A9827E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6DAE70B1"/>
    <w:multiLevelType w:val="hybridMultilevel"/>
    <w:tmpl w:val="14DC7C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6DFC3AE8"/>
    <w:multiLevelType w:val="hybridMultilevel"/>
    <w:tmpl w:val="1A9AEA6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6E5E490D"/>
    <w:multiLevelType w:val="hybridMultilevel"/>
    <w:tmpl w:val="73FCF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6ECB22C7"/>
    <w:multiLevelType w:val="hybridMultilevel"/>
    <w:tmpl w:val="E3FAA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6"/>
  </w:num>
  <w:num w:numId="3">
    <w:abstractNumId w:val="7"/>
  </w:num>
  <w:num w:numId="4">
    <w:abstractNumId w:val="5"/>
  </w:num>
  <w:num w:numId="5">
    <w:abstractNumId w:val="10"/>
  </w:num>
  <w:num w:numId="6">
    <w:abstractNumId w:val="1"/>
  </w:num>
  <w:num w:numId="7">
    <w:abstractNumId w:val="9"/>
  </w:num>
  <w:num w:numId="8">
    <w:abstractNumId w:val="3"/>
  </w:num>
  <w:num w:numId="9">
    <w:abstractNumId w:val="15"/>
  </w:num>
  <w:num w:numId="10">
    <w:abstractNumId w:val="12"/>
  </w:num>
  <w:num w:numId="11">
    <w:abstractNumId w:val="6"/>
  </w:num>
  <w:num w:numId="12">
    <w:abstractNumId w:val="11"/>
  </w:num>
  <w:num w:numId="13">
    <w:abstractNumId w:val="8"/>
  </w:num>
  <w:num w:numId="14">
    <w:abstractNumId w:val="2"/>
  </w:num>
  <w:num w:numId="15">
    <w:abstractNumId w:val="14"/>
  </w:num>
  <w:num w:numId="16">
    <w:abstractNumId w:val="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3"/>
  <w:proofState w:spelling="clean" w:grammar="clean"/>
  <w:defaultTabStop w:val="720"/>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4896\D13 136277  Minutes for 23 September 2013.DOCX"/>
  </w:docVars>
  <w:rsids>
    <w:rsidRoot w:val="0097623A"/>
    <w:rsid w:val="00012B70"/>
    <w:rsid w:val="0001766B"/>
    <w:rsid w:val="00025139"/>
    <w:rsid w:val="00055546"/>
    <w:rsid w:val="0006060E"/>
    <w:rsid w:val="0006628E"/>
    <w:rsid w:val="00076EC8"/>
    <w:rsid w:val="0008668A"/>
    <w:rsid w:val="000D1505"/>
    <w:rsid w:val="000E5992"/>
    <w:rsid w:val="000F0E8B"/>
    <w:rsid w:val="00104F29"/>
    <w:rsid w:val="00127C9F"/>
    <w:rsid w:val="00195BF7"/>
    <w:rsid w:val="001A6E2E"/>
    <w:rsid w:val="001B2B07"/>
    <w:rsid w:val="00214399"/>
    <w:rsid w:val="00254263"/>
    <w:rsid w:val="0026164B"/>
    <w:rsid w:val="00265E56"/>
    <w:rsid w:val="00283698"/>
    <w:rsid w:val="00367C8E"/>
    <w:rsid w:val="00372D10"/>
    <w:rsid w:val="003A0B20"/>
    <w:rsid w:val="003A41D8"/>
    <w:rsid w:val="003C26C6"/>
    <w:rsid w:val="003E36DD"/>
    <w:rsid w:val="0045324C"/>
    <w:rsid w:val="00462605"/>
    <w:rsid w:val="00464FDE"/>
    <w:rsid w:val="004E3C7A"/>
    <w:rsid w:val="004E541C"/>
    <w:rsid w:val="004F1025"/>
    <w:rsid w:val="005842AA"/>
    <w:rsid w:val="0058736F"/>
    <w:rsid w:val="005B3957"/>
    <w:rsid w:val="005E6AD0"/>
    <w:rsid w:val="005F1A35"/>
    <w:rsid w:val="00616B8C"/>
    <w:rsid w:val="00630577"/>
    <w:rsid w:val="00680EDA"/>
    <w:rsid w:val="00684D78"/>
    <w:rsid w:val="00714669"/>
    <w:rsid w:val="00721E0C"/>
    <w:rsid w:val="007344AE"/>
    <w:rsid w:val="00746778"/>
    <w:rsid w:val="00757047"/>
    <w:rsid w:val="00765534"/>
    <w:rsid w:val="00767E5F"/>
    <w:rsid w:val="007929C6"/>
    <w:rsid w:val="007C11F3"/>
    <w:rsid w:val="00866033"/>
    <w:rsid w:val="00892EE0"/>
    <w:rsid w:val="008F313B"/>
    <w:rsid w:val="008F62E9"/>
    <w:rsid w:val="0090315E"/>
    <w:rsid w:val="00917F9B"/>
    <w:rsid w:val="00920CB4"/>
    <w:rsid w:val="009350B9"/>
    <w:rsid w:val="0096342C"/>
    <w:rsid w:val="0097623A"/>
    <w:rsid w:val="009B04E6"/>
    <w:rsid w:val="009B56B1"/>
    <w:rsid w:val="009B69E4"/>
    <w:rsid w:val="00A07664"/>
    <w:rsid w:val="00A11686"/>
    <w:rsid w:val="00A231B3"/>
    <w:rsid w:val="00A34DFB"/>
    <w:rsid w:val="00A96068"/>
    <w:rsid w:val="00AF5AE8"/>
    <w:rsid w:val="00B172DF"/>
    <w:rsid w:val="00B214FA"/>
    <w:rsid w:val="00B42801"/>
    <w:rsid w:val="00B53A23"/>
    <w:rsid w:val="00BE5AE4"/>
    <w:rsid w:val="00BE6691"/>
    <w:rsid w:val="00C04EBB"/>
    <w:rsid w:val="00C238B3"/>
    <w:rsid w:val="00C305C6"/>
    <w:rsid w:val="00C52847"/>
    <w:rsid w:val="00C62F44"/>
    <w:rsid w:val="00C74576"/>
    <w:rsid w:val="00C953A2"/>
    <w:rsid w:val="00CF0965"/>
    <w:rsid w:val="00CF77F7"/>
    <w:rsid w:val="00D17B37"/>
    <w:rsid w:val="00D20E48"/>
    <w:rsid w:val="00D33C7A"/>
    <w:rsid w:val="00D3609E"/>
    <w:rsid w:val="00DD3082"/>
    <w:rsid w:val="00DD5222"/>
    <w:rsid w:val="00DD5553"/>
    <w:rsid w:val="00DF45A2"/>
    <w:rsid w:val="00E11159"/>
    <w:rsid w:val="00E13318"/>
    <w:rsid w:val="00E31E03"/>
    <w:rsid w:val="00E358DA"/>
    <w:rsid w:val="00EA4F00"/>
    <w:rsid w:val="00EB53E4"/>
    <w:rsid w:val="00EE2E64"/>
    <w:rsid w:val="00F5216F"/>
    <w:rsid w:val="00F9512D"/>
    <w:rsid w:val="00FC3CEF"/>
    <w:rsid w:val="00FD3B45"/>
    <w:rsid w:val="00FD4E80"/>
    <w:rsid w:val="00FF6F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5AE4"/>
  </w:style>
  <w:style w:type="paragraph" w:styleId="Heading2">
    <w:name w:val="heading 2"/>
    <w:basedOn w:val="Normal"/>
    <w:next w:val="Normal"/>
    <w:link w:val="Heading2Char"/>
    <w:uiPriority w:val="99"/>
    <w:unhideWhenUsed/>
    <w:qFormat/>
    <w:rsid w:val="003A41D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B214F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953A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953A2"/>
    <w:rPr>
      <w:sz w:val="20"/>
      <w:szCs w:val="20"/>
    </w:rPr>
  </w:style>
  <w:style w:type="paragraph" w:styleId="Footer">
    <w:name w:val="footer"/>
    <w:basedOn w:val="Normal"/>
    <w:link w:val="FooterChar"/>
    <w:uiPriority w:val="99"/>
    <w:unhideWhenUsed/>
    <w:rsid w:val="00C953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53A2"/>
  </w:style>
  <w:style w:type="character" w:styleId="FootnoteReference">
    <w:name w:val="footnote reference"/>
    <w:uiPriority w:val="99"/>
    <w:semiHidden/>
    <w:unhideWhenUsed/>
    <w:rsid w:val="00C953A2"/>
    <w:rPr>
      <w:vertAlign w:val="superscript"/>
    </w:rPr>
  </w:style>
  <w:style w:type="character" w:styleId="Hyperlink">
    <w:name w:val="Hyperlink"/>
    <w:uiPriority w:val="99"/>
    <w:unhideWhenUsed/>
    <w:rsid w:val="00C953A2"/>
    <w:rPr>
      <w:color w:val="0000FF"/>
      <w:u w:val="single"/>
    </w:rPr>
  </w:style>
  <w:style w:type="paragraph" w:styleId="BalloonText">
    <w:name w:val="Balloon Text"/>
    <w:basedOn w:val="Normal"/>
    <w:link w:val="BalloonTextChar"/>
    <w:uiPriority w:val="99"/>
    <w:semiHidden/>
    <w:unhideWhenUsed/>
    <w:rsid w:val="00C953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53A2"/>
    <w:rPr>
      <w:rFonts w:ascii="Tahoma" w:hAnsi="Tahoma" w:cs="Tahoma"/>
      <w:sz w:val="16"/>
      <w:szCs w:val="16"/>
    </w:rPr>
  </w:style>
  <w:style w:type="character" w:styleId="CommentReference">
    <w:name w:val="annotation reference"/>
    <w:rsid w:val="00D20E48"/>
    <w:rPr>
      <w:sz w:val="16"/>
      <w:szCs w:val="16"/>
    </w:rPr>
  </w:style>
  <w:style w:type="paragraph" w:styleId="CommentText">
    <w:name w:val="annotation text"/>
    <w:basedOn w:val="Normal"/>
    <w:link w:val="CommentTextChar"/>
    <w:rsid w:val="00D20E48"/>
    <w:pPr>
      <w:spacing w:after="0" w:line="240" w:lineRule="auto"/>
    </w:pPr>
    <w:rPr>
      <w:rFonts w:ascii="Arial" w:eastAsia="Times New Roman" w:hAnsi="Arial" w:cs="Times New Roman"/>
      <w:sz w:val="20"/>
      <w:szCs w:val="20"/>
      <w:lang w:val="en-GB" w:eastAsia="en-AU"/>
    </w:rPr>
  </w:style>
  <w:style w:type="character" w:customStyle="1" w:styleId="CommentTextChar">
    <w:name w:val="Comment Text Char"/>
    <w:basedOn w:val="DefaultParagraphFont"/>
    <w:link w:val="CommentText"/>
    <w:rsid w:val="00D20E48"/>
    <w:rPr>
      <w:rFonts w:ascii="Arial" w:eastAsia="Times New Roman" w:hAnsi="Arial" w:cs="Times New Roman"/>
      <w:sz w:val="20"/>
      <w:szCs w:val="20"/>
      <w:lang w:val="en-GB" w:eastAsia="en-AU"/>
    </w:rPr>
  </w:style>
  <w:style w:type="paragraph" w:customStyle="1" w:styleId="AERbodytext">
    <w:name w:val="AER body text"/>
    <w:basedOn w:val="Normal"/>
    <w:link w:val="AERbodytextChar"/>
    <w:rsid w:val="00D20E48"/>
    <w:pPr>
      <w:spacing w:after="240" w:line="240" w:lineRule="auto"/>
    </w:pPr>
    <w:rPr>
      <w:rFonts w:ascii="Times New Roman" w:eastAsia="Times New Roman" w:hAnsi="Times New Roman" w:cs="Times New Roman"/>
      <w:sz w:val="24"/>
      <w:szCs w:val="20"/>
      <w:lang w:eastAsia="en-AU"/>
    </w:rPr>
  </w:style>
  <w:style w:type="character" w:customStyle="1" w:styleId="AERbodytextChar">
    <w:name w:val="AER body text Char"/>
    <w:link w:val="AERbodytext"/>
    <w:rsid w:val="00D20E48"/>
    <w:rPr>
      <w:rFonts w:ascii="Times New Roman" w:eastAsia="Times New Roman" w:hAnsi="Times New Roman" w:cs="Times New Roman"/>
      <w:sz w:val="24"/>
      <w:szCs w:val="20"/>
      <w:lang w:eastAsia="en-AU"/>
    </w:rPr>
  </w:style>
  <w:style w:type="paragraph" w:styleId="ListParagraph">
    <w:name w:val="List Paragraph"/>
    <w:basedOn w:val="Normal"/>
    <w:uiPriority w:val="34"/>
    <w:qFormat/>
    <w:rsid w:val="00D20E48"/>
    <w:pPr>
      <w:ind w:left="720"/>
      <w:contextualSpacing/>
    </w:pPr>
  </w:style>
  <w:style w:type="character" w:customStyle="1" w:styleId="Heading3Char">
    <w:name w:val="Heading 3 Char"/>
    <w:basedOn w:val="DefaultParagraphFont"/>
    <w:link w:val="Heading3"/>
    <w:uiPriority w:val="9"/>
    <w:rsid w:val="00B214FA"/>
    <w:rPr>
      <w:rFonts w:asciiTheme="majorHAnsi" w:eastAsiaTheme="majorEastAsia" w:hAnsiTheme="majorHAnsi" w:cstheme="majorBidi"/>
      <w:b/>
      <w:bCs/>
      <w:color w:val="4F81BD" w:themeColor="accent1"/>
    </w:rPr>
  </w:style>
  <w:style w:type="paragraph" w:styleId="CommentSubject">
    <w:name w:val="annotation subject"/>
    <w:basedOn w:val="CommentText"/>
    <w:next w:val="CommentText"/>
    <w:link w:val="CommentSubjectChar"/>
    <w:uiPriority w:val="99"/>
    <w:semiHidden/>
    <w:unhideWhenUsed/>
    <w:rsid w:val="00892EE0"/>
    <w:pPr>
      <w:spacing w:after="200"/>
    </w:pPr>
    <w:rPr>
      <w:rFonts w:asciiTheme="minorHAnsi" w:eastAsiaTheme="minorHAnsi" w:hAnsiTheme="minorHAnsi" w:cstheme="minorBidi"/>
      <w:b/>
      <w:bCs/>
      <w:lang w:val="en-AU" w:eastAsia="en-US"/>
    </w:rPr>
  </w:style>
  <w:style w:type="character" w:customStyle="1" w:styleId="CommentSubjectChar">
    <w:name w:val="Comment Subject Char"/>
    <w:basedOn w:val="CommentTextChar"/>
    <w:link w:val="CommentSubject"/>
    <w:uiPriority w:val="99"/>
    <w:semiHidden/>
    <w:rsid w:val="00892EE0"/>
    <w:rPr>
      <w:rFonts w:ascii="Arial" w:eastAsia="Times New Roman" w:hAnsi="Arial" w:cs="Times New Roman"/>
      <w:b/>
      <w:bCs/>
      <w:sz w:val="20"/>
      <w:szCs w:val="20"/>
      <w:lang w:val="en-GB" w:eastAsia="en-AU"/>
    </w:rPr>
  </w:style>
  <w:style w:type="paragraph" w:styleId="Header">
    <w:name w:val="header"/>
    <w:basedOn w:val="Normal"/>
    <w:link w:val="HeaderChar"/>
    <w:uiPriority w:val="99"/>
    <w:unhideWhenUsed/>
    <w:rsid w:val="003A41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41D8"/>
  </w:style>
  <w:style w:type="character" w:customStyle="1" w:styleId="Heading2Char">
    <w:name w:val="Heading 2 Char"/>
    <w:basedOn w:val="DefaultParagraphFont"/>
    <w:link w:val="Heading2"/>
    <w:uiPriority w:val="99"/>
    <w:rsid w:val="003A41D8"/>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5AE4"/>
  </w:style>
  <w:style w:type="paragraph" w:styleId="Heading2">
    <w:name w:val="heading 2"/>
    <w:basedOn w:val="Normal"/>
    <w:next w:val="Normal"/>
    <w:link w:val="Heading2Char"/>
    <w:uiPriority w:val="99"/>
    <w:unhideWhenUsed/>
    <w:qFormat/>
    <w:rsid w:val="003A41D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B214FA"/>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C953A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953A2"/>
    <w:rPr>
      <w:sz w:val="20"/>
      <w:szCs w:val="20"/>
    </w:rPr>
  </w:style>
  <w:style w:type="paragraph" w:styleId="Footer">
    <w:name w:val="footer"/>
    <w:basedOn w:val="Normal"/>
    <w:link w:val="FooterChar"/>
    <w:uiPriority w:val="99"/>
    <w:unhideWhenUsed/>
    <w:rsid w:val="00C953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53A2"/>
  </w:style>
  <w:style w:type="character" w:styleId="FootnoteReference">
    <w:name w:val="footnote reference"/>
    <w:uiPriority w:val="99"/>
    <w:semiHidden/>
    <w:unhideWhenUsed/>
    <w:rsid w:val="00C953A2"/>
    <w:rPr>
      <w:vertAlign w:val="superscript"/>
    </w:rPr>
  </w:style>
  <w:style w:type="character" w:styleId="Hyperlink">
    <w:name w:val="Hyperlink"/>
    <w:uiPriority w:val="99"/>
    <w:unhideWhenUsed/>
    <w:rsid w:val="00C953A2"/>
    <w:rPr>
      <w:color w:val="0000FF"/>
      <w:u w:val="single"/>
    </w:rPr>
  </w:style>
  <w:style w:type="paragraph" w:styleId="BalloonText">
    <w:name w:val="Balloon Text"/>
    <w:basedOn w:val="Normal"/>
    <w:link w:val="BalloonTextChar"/>
    <w:uiPriority w:val="99"/>
    <w:semiHidden/>
    <w:unhideWhenUsed/>
    <w:rsid w:val="00C953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53A2"/>
    <w:rPr>
      <w:rFonts w:ascii="Tahoma" w:hAnsi="Tahoma" w:cs="Tahoma"/>
      <w:sz w:val="16"/>
      <w:szCs w:val="16"/>
    </w:rPr>
  </w:style>
  <w:style w:type="character" w:styleId="CommentReference">
    <w:name w:val="annotation reference"/>
    <w:rsid w:val="00D20E48"/>
    <w:rPr>
      <w:sz w:val="16"/>
      <w:szCs w:val="16"/>
    </w:rPr>
  </w:style>
  <w:style w:type="paragraph" w:styleId="CommentText">
    <w:name w:val="annotation text"/>
    <w:basedOn w:val="Normal"/>
    <w:link w:val="CommentTextChar"/>
    <w:rsid w:val="00D20E48"/>
    <w:pPr>
      <w:spacing w:after="0" w:line="240" w:lineRule="auto"/>
    </w:pPr>
    <w:rPr>
      <w:rFonts w:ascii="Arial" w:eastAsia="Times New Roman" w:hAnsi="Arial" w:cs="Times New Roman"/>
      <w:sz w:val="20"/>
      <w:szCs w:val="20"/>
      <w:lang w:val="en-GB" w:eastAsia="en-AU"/>
    </w:rPr>
  </w:style>
  <w:style w:type="character" w:customStyle="1" w:styleId="CommentTextChar">
    <w:name w:val="Comment Text Char"/>
    <w:basedOn w:val="DefaultParagraphFont"/>
    <w:link w:val="CommentText"/>
    <w:rsid w:val="00D20E48"/>
    <w:rPr>
      <w:rFonts w:ascii="Arial" w:eastAsia="Times New Roman" w:hAnsi="Arial" w:cs="Times New Roman"/>
      <w:sz w:val="20"/>
      <w:szCs w:val="20"/>
      <w:lang w:val="en-GB" w:eastAsia="en-AU"/>
    </w:rPr>
  </w:style>
  <w:style w:type="paragraph" w:customStyle="1" w:styleId="AERbodytext">
    <w:name w:val="AER body text"/>
    <w:basedOn w:val="Normal"/>
    <w:link w:val="AERbodytextChar"/>
    <w:rsid w:val="00D20E48"/>
    <w:pPr>
      <w:spacing w:after="240" w:line="240" w:lineRule="auto"/>
    </w:pPr>
    <w:rPr>
      <w:rFonts w:ascii="Times New Roman" w:eastAsia="Times New Roman" w:hAnsi="Times New Roman" w:cs="Times New Roman"/>
      <w:sz w:val="24"/>
      <w:szCs w:val="20"/>
      <w:lang w:eastAsia="en-AU"/>
    </w:rPr>
  </w:style>
  <w:style w:type="character" w:customStyle="1" w:styleId="AERbodytextChar">
    <w:name w:val="AER body text Char"/>
    <w:link w:val="AERbodytext"/>
    <w:rsid w:val="00D20E48"/>
    <w:rPr>
      <w:rFonts w:ascii="Times New Roman" w:eastAsia="Times New Roman" w:hAnsi="Times New Roman" w:cs="Times New Roman"/>
      <w:sz w:val="24"/>
      <w:szCs w:val="20"/>
      <w:lang w:eastAsia="en-AU"/>
    </w:rPr>
  </w:style>
  <w:style w:type="paragraph" w:styleId="ListParagraph">
    <w:name w:val="List Paragraph"/>
    <w:basedOn w:val="Normal"/>
    <w:uiPriority w:val="34"/>
    <w:qFormat/>
    <w:rsid w:val="00D20E48"/>
    <w:pPr>
      <w:ind w:left="720"/>
      <w:contextualSpacing/>
    </w:pPr>
  </w:style>
  <w:style w:type="character" w:customStyle="1" w:styleId="Heading3Char">
    <w:name w:val="Heading 3 Char"/>
    <w:basedOn w:val="DefaultParagraphFont"/>
    <w:link w:val="Heading3"/>
    <w:uiPriority w:val="9"/>
    <w:rsid w:val="00B214FA"/>
    <w:rPr>
      <w:rFonts w:asciiTheme="majorHAnsi" w:eastAsiaTheme="majorEastAsia" w:hAnsiTheme="majorHAnsi" w:cstheme="majorBidi"/>
      <w:b/>
      <w:bCs/>
      <w:color w:val="4F81BD" w:themeColor="accent1"/>
    </w:rPr>
  </w:style>
  <w:style w:type="paragraph" w:styleId="CommentSubject">
    <w:name w:val="annotation subject"/>
    <w:basedOn w:val="CommentText"/>
    <w:next w:val="CommentText"/>
    <w:link w:val="CommentSubjectChar"/>
    <w:uiPriority w:val="99"/>
    <w:semiHidden/>
    <w:unhideWhenUsed/>
    <w:rsid w:val="00892EE0"/>
    <w:pPr>
      <w:spacing w:after="200"/>
    </w:pPr>
    <w:rPr>
      <w:rFonts w:asciiTheme="minorHAnsi" w:eastAsiaTheme="minorHAnsi" w:hAnsiTheme="minorHAnsi" w:cstheme="minorBidi"/>
      <w:b/>
      <w:bCs/>
      <w:lang w:val="en-AU" w:eastAsia="en-US"/>
    </w:rPr>
  </w:style>
  <w:style w:type="character" w:customStyle="1" w:styleId="CommentSubjectChar">
    <w:name w:val="Comment Subject Char"/>
    <w:basedOn w:val="CommentTextChar"/>
    <w:link w:val="CommentSubject"/>
    <w:uiPriority w:val="99"/>
    <w:semiHidden/>
    <w:rsid w:val="00892EE0"/>
    <w:rPr>
      <w:rFonts w:ascii="Arial" w:eastAsia="Times New Roman" w:hAnsi="Arial" w:cs="Times New Roman"/>
      <w:b/>
      <w:bCs/>
      <w:sz w:val="20"/>
      <w:szCs w:val="20"/>
      <w:lang w:val="en-GB" w:eastAsia="en-AU"/>
    </w:rPr>
  </w:style>
  <w:style w:type="paragraph" w:styleId="Header">
    <w:name w:val="header"/>
    <w:basedOn w:val="Normal"/>
    <w:link w:val="HeaderChar"/>
    <w:uiPriority w:val="99"/>
    <w:unhideWhenUsed/>
    <w:rsid w:val="003A41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41D8"/>
  </w:style>
  <w:style w:type="character" w:customStyle="1" w:styleId="Heading2Char">
    <w:name w:val="Heading 2 Char"/>
    <w:basedOn w:val="DefaultParagraphFont"/>
    <w:link w:val="Heading2"/>
    <w:uiPriority w:val="99"/>
    <w:rsid w:val="003A41D8"/>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453013">
      <w:bodyDiv w:val="1"/>
      <w:marLeft w:val="0"/>
      <w:marRight w:val="0"/>
      <w:marTop w:val="0"/>
      <w:marBottom w:val="0"/>
      <w:divBdr>
        <w:top w:val="none" w:sz="0" w:space="0" w:color="auto"/>
        <w:left w:val="none" w:sz="0" w:space="0" w:color="auto"/>
        <w:bottom w:val="none" w:sz="0" w:space="0" w:color="auto"/>
        <w:right w:val="none" w:sz="0" w:space="0" w:color="auto"/>
      </w:divBdr>
    </w:div>
    <w:div w:id="1228032824">
      <w:bodyDiv w:val="1"/>
      <w:marLeft w:val="0"/>
      <w:marRight w:val="0"/>
      <w:marTop w:val="0"/>
      <w:marBottom w:val="0"/>
      <w:divBdr>
        <w:top w:val="none" w:sz="0" w:space="0" w:color="auto"/>
        <w:left w:val="none" w:sz="0" w:space="0" w:color="auto"/>
        <w:bottom w:val="none" w:sz="0" w:space="0" w:color="auto"/>
        <w:right w:val="none" w:sz="0" w:space="0" w:color="auto"/>
      </w:divBdr>
    </w:div>
    <w:div w:id="1297838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E058D9-2701-40F6-B5E4-2E9409B5B7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12</Pages>
  <Words>4897</Words>
  <Characters>27916</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ACCC</Company>
  <LinksUpToDate>false</LinksUpToDate>
  <CharactersWithSpaces>32748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esmit</dc:creator>
  <cp:keywords/>
  <dc:description/>
  <cp:lastModifiedBy>lirla</cp:lastModifiedBy>
  <cp:revision>5</cp:revision>
  <dcterms:created xsi:type="dcterms:W3CDTF">2013-10-10T23:03:00Z</dcterms:created>
  <dcterms:modified xsi:type="dcterms:W3CDTF">2013-10-21T04:59:00Z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8065223</vt:lpwstr>
  </property>
  <property fmtid="{D5CDD505-2E9C-101B-9397-08002B2CF9AE}" pid="3" name="DatabaseID">
    <vt:lpwstr/>
  </property>
  <property fmtid="{D5CDD505-2E9C-101B-9397-08002B2CF9AE}" pid="4" name="OnClose">
    <vt:lpwstr/>
  </property>
  <property fmtid="{D5CDD505-2E9C-101B-9397-08002B2CF9AE}" pid="5" name="Status">
    <vt:lpwstr>Ready</vt:lpwstr>
  </property>
  <property fmtid="{D5CDD505-2E9C-101B-9397-08002B2CF9AE}" pid="6" name="currfile">
    <vt:lpwstr>\\cbrvpwxfs01\home$\lirla\category analysis templates - (D2013-00136287).docx</vt:lpwstr>
  </property>
</Properties>
</file>