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b/>
          <w:noProof/>
          <w:sz w:val="72"/>
          <w:szCs w:val="72"/>
          <w:lang w:eastAsia="en-AU"/>
        </w:rPr>
        <w:id w:val="1099676627"/>
        <w:docPartObj>
          <w:docPartGallery w:val="Cover Pages"/>
          <w:docPartUnique/>
        </w:docPartObj>
      </w:sdtPr>
      <w:sdtEndPr>
        <w:rPr>
          <w:sz w:val="56"/>
          <w:szCs w:val="56"/>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0E3AB205" wp14:editId="7CCC2E13">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547555" w:rsidRDefault="00C014AF" w:rsidP="009B761C">
          <w:pPr>
            <w:pStyle w:val="ReportTitle"/>
          </w:pPr>
          <w:r>
            <w:t xml:space="preserve">AER network revenue determination </w:t>
          </w:r>
          <w:r w:rsidR="00E1388E">
            <w:t>engagement protocol</w:t>
          </w:r>
        </w:p>
        <w:p w:rsidR="00197E58" w:rsidRPr="00197E58" w:rsidRDefault="00197E58" w:rsidP="00197E58">
          <w:pPr>
            <w:pStyle w:val="ReportSubtitle"/>
          </w:pPr>
          <w:r>
            <w:t>Version 1.0</w:t>
          </w:r>
        </w:p>
        <w:p w:rsidR="009B761C" w:rsidRPr="00547555" w:rsidRDefault="00E01E30" w:rsidP="00547555">
          <w:pPr>
            <w:pStyle w:val="ReportSubtitle"/>
          </w:pPr>
        </w:p>
      </w:sdtContent>
    </w:sdt>
    <w:p w:rsidR="009B761C" w:rsidRDefault="009B761C">
      <w:pPr>
        <w:spacing w:line="240" w:lineRule="auto"/>
        <w:rPr>
          <w:rFonts w:eastAsiaTheme="majorEastAsia" w:cstheme="majorBidi"/>
          <w:b/>
          <w:bCs/>
          <w:color w:val="076A92" w:themeColor="text1"/>
          <w:sz w:val="36"/>
          <w:szCs w:val="28"/>
          <w:lang w:val="en-US" w:eastAsia="ja-JP"/>
        </w:rPr>
      </w:pPr>
      <w:r>
        <w:br w:type="page"/>
      </w:r>
    </w:p>
    <w:p w:rsidR="002010BC" w:rsidRDefault="00A75077" w:rsidP="00A75077">
      <w:pPr>
        <w:pStyle w:val="TOCHeading"/>
      </w:pPr>
      <w:r>
        <w:lastRenderedPageBreak/>
        <w:t>Contents</w:t>
      </w:r>
    </w:p>
    <w:p w:rsidR="00E41D1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9389264" w:history="1">
        <w:r w:rsidR="00E41D10" w:rsidRPr="00244A93">
          <w:rPr>
            <w:rStyle w:val="Hyperlink"/>
          </w:rPr>
          <w:t>1</w:t>
        </w:r>
        <w:r w:rsidR="00E41D10">
          <w:rPr>
            <w:rFonts w:asciiTheme="minorHAnsi" w:eastAsiaTheme="minorEastAsia" w:hAnsiTheme="minorHAnsi"/>
            <w:b w:val="0"/>
            <w:color w:val="auto"/>
            <w:sz w:val="22"/>
            <w:lang w:val="en-AU" w:eastAsia="en-AU"/>
          </w:rPr>
          <w:tab/>
        </w:r>
        <w:r w:rsidR="00E41D10" w:rsidRPr="00244A93">
          <w:rPr>
            <w:rStyle w:val="Hyperlink"/>
          </w:rPr>
          <w:t>Purpose</w:t>
        </w:r>
        <w:r w:rsidR="00E41D10">
          <w:rPr>
            <w:webHidden/>
          </w:rPr>
          <w:tab/>
        </w:r>
        <w:r w:rsidR="00E41D10">
          <w:rPr>
            <w:webHidden/>
          </w:rPr>
          <w:fldChar w:fldCharType="begin"/>
        </w:r>
        <w:r w:rsidR="00E41D10">
          <w:rPr>
            <w:webHidden/>
          </w:rPr>
          <w:instrText xml:space="preserve"> PAGEREF _Toc429389264 \h </w:instrText>
        </w:r>
        <w:r w:rsidR="00E41D10">
          <w:rPr>
            <w:webHidden/>
          </w:rPr>
        </w:r>
        <w:r w:rsidR="00E41D10">
          <w:rPr>
            <w:webHidden/>
          </w:rPr>
          <w:fldChar w:fldCharType="separate"/>
        </w:r>
        <w:r w:rsidR="006D4DD6">
          <w:rPr>
            <w:webHidden/>
          </w:rPr>
          <w:t>1</w:t>
        </w:r>
        <w:r w:rsidR="00E41D10">
          <w:rPr>
            <w:webHidden/>
          </w:rPr>
          <w:fldChar w:fldCharType="end"/>
        </w:r>
      </w:hyperlink>
    </w:p>
    <w:p w:rsidR="00E41D10" w:rsidRDefault="00E01E30">
      <w:pPr>
        <w:pStyle w:val="TOC1"/>
        <w:rPr>
          <w:rFonts w:asciiTheme="minorHAnsi" w:eastAsiaTheme="minorEastAsia" w:hAnsiTheme="minorHAnsi"/>
          <w:b w:val="0"/>
          <w:color w:val="auto"/>
          <w:sz w:val="22"/>
          <w:lang w:val="en-AU" w:eastAsia="en-AU"/>
        </w:rPr>
      </w:pPr>
      <w:hyperlink w:anchor="_Toc429389265" w:history="1">
        <w:r w:rsidR="00E41D10" w:rsidRPr="00244A93">
          <w:rPr>
            <w:rStyle w:val="Hyperlink"/>
          </w:rPr>
          <w:t>2</w:t>
        </w:r>
        <w:r w:rsidR="00E41D10">
          <w:rPr>
            <w:rFonts w:asciiTheme="minorHAnsi" w:eastAsiaTheme="minorEastAsia" w:hAnsiTheme="minorHAnsi"/>
            <w:b w:val="0"/>
            <w:color w:val="auto"/>
            <w:sz w:val="22"/>
            <w:lang w:val="en-AU" w:eastAsia="en-AU"/>
          </w:rPr>
          <w:tab/>
        </w:r>
        <w:r w:rsidR="00E41D10" w:rsidRPr="00244A93">
          <w:rPr>
            <w:rStyle w:val="Hyperlink"/>
          </w:rPr>
          <w:t>Our stakeholders</w:t>
        </w:r>
        <w:r w:rsidR="00E41D10">
          <w:rPr>
            <w:webHidden/>
          </w:rPr>
          <w:tab/>
        </w:r>
        <w:r w:rsidR="00E41D10">
          <w:rPr>
            <w:webHidden/>
          </w:rPr>
          <w:fldChar w:fldCharType="begin"/>
        </w:r>
        <w:r w:rsidR="00E41D10">
          <w:rPr>
            <w:webHidden/>
          </w:rPr>
          <w:instrText xml:space="preserve"> PAGEREF _Toc429389265 \h </w:instrText>
        </w:r>
        <w:r w:rsidR="00E41D10">
          <w:rPr>
            <w:webHidden/>
          </w:rPr>
        </w:r>
        <w:r w:rsidR="00E41D10">
          <w:rPr>
            <w:webHidden/>
          </w:rPr>
          <w:fldChar w:fldCharType="separate"/>
        </w:r>
        <w:r w:rsidR="006D4DD6">
          <w:rPr>
            <w:webHidden/>
          </w:rPr>
          <w:t>2</w:t>
        </w:r>
        <w:r w:rsidR="00E41D10">
          <w:rPr>
            <w:webHidden/>
          </w:rPr>
          <w:fldChar w:fldCharType="end"/>
        </w:r>
      </w:hyperlink>
    </w:p>
    <w:p w:rsidR="00E41D10" w:rsidRDefault="00E01E30">
      <w:pPr>
        <w:pStyle w:val="TOC1"/>
        <w:rPr>
          <w:rFonts w:asciiTheme="minorHAnsi" w:eastAsiaTheme="minorEastAsia" w:hAnsiTheme="minorHAnsi"/>
          <w:b w:val="0"/>
          <w:color w:val="auto"/>
          <w:sz w:val="22"/>
          <w:lang w:val="en-AU" w:eastAsia="en-AU"/>
        </w:rPr>
      </w:pPr>
      <w:hyperlink w:anchor="_Toc429389266" w:history="1">
        <w:r w:rsidR="00E41D10" w:rsidRPr="00244A93">
          <w:rPr>
            <w:rStyle w:val="Hyperlink"/>
          </w:rPr>
          <w:t>3</w:t>
        </w:r>
        <w:r w:rsidR="00E41D10">
          <w:rPr>
            <w:rFonts w:asciiTheme="minorHAnsi" w:eastAsiaTheme="minorEastAsia" w:hAnsiTheme="minorHAnsi"/>
            <w:b w:val="0"/>
            <w:color w:val="auto"/>
            <w:sz w:val="22"/>
            <w:lang w:val="en-AU" w:eastAsia="en-AU"/>
          </w:rPr>
          <w:tab/>
        </w:r>
        <w:r w:rsidR="00E41D10" w:rsidRPr="00244A93">
          <w:rPr>
            <w:rStyle w:val="Hyperlink"/>
          </w:rPr>
          <w:t>Principles of engagement</w:t>
        </w:r>
        <w:r w:rsidR="00E41D10">
          <w:rPr>
            <w:webHidden/>
          </w:rPr>
          <w:tab/>
        </w:r>
        <w:r w:rsidR="00E41D10">
          <w:rPr>
            <w:webHidden/>
          </w:rPr>
          <w:fldChar w:fldCharType="begin"/>
        </w:r>
        <w:r w:rsidR="00E41D10">
          <w:rPr>
            <w:webHidden/>
          </w:rPr>
          <w:instrText xml:space="preserve"> PAGEREF _Toc429389266 \h </w:instrText>
        </w:r>
        <w:r w:rsidR="00E41D10">
          <w:rPr>
            <w:webHidden/>
          </w:rPr>
        </w:r>
        <w:r w:rsidR="00E41D10">
          <w:rPr>
            <w:webHidden/>
          </w:rPr>
          <w:fldChar w:fldCharType="separate"/>
        </w:r>
        <w:r w:rsidR="006D4DD6">
          <w:rPr>
            <w:webHidden/>
          </w:rPr>
          <w:t>3</w:t>
        </w:r>
        <w:r w:rsidR="00E41D10">
          <w:rPr>
            <w:webHidden/>
          </w:rPr>
          <w:fldChar w:fldCharType="end"/>
        </w:r>
      </w:hyperlink>
    </w:p>
    <w:p w:rsidR="00E41D10" w:rsidRDefault="00E01E30">
      <w:pPr>
        <w:pStyle w:val="TOC1"/>
        <w:rPr>
          <w:rFonts w:asciiTheme="minorHAnsi" w:eastAsiaTheme="minorEastAsia" w:hAnsiTheme="minorHAnsi"/>
          <w:b w:val="0"/>
          <w:color w:val="auto"/>
          <w:sz w:val="22"/>
          <w:lang w:val="en-AU" w:eastAsia="en-AU"/>
        </w:rPr>
      </w:pPr>
      <w:hyperlink w:anchor="_Toc429389267" w:history="1">
        <w:r w:rsidR="00E41D10" w:rsidRPr="00244A93">
          <w:rPr>
            <w:rStyle w:val="Hyperlink"/>
          </w:rPr>
          <w:t>4</w:t>
        </w:r>
        <w:r w:rsidR="00E41D10">
          <w:rPr>
            <w:rFonts w:asciiTheme="minorHAnsi" w:eastAsiaTheme="minorEastAsia" w:hAnsiTheme="minorHAnsi"/>
            <w:b w:val="0"/>
            <w:color w:val="auto"/>
            <w:sz w:val="22"/>
            <w:lang w:val="en-AU" w:eastAsia="en-AU"/>
          </w:rPr>
          <w:tab/>
        </w:r>
        <w:r w:rsidR="00E41D10" w:rsidRPr="00244A93">
          <w:rPr>
            <w:rStyle w:val="Hyperlink"/>
          </w:rPr>
          <w:t>AER engagement with network businesses</w:t>
        </w:r>
        <w:r w:rsidR="00E41D10">
          <w:rPr>
            <w:webHidden/>
          </w:rPr>
          <w:tab/>
        </w:r>
        <w:r w:rsidR="00E41D10">
          <w:rPr>
            <w:webHidden/>
          </w:rPr>
          <w:fldChar w:fldCharType="begin"/>
        </w:r>
        <w:r w:rsidR="00E41D10">
          <w:rPr>
            <w:webHidden/>
          </w:rPr>
          <w:instrText xml:space="preserve"> PAGEREF _Toc429389267 \h </w:instrText>
        </w:r>
        <w:r w:rsidR="00E41D10">
          <w:rPr>
            <w:webHidden/>
          </w:rPr>
        </w:r>
        <w:r w:rsidR="00E41D10">
          <w:rPr>
            <w:webHidden/>
          </w:rPr>
          <w:fldChar w:fldCharType="separate"/>
        </w:r>
        <w:r w:rsidR="006D4DD6">
          <w:rPr>
            <w:webHidden/>
          </w:rPr>
          <w:t>4</w:t>
        </w:r>
        <w:r w:rsidR="00E41D10">
          <w:rPr>
            <w:webHidden/>
          </w:rPr>
          <w:fldChar w:fldCharType="end"/>
        </w:r>
      </w:hyperlink>
    </w:p>
    <w:p w:rsidR="00E41D10" w:rsidRDefault="00E01E30">
      <w:pPr>
        <w:pStyle w:val="TOC1"/>
        <w:rPr>
          <w:rFonts w:asciiTheme="minorHAnsi" w:eastAsiaTheme="minorEastAsia" w:hAnsiTheme="minorHAnsi"/>
          <w:b w:val="0"/>
          <w:color w:val="auto"/>
          <w:sz w:val="22"/>
          <w:lang w:val="en-AU" w:eastAsia="en-AU"/>
        </w:rPr>
      </w:pPr>
      <w:hyperlink w:anchor="_Toc429389268" w:history="1">
        <w:r w:rsidR="00E41D10" w:rsidRPr="00244A93">
          <w:rPr>
            <w:rStyle w:val="Hyperlink"/>
          </w:rPr>
          <w:t>5</w:t>
        </w:r>
        <w:r w:rsidR="00E41D10">
          <w:rPr>
            <w:rFonts w:asciiTheme="minorHAnsi" w:eastAsiaTheme="minorEastAsia" w:hAnsiTheme="minorHAnsi"/>
            <w:b w:val="0"/>
            <w:color w:val="auto"/>
            <w:sz w:val="22"/>
            <w:lang w:val="en-AU" w:eastAsia="en-AU"/>
          </w:rPr>
          <w:tab/>
        </w:r>
        <w:r w:rsidR="00E41D10" w:rsidRPr="00244A93">
          <w:rPr>
            <w:rStyle w:val="Hyperlink"/>
          </w:rPr>
          <w:t>AER engagement with all other stakeholders</w:t>
        </w:r>
        <w:r w:rsidR="00E41D10">
          <w:rPr>
            <w:webHidden/>
          </w:rPr>
          <w:tab/>
        </w:r>
        <w:r w:rsidR="00E41D10">
          <w:rPr>
            <w:webHidden/>
          </w:rPr>
          <w:fldChar w:fldCharType="begin"/>
        </w:r>
        <w:r w:rsidR="00E41D10">
          <w:rPr>
            <w:webHidden/>
          </w:rPr>
          <w:instrText xml:space="preserve"> PAGEREF _Toc429389268 \h </w:instrText>
        </w:r>
        <w:r w:rsidR="00E41D10">
          <w:rPr>
            <w:webHidden/>
          </w:rPr>
        </w:r>
        <w:r w:rsidR="00E41D10">
          <w:rPr>
            <w:webHidden/>
          </w:rPr>
          <w:fldChar w:fldCharType="separate"/>
        </w:r>
        <w:r w:rsidR="006D4DD6">
          <w:rPr>
            <w:webHidden/>
          </w:rPr>
          <w:t>5</w:t>
        </w:r>
        <w:r w:rsidR="00E41D10">
          <w:rPr>
            <w:webHidden/>
          </w:rPr>
          <w:fldChar w:fldCharType="end"/>
        </w:r>
      </w:hyperlink>
    </w:p>
    <w:p w:rsidR="00E41D10" w:rsidRDefault="00E01E30">
      <w:pPr>
        <w:pStyle w:val="TOC1"/>
        <w:rPr>
          <w:rFonts w:asciiTheme="minorHAnsi" w:eastAsiaTheme="minorEastAsia" w:hAnsiTheme="minorHAnsi"/>
          <w:b w:val="0"/>
          <w:color w:val="auto"/>
          <w:sz w:val="22"/>
          <w:lang w:val="en-AU" w:eastAsia="en-AU"/>
        </w:rPr>
      </w:pPr>
      <w:hyperlink w:anchor="_Toc429389269" w:history="1">
        <w:r w:rsidR="00E41D10" w:rsidRPr="00244A93">
          <w:rPr>
            <w:rStyle w:val="Hyperlink"/>
          </w:rPr>
          <w:t>6</w:t>
        </w:r>
        <w:r w:rsidR="00E41D10">
          <w:rPr>
            <w:rFonts w:asciiTheme="minorHAnsi" w:eastAsiaTheme="minorEastAsia" w:hAnsiTheme="minorHAnsi"/>
            <w:b w:val="0"/>
            <w:color w:val="auto"/>
            <w:sz w:val="22"/>
            <w:lang w:val="en-AU" w:eastAsia="en-AU"/>
          </w:rPr>
          <w:tab/>
        </w:r>
        <w:r w:rsidR="00E41D10" w:rsidRPr="00244A93">
          <w:rPr>
            <w:rStyle w:val="Hyperlink"/>
          </w:rPr>
          <w:t>We brief some stakeholders ahead of the release of decisions</w:t>
        </w:r>
        <w:r w:rsidR="00E41D10">
          <w:rPr>
            <w:webHidden/>
          </w:rPr>
          <w:tab/>
        </w:r>
        <w:r w:rsidR="00E41D10">
          <w:rPr>
            <w:webHidden/>
          </w:rPr>
          <w:fldChar w:fldCharType="begin"/>
        </w:r>
        <w:r w:rsidR="00E41D10">
          <w:rPr>
            <w:webHidden/>
          </w:rPr>
          <w:instrText xml:space="preserve"> PAGEREF _Toc429389269 \h </w:instrText>
        </w:r>
        <w:r w:rsidR="00E41D10">
          <w:rPr>
            <w:webHidden/>
          </w:rPr>
        </w:r>
        <w:r w:rsidR="00E41D10">
          <w:rPr>
            <w:webHidden/>
          </w:rPr>
          <w:fldChar w:fldCharType="separate"/>
        </w:r>
        <w:r w:rsidR="006D4DD6">
          <w:rPr>
            <w:webHidden/>
          </w:rPr>
          <w:t>6</w:t>
        </w:r>
        <w:r w:rsidR="00E41D10">
          <w:rPr>
            <w:webHidden/>
          </w:rPr>
          <w:fldChar w:fldCharType="end"/>
        </w:r>
      </w:hyperlink>
    </w:p>
    <w:p w:rsidR="00E41D10" w:rsidRDefault="00E01E30">
      <w:pPr>
        <w:pStyle w:val="TOC1"/>
        <w:rPr>
          <w:rFonts w:asciiTheme="minorHAnsi" w:eastAsiaTheme="minorEastAsia" w:hAnsiTheme="minorHAnsi"/>
          <w:b w:val="0"/>
          <w:color w:val="auto"/>
          <w:sz w:val="22"/>
          <w:lang w:val="en-AU" w:eastAsia="en-AU"/>
        </w:rPr>
      </w:pPr>
      <w:hyperlink w:anchor="_Toc429389270" w:history="1">
        <w:r w:rsidR="00E41D10" w:rsidRPr="00244A93">
          <w:rPr>
            <w:rStyle w:val="Hyperlink"/>
          </w:rPr>
          <w:t>7</w:t>
        </w:r>
        <w:r w:rsidR="00E41D10">
          <w:rPr>
            <w:rFonts w:asciiTheme="minorHAnsi" w:eastAsiaTheme="minorEastAsia" w:hAnsiTheme="minorHAnsi"/>
            <w:b w:val="0"/>
            <w:color w:val="auto"/>
            <w:sz w:val="22"/>
            <w:lang w:val="en-AU" w:eastAsia="en-AU"/>
          </w:rPr>
          <w:tab/>
        </w:r>
        <w:r w:rsidR="00E41D10" w:rsidRPr="00244A93">
          <w:rPr>
            <w:rStyle w:val="Hyperlink"/>
          </w:rPr>
          <w:t>Consultation requirements under the rules</w:t>
        </w:r>
        <w:r w:rsidR="00E41D10">
          <w:rPr>
            <w:webHidden/>
          </w:rPr>
          <w:tab/>
        </w:r>
        <w:r w:rsidR="00E41D10">
          <w:rPr>
            <w:webHidden/>
          </w:rPr>
          <w:fldChar w:fldCharType="begin"/>
        </w:r>
        <w:r w:rsidR="00E41D10">
          <w:rPr>
            <w:webHidden/>
          </w:rPr>
          <w:instrText xml:space="preserve"> PAGEREF _Toc429389270 \h </w:instrText>
        </w:r>
        <w:r w:rsidR="00E41D10">
          <w:rPr>
            <w:webHidden/>
          </w:rPr>
        </w:r>
        <w:r w:rsidR="00E41D10">
          <w:rPr>
            <w:webHidden/>
          </w:rPr>
          <w:fldChar w:fldCharType="separate"/>
        </w:r>
        <w:r w:rsidR="006D4DD6">
          <w:rPr>
            <w:webHidden/>
          </w:rPr>
          <w:t>7</w:t>
        </w:r>
        <w:r w:rsidR="00E41D10">
          <w:rPr>
            <w:webHidden/>
          </w:rPr>
          <w:fldChar w:fldCharType="end"/>
        </w:r>
      </w:hyperlink>
    </w:p>
    <w:p w:rsidR="00E41D10" w:rsidRDefault="00E01E30">
      <w:pPr>
        <w:pStyle w:val="TOC2"/>
        <w:rPr>
          <w:rFonts w:asciiTheme="minorHAnsi" w:eastAsiaTheme="minorEastAsia" w:hAnsiTheme="minorHAnsi"/>
          <w:b w:val="0"/>
          <w:color w:val="auto"/>
          <w:sz w:val="22"/>
          <w:lang w:eastAsia="en-AU"/>
        </w:rPr>
      </w:pPr>
      <w:hyperlink w:anchor="_Toc429389271" w:history="1">
        <w:r w:rsidR="00E41D10" w:rsidRPr="00244A93">
          <w:rPr>
            <w:rStyle w:val="Hyperlink"/>
          </w:rPr>
          <w:t>7.1</w:t>
        </w:r>
        <w:r w:rsidR="00E41D10">
          <w:rPr>
            <w:rFonts w:asciiTheme="minorHAnsi" w:eastAsiaTheme="minorEastAsia" w:hAnsiTheme="minorHAnsi"/>
            <w:b w:val="0"/>
            <w:color w:val="auto"/>
            <w:sz w:val="22"/>
            <w:lang w:eastAsia="en-AU"/>
          </w:rPr>
          <w:tab/>
        </w:r>
        <w:r w:rsidR="00E41D10" w:rsidRPr="00244A93">
          <w:rPr>
            <w:rStyle w:val="Hyperlink"/>
          </w:rPr>
          <w:t>Public forums</w:t>
        </w:r>
        <w:r w:rsidR="00E41D10">
          <w:rPr>
            <w:webHidden/>
          </w:rPr>
          <w:tab/>
        </w:r>
        <w:r w:rsidR="00E41D10">
          <w:rPr>
            <w:webHidden/>
          </w:rPr>
          <w:fldChar w:fldCharType="begin"/>
        </w:r>
        <w:r w:rsidR="00E41D10">
          <w:rPr>
            <w:webHidden/>
          </w:rPr>
          <w:instrText xml:space="preserve"> PAGEREF _Toc429389271 \h </w:instrText>
        </w:r>
        <w:r w:rsidR="00E41D10">
          <w:rPr>
            <w:webHidden/>
          </w:rPr>
        </w:r>
        <w:r w:rsidR="00E41D10">
          <w:rPr>
            <w:webHidden/>
          </w:rPr>
          <w:fldChar w:fldCharType="separate"/>
        </w:r>
        <w:r w:rsidR="006D4DD6">
          <w:rPr>
            <w:webHidden/>
          </w:rPr>
          <w:t>8</w:t>
        </w:r>
        <w:r w:rsidR="00E41D10">
          <w:rPr>
            <w:webHidden/>
          </w:rPr>
          <w:fldChar w:fldCharType="end"/>
        </w:r>
      </w:hyperlink>
    </w:p>
    <w:p w:rsidR="0020492C" w:rsidRDefault="00A75077" w:rsidP="009F5BA1">
      <w:r>
        <w:fldChar w:fldCharType="end"/>
      </w:r>
      <w:r w:rsidR="0020492C">
        <w:tab/>
      </w:r>
    </w:p>
    <w:p w:rsidR="0052126D" w:rsidRDefault="0052126D" w:rsidP="0020492C">
      <w:bookmarkStart w:id="1" w:name="_Toc213047617"/>
    </w:p>
    <w:p w:rsidR="0020492C" w:rsidRDefault="0020492C" w:rsidP="0020492C"/>
    <w:p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20492C" w:rsidRDefault="00093D37" w:rsidP="00562632">
      <w:pPr>
        <w:pStyle w:val="Heading1"/>
      </w:pPr>
      <w:bookmarkStart w:id="2" w:name="_Toc429389264"/>
      <w:bookmarkEnd w:id="1"/>
      <w:r>
        <w:lastRenderedPageBreak/>
        <w:t>Purpose</w:t>
      </w:r>
      <w:bookmarkEnd w:id="2"/>
    </w:p>
    <w:p w:rsidR="002F7626" w:rsidRDefault="009E24A0" w:rsidP="00134E85">
      <w:r>
        <w:t xml:space="preserve">We, the Australian Energy Regulator (AER), set the revenue allowances for Australian electricity </w:t>
      </w:r>
      <w:r w:rsidR="005D5619">
        <w:t xml:space="preserve">and gas </w:t>
      </w:r>
      <w:r>
        <w:t xml:space="preserve">distribution and transmission network businesses. These decisions are important to consumers because network charges account for a significant component of each customer's final electricity </w:t>
      </w:r>
      <w:r w:rsidR="00100B7E">
        <w:t xml:space="preserve">and gas </w:t>
      </w:r>
      <w:r>
        <w:t>bill</w:t>
      </w:r>
      <w:r w:rsidR="00100B7E">
        <w:t>s</w:t>
      </w:r>
      <w:r>
        <w:t>.</w:t>
      </w:r>
      <w:r w:rsidR="002F7626">
        <w:t xml:space="preserve"> </w:t>
      </w:r>
      <w:r w:rsidR="005F226A">
        <w:t xml:space="preserve">Consultation and engagement provide confidence in our processes and </w:t>
      </w:r>
      <w:r w:rsidR="00197E58">
        <w:t>are</w:t>
      </w:r>
      <w:r w:rsidR="005F226A">
        <w:t xml:space="preserve"> good regulatory practice.</w:t>
      </w:r>
    </w:p>
    <w:p w:rsidR="00220424" w:rsidRPr="00220424" w:rsidRDefault="00220424" w:rsidP="00220424">
      <w:r w:rsidRPr="00220424">
        <w:t>Energy consumers should pay no more than necessary</w:t>
      </w:r>
      <w:r>
        <w:t xml:space="preserve"> </w:t>
      </w:r>
      <w:r w:rsidRPr="00220424">
        <w:t>for the safe and reliable delivery of electricity and gas</w:t>
      </w:r>
      <w:r>
        <w:t xml:space="preserve"> </w:t>
      </w:r>
      <w:r w:rsidRPr="00220424">
        <w:t>network services. Our decisions are guided by the objectives set out</w:t>
      </w:r>
      <w:r>
        <w:t xml:space="preserve"> in national energy legislation, which </w:t>
      </w:r>
      <w:r w:rsidRPr="00220424">
        <w:t>promote</w:t>
      </w:r>
      <w:r>
        <w:t>:</w:t>
      </w:r>
      <w:r w:rsidRPr="00220424">
        <w:t xml:space="preserve"> efficient investment in, and efficient operation and use of, energy services for the long term interests of energy consumers with respect to price, quality, safety, reliability and security of supply.</w:t>
      </w:r>
    </w:p>
    <w:p w:rsidR="003058BA" w:rsidRDefault="003058BA" w:rsidP="003058BA">
      <w:r>
        <w:t>We are</w:t>
      </w:r>
      <w:r w:rsidRPr="002F7626">
        <w:t xml:space="preserve"> an independent decision-making body</w:t>
      </w:r>
      <w:r>
        <w:t xml:space="preserve">. Our </w:t>
      </w:r>
      <w:r w:rsidRPr="002F7626">
        <w:t xml:space="preserve">functions and powers are set out in the national energy legislation and rules. The independence of </w:t>
      </w:r>
      <w:r>
        <w:t>our</w:t>
      </w:r>
      <w:r w:rsidRPr="002F7626">
        <w:t xml:space="preserve"> activities is underpinned by:</w:t>
      </w:r>
      <w:r>
        <w:t xml:space="preserve"> </w:t>
      </w:r>
      <w:r w:rsidR="008E67D0">
        <w:t>a clearly defined role</w:t>
      </w:r>
      <w:r w:rsidRPr="002F7626">
        <w:t xml:space="preserve"> and functions</w:t>
      </w:r>
      <w:r>
        <w:t xml:space="preserve">; </w:t>
      </w:r>
      <w:r w:rsidRPr="002F7626">
        <w:t>a well-established governance and reporting framework</w:t>
      </w:r>
      <w:r>
        <w:t xml:space="preserve">; and </w:t>
      </w:r>
      <w:r w:rsidRPr="002F7626">
        <w:t>the application of a rigorous process of timely, considered, evidence-based and transparent decision making.</w:t>
      </w:r>
    </w:p>
    <w:p w:rsidR="006A6701" w:rsidRDefault="006A6701" w:rsidP="006A6701">
      <w:r>
        <w:t>O</w:t>
      </w:r>
      <w:r w:rsidRPr="00134E85">
        <w:t xml:space="preserve">ur </w:t>
      </w:r>
      <w:r w:rsidR="00077DEE">
        <w:t xml:space="preserve">forms and processes of </w:t>
      </w:r>
      <w:r w:rsidRPr="00134E85">
        <w:t xml:space="preserve">engagement </w:t>
      </w:r>
      <w:r w:rsidR="00077DEE">
        <w:t>continue to evolve</w:t>
      </w:r>
      <w:r w:rsidRPr="00134E85">
        <w:t xml:space="preserve">. </w:t>
      </w:r>
      <w:r>
        <w:t xml:space="preserve">Our engagement </w:t>
      </w:r>
      <w:r w:rsidR="00197E58">
        <w:t xml:space="preserve">approach </w:t>
      </w:r>
      <w:r>
        <w:t xml:space="preserve">reflects recent reforms that </w:t>
      </w:r>
      <w:r w:rsidRPr="00BE47B7">
        <w:t xml:space="preserve">support </w:t>
      </w:r>
      <w:r>
        <w:t xml:space="preserve">greater </w:t>
      </w:r>
      <w:r w:rsidRPr="00BE47B7">
        <w:t>consumer involvement in the regulatory process</w:t>
      </w:r>
      <w:r>
        <w:t>, improvements in the way we regulate network businesses—including better analytical tools such as benchmarking—and changes to our organisation.</w:t>
      </w:r>
    </w:p>
    <w:p w:rsidR="00D203B9" w:rsidRDefault="009B761C" w:rsidP="004C241B">
      <w:r>
        <w:t>The purpose of this</w:t>
      </w:r>
      <w:r w:rsidR="00E1388E">
        <w:t xml:space="preserve"> document </w:t>
      </w:r>
      <w:r>
        <w:t xml:space="preserve">is to </w:t>
      </w:r>
      <w:r w:rsidR="009E24A0">
        <w:t xml:space="preserve">communicate </w:t>
      </w:r>
      <w:r w:rsidR="00103DB5">
        <w:t>our</w:t>
      </w:r>
      <w:r w:rsidR="009E24A0">
        <w:t xml:space="preserve"> </w:t>
      </w:r>
      <w:r w:rsidR="00134E85">
        <w:t>stakeholder engagement</w:t>
      </w:r>
      <w:r w:rsidR="00134E85" w:rsidRPr="00134E85">
        <w:t xml:space="preserve"> </w:t>
      </w:r>
      <w:r w:rsidR="00197E58">
        <w:t xml:space="preserve">approach </w:t>
      </w:r>
      <w:r w:rsidR="00134E85" w:rsidRPr="00134E85">
        <w:t xml:space="preserve">for </w:t>
      </w:r>
      <w:r w:rsidR="009E24A0">
        <w:t xml:space="preserve">network revenue determination </w:t>
      </w:r>
      <w:r w:rsidR="00134E85">
        <w:t>processes</w:t>
      </w:r>
      <w:r w:rsidR="009E24A0">
        <w:t>.</w:t>
      </w:r>
      <w:r w:rsidR="00D71780">
        <w:t xml:space="preserve"> We identify our main external stakeholders (section 2).</w:t>
      </w:r>
      <w:r w:rsidR="009E24A0">
        <w:t xml:space="preserve"> </w:t>
      </w:r>
      <w:r w:rsidR="00D71780">
        <w:t>We explain</w:t>
      </w:r>
      <w:r w:rsidR="002A17AB">
        <w:t xml:space="preserve"> </w:t>
      </w:r>
      <w:r w:rsidR="006B3E1C">
        <w:t xml:space="preserve">our </w:t>
      </w:r>
      <w:r w:rsidR="000A51FC">
        <w:t>'</w:t>
      </w:r>
      <w:r w:rsidR="006A7A90">
        <w:t>principles</w:t>
      </w:r>
      <w:r w:rsidR="00172C89">
        <w:t xml:space="preserve"> </w:t>
      </w:r>
      <w:r w:rsidR="00611DF8">
        <w:t>of engagement</w:t>
      </w:r>
      <w:r w:rsidR="000A51FC">
        <w:t>'</w:t>
      </w:r>
      <w:r w:rsidR="00611DF8">
        <w:t xml:space="preserve"> </w:t>
      </w:r>
      <w:r w:rsidR="00172C89">
        <w:t>(section </w:t>
      </w:r>
      <w:r w:rsidR="00D71780">
        <w:t>3</w:t>
      </w:r>
      <w:r w:rsidR="00172C89">
        <w:t>)</w:t>
      </w:r>
      <w:r w:rsidR="00205C8F">
        <w:t>,</w:t>
      </w:r>
      <w:r w:rsidR="00172C89">
        <w:t xml:space="preserve"> </w:t>
      </w:r>
      <w:r w:rsidR="006B3E1C">
        <w:t xml:space="preserve">and what </w:t>
      </w:r>
      <w:r w:rsidR="000A51FC">
        <w:t xml:space="preserve">they mean in practice for how we engage with </w:t>
      </w:r>
      <w:r w:rsidR="00172C89">
        <w:t>the network businesses (section </w:t>
      </w:r>
      <w:r w:rsidR="00D71780">
        <w:t>4</w:t>
      </w:r>
      <w:r w:rsidR="00172C89">
        <w:t>) and all other stakeholders</w:t>
      </w:r>
      <w:r w:rsidR="002A17AB">
        <w:t xml:space="preserve"> </w:t>
      </w:r>
      <w:r w:rsidR="00172C89">
        <w:t>(section </w:t>
      </w:r>
      <w:r w:rsidR="00D71780">
        <w:t>5</w:t>
      </w:r>
      <w:r w:rsidR="00172C89">
        <w:t>)</w:t>
      </w:r>
      <w:r w:rsidR="000A51FC">
        <w:t xml:space="preserve"> on these processes</w:t>
      </w:r>
      <w:r w:rsidR="00172C89">
        <w:t>.</w:t>
      </w:r>
      <w:r w:rsidR="00D71780">
        <w:t xml:space="preserve"> We explain</w:t>
      </w:r>
      <w:r w:rsidR="00D71780" w:rsidRPr="00D71780">
        <w:t xml:space="preserve"> </w:t>
      </w:r>
      <w:r w:rsidR="00D71780">
        <w:t>why w</w:t>
      </w:r>
      <w:r w:rsidR="00D71780" w:rsidRPr="00D71780">
        <w:t>e brief some stakeholders ahead of the release of decisions</w:t>
      </w:r>
      <w:r w:rsidR="00D71780">
        <w:t xml:space="preserve"> (section 6). Finally</w:t>
      </w:r>
      <w:r w:rsidR="00EC1D09">
        <w:t xml:space="preserve">, </w:t>
      </w:r>
      <w:r w:rsidR="00554CDE">
        <w:t xml:space="preserve">the </w:t>
      </w:r>
      <w:r w:rsidR="009C0230">
        <w:t xml:space="preserve">AER's </w:t>
      </w:r>
      <w:r w:rsidR="00A1406E">
        <w:t xml:space="preserve">consultation requirements under the National Electricity and Gas </w:t>
      </w:r>
      <w:r w:rsidR="00554CDE">
        <w:t>r</w:t>
      </w:r>
      <w:r w:rsidR="00C1799C">
        <w:t>ules</w:t>
      </w:r>
      <w:r w:rsidR="009C0230">
        <w:t xml:space="preserve"> </w:t>
      </w:r>
      <w:r w:rsidR="00D71780">
        <w:t xml:space="preserve">are outlined </w:t>
      </w:r>
      <w:r w:rsidR="00EC1D09">
        <w:t>(section </w:t>
      </w:r>
      <w:r w:rsidR="00D71780">
        <w:t>7</w:t>
      </w:r>
      <w:r w:rsidR="00EC1D09">
        <w:t>)</w:t>
      </w:r>
      <w:r w:rsidR="00480095">
        <w:t xml:space="preserve">—with </w:t>
      </w:r>
      <w:r w:rsidR="00ED7649">
        <w:t>examples of how we</w:t>
      </w:r>
      <w:r w:rsidR="00BE5251">
        <w:t xml:space="preserve"> will</w:t>
      </w:r>
      <w:r w:rsidR="00ED7649">
        <w:t xml:space="preserve"> fulfil</w:t>
      </w:r>
      <w:r w:rsidR="00ED7649" w:rsidRPr="00ED7649">
        <w:t xml:space="preserve"> </w:t>
      </w:r>
      <w:r w:rsidR="00F472F9">
        <w:t>them</w:t>
      </w:r>
      <w:r w:rsidR="005A6C57">
        <w:t xml:space="preserve"> in practice</w:t>
      </w:r>
      <w:r w:rsidR="00ED7649">
        <w:t>.</w:t>
      </w:r>
    </w:p>
    <w:p w:rsidR="00077DEE" w:rsidRDefault="00EC1D09" w:rsidP="00077DEE">
      <w:r>
        <w:t xml:space="preserve">By doing so, we </w:t>
      </w:r>
      <w:r w:rsidR="008E7935">
        <w:t>aim</w:t>
      </w:r>
      <w:r>
        <w:t xml:space="preserve"> to create </w:t>
      </w:r>
      <w:r w:rsidRPr="00134E85">
        <w:t xml:space="preserve">a predictable </w:t>
      </w:r>
      <w:r w:rsidR="008E67D0">
        <w:t xml:space="preserve">engagement </w:t>
      </w:r>
      <w:r>
        <w:t xml:space="preserve">experience for </w:t>
      </w:r>
      <w:r w:rsidR="004F735A">
        <w:t xml:space="preserve">all stakeholders involved </w:t>
      </w:r>
      <w:r>
        <w:t xml:space="preserve">in our </w:t>
      </w:r>
      <w:r w:rsidR="00C343C0">
        <w:t xml:space="preserve">network </w:t>
      </w:r>
      <w:r>
        <w:t>revenue determination processes.</w:t>
      </w:r>
      <w:r w:rsidR="00077DEE">
        <w:t xml:space="preserve"> </w:t>
      </w:r>
      <w:r w:rsidR="009C0230">
        <w:t>W</w:t>
      </w:r>
      <w:r w:rsidR="00077DEE">
        <w:t xml:space="preserve">e will continue to refine the way we engage on </w:t>
      </w:r>
      <w:r w:rsidR="009C0230">
        <w:t xml:space="preserve">these </w:t>
      </w:r>
      <w:r w:rsidR="00205C8F">
        <w:t>processes, which will be reflected in this 'living' document.</w:t>
      </w:r>
    </w:p>
    <w:p w:rsidR="00554CDE" w:rsidRDefault="00554CDE" w:rsidP="00E53F01">
      <w:r>
        <w:t xml:space="preserve">This document complements the AER's 2013 </w:t>
      </w:r>
      <w:r w:rsidRPr="00AA5C31">
        <w:t>AER Stakeholder</w:t>
      </w:r>
      <w:r>
        <w:t xml:space="preserve"> </w:t>
      </w:r>
      <w:r w:rsidRPr="00AA5C31">
        <w:t>Engagement Framework</w:t>
      </w:r>
      <w:r>
        <w:t xml:space="preserve">, which </w:t>
      </w:r>
      <w:r w:rsidR="00860C74">
        <w:t xml:space="preserve">commits us </w:t>
      </w:r>
      <w:r w:rsidR="00B30963">
        <w:t xml:space="preserve">to clearly </w:t>
      </w:r>
      <w:r w:rsidR="00860C74">
        <w:t>communicating the purpose and objectives of, and the role of stakeholders in, an engagement process. This promotes transparency in our</w:t>
      </w:r>
      <w:r w:rsidR="00B13BA8">
        <w:t xml:space="preserve"> regulatory processes and</w:t>
      </w:r>
      <w:r w:rsidR="00197E58">
        <w:t xml:space="preserve"> decision making.</w:t>
      </w:r>
    </w:p>
    <w:p w:rsidR="00D71442" w:rsidRDefault="00D71442">
      <w:pPr>
        <w:spacing w:line="240" w:lineRule="auto"/>
        <w:rPr>
          <w:rFonts w:eastAsiaTheme="majorEastAsia" w:cstheme="majorBidi"/>
          <w:b/>
          <w:bCs/>
          <w:color w:val="70635A" w:themeColor="text2"/>
          <w:sz w:val="32"/>
          <w:szCs w:val="26"/>
        </w:rPr>
      </w:pPr>
      <w:r>
        <w:br w:type="page"/>
      </w:r>
    </w:p>
    <w:p w:rsidR="00D71442" w:rsidRDefault="00E41D10" w:rsidP="00BB126B">
      <w:pPr>
        <w:pStyle w:val="Heading1"/>
      </w:pPr>
      <w:bookmarkStart w:id="3" w:name="_Toc429389265"/>
      <w:r>
        <w:lastRenderedPageBreak/>
        <w:t>O</w:t>
      </w:r>
      <w:r w:rsidR="00D71442">
        <w:t>ur stakeholders</w:t>
      </w:r>
      <w:bookmarkEnd w:id="3"/>
    </w:p>
    <w:p w:rsidR="00D71442" w:rsidRDefault="009C0230" w:rsidP="00D71442">
      <w:r>
        <w:t xml:space="preserve">This document focuses on our engagement with our external stakeholders. </w:t>
      </w:r>
      <w:r w:rsidR="00D71442">
        <w:t>Our main external stakeholders are:</w:t>
      </w:r>
    </w:p>
    <w:p w:rsidR="00D71442" w:rsidRPr="00D71442" w:rsidRDefault="00A64723" w:rsidP="00D71442">
      <w:pPr>
        <w:pStyle w:val="ListBullet"/>
      </w:pPr>
      <w:r>
        <w:t>e</w:t>
      </w:r>
      <w:r w:rsidR="00D71442" w:rsidRPr="00D71442">
        <w:t>nergy consumers</w:t>
      </w:r>
      <w:r w:rsidR="00D71442">
        <w:t>—including r</w:t>
      </w:r>
      <w:r w:rsidR="00D71442" w:rsidRPr="00D71442">
        <w:t>esidential consumers</w:t>
      </w:r>
      <w:r w:rsidR="00D71442">
        <w:t>, s</w:t>
      </w:r>
      <w:r w:rsidR="00D71442" w:rsidRPr="00D71442">
        <w:t>mall and large businesses</w:t>
      </w:r>
      <w:r w:rsidR="00D71442">
        <w:t>, and l</w:t>
      </w:r>
      <w:r w:rsidR="00D71442" w:rsidRPr="00D71442">
        <w:t>arge and industrial energy users</w:t>
      </w:r>
      <w:r w:rsidR="00B156E1">
        <w:t xml:space="preserve">, and </w:t>
      </w:r>
      <w:r w:rsidR="00F40580">
        <w:t xml:space="preserve">consumer and other </w:t>
      </w:r>
      <w:r w:rsidR="00B156E1">
        <w:t>representative groups</w:t>
      </w:r>
    </w:p>
    <w:p w:rsidR="00B156E1" w:rsidRDefault="00B156E1" w:rsidP="00D71442">
      <w:pPr>
        <w:pStyle w:val="ListBullet"/>
      </w:pPr>
      <w:r>
        <w:t xml:space="preserve">energy network service providers—including transmission and distribution businesses </w:t>
      </w:r>
    </w:p>
    <w:p w:rsidR="00A64723" w:rsidRDefault="00A64723" w:rsidP="00D71442">
      <w:pPr>
        <w:pStyle w:val="ListBullet"/>
      </w:pPr>
      <w:r>
        <w:t>g</w:t>
      </w:r>
      <w:r w:rsidR="00D71442" w:rsidRPr="00D71442">
        <w:t xml:space="preserve">overnments—including </w:t>
      </w:r>
      <w:r>
        <w:t xml:space="preserve">Energy Council Ministers, </w:t>
      </w:r>
      <w:r w:rsidR="000C5509">
        <w:t xml:space="preserve">the Commonwealth Treasury, </w:t>
      </w:r>
      <w:r>
        <w:t xml:space="preserve">and </w:t>
      </w:r>
      <w:r w:rsidRPr="00D71442">
        <w:t>state, territory and national government departments</w:t>
      </w:r>
    </w:p>
    <w:p w:rsidR="00D71442" w:rsidRPr="00D71442" w:rsidRDefault="007B47BA" w:rsidP="00D71442">
      <w:pPr>
        <w:pStyle w:val="ListBullet"/>
      </w:pPr>
      <w:r>
        <w:t xml:space="preserve">other regulators—including </w:t>
      </w:r>
      <w:r w:rsidR="00A64723">
        <w:t>Australian Energy Market Operator, Aust</w:t>
      </w:r>
      <w:r>
        <w:t xml:space="preserve">ralian Energy Market Commission, </w:t>
      </w:r>
      <w:r w:rsidR="00D71442" w:rsidRPr="00D71442">
        <w:t xml:space="preserve">jurisdictional energy ombudsman </w:t>
      </w:r>
      <w:r>
        <w:t xml:space="preserve">and </w:t>
      </w:r>
      <w:r w:rsidR="00D71442" w:rsidRPr="00D71442">
        <w:t xml:space="preserve">jurisdictional energy regulators </w:t>
      </w:r>
    </w:p>
    <w:p w:rsidR="00D71442" w:rsidRPr="00D71442" w:rsidRDefault="00B156E1" w:rsidP="00D71442">
      <w:pPr>
        <w:pStyle w:val="ListBullet"/>
      </w:pPr>
      <w:r>
        <w:t xml:space="preserve">other </w:t>
      </w:r>
      <w:r w:rsidR="00A64723">
        <w:t>e</w:t>
      </w:r>
      <w:r w:rsidR="00D71442" w:rsidRPr="00D71442">
        <w:t>nergy businesses—including electricity generators</w:t>
      </w:r>
      <w:r w:rsidR="00A64723">
        <w:t xml:space="preserve">, </w:t>
      </w:r>
      <w:r w:rsidR="00D71442" w:rsidRPr="00D71442">
        <w:t>gas producers and shippers</w:t>
      </w:r>
      <w:r w:rsidR="00A64723">
        <w:t>,</w:t>
      </w:r>
      <w:r w:rsidR="00D71442" w:rsidRPr="00D71442">
        <w:t xml:space="preserve"> wholesalers</w:t>
      </w:r>
      <w:r w:rsidR="00A64723">
        <w:t>,</w:t>
      </w:r>
      <w:r w:rsidR="00D71442" w:rsidRPr="00D71442">
        <w:t xml:space="preserve"> energy retailers and resellers</w:t>
      </w:r>
      <w:r w:rsidR="00A64723">
        <w:t>,</w:t>
      </w:r>
      <w:r w:rsidR="00D71442" w:rsidRPr="00D71442">
        <w:t xml:space="preserve"> </w:t>
      </w:r>
      <w:r w:rsidR="007B47BA">
        <w:t xml:space="preserve">and </w:t>
      </w:r>
      <w:r w:rsidR="00D71442" w:rsidRPr="00D71442">
        <w:t>peak industry groups</w:t>
      </w:r>
    </w:p>
    <w:p w:rsidR="00D71442" w:rsidRDefault="00A64723" w:rsidP="00D71442">
      <w:pPr>
        <w:pStyle w:val="ListBullet"/>
      </w:pPr>
      <w:r>
        <w:t>i</w:t>
      </w:r>
      <w:r w:rsidR="00D71442" w:rsidRPr="00D71442">
        <w:t>nvestors in the energy sector</w:t>
      </w:r>
    </w:p>
    <w:p w:rsidR="00D71442" w:rsidRDefault="00A64723" w:rsidP="00D71442">
      <w:pPr>
        <w:pStyle w:val="ListBullet"/>
      </w:pPr>
      <w:r>
        <w:t>m</w:t>
      </w:r>
      <w:r w:rsidR="00D71442" w:rsidRPr="00D71442">
        <w:t>edia, who may report on our decisions.</w:t>
      </w:r>
    </w:p>
    <w:p w:rsidR="00A64723" w:rsidRDefault="007B47BA" w:rsidP="004C241B">
      <w:r>
        <w:t>W</w:t>
      </w:r>
      <w:r w:rsidR="00190B49">
        <w:t xml:space="preserve">e engage with the </w:t>
      </w:r>
      <w:r w:rsidR="00197E58">
        <w:t xml:space="preserve">energy </w:t>
      </w:r>
      <w:r w:rsidR="00190B49">
        <w:t xml:space="preserve">network </w:t>
      </w:r>
      <w:r w:rsidR="00197E58">
        <w:t xml:space="preserve">service providers </w:t>
      </w:r>
      <w:r w:rsidR="00B84CEA">
        <w:t xml:space="preserve">more </w:t>
      </w:r>
      <w:r w:rsidR="00190B49">
        <w:t>than any other external stakeholder</w:t>
      </w:r>
      <w:r>
        <w:t xml:space="preserve"> as part of a revenue determination</w:t>
      </w:r>
      <w:r w:rsidR="00190B49">
        <w:t xml:space="preserve">. This is not surprising given </w:t>
      </w:r>
      <w:r w:rsidR="00C054D4">
        <w:t>o</w:t>
      </w:r>
      <w:r w:rsidR="00C054D4" w:rsidRPr="00BC4193">
        <w:t xml:space="preserve">ur </w:t>
      </w:r>
      <w:r w:rsidR="00C0174E">
        <w:t xml:space="preserve">decisions on the businesses' revenue proposals </w:t>
      </w:r>
      <w:r>
        <w:t xml:space="preserve">can </w:t>
      </w:r>
      <w:r w:rsidR="00190B49">
        <w:t xml:space="preserve">have a </w:t>
      </w:r>
      <w:r>
        <w:t>major</w:t>
      </w:r>
      <w:r w:rsidR="00190B49">
        <w:t xml:space="preserve"> impact on the way </w:t>
      </w:r>
      <w:r w:rsidR="00C0174E">
        <w:t>they</w:t>
      </w:r>
      <w:r w:rsidR="00190B49">
        <w:t xml:space="preserve"> operate their networks</w:t>
      </w:r>
      <w:r w:rsidR="00FE7CC9">
        <w:t>.</w:t>
      </w:r>
    </w:p>
    <w:p w:rsidR="00D907CB" w:rsidRPr="004C241B" w:rsidRDefault="00D907CB" w:rsidP="004C241B">
      <w:r>
        <w:t>The Consumer Challenge Panel</w:t>
      </w:r>
      <w:r w:rsidR="009C0230">
        <w:t xml:space="preserve">, which </w:t>
      </w:r>
      <w:r w:rsidR="009C0230" w:rsidRPr="009C0230">
        <w:t xml:space="preserve">assists </w:t>
      </w:r>
      <w:r w:rsidR="009C0230">
        <w:t xml:space="preserve">us </w:t>
      </w:r>
      <w:r w:rsidR="009C0230" w:rsidRPr="009C0230">
        <w:t>to make better regulatory determinations by providing input on iss</w:t>
      </w:r>
      <w:r w:rsidR="009C0230">
        <w:t xml:space="preserve">ues of importance to consumers, </w:t>
      </w:r>
      <w:r w:rsidR="00CF3E91">
        <w:t>is</w:t>
      </w:r>
      <w:r>
        <w:t xml:space="preserve"> an internal stakeholder</w:t>
      </w:r>
      <w:r w:rsidR="009C0230">
        <w:t xml:space="preserve"> to us</w:t>
      </w:r>
      <w:r>
        <w:t>.</w:t>
      </w:r>
      <w:r w:rsidR="00B84CEA">
        <w:t xml:space="preserve"> We appoint</w:t>
      </w:r>
      <w:r>
        <w:t xml:space="preserve"> </w:t>
      </w:r>
      <w:r w:rsidR="009C0230">
        <w:t>Consumer Challenge Panel members.</w:t>
      </w:r>
      <w:r w:rsidR="00A64723">
        <w:t xml:space="preserve"> We therefore do not explain how we engage with the Consumer Challenge Panel in this document.</w:t>
      </w:r>
    </w:p>
    <w:p w:rsidR="00134E85" w:rsidRDefault="001A0AD5" w:rsidP="001A0AD5">
      <w:pPr>
        <w:pStyle w:val="Heading1"/>
      </w:pPr>
      <w:bookmarkStart w:id="4" w:name="_Toc429389266"/>
      <w:r w:rsidRPr="001A0AD5">
        <w:lastRenderedPageBreak/>
        <w:t>Principles of engagement</w:t>
      </w:r>
      <w:bookmarkEnd w:id="4"/>
    </w:p>
    <w:p w:rsidR="00093D37" w:rsidRDefault="00093D37" w:rsidP="00093D37">
      <w:r w:rsidRPr="00220424" w:rsidDel="00093D37">
        <w:t xml:space="preserve">We recognise that stakeholder participation in energy market decision making processes is an important element of achieving </w:t>
      </w:r>
      <w:r w:rsidDel="00093D37">
        <w:t>the National Electricity and Gas objectives</w:t>
      </w:r>
      <w:r w:rsidR="00B40E8E">
        <w:t>.</w:t>
      </w:r>
      <w:r w:rsidR="00E53F01">
        <w:t xml:space="preserve"> The COAG Energy Council expects we</w:t>
      </w:r>
      <w:r w:rsidR="00E53F01" w:rsidRPr="00E53F01">
        <w:t xml:space="preserve"> will develop and execute effective engagement</w:t>
      </w:r>
      <w:r w:rsidR="00E53F01">
        <w:t xml:space="preserve"> </w:t>
      </w:r>
      <w:r w:rsidR="00E53F01" w:rsidRPr="00E53F01">
        <w:t>with market participants according to good practice and</w:t>
      </w:r>
      <w:r w:rsidR="00E53F01">
        <w:t xml:space="preserve"> </w:t>
      </w:r>
      <w:r w:rsidR="00E53F01" w:rsidRPr="00E53F01">
        <w:t>consistent with legislative requirements.</w:t>
      </w:r>
      <w:r w:rsidR="00E53F01">
        <w:rPr>
          <w:rStyle w:val="FootnoteReference"/>
        </w:rPr>
        <w:footnoteReference w:id="2"/>
      </w:r>
    </w:p>
    <w:p w:rsidR="001A0AD5" w:rsidRDefault="004403AA" w:rsidP="001A0AD5">
      <w:r>
        <w:t>To promote the National Electricity and Gas objectives, w</w:t>
      </w:r>
      <w:r w:rsidR="002A17AB">
        <w:t xml:space="preserve">e apply the </w:t>
      </w:r>
      <w:r w:rsidR="001A0AD5">
        <w:t xml:space="preserve">following </w:t>
      </w:r>
      <w:r w:rsidR="00440108">
        <w:t xml:space="preserve">principles </w:t>
      </w:r>
      <w:r w:rsidR="002A17AB">
        <w:t xml:space="preserve">in considering </w:t>
      </w:r>
      <w:r w:rsidR="00553DF0">
        <w:t xml:space="preserve">both </w:t>
      </w:r>
      <w:r w:rsidR="002A17AB">
        <w:t xml:space="preserve">the purpose of engagement and </w:t>
      </w:r>
      <w:r w:rsidR="006B3E1C">
        <w:t xml:space="preserve">what level of engagement we will undertake </w:t>
      </w:r>
      <w:r w:rsidR="002A17AB" w:rsidRPr="00134E85">
        <w:t xml:space="preserve">for </w:t>
      </w:r>
      <w:r w:rsidR="002A17AB">
        <w:t xml:space="preserve">our network </w:t>
      </w:r>
      <w:r w:rsidR="00220424">
        <w:t>revenue determination processes:</w:t>
      </w:r>
    </w:p>
    <w:p w:rsidR="001A0AD5" w:rsidRPr="001A0AD5" w:rsidRDefault="001A0AD5" w:rsidP="001A0AD5">
      <w:pPr>
        <w:pStyle w:val="ListNumber"/>
      </w:pPr>
      <w:r w:rsidRPr="001A0AD5">
        <w:t xml:space="preserve">Engagement </w:t>
      </w:r>
      <w:r w:rsidR="001852CD">
        <w:t xml:space="preserve">is </w:t>
      </w:r>
      <w:r w:rsidRPr="001A0AD5">
        <w:t xml:space="preserve">a tool to facilitate effective </w:t>
      </w:r>
      <w:r w:rsidR="001852CD">
        <w:t>and</w:t>
      </w:r>
      <w:r w:rsidRPr="001A0AD5">
        <w:t xml:space="preserve"> timely decisions that promote </w:t>
      </w:r>
      <w:r w:rsidR="001852CD">
        <w:t xml:space="preserve">the National Electricity and Gas </w:t>
      </w:r>
      <w:r w:rsidR="006F4FF6">
        <w:t>o</w:t>
      </w:r>
      <w:r w:rsidR="001852CD">
        <w:t>bjectives</w:t>
      </w:r>
    </w:p>
    <w:p w:rsidR="001A0AD5" w:rsidRDefault="008E67D0" w:rsidP="001A0AD5">
      <w:pPr>
        <w:pStyle w:val="ListNumber"/>
      </w:pPr>
      <w:r>
        <w:t xml:space="preserve">Decision making is improved </w:t>
      </w:r>
      <w:r w:rsidR="001C25BD">
        <w:t xml:space="preserve">through timely consideration of </w:t>
      </w:r>
      <w:r>
        <w:t xml:space="preserve">the </w:t>
      </w:r>
      <w:r w:rsidR="00FC4DC2">
        <w:t xml:space="preserve">views </w:t>
      </w:r>
      <w:r w:rsidR="00FA44E1">
        <w:t>presented to us by</w:t>
      </w:r>
      <w:r w:rsidR="00D645CE">
        <w:t xml:space="preserve"> all stakeholders</w:t>
      </w:r>
    </w:p>
    <w:p w:rsidR="009A3A61" w:rsidRDefault="009A3A61" w:rsidP="001A0AD5">
      <w:pPr>
        <w:pStyle w:val="ListNumber"/>
      </w:pPr>
      <w:r>
        <w:t>The e</w:t>
      </w:r>
      <w:r w:rsidR="001A0AD5" w:rsidRPr="001A0AD5">
        <w:t xml:space="preserve">mphasis of </w:t>
      </w:r>
      <w:r w:rsidR="008E67D0">
        <w:t xml:space="preserve">our </w:t>
      </w:r>
      <w:r w:rsidR="001A0AD5" w:rsidRPr="001A0AD5">
        <w:t xml:space="preserve">engagement with </w:t>
      </w:r>
      <w:r w:rsidR="006B3E1C">
        <w:t xml:space="preserve">network </w:t>
      </w:r>
      <w:r w:rsidR="001A0AD5" w:rsidRPr="001A0AD5">
        <w:t xml:space="preserve">business </w:t>
      </w:r>
      <w:r>
        <w:t xml:space="preserve">is </w:t>
      </w:r>
      <w:r w:rsidR="001A0AD5" w:rsidRPr="001A0AD5">
        <w:t xml:space="preserve">on understanding </w:t>
      </w:r>
      <w:r>
        <w:t xml:space="preserve">their regulatory </w:t>
      </w:r>
      <w:r w:rsidR="00A1406E">
        <w:t>proposals</w:t>
      </w:r>
    </w:p>
    <w:p w:rsidR="001A0AD5" w:rsidRDefault="009A3A61" w:rsidP="001A0AD5">
      <w:pPr>
        <w:pStyle w:val="ListNumber"/>
      </w:pPr>
      <w:r>
        <w:t>The e</w:t>
      </w:r>
      <w:r w:rsidR="001A0AD5" w:rsidRPr="001A0AD5">
        <w:t>mp</w:t>
      </w:r>
      <w:r>
        <w:t xml:space="preserve">hasis of </w:t>
      </w:r>
      <w:r w:rsidR="008E67D0">
        <w:t xml:space="preserve">our </w:t>
      </w:r>
      <w:r>
        <w:t xml:space="preserve">engagement with </w:t>
      </w:r>
      <w:r w:rsidR="00B84CEA">
        <w:t xml:space="preserve">all </w:t>
      </w:r>
      <w:r>
        <w:t xml:space="preserve">other stakeholders is </w:t>
      </w:r>
      <w:r w:rsidR="001A0AD5" w:rsidRPr="001A0AD5">
        <w:t>on informing</w:t>
      </w:r>
      <w:r w:rsidR="008B1061">
        <w:t xml:space="preserve"> them of </w:t>
      </w:r>
      <w:r w:rsidR="008A31B8">
        <w:t>our</w:t>
      </w:r>
      <w:r w:rsidR="008B1061">
        <w:t xml:space="preserve"> regulatory processes and assessment approach</w:t>
      </w:r>
      <w:r w:rsidR="008A31B8">
        <w:t>es</w:t>
      </w:r>
      <w:r w:rsidR="008B1061">
        <w:t>,</w:t>
      </w:r>
      <w:r w:rsidR="001A0AD5" w:rsidRPr="001A0AD5">
        <w:t xml:space="preserve"> </w:t>
      </w:r>
      <w:r>
        <w:t>and</w:t>
      </w:r>
      <w:r w:rsidR="00E247A6">
        <w:t xml:space="preserve"> </w:t>
      </w:r>
      <w:r w:rsidR="00B84CEA">
        <w:t xml:space="preserve">on </w:t>
      </w:r>
      <w:r w:rsidR="001A0AD5" w:rsidRPr="001A0AD5">
        <w:t xml:space="preserve">understanding </w:t>
      </w:r>
      <w:r>
        <w:t xml:space="preserve">their </w:t>
      </w:r>
      <w:r w:rsidR="001A0AD5" w:rsidRPr="001A0AD5">
        <w:t>views</w:t>
      </w:r>
    </w:p>
    <w:p w:rsidR="001A0AD5" w:rsidRDefault="008E67D0" w:rsidP="001A0AD5">
      <w:pPr>
        <w:pStyle w:val="ListNumber"/>
      </w:pPr>
      <w:r>
        <w:t>There is a need to b</w:t>
      </w:r>
      <w:r w:rsidR="006F4FF6">
        <w:t xml:space="preserve">alance </w:t>
      </w:r>
      <w:r>
        <w:t>the protection of</w:t>
      </w:r>
      <w:r w:rsidR="006F4FF6">
        <w:t xml:space="preserve"> confidential information with disclosing information for an open and transparent regulatory decision-making process</w:t>
      </w:r>
    </w:p>
    <w:p w:rsidR="00201A1D" w:rsidRDefault="008E67D0" w:rsidP="000E4F9C">
      <w:r>
        <w:t xml:space="preserve">We adhere to the principles of </w:t>
      </w:r>
      <w:r w:rsidR="00BB126B">
        <w:t>'</w:t>
      </w:r>
      <w:r>
        <w:t>open government</w:t>
      </w:r>
      <w:r w:rsidR="00BB126B">
        <w:t>'</w:t>
      </w:r>
      <w:r>
        <w:t>. A key aspect of this is providing</w:t>
      </w:r>
      <w:r w:rsidR="00FC4DC2">
        <w:t xml:space="preserve"> </w:t>
      </w:r>
      <w:r w:rsidR="007D343F">
        <w:t xml:space="preserve">procedural fairness so that </w:t>
      </w:r>
      <w:r w:rsidR="00201A1D" w:rsidRPr="00201A1D">
        <w:t>all of our stakeholders have an opportunity to be heard</w:t>
      </w:r>
      <w:r>
        <w:t xml:space="preserve"> and have their views considered</w:t>
      </w:r>
      <w:r w:rsidR="00201A1D" w:rsidRPr="00201A1D">
        <w:t>.</w:t>
      </w:r>
      <w:r w:rsidR="001A6462">
        <w:t xml:space="preserve"> </w:t>
      </w:r>
      <w:r w:rsidR="000E4F9C">
        <w:t>Stakeholders should have access to sufficient information to understand and assess the substance of all issues affecting their interests.</w:t>
      </w:r>
      <w:r w:rsidR="00EF174D">
        <w:t xml:space="preserve"> </w:t>
      </w:r>
      <w:r w:rsidR="000D556D">
        <w:t xml:space="preserve">This highlights the importance of </w:t>
      </w:r>
      <w:r w:rsidR="00EF174D">
        <w:t>the</w:t>
      </w:r>
      <w:r w:rsidR="000D556D">
        <w:t xml:space="preserve"> </w:t>
      </w:r>
      <w:r w:rsidR="001F78AC">
        <w:t xml:space="preserve">network </w:t>
      </w:r>
      <w:r w:rsidR="000D556D">
        <w:t>businesses' minimising confidentiality claims over the material presented in their regulatory proposals.</w:t>
      </w:r>
      <w:r w:rsidR="000D556D">
        <w:rPr>
          <w:rStyle w:val="FootnoteReference"/>
        </w:rPr>
        <w:footnoteReference w:id="3"/>
      </w:r>
    </w:p>
    <w:p w:rsidR="00E16E56" w:rsidRDefault="00B124F1" w:rsidP="000E4F9C">
      <w:r>
        <w:t>T</w:t>
      </w:r>
      <w:r w:rsidR="001778D7">
        <w:t xml:space="preserve">he draft decision is an important </w:t>
      </w:r>
      <w:r w:rsidR="005962DF">
        <w:t>stage</w:t>
      </w:r>
      <w:r w:rsidR="00815997">
        <w:t xml:space="preserve"> of </w:t>
      </w:r>
      <w:r w:rsidR="00B84CEA">
        <w:t>a regulatory</w:t>
      </w:r>
      <w:r w:rsidR="001778D7">
        <w:t xml:space="preserve"> </w:t>
      </w:r>
      <w:r w:rsidR="00815997">
        <w:t>process for exposing our decision and reasoning</w:t>
      </w:r>
      <w:r w:rsidR="001778D7">
        <w:t xml:space="preserve"> to scrutiny</w:t>
      </w:r>
      <w:r w:rsidR="00815997">
        <w:t>—</w:t>
      </w:r>
      <w:r w:rsidR="001778D7">
        <w:t xml:space="preserve">allowing </w:t>
      </w:r>
      <w:r w:rsidR="001778D7" w:rsidRPr="003F6D4F">
        <w:t>for extensive public input and feedback</w:t>
      </w:r>
      <w:r w:rsidR="00F4238E">
        <w:t xml:space="preserve">. This is a structured and transparent way for us to test the </w:t>
      </w:r>
      <w:r w:rsidR="003779D1">
        <w:t>robustness of our decision</w:t>
      </w:r>
      <w:r w:rsidR="00F4238E">
        <w:t>.</w:t>
      </w:r>
    </w:p>
    <w:p w:rsidR="001778D7" w:rsidRDefault="0083350E" w:rsidP="000E4F9C">
      <w:r>
        <w:t xml:space="preserve">A draft decision </w:t>
      </w:r>
      <w:r w:rsidR="007F11EF">
        <w:t xml:space="preserve">can </w:t>
      </w:r>
      <w:r w:rsidR="001778D7">
        <w:t xml:space="preserve">also help to narrow </w:t>
      </w:r>
      <w:r w:rsidR="007F11EF">
        <w:t xml:space="preserve">issues </w:t>
      </w:r>
      <w:r w:rsidR="006D08E6">
        <w:t xml:space="preserve">for consideration in </w:t>
      </w:r>
      <w:r w:rsidR="007F11EF">
        <w:t xml:space="preserve">the final </w:t>
      </w:r>
      <w:r w:rsidR="00A810F2">
        <w:t>stage</w:t>
      </w:r>
      <w:r w:rsidR="00C1799C">
        <w:t>s</w:t>
      </w:r>
      <w:r w:rsidR="00A810F2">
        <w:t xml:space="preserve"> of a</w:t>
      </w:r>
      <w:r w:rsidR="00B84CEA">
        <w:t xml:space="preserve"> regulatory</w:t>
      </w:r>
      <w:r w:rsidR="00A810F2">
        <w:t xml:space="preserve"> process</w:t>
      </w:r>
      <w:r w:rsidR="001778D7">
        <w:t xml:space="preserve">. For example, under the </w:t>
      </w:r>
      <w:r w:rsidR="00C1799C">
        <w:t>National Gas Rules</w:t>
      </w:r>
      <w:r w:rsidR="001778D7">
        <w:t xml:space="preserve">, </w:t>
      </w:r>
      <w:r w:rsidR="005B52D1">
        <w:t>t</w:t>
      </w:r>
      <w:r w:rsidR="005B52D1" w:rsidRPr="005B52D1">
        <w:t>he service provider may, within the revision period, submit additions or other amendments to the access arrangement proposal to address matters raised in the access arrangement draft decision. The amendments must be limited to those necessary to address matters raised in the access arrangement draft decision unless the AER approves further amendments.</w:t>
      </w:r>
      <w:r w:rsidR="001778D7">
        <w:rPr>
          <w:rStyle w:val="FootnoteReference"/>
        </w:rPr>
        <w:footnoteReference w:id="4"/>
      </w:r>
      <w:r w:rsidR="001778D7">
        <w:t xml:space="preserve"> </w:t>
      </w:r>
      <w:r w:rsidR="007F11EF">
        <w:t xml:space="preserve">Of course, </w:t>
      </w:r>
      <w:r w:rsidR="00A810F2">
        <w:t xml:space="preserve">all </w:t>
      </w:r>
      <w:r w:rsidR="007F11EF">
        <w:t>other stakeholders can make submissions on, and disagree with, matters accepted by us in a draft</w:t>
      </w:r>
      <w:r w:rsidR="0005655C">
        <w:t xml:space="preserve"> decision, which we would consider in developing our final decision.</w:t>
      </w:r>
    </w:p>
    <w:p w:rsidR="00651C92" w:rsidRDefault="00AD59FB" w:rsidP="001D291C">
      <w:pPr>
        <w:pStyle w:val="Heading1"/>
      </w:pPr>
      <w:bookmarkStart w:id="5" w:name="_Toc429389267"/>
      <w:r>
        <w:lastRenderedPageBreak/>
        <w:t>AER</w:t>
      </w:r>
      <w:r w:rsidR="001D291C">
        <w:t xml:space="preserve"> engagement</w:t>
      </w:r>
      <w:r w:rsidR="00F55C38">
        <w:t xml:space="preserve"> with network businesses</w:t>
      </w:r>
      <w:bookmarkEnd w:id="5"/>
    </w:p>
    <w:p w:rsidR="009270BA" w:rsidRDefault="00470C6B" w:rsidP="005E1585">
      <w:r>
        <w:t>O</w:t>
      </w:r>
      <w:r w:rsidRPr="001A51EF" w:rsidDel="00093D37">
        <w:t>ur regulatory processes, including our engagement approach, must be effective and efficient to deliver better network regulation.</w:t>
      </w:r>
      <w:r w:rsidR="00C36AE5">
        <w:rPr>
          <w:rStyle w:val="FootnoteReference"/>
        </w:rPr>
        <w:footnoteReference w:id="5"/>
      </w:r>
      <w:r>
        <w:t xml:space="preserve"> Further, o</w:t>
      </w:r>
      <w:r w:rsidR="00F93059">
        <w:t xml:space="preserve">ur </w:t>
      </w:r>
      <w:r w:rsidR="009270BA">
        <w:t xml:space="preserve">decisions </w:t>
      </w:r>
      <w:r w:rsidR="00F93059">
        <w:t xml:space="preserve">must </w:t>
      </w:r>
      <w:r w:rsidR="009270BA">
        <w:t>be founded on clear, demonstrable and objective arguments and evidence.</w:t>
      </w:r>
    </w:p>
    <w:p w:rsidR="003058BA" w:rsidRDefault="008E67D0" w:rsidP="005E1585">
      <w:r>
        <w:t xml:space="preserve">The </w:t>
      </w:r>
      <w:r w:rsidR="00EC64EF">
        <w:t xml:space="preserve">regulatory </w:t>
      </w:r>
      <w:r>
        <w:t>proposals and the way we assess them are complex</w:t>
      </w:r>
      <w:r w:rsidR="00D039E3">
        <w:t xml:space="preserve"> and technical</w:t>
      </w:r>
      <w:r>
        <w:t xml:space="preserve">. </w:t>
      </w:r>
      <w:r w:rsidR="008B199A" w:rsidRPr="0052126D">
        <w:t>Engagement</w:t>
      </w:r>
      <w:r w:rsidR="00D46D42">
        <w:t xml:space="preserve"> with the network businesses</w:t>
      </w:r>
      <w:r w:rsidR="008B199A" w:rsidRPr="0052126D">
        <w:t xml:space="preserve"> is largely about us ensuring that we understand the material that </w:t>
      </w:r>
      <w:r w:rsidR="00D46D42">
        <w:t>is</w:t>
      </w:r>
      <w:r w:rsidR="008B199A">
        <w:t xml:space="preserve"> presented to us</w:t>
      </w:r>
      <w:r w:rsidR="009C0230">
        <w:t xml:space="preserve"> in the proposals</w:t>
      </w:r>
      <w:r w:rsidR="007C1C5F">
        <w:t xml:space="preserve">, especially at the </w:t>
      </w:r>
      <w:r w:rsidR="009C0230">
        <w:t xml:space="preserve">early stages </w:t>
      </w:r>
      <w:r w:rsidR="007C1C5F">
        <w:t>of a process</w:t>
      </w:r>
      <w:r w:rsidR="008B199A">
        <w:t>.</w:t>
      </w:r>
    </w:p>
    <w:p w:rsidR="00CF5F0C" w:rsidRDefault="00CF5F0C" w:rsidP="00CF5F0C">
      <w:r>
        <w:t>We will offer opportunities for the network businesses to meet directly with the AER Board soon after they have lodged both their initial and revised regulatory proposals. The purpose of these meetings is to give the businesses an opportunity to provide an overview of their regulatory proposals, and draw particular issues to the AER Board</w:t>
      </w:r>
      <w:r w:rsidR="00A64723">
        <w:t>'</w:t>
      </w:r>
      <w:r>
        <w:t>s attention. To promote transparency</w:t>
      </w:r>
      <w:r w:rsidRPr="0052126D">
        <w:t xml:space="preserve">, </w:t>
      </w:r>
      <w:r>
        <w:t>the agenda and slides presented at these meetings will be</w:t>
      </w:r>
      <w:r w:rsidR="00B77B30">
        <w:t xml:space="preserve"> published on the AER's website, subject to the confidentiality issues noted earlier.</w:t>
      </w:r>
    </w:p>
    <w:p w:rsidR="00EC64EF" w:rsidRDefault="00EC64EF" w:rsidP="00EC64EF">
      <w:r>
        <w:t xml:space="preserve">To manage our regulatory processes </w:t>
      </w:r>
      <w:r w:rsidRPr="001A51EF">
        <w:t>effective</w:t>
      </w:r>
      <w:r>
        <w:t xml:space="preserve">ly </w:t>
      </w:r>
      <w:r w:rsidRPr="001A51EF">
        <w:t>and efficient</w:t>
      </w:r>
      <w:r>
        <w:t>ly, we need to run a targeted consultation process with the network businesses. We review the regulatory proposals and seek further information when questions arise—including through information requests, which are an efficient way for us to understand proposals and record review-related material.</w:t>
      </w:r>
    </w:p>
    <w:p w:rsidR="005E1585" w:rsidRDefault="00A64723" w:rsidP="005E1585">
      <w:r>
        <w:t xml:space="preserve">In our </w:t>
      </w:r>
      <w:r w:rsidR="00B067D8">
        <w:t xml:space="preserve">engagement </w:t>
      </w:r>
      <w:r w:rsidR="00F40580">
        <w:t xml:space="preserve">with a network business or </w:t>
      </w:r>
      <w:r w:rsidR="0099291E">
        <w:t>other individual stakeholder</w:t>
      </w:r>
      <w:r>
        <w:t>, w</w:t>
      </w:r>
      <w:r w:rsidR="005E1585">
        <w:t>e may</w:t>
      </w:r>
      <w:r w:rsidR="00854A51">
        <w:t xml:space="preserve"> </w:t>
      </w:r>
      <w:r w:rsidR="005E1585">
        <w:t xml:space="preserve">indicate our </w:t>
      </w:r>
      <w:r w:rsidR="0099291E">
        <w:t xml:space="preserve">initial </w:t>
      </w:r>
      <w:r w:rsidR="005E1585" w:rsidRPr="00B83B5D">
        <w:t>position</w:t>
      </w:r>
      <w:r w:rsidR="009904CD">
        <w:t xml:space="preserve"> on a matter</w:t>
      </w:r>
      <w:r w:rsidR="00B067D8">
        <w:t xml:space="preserve"> as a way to </w:t>
      </w:r>
      <w:r w:rsidR="00854A51">
        <w:t xml:space="preserve">test </w:t>
      </w:r>
      <w:r w:rsidR="005E1585" w:rsidRPr="00B83B5D">
        <w:t>our understanding</w:t>
      </w:r>
      <w:r w:rsidR="005E1585">
        <w:t xml:space="preserve"> of </w:t>
      </w:r>
      <w:r>
        <w:t>the issue</w:t>
      </w:r>
      <w:r w:rsidR="0099291E">
        <w:t>s</w:t>
      </w:r>
      <w:r w:rsidR="005E1585">
        <w:t xml:space="preserve"> at hand.</w:t>
      </w:r>
      <w:r w:rsidR="003058BA">
        <w:t xml:space="preserve"> </w:t>
      </w:r>
      <w:r w:rsidR="0099291E">
        <w:t>Nevertheless</w:t>
      </w:r>
      <w:r w:rsidR="00B067D8">
        <w:t xml:space="preserve">, we </w:t>
      </w:r>
      <w:r w:rsidR="0099291E">
        <w:t xml:space="preserve">generally </w:t>
      </w:r>
      <w:r w:rsidR="00B067D8">
        <w:t>see t</w:t>
      </w:r>
      <w:r w:rsidR="003058BA">
        <w:t xml:space="preserve">he draft decision is </w:t>
      </w:r>
      <w:r w:rsidR="00B067D8">
        <w:t>the most</w:t>
      </w:r>
      <w:r w:rsidR="003058BA">
        <w:t xml:space="preserve"> </w:t>
      </w:r>
      <w:r w:rsidR="009E547A">
        <w:t xml:space="preserve">appropriate and </w:t>
      </w:r>
      <w:r w:rsidR="003058BA">
        <w:t xml:space="preserve">transparent </w:t>
      </w:r>
      <w:r w:rsidR="009E547A">
        <w:t>mechanism for engaging in this way</w:t>
      </w:r>
      <w:r w:rsidR="005F226A">
        <w:t>—</w:t>
      </w:r>
      <w:r w:rsidR="00333C36">
        <w:t xml:space="preserve">it gives </w:t>
      </w:r>
      <w:r w:rsidR="00CF5F0C">
        <w:t>all stakeholders</w:t>
      </w:r>
      <w:r w:rsidR="005F226A">
        <w:t xml:space="preserve"> equal access</w:t>
      </w:r>
      <w:r w:rsidR="00333C36">
        <w:t xml:space="preserve"> to information and an equal opportunity to respond</w:t>
      </w:r>
      <w:r w:rsidR="005F226A">
        <w:t>.</w:t>
      </w:r>
    </w:p>
    <w:p w:rsidR="00D46D42" w:rsidRDefault="00D46D42" w:rsidP="00B83B5D">
      <w:r>
        <w:t xml:space="preserve">The later we are in </w:t>
      </w:r>
      <w:r w:rsidR="00AC5F82">
        <w:t xml:space="preserve">a </w:t>
      </w:r>
      <w:r>
        <w:t>process, the less meetings</w:t>
      </w:r>
      <w:r w:rsidR="00AC5F82">
        <w:t xml:space="preserve"> and </w:t>
      </w:r>
      <w:r>
        <w:t xml:space="preserve">workshops we </w:t>
      </w:r>
      <w:r w:rsidR="00EB2FDC">
        <w:t>may</w:t>
      </w:r>
      <w:r>
        <w:t xml:space="preserve"> hold with </w:t>
      </w:r>
      <w:r w:rsidR="00AC5F82">
        <w:t>a network business</w:t>
      </w:r>
      <w:r>
        <w:t>. Engagement</w:t>
      </w:r>
      <w:r w:rsidRPr="0052126D">
        <w:t xml:space="preserve"> is not about a negotiation of outcomes</w:t>
      </w:r>
      <w:r>
        <w:t>. In practice</w:t>
      </w:r>
      <w:r w:rsidR="00AC5F82">
        <w:t>,</w:t>
      </w:r>
      <w:r>
        <w:t xml:space="preserve"> </w:t>
      </w:r>
      <w:r w:rsidR="00AC5F82">
        <w:t>we are</w:t>
      </w:r>
      <w:r>
        <w:t xml:space="preserve"> busy drafting </w:t>
      </w:r>
      <w:r w:rsidR="00350CFD">
        <w:t xml:space="preserve">the </w:t>
      </w:r>
      <w:r>
        <w:t xml:space="preserve">decision documents </w:t>
      </w:r>
      <w:r w:rsidR="005962DF">
        <w:t>towards the end</w:t>
      </w:r>
      <w:r w:rsidR="00787CE3">
        <w:t xml:space="preserve"> of a regulatory process.</w:t>
      </w:r>
    </w:p>
    <w:p w:rsidR="00D039E3" w:rsidRDefault="00C054D4" w:rsidP="00B83B5D">
      <w:r>
        <w:t>The d</w:t>
      </w:r>
      <w:r w:rsidR="00D039E3" w:rsidRPr="00D039E3">
        <w:t xml:space="preserve">ecisions we make </w:t>
      </w:r>
      <w:r w:rsidR="00350CFD">
        <w:t xml:space="preserve">as part of a </w:t>
      </w:r>
      <w:r w:rsidR="00D039E3" w:rsidRPr="00D039E3">
        <w:t xml:space="preserve">revenue determination are supported by </w:t>
      </w:r>
      <w:r w:rsidR="00AC5F82" w:rsidRPr="00D039E3">
        <w:t xml:space="preserve">detailed </w:t>
      </w:r>
      <w:r w:rsidR="00D039E3" w:rsidRPr="00D039E3">
        <w:t xml:space="preserve">analysis and reasoning. </w:t>
      </w:r>
      <w:r w:rsidRPr="00D039E3">
        <w:t xml:space="preserve">We consider that </w:t>
      </w:r>
      <w:r w:rsidR="00AC5F82">
        <w:t>the written explanation</w:t>
      </w:r>
      <w:r w:rsidR="00D039E3" w:rsidRPr="00D039E3">
        <w:t xml:space="preserve"> should be sufficient to provide stakeholders with a good understanding of how and why we arrived at our decision</w:t>
      </w:r>
      <w:r w:rsidR="00AC5F82">
        <w:t>s</w:t>
      </w:r>
      <w:r w:rsidR="00D039E3" w:rsidRPr="00D039E3">
        <w:t xml:space="preserve">. A verbal explanation cannot always capture </w:t>
      </w:r>
      <w:r w:rsidR="00B156E1">
        <w:t xml:space="preserve">all </w:t>
      </w:r>
      <w:r w:rsidR="00AC5F82">
        <w:t>aspects</w:t>
      </w:r>
      <w:r w:rsidR="00D039E3" w:rsidRPr="00D039E3">
        <w:t xml:space="preserve"> </w:t>
      </w:r>
      <w:r w:rsidR="00AC5F82">
        <w:t xml:space="preserve">of </w:t>
      </w:r>
      <w:r w:rsidR="00D039E3" w:rsidRPr="00D039E3">
        <w:t xml:space="preserve">our decisions and can be misinterpreted. As such, we will not </w:t>
      </w:r>
      <w:r>
        <w:t xml:space="preserve">necessarily </w:t>
      </w:r>
      <w:r w:rsidR="00D039E3" w:rsidRPr="00D039E3">
        <w:t>meet with network businesses to explain the detailed</w:t>
      </w:r>
      <w:r w:rsidR="00D039E3">
        <w:t xml:space="preserve"> reasons of our decisions</w:t>
      </w:r>
      <w:r w:rsidR="00D039E3" w:rsidRPr="00D039E3">
        <w:t>.</w:t>
      </w:r>
    </w:p>
    <w:p w:rsidR="004A7998" w:rsidRDefault="004F2D30" w:rsidP="001D291C">
      <w:pPr>
        <w:pStyle w:val="Heading1"/>
      </w:pPr>
      <w:bookmarkStart w:id="6" w:name="_Toc429389268"/>
      <w:r>
        <w:lastRenderedPageBreak/>
        <w:t>AER</w:t>
      </w:r>
      <w:r w:rsidR="001D291C">
        <w:t xml:space="preserve"> engagement </w:t>
      </w:r>
      <w:r w:rsidR="004A7998">
        <w:t xml:space="preserve">with </w:t>
      </w:r>
      <w:r w:rsidR="009A2FE5">
        <w:t xml:space="preserve">all </w:t>
      </w:r>
      <w:r w:rsidR="004A7998">
        <w:t>other stakeholders</w:t>
      </w:r>
      <w:bookmarkEnd w:id="6"/>
    </w:p>
    <w:p w:rsidR="00D645CE" w:rsidRDefault="00D645CE" w:rsidP="00BA187E">
      <w:r>
        <w:t xml:space="preserve">The network businesses have a very good understanding of </w:t>
      </w:r>
      <w:r w:rsidR="008A31B8">
        <w:t xml:space="preserve">our </w:t>
      </w:r>
      <w:r>
        <w:t>regulatory processes and assessment approach</w:t>
      </w:r>
      <w:r w:rsidR="008A31B8">
        <w:t>es</w:t>
      </w:r>
      <w:r>
        <w:t xml:space="preserve">. </w:t>
      </w:r>
      <w:r w:rsidR="00B067D8">
        <w:t>Many</w:t>
      </w:r>
      <w:r>
        <w:t xml:space="preserve"> other stakeholders do not have </w:t>
      </w:r>
      <w:r w:rsidR="008A31B8">
        <w:t xml:space="preserve">the </w:t>
      </w:r>
      <w:r>
        <w:t xml:space="preserve">same level of </w:t>
      </w:r>
      <w:r w:rsidR="00B067D8">
        <w:t xml:space="preserve">involvement in </w:t>
      </w:r>
      <w:r w:rsidR="008A31B8">
        <w:t xml:space="preserve">our </w:t>
      </w:r>
      <w:r w:rsidR="00B067D8">
        <w:t>regulatory processes</w:t>
      </w:r>
      <w:r>
        <w:t>. We therefore see that we have a role in informing these stakeholders</w:t>
      </w:r>
      <w:r w:rsidR="002B3443">
        <w:t xml:space="preserve"> to help them </w:t>
      </w:r>
      <w:r w:rsidR="00722EFE">
        <w:t>to</w:t>
      </w:r>
      <w:r w:rsidR="002B3443">
        <w:t xml:space="preserve"> </w:t>
      </w:r>
      <w:r w:rsidR="008A31B8">
        <w:t>c</w:t>
      </w:r>
      <w:r w:rsidR="00722EFE">
        <w:t>onsider</w:t>
      </w:r>
      <w:r w:rsidR="002B3443">
        <w:t xml:space="preserve"> the </w:t>
      </w:r>
      <w:r w:rsidR="008A31B8">
        <w:t>network businesses' proposals and our decisions.</w:t>
      </w:r>
    </w:p>
    <w:p w:rsidR="00121DDF" w:rsidRDefault="007D284D" w:rsidP="00BA187E">
      <w:r>
        <w:t>When</w:t>
      </w:r>
      <w:r w:rsidR="00E24B69">
        <w:t xml:space="preserve"> possible</w:t>
      </w:r>
      <w:r w:rsidR="00862612">
        <w:t xml:space="preserve">, </w:t>
      </w:r>
      <w:r w:rsidR="00455005">
        <w:t>we will establish</w:t>
      </w:r>
      <w:r w:rsidR="00862612">
        <w:t xml:space="preserve"> </w:t>
      </w:r>
      <w:r w:rsidR="00C36AE5">
        <w:t>'</w:t>
      </w:r>
      <w:r w:rsidR="00455005">
        <w:t>jurisdictional</w:t>
      </w:r>
      <w:r w:rsidR="00862612">
        <w:t xml:space="preserve"> reference group</w:t>
      </w:r>
      <w:r w:rsidR="00455005">
        <w:t>s</w:t>
      </w:r>
      <w:r w:rsidR="00C36AE5">
        <w:t>'</w:t>
      </w:r>
      <w:r w:rsidR="007A014F">
        <w:t xml:space="preserve">, which </w:t>
      </w:r>
      <w:r w:rsidR="00BA187E" w:rsidRPr="00BA187E">
        <w:t>give us a mechanism for coordinated and informed views f</w:t>
      </w:r>
      <w:r w:rsidR="00BA187E">
        <w:t xml:space="preserve">rom a cross-section of </w:t>
      </w:r>
      <w:r w:rsidR="0060554C">
        <w:t>stakeholders</w:t>
      </w:r>
      <w:r w:rsidR="00BA187E">
        <w:t xml:space="preserve">. </w:t>
      </w:r>
      <w:r w:rsidR="00214876">
        <w:t>A</w:t>
      </w:r>
      <w:r w:rsidR="00BA187E">
        <w:t>ll stakeholders in a region may be invited to attend consumer reference group meetings</w:t>
      </w:r>
      <w:r w:rsidR="00214876">
        <w:t xml:space="preserve">, with the exception of the </w:t>
      </w:r>
      <w:r w:rsidR="00B52E5C">
        <w:t>network businesses</w:t>
      </w:r>
      <w:r w:rsidR="00214876">
        <w:t>.</w:t>
      </w:r>
    </w:p>
    <w:p w:rsidR="00554B4F" w:rsidRPr="00F007E6" w:rsidRDefault="00554B4F" w:rsidP="00554B4F">
      <w:r>
        <w:t>For example, w</w:t>
      </w:r>
      <w:r w:rsidRPr="00F007E6">
        <w:t xml:space="preserve">e set up jurisdictional reference groups for our recent electricity distribution </w:t>
      </w:r>
      <w:r>
        <w:t xml:space="preserve">processes </w:t>
      </w:r>
      <w:r w:rsidRPr="00F007E6">
        <w:t>to make it easier for consumer</w:t>
      </w:r>
      <w:r>
        <w:t>s</w:t>
      </w:r>
      <w:r w:rsidR="0060554C">
        <w:t xml:space="preserve"> in particular</w:t>
      </w:r>
      <w:r w:rsidRPr="00F007E6">
        <w:t xml:space="preserve"> to provide input into these </w:t>
      </w:r>
      <w:r w:rsidR="00265C32">
        <w:t>decisions</w:t>
      </w:r>
      <w:r w:rsidRPr="00F007E6">
        <w:t>. We explain</w:t>
      </w:r>
      <w:r>
        <w:t>ed</w:t>
      </w:r>
      <w:r w:rsidRPr="00F007E6">
        <w:t xml:space="preserve"> the key issues and our approach to assessing the network businesses' proposals at thes</w:t>
      </w:r>
      <w:r w:rsidR="00B067D8">
        <w:t>e meetings, among other things.</w:t>
      </w:r>
    </w:p>
    <w:p w:rsidR="00554B4F" w:rsidRDefault="00053DA0" w:rsidP="00554B4F">
      <w:r>
        <w:t xml:space="preserve">Stakeholders </w:t>
      </w:r>
      <w:r w:rsidR="00257A0C">
        <w:t>who</w:t>
      </w:r>
      <w:r>
        <w:t xml:space="preserve"> attend our jurisdictional reference group meetings can </w:t>
      </w:r>
      <w:r w:rsidR="00554B4F" w:rsidRPr="00F007E6">
        <w:t>raise questions and engage with us</w:t>
      </w:r>
      <w:r w:rsidR="00554B4F">
        <w:t>—</w:t>
      </w:r>
      <w:r w:rsidR="00554B4F" w:rsidRPr="00F007E6">
        <w:t>and the Consumer Challenge Panel</w:t>
      </w:r>
      <w:r w:rsidR="00554B4F">
        <w:t>—</w:t>
      </w:r>
      <w:r>
        <w:t>to develop their understanding of the regulatory proposals and key issues</w:t>
      </w:r>
      <w:r w:rsidR="00554B4F">
        <w:t xml:space="preserve">. Attendees </w:t>
      </w:r>
      <w:r w:rsidR="004F735A">
        <w:t xml:space="preserve">can request further meetings, </w:t>
      </w:r>
      <w:r>
        <w:t xml:space="preserve">workshops and training. For example, we </w:t>
      </w:r>
      <w:r w:rsidR="004F735A">
        <w:t xml:space="preserve">can </w:t>
      </w:r>
      <w:r>
        <w:t>offer consumer groups training on the 'building block model', which is a key feature of our decisions.</w:t>
      </w:r>
    </w:p>
    <w:p w:rsidR="009A2FE5" w:rsidRPr="009A2FE5" w:rsidRDefault="009A2FE5" w:rsidP="009A2FE5">
      <w:r>
        <w:t xml:space="preserve">Some </w:t>
      </w:r>
      <w:r w:rsidR="00A72D93">
        <w:t>stakeholders</w:t>
      </w:r>
      <w:r>
        <w:t xml:space="preserve"> ask us to </w:t>
      </w:r>
      <w:r w:rsidR="00053DA0">
        <w:t xml:space="preserve">simply </w:t>
      </w:r>
      <w:r>
        <w:t>keep them informed throughout a revenue determination process</w:t>
      </w:r>
      <w:r w:rsidR="00214876">
        <w:t>, such as on upcoming forums</w:t>
      </w:r>
      <w:r w:rsidR="004F735A">
        <w:t xml:space="preserve"> and </w:t>
      </w:r>
      <w:r w:rsidR="00D51BAE">
        <w:t>workshops</w:t>
      </w:r>
      <w:r w:rsidR="004F735A">
        <w:t>,</w:t>
      </w:r>
      <w:r w:rsidR="00214876">
        <w:t xml:space="preserve"> and when decisions are released</w:t>
      </w:r>
      <w:r w:rsidRPr="009A2FE5">
        <w:t xml:space="preserve">. </w:t>
      </w:r>
      <w:r w:rsidR="00E8367F">
        <w:t>We are happy to accommodate such requests. Further, w</w:t>
      </w:r>
      <w:r>
        <w:t>e publish consumer guides</w:t>
      </w:r>
      <w:r w:rsidR="007A3E29">
        <w:t xml:space="preserve"> to</w:t>
      </w:r>
      <w:r>
        <w:t xml:space="preserve"> </w:t>
      </w:r>
      <w:r w:rsidR="007A3E29">
        <w:t xml:space="preserve">provide these stakeholders with accessible </w:t>
      </w:r>
      <w:r>
        <w:t>information on our processes and decisions</w:t>
      </w:r>
      <w:r w:rsidR="007A3E29">
        <w:t>.</w:t>
      </w:r>
    </w:p>
    <w:p w:rsidR="009A2FE5" w:rsidRDefault="009A2FE5" w:rsidP="009A2FE5">
      <w:r>
        <w:t xml:space="preserve">Other </w:t>
      </w:r>
      <w:r w:rsidR="00A72D93">
        <w:t>stakeholders</w:t>
      </w:r>
      <w:r>
        <w:t xml:space="preserve"> seek to </w:t>
      </w:r>
      <w:r w:rsidR="003C644B">
        <w:t xml:space="preserve">provide substantive input into our decisions through </w:t>
      </w:r>
      <w:r>
        <w:t xml:space="preserve">submissions. We can assist these stakeholders by </w:t>
      </w:r>
      <w:r w:rsidR="007A3E29">
        <w:t>communicating</w:t>
      </w:r>
      <w:r w:rsidR="00214876">
        <w:t xml:space="preserve"> the</w:t>
      </w:r>
      <w:r>
        <w:t xml:space="preserve"> </w:t>
      </w:r>
      <w:r w:rsidR="00214876">
        <w:t>key issues being considered by the AER</w:t>
      </w:r>
      <w:r w:rsidR="00B52E5C">
        <w:t xml:space="preserve"> in a process</w:t>
      </w:r>
      <w:r w:rsidR="00214876">
        <w:t xml:space="preserve">, </w:t>
      </w:r>
      <w:r w:rsidR="00B52E5C">
        <w:t xml:space="preserve">and by highlighting both the </w:t>
      </w:r>
      <w:r w:rsidR="007A3E29">
        <w:t xml:space="preserve">material we </w:t>
      </w:r>
      <w:r w:rsidR="003C644B">
        <w:t xml:space="preserve">can </w:t>
      </w:r>
      <w:r w:rsidR="007A3E29">
        <w:t>consider in forming our decisions and</w:t>
      </w:r>
      <w:r w:rsidRPr="009A2FE5">
        <w:t xml:space="preserve"> </w:t>
      </w:r>
      <w:r w:rsidR="003C644B">
        <w:t xml:space="preserve">the </w:t>
      </w:r>
      <w:r w:rsidRPr="009A2FE5">
        <w:t>relevant legislative criteria</w:t>
      </w:r>
      <w:r w:rsidR="007A3E29">
        <w:t>. Our issues papers</w:t>
      </w:r>
      <w:r w:rsidR="007412CC">
        <w:t xml:space="preserve"> and overviews of our decisions</w:t>
      </w:r>
      <w:r w:rsidR="007A3E29">
        <w:t xml:space="preserve"> are designed with these stakeholders in mind.</w:t>
      </w:r>
    </w:p>
    <w:p w:rsidR="00F007E6" w:rsidRDefault="00916749" w:rsidP="009A2FE5">
      <w:r w:rsidRPr="00916749">
        <w:t xml:space="preserve">We are flexible in how we receive </w:t>
      </w:r>
      <w:r w:rsidR="00554B4F">
        <w:t>submissions</w:t>
      </w:r>
      <w:r w:rsidRPr="00916749">
        <w:t xml:space="preserve">. </w:t>
      </w:r>
      <w:r w:rsidR="00A72D93">
        <w:t xml:space="preserve">For example, </w:t>
      </w:r>
      <w:r w:rsidR="00B65112">
        <w:t xml:space="preserve">consumer representatives </w:t>
      </w:r>
      <w:r w:rsidRPr="00916749">
        <w:t>can provide input into our decisions just by attending our</w:t>
      </w:r>
      <w:r w:rsidR="00B65112">
        <w:t xml:space="preserve"> jurisdictional reference group</w:t>
      </w:r>
      <w:r w:rsidRPr="00916749">
        <w:t xml:space="preserve"> meetings and </w:t>
      </w:r>
      <w:r w:rsidR="00A72D93">
        <w:t>workshops</w:t>
      </w:r>
      <w:r w:rsidRPr="00916749">
        <w:t xml:space="preserve">. We </w:t>
      </w:r>
      <w:r w:rsidR="00F007E6">
        <w:t xml:space="preserve">can </w:t>
      </w:r>
      <w:r w:rsidR="00F007E6" w:rsidRPr="00F007E6">
        <w:t xml:space="preserve">take oral submissions at </w:t>
      </w:r>
      <w:r w:rsidR="00F007E6">
        <w:t>a</w:t>
      </w:r>
      <w:r w:rsidR="00F007E6" w:rsidRPr="00F007E6">
        <w:t xml:space="preserve"> meeting from those </w:t>
      </w:r>
      <w:r w:rsidR="00A72D93">
        <w:t>stakeholders</w:t>
      </w:r>
      <w:r w:rsidR="00F007E6" w:rsidRPr="00F007E6">
        <w:t xml:space="preserve"> that would not otherwise provide written submissions to the AER</w:t>
      </w:r>
      <w:r w:rsidR="003F3931">
        <w:t>—</w:t>
      </w:r>
      <w:r w:rsidR="002D09F2">
        <w:t xml:space="preserve">within the </w:t>
      </w:r>
      <w:r w:rsidR="003F3931">
        <w:t>bounds of the consultation timelines.</w:t>
      </w:r>
    </w:p>
    <w:p w:rsidR="00FD7F21" w:rsidRDefault="0037290D" w:rsidP="009A2FE5">
      <w:r>
        <w:t>In considering submissions, g</w:t>
      </w:r>
      <w:r w:rsidR="00FD7F21">
        <w:t xml:space="preserve">oing forward, we </w:t>
      </w:r>
      <w:r>
        <w:t xml:space="preserve">will </w:t>
      </w:r>
      <w:r w:rsidRPr="0037290D">
        <w:t xml:space="preserve">seek further information </w:t>
      </w:r>
      <w:r>
        <w:t xml:space="preserve">from </w:t>
      </w:r>
      <w:r w:rsidR="00BC087B">
        <w:t xml:space="preserve">consumer representatives </w:t>
      </w:r>
      <w:r w:rsidR="00A72D93">
        <w:t xml:space="preserve">and other stakeholders </w:t>
      </w:r>
      <w:r w:rsidRPr="0037290D">
        <w:t>when questions arise</w:t>
      </w:r>
      <w:r w:rsidR="00DA210A">
        <w:t>—</w:t>
      </w:r>
      <w:r>
        <w:t xml:space="preserve">including through </w:t>
      </w:r>
      <w:r w:rsidRPr="0037290D">
        <w:t>information requests</w:t>
      </w:r>
      <w:r>
        <w:t xml:space="preserve">. </w:t>
      </w:r>
      <w:r w:rsidR="00B65112">
        <w:t>This will help ensure we understand and</w:t>
      </w:r>
      <w:r w:rsidR="00DA210A">
        <w:t xml:space="preserve"> then</w:t>
      </w:r>
      <w:r w:rsidR="00B65112">
        <w:t xml:space="preserve"> </w:t>
      </w:r>
      <w:r w:rsidR="00B65112" w:rsidRPr="00554B4F">
        <w:t xml:space="preserve">reflect the views we receive in our regulatory decisions. </w:t>
      </w:r>
      <w:r w:rsidR="00B65112">
        <w:t xml:space="preserve">We </w:t>
      </w:r>
      <w:r w:rsidR="00DA210A">
        <w:t>recognise</w:t>
      </w:r>
      <w:r w:rsidR="00A72D93">
        <w:t xml:space="preserve"> consumer representatives </w:t>
      </w:r>
      <w:r w:rsidR="00B65112">
        <w:t>may have limited capacity to respond to such requests.</w:t>
      </w:r>
      <w:r w:rsidR="00B65112" w:rsidRPr="00B65112">
        <w:t xml:space="preserve"> </w:t>
      </w:r>
      <w:r w:rsidR="00B65112" w:rsidRPr="00554B4F">
        <w:t>The Consumer Challenge Panel also helps us understand the range of consumer views that are put to us.</w:t>
      </w:r>
    </w:p>
    <w:p w:rsidR="00D039E3" w:rsidRDefault="00D039E3" w:rsidP="00D039E3">
      <w:pPr>
        <w:pStyle w:val="Heading1"/>
      </w:pPr>
      <w:bookmarkStart w:id="7" w:name="_Toc429389269"/>
      <w:r>
        <w:lastRenderedPageBreak/>
        <w:t>We brief some stakeholders ahead of the release of decisions</w:t>
      </w:r>
      <w:bookmarkEnd w:id="7"/>
    </w:p>
    <w:p w:rsidR="00BC4193" w:rsidRPr="00BC4193" w:rsidRDefault="00BC4193" w:rsidP="00BC4193">
      <w:r w:rsidRPr="00BC4193">
        <w:t>Our revenue determinations can have significant financial implications for the network businesses and can include market sensitive information. A business' earnings could be materially different from market expectations as a result of a regulatory decision. Further, our decisions can have a significant impact on residential energy prices and go to how the regulatory regime is</w:t>
      </w:r>
      <w:r w:rsidR="000C5509">
        <w:t xml:space="preserve"> operating.</w:t>
      </w:r>
    </w:p>
    <w:p w:rsidR="00BC4193" w:rsidRPr="00BC4193" w:rsidRDefault="00BC4193" w:rsidP="00BC4193">
      <w:r w:rsidRPr="00BC4193">
        <w:t>We recognise that network businesses and governments</w:t>
      </w:r>
      <w:r w:rsidR="00B067D8">
        <w:t xml:space="preserve"> </w:t>
      </w:r>
      <w:r w:rsidRPr="00BC4193">
        <w:t xml:space="preserve">may need some time to consider and understand our decisions, prior to their public release. Briefings on our decisions allow, for example, senior management and the Board of the network businesses to more effectively report to their key stakeholders—including, for some network businesses, the ASX, ASX listed parent companies and overseas owners—upon the release of our decisions. </w:t>
      </w:r>
    </w:p>
    <w:p w:rsidR="00BC4193" w:rsidRPr="00BC4193" w:rsidRDefault="00BC4193" w:rsidP="00BC4193">
      <w:r w:rsidRPr="00BC4193">
        <w:t>We may brief the network businesses at a high level on key elements of our decisions in the days prior to their release. Further, we will provide embargoed copies of our decision documents to the network businesses the day before their release.</w:t>
      </w:r>
      <w:r w:rsidR="00AB1F9B">
        <w:rPr>
          <w:rStyle w:val="FootnoteReference"/>
        </w:rPr>
        <w:footnoteReference w:id="6"/>
      </w:r>
      <w:r w:rsidRPr="00BC4193">
        <w:t xml:space="preserve"> Similarly, we may provide high level briefs and embargoed copies of our decisions to relevant Energy Council Ministers and portfolio departments, and the Commonwealth Treasury.</w:t>
      </w:r>
    </w:p>
    <w:p w:rsidR="00BC4193" w:rsidRDefault="00BC4193" w:rsidP="00D039E3">
      <w:r w:rsidRPr="00BC4193">
        <w:t>Such briefings would occur after the AER Board has made the relevant decision, and are not an invitation or opportunity for the network businesses or governments to provide further, late submissions to us.</w:t>
      </w:r>
    </w:p>
    <w:p w:rsidR="00100B7E" w:rsidRDefault="006A6701" w:rsidP="00100B7E">
      <w:pPr>
        <w:pStyle w:val="Heading1"/>
      </w:pPr>
      <w:bookmarkStart w:id="8" w:name="_Toc429389270"/>
      <w:r>
        <w:lastRenderedPageBreak/>
        <w:t xml:space="preserve">Consultation </w:t>
      </w:r>
      <w:r w:rsidR="00100B7E" w:rsidRPr="00100B7E">
        <w:t xml:space="preserve">requirements under </w:t>
      </w:r>
      <w:r>
        <w:t>the r</w:t>
      </w:r>
      <w:r w:rsidR="00100B7E" w:rsidRPr="00100B7E">
        <w:t>ules</w:t>
      </w:r>
      <w:bookmarkEnd w:id="8"/>
    </w:p>
    <w:p w:rsidR="00100B7E" w:rsidRDefault="00446C01" w:rsidP="00100B7E">
      <w:r>
        <w:t xml:space="preserve">The National Electricity and Gas rules prescribe a process for consultation on </w:t>
      </w:r>
      <w:r w:rsidR="00DA210A">
        <w:t xml:space="preserve">network revenue determination processes </w:t>
      </w:r>
      <w:r>
        <w:t xml:space="preserve">and publication of information that will inform </w:t>
      </w:r>
      <w:r w:rsidR="00FA44E1">
        <w:t>those decisions</w:t>
      </w:r>
      <w:r w:rsidR="007D343F">
        <w:t>. The AER must</w:t>
      </w:r>
      <w:r>
        <w:t>:</w:t>
      </w:r>
    </w:p>
    <w:p w:rsidR="003F6D4F" w:rsidRDefault="007E455E" w:rsidP="007E455E">
      <w:pPr>
        <w:pStyle w:val="ListBullet"/>
      </w:pPr>
      <w:r w:rsidRPr="00052A32">
        <w:t>publish the framework and approach paper</w:t>
      </w:r>
      <w:r>
        <w:t xml:space="preserve"> (electricity only)</w:t>
      </w:r>
    </w:p>
    <w:p w:rsidR="00100B7E" w:rsidRPr="00100B7E" w:rsidRDefault="007D343F" w:rsidP="00446C01">
      <w:pPr>
        <w:pStyle w:val="ListBullet"/>
      </w:pPr>
      <w:r>
        <w:t>p</w:t>
      </w:r>
      <w:r w:rsidR="00100B7E" w:rsidRPr="00100B7E">
        <w:t xml:space="preserve">ublish </w:t>
      </w:r>
      <w:r w:rsidR="00446C01">
        <w:t xml:space="preserve">the regulatory </w:t>
      </w:r>
      <w:r w:rsidR="00100B7E" w:rsidRPr="00100B7E">
        <w:t xml:space="preserve">proposal </w:t>
      </w:r>
      <w:r w:rsidR="00446C01">
        <w:t>and any</w:t>
      </w:r>
      <w:r>
        <w:t xml:space="preserve"> supporting material</w:t>
      </w:r>
    </w:p>
    <w:p w:rsidR="007D343F" w:rsidRDefault="007D343F" w:rsidP="00446C01">
      <w:pPr>
        <w:pStyle w:val="ListBullet"/>
      </w:pPr>
      <w:r>
        <w:t xml:space="preserve">publish an </w:t>
      </w:r>
      <w:r w:rsidR="00FA44E1">
        <w:t>i</w:t>
      </w:r>
      <w:r w:rsidR="00100B7E" w:rsidRPr="00100B7E">
        <w:t xml:space="preserve">ssues </w:t>
      </w:r>
      <w:r w:rsidR="00FA44E1">
        <w:t>p</w:t>
      </w:r>
      <w:r w:rsidR="00100B7E" w:rsidRPr="00100B7E">
        <w:t>aper (electricity only)</w:t>
      </w:r>
    </w:p>
    <w:p w:rsidR="00100B7E" w:rsidRPr="00100B7E" w:rsidRDefault="00257A0C" w:rsidP="00446C01">
      <w:pPr>
        <w:pStyle w:val="ListBullet"/>
      </w:pPr>
      <w:r>
        <w:t>i</w:t>
      </w:r>
      <w:r w:rsidR="007D343F">
        <w:t>nv</w:t>
      </w:r>
      <w:r>
        <w:t>ite</w:t>
      </w:r>
      <w:r w:rsidR="00271347">
        <w:t xml:space="preserve"> written submissions</w:t>
      </w:r>
    </w:p>
    <w:p w:rsidR="00100B7E" w:rsidRPr="00100B7E" w:rsidRDefault="007D343F" w:rsidP="00446C01">
      <w:pPr>
        <w:pStyle w:val="ListBullet"/>
      </w:pPr>
      <w:r>
        <w:t>hold a p</w:t>
      </w:r>
      <w:r w:rsidR="00100B7E" w:rsidRPr="00100B7E">
        <w:t xml:space="preserve">ublic forum </w:t>
      </w:r>
      <w:r>
        <w:t>on the issues paper</w:t>
      </w:r>
      <w:r w:rsidRPr="007D343F">
        <w:t xml:space="preserve"> </w:t>
      </w:r>
      <w:r>
        <w:t>(electricity only)</w:t>
      </w:r>
    </w:p>
    <w:p w:rsidR="00100B7E" w:rsidRDefault="007D343F" w:rsidP="00446C01">
      <w:pPr>
        <w:pStyle w:val="ListBullet"/>
      </w:pPr>
      <w:r>
        <w:t>p</w:t>
      </w:r>
      <w:r w:rsidR="00100B7E" w:rsidRPr="00100B7E">
        <w:t xml:space="preserve">ublish </w:t>
      </w:r>
      <w:r>
        <w:t xml:space="preserve">a </w:t>
      </w:r>
      <w:r w:rsidR="00100B7E" w:rsidRPr="00100B7E">
        <w:t xml:space="preserve">draft decision </w:t>
      </w:r>
      <w:r>
        <w:t>and</w:t>
      </w:r>
      <w:r w:rsidR="00A82253">
        <w:t xml:space="preserve"> reasoning</w:t>
      </w:r>
    </w:p>
    <w:p w:rsidR="007D343F" w:rsidRPr="00100B7E" w:rsidRDefault="00257A0C" w:rsidP="00446C01">
      <w:pPr>
        <w:pStyle w:val="ListBullet"/>
      </w:pPr>
      <w:r>
        <w:t>invite</w:t>
      </w:r>
      <w:r w:rsidR="007D343F">
        <w:t xml:space="preserve"> written submissions</w:t>
      </w:r>
      <w:r>
        <w:t xml:space="preserve"> on the draft decision</w:t>
      </w:r>
    </w:p>
    <w:p w:rsidR="00100B7E" w:rsidRPr="00100B7E" w:rsidRDefault="007D343F" w:rsidP="00446C01">
      <w:pPr>
        <w:pStyle w:val="ListBullet"/>
      </w:pPr>
      <w:r>
        <w:t>hold a p</w:t>
      </w:r>
      <w:r w:rsidR="00100B7E" w:rsidRPr="00100B7E">
        <w:t>re-determination conference (electricity</w:t>
      </w:r>
      <w:r w:rsidR="00A55D67">
        <w:t xml:space="preserve"> only</w:t>
      </w:r>
      <w:r w:rsidR="00A82253">
        <w:t>)</w:t>
      </w:r>
    </w:p>
    <w:p w:rsidR="00100B7E" w:rsidRPr="00100B7E" w:rsidRDefault="00257A0C" w:rsidP="00446C01">
      <w:pPr>
        <w:pStyle w:val="ListBullet"/>
      </w:pPr>
      <w:r>
        <w:t xml:space="preserve">publish </w:t>
      </w:r>
      <w:r w:rsidR="005B52D1">
        <w:t xml:space="preserve">the </w:t>
      </w:r>
      <w:r>
        <w:t>revised proposal</w:t>
      </w:r>
    </w:p>
    <w:p w:rsidR="00881EFB" w:rsidRDefault="007D343F" w:rsidP="00446C01">
      <w:pPr>
        <w:pStyle w:val="ListBullet"/>
      </w:pPr>
      <w:r>
        <w:t>p</w:t>
      </w:r>
      <w:r w:rsidR="00100B7E" w:rsidRPr="00100B7E">
        <w:t xml:space="preserve">ublish </w:t>
      </w:r>
      <w:r w:rsidR="005B52D1">
        <w:t xml:space="preserve">a </w:t>
      </w:r>
      <w:r w:rsidR="00100B7E" w:rsidRPr="00100B7E">
        <w:t xml:space="preserve">final decision </w:t>
      </w:r>
      <w:r>
        <w:t>and</w:t>
      </w:r>
      <w:r w:rsidR="00100B7E" w:rsidRPr="00100B7E">
        <w:t xml:space="preserve"> reasoning</w:t>
      </w:r>
    </w:p>
    <w:p w:rsidR="00616B8D" w:rsidRDefault="00593E43" w:rsidP="00100B7E">
      <w:r>
        <w:t>The t</w:t>
      </w:r>
      <w:r w:rsidR="00F12916">
        <w:t>imeline</w:t>
      </w:r>
      <w:r>
        <w:t xml:space="preserve"> for a revenue determination process </w:t>
      </w:r>
      <w:r w:rsidR="00F12916">
        <w:t>is</w:t>
      </w:r>
      <w:r>
        <w:t xml:space="preserve"> significant</w:t>
      </w:r>
      <w:r w:rsidR="00077DEE">
        <w:t>ly</w:t>
      </w:r>
      <w:r>
        <w:t xml:space="preserve"> longer under the National Electricity Rules compared to the National </w:t>
      </w:r>
      <w:r w:rsidR="008A53A9">
        <w:t>Gas Rules, which allows for more extensive consultation with users</w:t>
      </w:r>
      <w:r w:rsidR="008A53A9" w:rsidRPr="00B83B5D">
        <w:t xml:space="preserve">, consumers </w:t>
      </w:r>
      <w:r w:rsidR="008A53A9">
        <w:t>and consumer representatives in particular.</w:t>
      </w:r>
      <w:r w:rsidR="00616B8D">
        <w:t xml:space="preserve"> Although the National Gas Rules do not require us to publish an issues paper for a regulatory process, we undertake to do so when </w:t>
      </w:r>
      <w:r w:rsidR="001922F4">
        <w:t>practicable</w:t>
      </w:r>
      <w:r w:rsidR="00616B8D">
        <w:t xml:space="preserve">. We consider issues papers are </w:t>
      </w:r>
      <w:r w:rsidR="00CA6824">
        <w:t>an important tool for helping consumers and consumer representatives to understand the businesses' proposals.</w:t>
      </w:r>
    </w:p>
    <w:p w:rsidR="002F1879" w:rsidRDefault="002F1879" w:rsidP="00100B7E">
      <w:r>
        <w:t xml:space="preserve">We have some discretion on the timing of submissions and revised proposal due dates, although the </w:t>
      </w:r>
      <w:r w:rsidR="00CA6824">
        <w:t xml:space="preserve">National Electricity Rules and National Gas Rules </w:t>
      </w:r>
      <w:r>
        <w:t>prescribe minimum lengths of time for the above steps in the consultation process.</w:t>
      </w:r>
    </w:p>
    <w:p w:rsidR="00F12916" w:rsidRDefault="00051F56" w:rsidP="00100B7E">
      <w:r>
        <w:t xml:space="preserve">The </w:t>
      </w:r>
      <w:r w:rsidR="00286D6B" w:rsidRPr="00354913">
        <w:t>National Electricity Rules</w:t>
      </w:r>
      <w:r w:rsidR="00286D6B">
        <w:t xml:space="preserve"> allow</w:t>
      </w:r>
      <w:r>
        <w:t xml:space="preserve"> us to </w:t>
      </w:r>
      <w:r w:rsidR="00100B7E">
        <w:t xml:space="preserve">align </w:t>
      </w:r>
      <w:r w:rsidR="00100B7E" w:rsidRPr="00354913">
        <w:t>our submissions and revised</w:t>
      </w:r>
      <w:r w:rsidR="00100B7E">
        <w:t xml:space="preserve"> regulatory proposals due dates.</w:t>
      </w:r>
      <w:r w:rsidR="00100B7E">
        <w:rPr>
          <w:rStyle w:val="FootnoteReference"/>
        </w:rPr>
        <w:footnoteReference w:id="7"/>
      </w:r>
      <w:r w:rsidR="00F12916">
        <w:t xml:space="preserve"> We </w:t>
      </w:r>
      <w:r w:rsidR="005D3AC6">
        <w:t>may</w:t>
      </w:r>
      <w:r w:rsidR="00F12916">
        <w:t xml:space="preserve"> then run</w:t>
      </w:r>
      <w:r w:rsidR="00F12916" w:rsidRPr="00354913">
        <w:t xml:space="preserve"> a separate consultation process </w:t>
      </w:r>
      <w:r w:rsidR="00F12916">
        <w:t xml:space="preserve">seeking views </w:t>
      </w:r>
      <w:r w:rsidR="002F1879">
        <w:t xml:space="preserve">specifically </w:t>
      </w:r>
      <w:r w:rsidR="00F12916" w:rsidRPr="00354913">
        <w:t xml:space="preserve">on the </w:t>
      </w:r>
      <w:r w:rsidR="00F12916">
        <w:t xml:space="preserve">businesses' </w:t>
      </w:r>
      <w:r w:rsidR="00F12916" w:rsidRPr="00354913">
        <w:t>revised proposals</w:t>
      </w:r>
      <w:r w:rsidR="00F12916">
        <w:t>,</w:t>
      </w:r>
      <w:r w:rsidR="00F12916">
        <w:rPr>
          <w:rStyle w:val="FootnoteReference"/>
        </w:rPr>
        <w:footnoteReference w:id="8"/>
      </w:r>
      <w:r w:rsidR="00F12916">
        <w:t xml:space="preserve"> which allows us to better </w:t>
      </w:r>
      <w:r w:rsidR="007F11EF">
        <w:t>consider</w:t>
      </w:r>
      <w:r w:rsidR="00F12916" w:rsidRPr="00F12916">
        <w:t xml:space="preserve"> views presented to us by all stakeholders</w:t>
      </w:r>
      <w:r w:rsidR="00F12916">
        <w:t xml:space="preserve">. </w:t>
      </w:r>
      <w:r w:rsidR="005D3AC6">
        <w:t>T</w:t>
      </w:r>
      <w:r w:rsidR="00F12916">
        <w:t>his additional round of consultation is not another opportunity for stakeholders to comment on our draft decisions.</w:t>
      </w:r>
      <w:r w:rsidR="002F1879">
        <w:t xml:space="preserve"> N</w:t>
      </w:r>
      <w:r w:rsidR="002F1879" w:rsidRPr="002F1879">
        <w:t xml:space="preserve">or </w:t>
      </w:r>
      <w:r w:rsidR="002F1879">
        <w:t xml:space="preserve">is it </w:t>
      </w:r>
      <w:r w:rsidR="002F1879" w:rsidRPr="002F1879">
        <w:t xml:space="preserve">for </w:t>
      </w:r>
      <w:r w:rsidR="002F1879">
        <w:t xml:space="preserve">the network </w:t>
      </w:r>
      <w:r w:rsidR="002F1879" w:rsidRPr="002F1879">
        <w:t>businesses to continue to develop their revised proposals after they fall due. Rather, it provides stakeholders</w:t>
      </w:r>
      <w:r w:rsidR="00147458">
        <w:t xml:space="preserve"> with</w:t>
      </w:r>
      <w:r w:rsidR="002F1879" w:rsidRPr="002F1879">
        <w:t xml:space="preserve"> an opportunity to comment on the revised propo</w:t>
      </w:r>
      <w:r w:rsidR="00147458">
        <w:t>sals submitted by the businesses.</w:t>
      </w:r>
    </w:p>
    <w:p w:rsidR="001D602F" w:rsidRDefault="001D602F" w:rsidP="00100B7E">
      <w:r>
        <w:t>In contrast, u</w:t>
      </w:r>
      <w:r w:rsidRPr="00B73122">
        <w:t>nder the National Gas Rules, submissions must remain open for a minimum period after the revised proposal is submitted.</w:t>
      </w:r>
      <w:r w:rsidRPr="00B73122">
        <w:rPr>
          <w:rStyle w:val="FootnoteReference"/>
        </w:rPr>
        <w:footnoteReference w:id="9"/>
      </w:r>
    </w:p>
    <w:p w:rsidR="00286D6B" w:rsidRDefault="00286D6B" w:rsidP="00286D6B">
      <w:pPr>
        <w:pStyle w:val="Heading2"/>
      </w:pPr>
      <w:bookmarkStart w:id="9" w:name="_Toc429389271"/>
      <w:r>
        <w:lastRenderedPageBreak/>
        <w:t>Public forums</w:t>
      </w:r>
      <w:bookmarkEnd w:id="9"/>
    </w:p>
    <w:p w:rsidR="00286D6B" w:rsidRDefault="00286D6B" w:rsidP="00286D6B">
      <w:r>
        <w:t>Under the National Electricity Rules, the AER is required to hold both a public forum on the issues paper and a predetermination conference for the purpose of explaining the draft determination.</w:t>
      </w:r>
      <w:r w:rsidR="00A530AB">
        <w:rPr>
          <w:rStyle w:val="FootnoteReference"/>
        </w:rPr>
        <w:footnoteReference w:id="10"/>
      </w:r>
      <w:r>
        <w:t xml:space="preserve"> We are not required to hold public forums</w:t>
      </w:r>
      <w:r w:rsidR="00593E43">
        <w:t xml:space="preserve"> or 'hearings' </w:t>
      </w:r>
      <w:r>
        <w:t>under the National Gas Rules</w:t>
      </w:r>
      <w:r w:rsidR="006E29A8">
        <w:t>,</w:t>
      </w:r>
      <w:r>
        <w:t xml:space="preserve"> unless requested by stakeholders</w:t>
      </w:r>
      <w:r w:rsidR="006E29A8">
        <w:t xml:space="preserve"> about a draft decision</w:t>
      </w:r>
      <w:r>
        <w:t>.</w:t>
      </w:r>
      <w:r w:rsidR="00A530AB">
        <w:rPr>
          <w:rStyle w:val="FootnoteReference"/>
        </w:rPr>
        <w:footnoteReference w:id="11"/>
      </w:r>
    </w:p>
    <w:p w:rsidR="00286D6B" w:rsidRDefault="00286D6B" w:rsidP="00286D6B">
      <w:r>
        <w:t>Public forums</w:t>
      </w:r>
      <w:r w:rsidR="00147458">
        <w:t xml:space="preserve"> </w:t>
      </w:r>
      <w:r>
        <w:t>usually involve:</w:t>
      </w:r>
    </w:p>
    <w:p w:rsidR="00286D6B" w:rsidRDefault="005B52D1" w:rsidP="00286D6B">
      <w:pPr>
        <w:pStyle w:val="ListBullet"/>
      </w:pPr>
      <w:r>
        <w:t>n</w:t>
      </w:r>
      <w:r w:rsidR="00286D6B">
        <w:t>etwork business presentations on their proposals</w:t>
      </w:r>
    </w:p>
    <w:p w:rsidR="00286D6B" w:rsidRDefault="00286D6B" w:rsidP="00286D6B">
      <w:pPr>
        <w:pStyle w:val="ListBullet"/>
      </w:pPr>
      <w:r>
        <w:t>Consumer Challenge Panel presentation</w:t>
      </w:r>
    </w:p>
    <w:p w:rsidR="00286D6B" w:rsidRDefault="00286D6B" w:rsidP="00286D6B">
      <w:pPr>
        <w:pStyle w:val="ListBullet"/>
      </w:pPr>
      <w:r>
        <w:t>AER staff presentations, including on the process and possibly substantive matters</w:t>
      </w:r>
    </w:p>
    <w:p w:rsidR="00286D6B" w:rsidRPr="00236961" w:rsidRDefault="005B52D1" w:rsidP="00286D6B">
      <w:pPr>
        <w:pStyle w:val="ListBullet"/>
      </w:pPr>
      <w:r>
        <w:t>q</w:t>
      </w:r>
      <w:r w:rsidR="00286D6B" w:rsidRPr="00236961">
        <w:t xml:space="preserve">uestions from the </w:t>
      </w:r>
      <w:r w:rsidR="00286D6B">
        <w:t>public</w:t>
      </w:r>
      <w:r>
        <w:t>.</w:t>
      </w:r>
    </w:p>
    <w:p w:rsidR="00286D6B" w:rsidRDefault="00286D6B" w:rsidP="00286D6B">
      <w:r>
        <w:t>Predetermination conferences</w:t>
      </w:r>
      <w:r w:rsidR="00147458">
        <w:t xml:space="preserve"> or hearings</w:t>
      </w:r>
      <w:r>
        <w:t xml:space="preserve"> involve:</w:t>
      </w:r>
    </w:p>
    <w:p w:rsidR="00286D6B" w:rsidRDefault="00286D6B" w:rsidP="00286D6B">
      <w:pPr>
        <w:pStyle w:val="ListBullet"/>
      </w:pPr>
      <w:r>
        <w:t>AER staff presentations on draft decisions</w:t>
      </w:r>
    </w:p>
    <w:p w:rsidR="00286D6B" w:rsidRDefault="005B52D1" w:rsidP="00286D6B">
      <w:pPr>
        <w:pStyle w:val="ListBullet"/>
      </w:pPr>
      <w:r>
        <w:t>n</w:t>
      </w:r>
      <w:r w:rsidR="00286D6B">
        <w:t>etwork business presentations on the AER's draft decision</w:t>
      </w:r>
    </w:p>
    <w:p w:rsidR="00286D6B" w:rsidRDefault="00286D6B" w:rsidP="00286D6B">
      <w:pPr>
        <w:pStyle w:val="ListBullet"/>
      </w:pPr>
      <w:r>
        <w:t>Consumer Challenge Panel presentation</w:t>
      </w:r>
    </w:p>
    <w:p w:rsidR="00286D6B" w:rsidRPr="00236961" w:rsidRDefault="005B52D1" w:rsidP="00286D6B">
      <w:pPr>
        <w:pStyle w:val="ListBullet"/>
      </w:pPr>
      <w:r>
        <w:t>q</w:t>
      </w:r>
      <w:r w:rsidR="00286D6B" w:rsidRPr="00236961">
        <w:t xml:space="preserve">uestions from the </w:t>
      </w:r>
      <w:r w:rsidR="00286D6B">
        <w:t>public</w:t>
      </w:r>
      <w:r>
        <w:t>.</w:t>
      </w:r>
    </w:p>
    <w:p w:rsidR="00147458" w:rsidRDefault="00147458" w:rsidP="00147458">
      <w:r>
        <w:t xml:space="preserve">Going forward, </w:t>
      </w:r>
      <w:r w:rsidR="005B52D1">
        <w:t>we</w:t>
      </w:r>
      <w:r>
        <w:t xml:space="preserve"> will look to provide opportunities for other</w:t>
      </w:r>
      <w:r w:rsidRPr="0052126D">
        <w:t xml:space="preserve"> stakeholders</w:t>
      </w:r>
      <w:r w:rsidR="00BB0653">
        <w:t>—especially consumers and consumer representatives—</w:t>
      </w:r>
      <w:r w:rsidRPr="0052126D">
        <w:t xml:space="preserve">to </w:t>
      </w:r>
      <w:r>
        <w:t>present</w:t>
      </w:r>
      <w:r w:rsidRPr="0052126D">
        <w:t xml:space="preserve"> at public forums</w:t>
      </w:r>
      <w:r>
        <w:t xml:space="preserve"> to ensure a wide range of views are presented</w:t>
      </w:r>
      <w:r w:rsidRPr="0052126D">
        <w:t>.</w:t>
      </w:r>
      <w:r>
        <w:t xml:space="preserve"> For example, we may invite those stakeholders </w:t>
      </w:r>
      <w:r w:rsidR="005B52D1">
        <w:t xml:space="preserve">who </w:t>
      </w:r>
      <w:r>
        <w:t xml:space="preserve">made initial submissions on the proposals to present at the predetermination conference. This will give </w:t>
      </w:r>
      <w:r w:rsidR="00BB0653">
        <w:t xml:space="preserve">consumers, consumer representatives and other stakeholders </w:t>
      </w:r>
      <w:r>
        <w:t>the opportunity to put their views directly to AER Board members in attendance.</w:t>
      </w:r>
    </w:p>
    <w:p w:rsidR="00A55D67" w:rsidRDefault="00055E23" w:rsidP="00E1388E">
      <w:r>
        <w:t>To promote transparency</w:t>
      </w:r>
      <w:r w:rsidR="00286D6B" w:rsidRPr="0052126D">
        <w:t xml:space="preserve">, </w:t>
      </w:r>
      <w:r w:rsidR="00286D6B">
        <w:t>the agenda and slides presented at public forums will be published on the AER's website.</w:t>
      </w:r>
      <w:r w:rsidR="007B2647" w:rsidRPr="007B2647">
        <w:t xml:space="preserve"> </w:t>
      </w:r>
      <w:r w:rsidR="007B2647">
        <w:t>We may also publish transcripts of the public forum presentations.</w:t>
      </w:r>
    </w:p>
    <w:sectPr w:rsidR="00A55D67" w:rsidSect="00E137FB">
      <w:footerReference w:type="even" r:id="rId12"/>
      <w:footerReference w:type="default" r:id="rId13"/>
      <w:footerReference w:type="first" r:id="rId14"/>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4D" w:rsidRDefault="000D534D" w:rsidP="004B4412">
      <w:pPr>
        <w:spacing w:before="0"/>
      </w:pPr>
      <w:r>
        <w:separator/>
      </w:r>
    </w:p>
    <w:p w:rsidR="000D534D" w:rsidRDefault="000D534D"/>
    <w:p w:rsidR="000D534D" w:rsidRDefault="000D534D"/>
  </w:endnote>
  <w:endnote w:type="continuationSeparator" w:id="0">
    <w:p w:rsidR="000D534D" w:rsidRDefault="000D534D" w:rsidP="004B4412">
      <w:pPr>
        <w:spacing w:before="0"/>
      </w:pPr>
      <w:r>
        <w:continuationSeparator/>
      </w:r>
    </w:p>
    <w:p w:rsidR="000D534D" w:rsidRDefault="000D534D"/>
    <w:p w:rsidR="000D534D" w:rsidRDefault="000D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E01E30" w:rsidRPr="00E01E30">
      <w:rPr>
        <w:rFonts w:eastAsia="Arial" w:cs="Times New Roman"/>
        <w:b/>
        <w:bCs/>
        <w:noProof/>
        <w:color w:val="076A92" w:themeColor="text1"/>
        <w:sz w:val="18"/>
        <w:lang w:val="en-US"/>
      </w:rPr>
      <w:t>AER network revenue</w:t>
    </w:r>
    <w:r w:rsidR="00E01E30">
      <w:rPr>
        <w:rFonts w:eastAsia="Arial" w:cs="Times New Roman"/>
        <w:noProof/>
        <w:color w:val="076A92" w:themeColor="text1"/>
        <w:sz w:val="18"/>
      </w:rPr>
      <w:t xml:space="preserve"> determination engagement protocol</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E01E30">
      <w:rPr>
        <w:rFonts w:eastAsia="Arial" w:cs="Times New Roman"/>
        <w:noProof/>
        <w:color w:val="076A92" w:themeColor="text1"/>
        <w:sz w:val="18"/>
      </w:rPr>
      <w:t>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E01E30" w:rsidP="00CC7F1D">
    <w:pPr>
      <w:pStyle w:val="Footer"/>
      <w:tabs>
        <w:tab w:val="clear" w:pos="9026"/>
        <w:tab w:val="right" w:pos="8505"/>
      </w:tabs>
    </w:pPr>
    <w:r>
      <w:fldChar w:fldCharType="begin"/>
    </w:r>
    <w:r>
      <w:instrText xml:space="preserve"> STYLEREF  "Report Title"  \* MERGEFORMAT </w:instrText>
    </w:r>
    <w:r>
      <w:fldChar w:fldCharType="separate"/>
    </w:r>
    <w:r w:rsidRPr="00E01E30">
      <w:rPr>
        <w:b/>
        <w:bCs/>
        <w:noProof/>
        <w:lang w:val="en-US"/>
      </w:rPr>
      <w:t>AER network revenue</w:t>
    </w:r>
    <w:r>
      <w:rPr>
        <w:noProof/>
      </w:rPr>
      <w:t xml:space="preserve"> determination engagement protocol</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2</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5A6C57" w:rsidP="00553DF0">
    <w:pPr>
      <w:pStyle w:val="Footer"/>
      <w:tabs>
        <w:tab w:val="clear" w:pos="9026"/>
        <w:tab w:val="right" w:pos="8505"/>
      </w:tabs>
    </w:pPr>
    <w:fldSimple w:instr=" STYLEREF  &quot;Report Title&quot;  \* MERGEFORMAT ">
      <w:r w:rsidR="00E01E30" w:rsidRPr="00E01E30">
        <w:rPr>
          <w:b/>
          <w:bCs/>
          <w:noProof/>
          <w:lang w:val="en-US"/>
        </w:rPr>
        <w:t>AER network revenue</w:t>
      </w:r>
      <w:r w:rsidR="00E01E30">
        <w:rPr>
          <w:noProof/>
        </w:rPr>
        <w:t xml:space="preserve"> determination engagement protocol</w:t>
      </w:r>
    </w:fldSimple>
    <w:r w:rsidR="00CC7F1D">
      <w:tab/>
    </w:r>
    <w:r w:rsidR="00CC7F1D">
      <w:tab/>
    </w:r>
    <w:r w:rsidR="00CC7F1D">
      <w:fldChar w:fldCharType="begin"/>
    </w:r>
    <w:r w:rsidR="00CC7F1D">
      <w:instrText xml:space="preserve"> PAGE   \* MERGEFORMAT </w:instrText>
    </w:r>
    <w:r w:rsidR="00CC7F1D">
      <w:fldChar w:fldCharType="separate"/>
    </w:r>
    <w:r w:rsidR="00E01E30">
      <w:rPr>
        <w:noProof/>
      </w:rPr>
      <w:t>1</w:t>
    </w:r>
    <w:r w:rsidR="00CC7F1D">
      <w:fldChar w:fldCharType="end"/>
    </w: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4D" w:rsidRDefault="000D534D" w:rsidP="00182906">
      <w:pPr>
        <w:spacing w:before="0"/>
      </w:pPr>
      <w:r>
        <w:separator/>
      </w:r>
    </w:p>
  </w:footnote>
  <w:footnote w:type="continuationSeparator" w:id="0">
    <w:p w:rsidR="000D534D" w:rsidRDefault="000D534D" w:rsidP="00182906">
      <w:pPr>
        <w:spacing w:before="0"/>
      </w:pPr>
      <w:r>
        <w:continuationSeparator/>
      </w:r>
    </w:p>
  </w:footnote>
  <w:footnote w:type="continuationNotice" w:id="1">
    <w:p w:rsidR="000D534D" w:rsidRDefault="000D534D">
      <w:pPr>
        <w:spacing w:before="0" w:line="240" w:lineRule="auto"/>
      </w:pPr>
    </w:p>
  </w:footnote>
  <w:footnote w:id="2">
    <w:p w:rsidR="00E53F01" w:rsidRDefault="00E53F01">
      <w:pPr>
        <w:pStyle w:val="FootnoteText"/>
      </w:pPr>
      <w:r>
        <w:rPr>
          <w:rStyle w:val="FootnoteReference"/>
        </w:rPr>
        <w:footnoteRef/>
      </w:r>
      <w:r>
        <w:t xml:space="preserve"> </w:t>
      </w:r>
      <w:r>
        <w:tab/>
        <w:t xml:space="preserve">See COAG Energy Council </w:t>
      </w:r>
      <w:r w:rsidRPr="00FD3883">
        <w:t>Statement of Expectations for</w:t>
      </w:r>
      <w:r>
        <w:t xml:space="preserve"> </w:t>
      </w:r>
      <w:r w:rsidRPr="00FD3883">
        <w:t>the Australian Energy Regulator</w:t>
      </w:r>
      <w:r>
        <w:t>.</w:t>
      </w:r>
    </w:p>
  </w:footnote>
  <w:footnote w:id="3">
    <w:p w:rsidR="000D556D" w:rsidRDefault="000D556D">
      <w:pPr>
        <w:pStyle w:val="FootnoteText"/>
      </w:pPr>
      <w:r>
        <w:rPr>
          <w:rStyle w:val="FootnoteReference"/>
        </w:rPr>
        <w:footnoteRef/>
      </w:r>
      <w:r>
        <w:t xml:space="preserve"> </w:t>
      </w:r>
      <w:r>
        <w:tab/>
      </w:r>
      <w:r w:rsidR="00EC64EF">
        <w:t xml:space="preserve">Our </w:t>
      </w:r>
      <w:r w:rsidR="008E67D0">
        <w:t>Better Regulation Confidentiality Guideline</w:t>
      </w:r>
      <w:r w:rsidR="00B84CEA">
        <w:t xml:space="preserve"> sets out the scheme for how we will handle </w:t>
      </w:r>
      <w:r w:rsidR="00EC64EF">
        <w:t>confidentiality claims.</w:t>
      </w:r>
    </w:p>
  </w:footnote>
  <w:footnote w:id="4">
    <w:p w:rsidR="001778D7" w:rsidRDefault="001778D7" w:rsidP="001778D7">
      <w:pPr>
        <w:pStyle w:val="FootnoteText"/>
      </w:pPr>
      <w:r>
        <w:rPr>
          <w:rStyle w:val="FootnoteReference"/>
        </w:rPr>
        <w:footnoteRef/>
      </w:r>
      <w:r>
        <w:t xml:space="preserve"> </w:t>
      </w:r>
      <w:r>
        <w:tab/>
      </w:r>
      <w:r w:rsidR="00A260AC">
        <w:t xml:space="preserve">See </w:t>
      </w:r>
      <w:r w:rsidR="005B52D1">
        <w:t>rule 60</w:t>
      </w:r>
      <w:r w:rsidR="005B52D1" w:rsidRPr="00D27C50">
        <w:t xml:space="preserve"> of the National </w:t>
      </w:r>
      <w:r w:rsidR="005B52D1">
        <w:t xml:space="preserve">Gas </w:t>
      </w:r>
      <w:r w:rsidR="005B52D1" w:rsidRPr="00D27C50">
        <w:t>Rules</w:t>
      </w:r>
      <w:r w:rsidR="005B52D1">
        <w:t>. Similarly, see</w:t>
      </w:r>
      <w:r w:rsidR="005B52D1" w:rsidRPr="00D27C50">
        <w:t xml:space="preserve"> </w:t>
      </w:r>
      <w:r w:rsidRPr="00D27C50">
        <w:t>clause 6.10.3(</w:t>
      </w:r>
      <w:r>
        <w:t>b</w:t>
      </w:r>
      <w:r w:rsidRPr="00D27C50">
        <w:t>) of the National Electricity Rules.</w:t>
      </w:r>
    </w:p>
  </w:footnote>
  <w:footnote w:id="5">
    <w:p w:rsidR="00C36AE5" w:rsidRDefault="00C36AE5" w:rsidP="00C36AE5">
      <w:pPr>
        <w:pStyle w:val="FootnoteText"/>
      </w:pPr>
      <w:r>
        <w:rPr>
          <w:rStyle w:val="FootnoteReference"/>
        </w:rPr>
        <w:footnoteRef/>
      </w:r>
      <w:r>
        <w:t xml:space="preserve"> </w:t>
      </w:r>
      <w:r>
        <w:tab/>
        <w:t xml:space="preserve">To support the work of the COAG Energy Council, </w:t>
      </w:r>
      <w:r w:rsidR="00D57D60">
        <w:t xml:space="preserve">the Council </w:t>
      </w:r>
      <w:r>
        <w:t xml:space="preserve">expects that </w:t>
      </w:r>
      <w:r w:rsidR="00D57D60">
        <w:t>we</w:t>
      </w:r>
      <w:r w:rsidRPr="005D6205">
        <w:t xml:space="preserve"> will</w:t>
      </w:r>
      <w:r>
        <w:t xml:space="preserve"> undertake</w:t>
      </w:r>
      <w:r w:rsidRPr="005D6205">
        <w:t xml:space="preserve"> </w:t>
      </w:r>
      <w:r w:rsidR="00D57D60">
        <w:t>our</w:t>
      </w:r>
      <w:r w:rsidRPr="005D6205">
        <w:t xml:space="preserve"> responsibilities</w:t>
      </w:r>
      <w:r>
        <w:t xml:space="preserve"> </w:t>
      </w:r>
      <w:r w:rsidRPr="005D6205">
        <w:t>efficiently and effectively</w:t>
      </w:r>
      <w:r>
        <w:t xml:space="preserve"> (see COAG Energy Council </w:t>
      </w:r>
      <w:r w:rsidRPr="00FD3883">
        <w:t>Statement of Expectations for</w:t>
      </w:r>
      <w:r>
        <w:t xml:space="preserve"> </w:t>
      </w:r>
      <w:r w:rsidRPr="00FD3883">
        <w:t>the Australian Energy Regulator</w:t>
      </w:r>
      <w:r>
        <w:t>).</w:t>
      </w:r>
    </w:p>
  </w:footnote>
  <w:footnote w:id="6">
    <w:p w:rsidR="00AB1F9B" w:rsidRDefault="00AB1F9B">
      <w:pPr>
        <w:pStyle w:val="FootnoteText"/>
      </w:pPr>
      <w:r>
        <w:rPr>
          <w:rStyle w:val="FootnoteReference"/>
        </w:rPr>
        <w:footnoteRef/>
      </w:r>
      <w:r>
        <w:t xml:space="preserve"> </w:t>
      </w:r>
      <w:r>
        <w:tab/>
      </w:r>
      <w:r w:rsidRPr="00AB1F9B">
        <w:t>That is, we provide decision documents on the condition that the network business cannot disclose the content of our decision until a certain time.</w:t>
      </w:r>
    </w:p>
  </w:footnote>
  <w:footnote w:id="7">
    <w:p w:rsidR="00100B7E" w:rsidRDefault="00100B7E" w:rsidP="00100B7E">
      <w:pPr>
        <w:pStyle w:val="FootnoteText"/>
      </w:pPr>
      <w:r>
        <w:rPr>
          <w:rStyle w:val="FootnoteReference"/>
        </w:rPr>
        <w:footnoteRef/>
      </w:r>
      <w:r>
        <w:t xml:space="preserve"> </w:t>
      </w:r>
      <w:r>
        <w:tab/>
      </w:r>
      <w:r w:rsidRPr="00354913">
        <w:t>Under the National Electricity Rules, there are separate clauses relating to the minimum days we must allow for submissions (cl. 6.10.2(c)) and revised proposals (cl. 6.10.3(a)).</w:t>
      </w:r>
      <w:r>
        <w:t xml:space="preserve"> </w:t>
      </w:r>
    </w:p>
  </w:footnote>
  <w:footnote w:id="8">
    <w:p w:rsidR="00F12916" w:rsidRDefault="00F12916" w:rsidP="00F12916">
      <w:pPr>
        <w:pStyle w:val="FootnoteText"/>
      </w:pPr>
      <w:r>
        <w:rPr>
          <w:rStyle w:val="FootnoteReference"/>
        </w:rPr>
        <w:footnoteRef/>
      </w:r>
      <w:r>
        <w:t xml:space="preserve"> </w:t>
      </w:r>
      <w:r>
        <w:tab/>
      </w:r>
      <w:r w:rsidR="00A260AC">
        <w:t>See</w:t>
      </w:r>
      <w:r w:rsidR="00A260AC" w:rsidRPr="000E4F9C">
        <w:t xml:space="preserve"> </w:t>
      </w:r>
      <w:r w:rsidRPr="000E4F9C">
        <w:t xml:space="preserve">clause 6.10.3(e) </w:t>
      </w:r>
      <w:r w:rsidR="00C756A9">
        <w:t xml:space="preserve">and 6.10.4 </w:t>
      </w:r>
      <w:r w:rsidRPr="000E4F9C">
        <w:t xml:space="preserve">of the </w:t>
      </w:r>
      <w:r w:rsidRPr="00354913">
        <w:t>National Electricity Rules</w:t>
      </w:r>
      <w:r>
        <w:t>.</w:t>
      </w:r>
    </w:p>
  </w:footnote>
  <w:footnote w:id="9">
    <w:p w:rsidR="001D602F" w:rsidRDefault="001D602F" w:rsidP="001D602F">
      <w:pPr>
        <w:pStyle w:val="FootnoteText"/>
      </w:pPr>
      <w:r>
        <w:rPr>
          <w:rStyle w:val="FootnoteReference"/>
        </w:rPr>
        <w:footnoteRef/>
      </w:r>
      <w:r>
        <w:t xml:space="preserve"> </w:t>
      </w:r>
      <w:r>
        <w:tab/>
      </w:r>
      <w:r w:rsidR="00A260AC">
        <w:t xml:space="preserve">See </w:t>
      </w:r>
      <w:r>
        <w:t>rule 59(5) under the National Gas Rules.</w:t>
      </w:r>
    </w:p>
  </w:footnote>
  <w:footnote w:id="10">
    <w:p w:rsidR="00A530AB" w:rsidRDefault="00A530AB">
      <w:pPr>
        <w:pStyle w:val="FootnoteText"/>
      </w:pPr>
      <w:r>
        <w:rPr>
          <w:rStyle w:val="FootnoteReference"/>
        </w:rPr>
        <w:footnoteRef/>
      </w:r>
      <w:r>
        <w:t xml:space="preserve"> </w:t>
      </w:r>
      <w:r>
        <w:tab/>
        <w:t>See clauses</w:t>
      </w:r>
      <w:r w:rsidR="006252FB">
        <w:t> </w:t>
      </w:r>
      <w:r>
        <w:t xml:space="preserve">6.9.3(b2) and 6.10.2(b) of the </w:t>
      </w:r>
      <w:r w:rsidRPr="00354913">
        <w:t>National Electricity Rules</w:t>
      </w:r>
      <w:r>
        <w:t>.</w:t>
      </w:r>
    </w:p>
  </w:footnote>
  <w:footnote w:id="11">
    <w:p w:rsidR="00A530AB" w:rsidRDefault="00A530AB">
      <w:pPr>
        <w:pStyle w:val="FootnoteText"/>
      </w:pPr>
      <w:r>
        <w:rPr>
          <w:rStyle w:val="FootnoteReference"/>
        </w:rPr>
        <w:footnoteRef/>
      </w:r>
      <w:r>
        <w:t xml:space="preserve"> </w:t>
      </w:r>
      <w:r>
        <w:tab/>
      </w:r>
      <w:r w:rsidR="006252FB">
        <w:t>See rule 61 of the National Gas Rules.</w:t>
      </w:r>
      <w:r w:rsidR="00C36AE5">
        <w:t xml:space="preserve"> Also, under rule 57, a</w:t>
      </w:r>
      <w:r w:rsidR="00C36AE5" w:rsidRPr="00C36AE5">
        <w:t xml:space="preserve"> </w:t>
      </w:r>
      <w:r w:rsidR="00C36AE5">
        <w:t xml:space="preserve">gas </w:t>
      </w:r>
      <w:r w:rsidR="00C36AE5" w:rsidRPr="00C36AE5">
        <w:t>service provider may, in the course of preparing a full access arrangement proposal for the AER's approval, by notice to the AER, request a pre-submission conference with representatives of the AER to discuss questions affecting the proper formulation of the proposal.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88E08452"/>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2F6E02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IWK44MZH\AER network revenue determination engagement protocol - version 1.0.docx"/>
  </w:docVars>
  <w:rsids>
    <w:rsidRoot w:val="000D534D"/>
    <w:rsid w:val="00002FCE"/>
    <w:rsid w:val="000041E7"/>
    <w:rsid w:val="00021202"/>
    <w:rsid w:val="00022458"/>
    <w:rsid w:val="00023227"/>
    <w:rsid w:val="0002517F"/>
    <w:rsid w:val="0002679C"/>
    <w:rsid w:val="000301AD"/>
    <w:rsid w:val="0003578C"/>
    <w:rsid w:val="00036EEA"/>
    <w:rsid w:val="000411B6"/>
    <w:rsid w:val="00043E36"/>
    <w:rsid w:val="00051F56"/>
    <w:rsid w:val="00052A32"/>
    <w:rsid w:val="00053DA0"/>
    <w:rsid w:val="00055E23"/>
    <w:rsid w:val="0005655C"/>
    <w:rsid w:val="00056FFA"/>
    <w:rsid w:val="000620C0"/>
    <w:rsid w:val="00063247"/>
    <w:rsid w:val="00070F9F"/>
    <w:rsid w:val="0007137B"/>
    <w:rsid w:val="00074341"/>
    <w:rsid w:val="00077DEE"/>
    <w:rsid w:val="00084E51"/>
    <w:rsid w:val="00085663"/>
    <w:rsid w:val="00085EBF"/>
    <w:rsid w:val="00093D37"/>
    <w:rsid w:val="000976DC"/>
    <w:rsid w:val="000A4E11"/>
    <w:rsid w:val="000A51FC"/>
    <w:rsid w:val="000A6224"/>
    <w:rsid w:val="000A6C7B"/>
    <w:rsid w:val="000B495C"/>
    <w:rsid w:val="000C5509"/>
    <w:rsid w:val="000D122C"/>
    <w:rsid w:val="000D534D"/>
    <w:rsid w:val="000D556D"/>
    <w:rsid w:val="000E1819"/>
    <w:rsid w:val="000E4F9C"/>
    <w:rsid w:val="000E6C72"/>
    <w:rsid w:val="00100B7E"/>
    <w:rsid w:val="00103DB5"/>
    <w:rsid w:val="00105C12"/>
    <w:rsid w:val="00107CC7"/>
    <w:rsid w:val="001111AF"/>
    <w:rsid w:val="00116EB2"/>
    <w:rsid w:val="00121DDF"/>
    <w:rsid w:val="00124609"/>
    <w:rsid w:val="00130C3C"/>
    <w:rsid w:val="00133B48"/>
    <w:rsid w:val="00133C35"/>
    <w:rsid w:val="00134E85"/>
    <w:rsid w:val="00142A5C"/>
    <w:rsid w:val="0014573B"/>
    <w:rsid w:val="00147458"/>
    <w:rsid w:val="001539F2"/>
    <w:rsid w:val="001573E4"/>
    <w:rsid w:val="00160756"/>
    <w:rsid w:val="0016644B"/>
    <w:rsid w:val="00170114"/>
    <w:rsid w:val="001702B8"/>
    <w:rsid w:val="00170E65"/>
    <w:rsid w:val="0017232E"/>
    <w:rsid w:val="00172C89"/>
    <w:rsid w:val="00174102"/>
    <w:rsid w:val="001778D7"/>
    <w:rsid w:val="00180157"/>
    <w:rsid w:val="00182906"/>
    <w:rsid w:val="001852CD"/>
    <w:rsid w:val="00185CB9"/>
    <w:rsid w:val="00186F77"/>
    <w:rsid w:val="00190B49"/>
    <w:rsid w:val="001922F4"/>
    <w:rsid w:val="001926A4"/>
    <w:rsid w:val="00192AD5"/>
    <w:rsid w:val="00193C20"/>
    <w:rsid w:val="00197E58"/>
    <w:rsid w:val="001A0AD5"/>
    <w:rsid w:val="001A51EF"/>
    <w:rsid w:val="001A6462"/>
    <w:rsid w:val="001A7450"/>
    <w:rsid w:val="001B45A0"/>
    <w:rsid w:val="001C25BD"/>
    <w:rsid w:val="001C382F"/>
    <w:rsid w:val="001C4923"/>
    <w:rsid w:val="001D055E"/>
    <w:rsid w:val="001D291C"/>
    <w:rsid w:val="001D602F"/>
    <w:rsid w:val="001E557A"/>
    <w:rsid w:val="001E5AB6"/>
    <w:rsid w:val="001E698B"/>
    <w:rsid w:val="001E72A4"/>
    <w:rsid w:val="001F492E"/>
    <w:rsid w:val="001F6DA3"/>
    <w:rsid w:val="001F78AC"/>
    <w:rsid w:val="002010BC"/>
    <w:rsid w:val="00201A1D"/>
    <w:rsid w:val="00202E03"/>
    <w:rsid w:val="0020492C"/>
    <w:rsid w:val="00205C8F"/>
    <w:rsid w:val="00207FDC"/>
    <w:rsid w:val="00214876"/>
    <w:rsid w:val="00215856"/>
    <w:rsid w:val="00220424"/>
    <w:rsid w:val="002238E2"/>
    <w:rsid w:val="00224DB9"/>
    <w:rsid w:val="00233775"/>
    <w:rsid w:val="00236961"/>
    <w:rsid w:val="00251745"/>
    <w:rsid w:val="00252F27"/>
    <w:rsid w:val="0025760B"/>
    <w:rsid w:val="00257A0C"/>
    <w:rsid w:val="00263AC0"/>
    <w:rsid w:val="00265C32"/>
    <w:rsid w:val="00266867"/>
    <w:rsid w:val="0026772D"/>
    <w:rsid w:val="00270D35"/>
    <w:rsid w:val="00271347"/>
    <w:rsid w:val="00281251"/>
    <w:rsid w:val="00282559"/>
    <w:rsid w:val="00286874"/>
    <w:rsid w:val="00286D6B"/>
    <w:rsid w:val="00292A28"/>
    <w:rsid w:val="00296B65"/>
    <w:rsid w:val="002A17AB"/>
    <w:rsid w:val="002A7DEF"/>
    <w:rsid w:val="002B3443"/>
    <w:rsid w:val="002B6D9C"/>
    <w:rsid w:val="002D09F2"/>
    <w:rsid w:val="002E1BE5"/>
    <w:rsid w:val="002E2BFC"/>
    <w:rsid w:val="002F1879"/>
    <w:rsid w:val="002F3AC5"/>
    <w:rsid w:val="002F48EA"/>
    <w:rsid w:val="002F67EA"/>
    <w:rsid w:val="002F7626"/>
    <w:rsid w:val="002F7986"/>
    <w:rsid w:val="00301B40"/>
    <w:rsid w:val="0030460B"/>
    <w:rsid w:val="003058BA"/>
    <w:rsid w:val="00305CC8"/>
    <w:rsid w:val="00307F6D"/>
    <w:rsid w:val="00317747"/>
    <w:rsid w:val="003177A2"/>
    <w:rsid w:val="00321697"/>
    <w:rsid w:val="00323F37"/>
    <w:rsid w:val="003271B5"/>
    <w:rsid w:val="00327A1E"/>
    <w:rsid w:val="00331264"/>
    <w:rsid w:val="00333C36"/>
    <w:rsid w:val="00334C8D"/>
    <w:rsid w:val="00341FC3"/>
    <w:rsid w:val="00350CFD"/>
    <w:rsid w:val="003518B3"/>
    <w:rsid w:val="00354913"/>
    <w:rsid w:val="00365466"/>
    <w:rsid w:val="0037290D"/>
    <w:rsid w:val="00372E87"/>
    <w:rsid w:val="003779D1"/>
    <w:rsid w:val="003846F1"/>
    <w:rsid w:val="00397218"/>
    <w:rsid w:val="003A414A"/>
    <w:rsid w:val="003B1BD7"/>
    <w:rsid w:val="003C644B"/>
    <w:rsid w:val="003C69EA"/>
    <w:rsid w:val="003E08EB"/>
    <w:rsid w:val="003F3931"/>
    <w:rsid w:val="003F6D4F"/>
    <w:rsid w:val="00400DDA"/>
    <w:rsid w:val="0040161C"/>
    <w:rsid w:val="0041132C"/>
    <w:rsid w:val="00420E22"/>
    <w:rsid w:val="00425729"/>
    <w:rsid w:val="00440108"/>
    <w:rsid w:val="004403AA"/>
    <w:rsid w:val="00446C01"/>
    <w:rsid w:val="00453724"/>
    <w:rsid w:val="00455005"/>
    <w:rsid w:val="00456CD8"/>
    <w:rsid w:val="00463F25"/>
    <w:rsid w:val="00470C6B"/>
    <w:rsid w:val="00473070"/>
    <w:rsid w:val="00480095"/>
    <w:rsid w:val="00480B4B"/>
    <w:rsid w:val="00485DC4"/>
    <w:rsid w:val="004916A4"/>
    <w:rsid w:val="004A43D1"/>
    <w:rsid w:val="004A7998"/>
    <w:rsid w:val="004B070C"/>
    <w:rsid w:val="004B4412"/>
    <w:rsid w:val="004C04F0"/>
    <w:rsid w:val="004C1742"/>
    <w:rsid w:val="004C241B"/>
    <w:rsid w:val="004C348C"/>
    <w:rsid w:val="004C3714"/>
    <w:rsid w:val="004C59D9"/>
    <w:rsid w:val="004D1FA6"/>
    <w:rsid w:val="004D55BA"/>
    <w:rsid w:val="004D65EC"/>
    <w:rsid w:val="004E22EC"/>
    <w:rsid w:val="004E261F"/>
    <w:rsid w:val="004F2D30"/>
    <w:rsid w:val="004F735A"/>
    <w:rsid w:val="005020B6"/>
    <w:rsid w:val="005154A3"/>
    <w:rsid w:val="0052126D"/>
    <w:rsid w:val="00530128"/>
    <w:rsid w:val="005307D3"/>
    <w:rsid w:val="00532467"/>
    <w:rsid w:val="005324A5"/>
    <w:rsid w:val="0054378C"/>
    <w:rsid w:val="00547555"/>
    <w:rsid w:val="00553DF0"/>
    <w:rsid w:val="00554B4F"/>
    <w:rsid w:val="00554CDE"/>
    <w:rsid w:val="0056080A"/>
    <w:rsid w:val="00562632"/>
    <w:rsid w:val="00564A4D"/>
    <w:rsid w:val="00567BA5"/>
    <w:rsid w:val="00571098"/>
    <w:rsid w:val="00571B35"/>
    <w:rsid w:val="00571D57"/>
    <w:rsid w:val="0057480E"/>
    <w:rsid w:val="00577A09"/>
    <w:rsid w:val="005829C2"/>
    <w:rsid w:val="00584D8F"/>
    <w:rsid w:val="00584EB7"/>
    <w:rsid w:val="00591FE6"/>
    <w:rsid w:val="005931F2"/>
    <w:rsid w:val="00593B05"/>
    <w:rsid w:val="00593E43"/>
    <w:rsid w:val="005962DF"/>
    <w:rsid w:val="005A404D"/>
    <w:rsid w:val="005A6C57"/>
    <w:rsid w:val="005B1E3C"/>
    <w:rsid w:val="005B52D1"/>
    <w:rsid w:val="005C1917"/>
    <w:rsid w:val="005C26CC"/>
    <w:rsid w:val="005C4261"/>
    <w:rsid w:val="005D0C3D"/>
    <w:rsid w:val="005D2271"/>
    <w:rsid w:val="005D3AC6"/>
    <w:rsid w:val="005D5619"/>
    <w:rsid w:val="005D6205"/>
    <w:rsid w:val="005E1585"/>
    <w:rsid w:val="005F226A"/>
    <w:rsid w:val="00605254"/>
    <w:rsid w:val="0060554C"/>
    <w:rsid w:val="0060717E"/>
    <w:rsid w:val="00611DF8"/>
    <w:rsid w:val="00615C6B"/>
    <w:rsid w:val="00616B8D"/>
    <w:rsid w:val="006173C5"/>
    <w:rsid w:val="00617929"/>
    <w:rsid w:val="006252FB"/>
    <w:rsid w:val="00631CC8"/>
    <w:rsid w:val="00632D6D"/>
    <w:rsid w:val="00642C3E"/>
    <w:rsid w:val="00651C92"/>
    <w:rsid w:val="006528C8"/>
    <w:rsid w:val="00663DAD"/>
    <w:rsid w:val="00670957"/>
    <w:rsid w:val="00674598"/>
    <w:rsid w:val="00676679"/>
    <w:rsid w:val="0069179E"/>
    <w:rsid w:val="00693615"/>
    <w:rsid w:val="00693B37"/>
    <w:rsid w:val="00694EE6"/>
    <w:rsid w:val="006A4DF1"/>
    <w:rsid w:val="006A6701"/>
    <w:rsid w:val="006A763C"/>
    <w:rsid w:val="006A7A90"/>
    <w:rsid w:val="006B3E1C"/>
    <w:rsid w:val="006B4CF9"/>
    <w:rsid w:val="006B7AC8"/>
    <w:rsid w:val="006C1FEB"/>
    <w:rsid w:val="006C2D39"/>
    <w:rsid w:val="006C45D4"/>
    <w:rsid w:val="006D08E6"/>
    <w:rsid w:val="006D0D66"/>
    <w:rsid w:val="006D4DD6"/>
    <w:rsid w:val="006D550F"/>
    <w:rsid w:val="006E29A8"/>
    <w:rsid w:val="006F45FF"/>
    <w:rsid w:val="006F4FF6"/>
    <w:rsid w:val="006F6008"/>
    <w:rsid w:val="00701CAB"/>
    <w:rsid w:val="00707541"/>
    <w:rsid w:val="00707563"/>
    <w:rsid w:val="00722EFE"/>
    <w:rsid w:val="0072348C"/>
    <w:rsid w:val="00724A37"/>
    <w:rsid w:val="00725ACE"/>
    <w:rsid w:val="00726A96"/>
    <w:rsid w:val="007303C3"/>
    <w:rsid w:val="0073797C"/>
    <w:rsid w:val="0074068B"/>
    <w:rsid w:val="007412CC"/>
    <w:rsid w:val="00743223"/>
    <w:rsid w:val="00746E01"/>
    <w:rsid w:val="007564D4"/>
    <w:rsid w:val="00757BDF"/>
    <w:rsid w:val="00763E5D"/>
    <w:rsid w:val="00766A53"/>
    <w:rsid w:val="00767740"/>
    <w:rsid w:val="00771400"/>
    <w:rsid w:val="00771463"/>
    <w:rsid w:val="00774CF8"/>
    <w:rsid w:val="0077657C"/>
    <w:rsid w:val="00777EE6"/>
    <w:rsid w:val="00782EEA"/>
    <w:rsid w:val="00784345"/>
    <w:rsid w:val="00787843"/>
    <w:rsid w:val="00787CE3"/>
    <w:rsid w:val="00791F48"/>
    <w:rsid w:val="007A014F"/>
    <w:rsid w:val="007A3E29"/>
    <w:rsid w:val="007A45D2"/>
    <w:rsid w:val="007A4D1F"/>
    <w:rsid w:val="007A71D7"/>
    <w:rsid w:val="007B2647"/>
    <w:rsid w:val="007B2C72"/>
    <w:rsid w:val="007B47BA"/>
    <w:rsid w:val="007C1C53"/>
    <w:rsid w:val="007C1C5F"/>
    <w:rsid w:val="007C2A18"/>
    <w:rsid w:val="007C74BB"/>
    <w:rsid w:val="007D0BF7"/>
    <w:rsid w:val="007D2383"/>
    <w:rsid w:val="007D284D"/>
    <w:rsid w:val="007D343F"/>
    <w:rsid w:val="007E405F"/>
    <w:rsid w:val="007E455E"/>
    <w:rsid w:val="007E4904"/>
    <w:rsid w:val="007E4CB5"/>
    <w:rsid w:val="007F066B"/>
    <w:rsid w:val="007F11EF"/>
    <w:rsid w:val="007F2D7C"/>
    <w:rsid w:val="007F5FE3"/>
    <w:rsid w:val="008033C4"/>
    <w:rsid w:val="008047D2"/>
    <w:rsid w:val="00806C88"/>
    <w:rsid w:val="0081034E"/>
    <w:rsid w:val="008106E8"/>
    <w:rsid w:val="00815997"/>
    <w:rsid w:val="0083350E"/>
    <w:rsid w:val="008344F6"/>
    <w:rsid w:val="0083510F"/>
    <w:rsid w:val="00843704"/>
    <w:rsid w:val="00851209"/>
    <w:rsid w:val="00854A51"/>
    <w:rsid w:val="00860C74"/>
    <w:rsid w:val="00862612"/>
    <w:rsid w:val="00864687"/>
    <w:rsid w:val="00870F3F"/>
    <w:rsid w:val="00880EC0"/>
    <w:rsid w:val="00881EFB"/>
    <w:rsid w:val="008837AC"/>
    <w:rsid w:val="0088654E"/>
    <w:rsid w:val="0089297E"/>
    <w:rsid w:val="0089695D"/>
    <w:rsid w:val="008A31B8"/>
    <w:rsid w:val="008A3E3C"/>
    <w:rsid w:val="008A53A9"/>
    <w:rsid w:val="008A587D"/>
    <w:rsid w:val="008B1061"/>
    <w:rsid w:val="008B199A"/>
    <w:rsid w:val="008B5B8A"/>
    <w:rsid w:val="008C5486"/>
    <w:rsid w:val="008D1661"/>
    <w:rsid w:val="008D4581"/>
    <w:rsid w:val="008E1FE5"/>
    <w:rsid w:val="008E67D0"/>
    <w:rsid w:val="008E7031"/>
    <w:rsid w:val="008E7935"/>
    <w:rsid w:val="008F2354"/>
    <w:rsid w:val="009065B1"/>
    <w:rsid w:val="00912896"/>
    <w:rsid w:val="00916749"/>
    <w:rsid w:val="009233EE"/>
    <w:rsid w:val="009270BA"/>
    <w:rsid w:val="00935699"/>
    <w:rsid w:val="009361A0"/>
    <w:rsid w:val="009460AA"/>
    <w:rsid w:val="00951978"/>
    <w:rsid w:val="009661DE"/>
    <w:rsid w:val="009736A2"/>
    <w:rsid w:val="009856B7"/>
    <w:rsid w:val="009904CD"/>
    <w:rsid w:val="0099291E"/>
    <w:rsid w:val="009A2FE5"/>
    <w:rsid w:val="009A3A61"/>
    <w:rsid w:val="009A5FC3"/>
    <w:rsid w:val="009B74B0"/>
    <w:rsid w:val="009B761C"/>
    <w:rsid w:val="009C0230"/>
    <w:rsid w:val="009C3A75"/>
    <w:rsid w:val="009D200C"/>
    <w:rsid w:val="009D5B1F"/>
    <w:rsid w:val="009D6B46"/>
    <w:rsid w:val="009E24A0"/>
    <w:rsid w:val="009E547A"/>
    <w:rsid w:val="009F38A1"/>
    <w:rsid w:val="009F4940"/>
    <w:rsid w:val="009F5BA1"/>
    <w:rsid w:val="00A02A88"/>
    <w:rsid w:val="00A0489A"/>
    <w:rsid w:val="00A0562E"/>
    <w:rsid w:val="00A0726D"/>
    <w:rsid w:val="00A1406E"/>
    <w:rsid w:val="00A22495"/>
    <w:rsid w:val="00A260AC"/>
    <w:rsid w:val="00A32FBB"/>
    <w:rsid w:val="00A4083C"/>
    <w:rsid w:val="00A41DCB"/>
    <w:rsid w:val="00A4478A"/>
    <w:rsid w:val="00A44852"/>
    <w:rsid w:val="00A50521"/>
    <w:rsid w:val="00A530AB"/>
    <w:rsid w:val="00A55D67"/>
    <w:rsid w:val="00A57D04"/>
    <w:rsid w:val="00A60023"/>
    <w:rsid w:val="00A60A26"/>
    <w:rsid w:val="00A61598"/>
    <w:rsid w:val="00A61B73"/>
    <w:rsid w:val="00A64723"/>
    <w:rsid w:val="00A72D93"/>
    <w:rsid w:val="00A75077"/>
    <w:rsid w:val="00A810F2"/>
    <w:rsid w:val="00A81104"/>
    <w:rsid w:val="00A82253"/>
    <w:rsid w:val="00A84F46"/>
    <w:rsid w:val="00A871F4"/>
    <w:rsid w:val="00A91F4E"/>
    <w:rsid w:val="00A9492E"/>
    <w:rsid w:val="00AA250E"/>
    <w:rsid w:val="00AA5C31"/>
    <w:rsid w:val="00AA76B6"/>
    <w:rsid w:val="00AB1F9B"/>
    <w:rsid w:val="00AB3B0C"/>
    <w:rsid w:val="00AB6008"/>
    <w:rsid w:val="00AC1B2C"/>
    <w:rsid w:val="00AC3264"/>
    <w:rsid w:val="00AC5F82"/>
    <w:rsid w:val="00AC6A4E"/>
    <w:rsid w:val="00AD0A6A"/>
    <w:rsid w:val="00AD59FB"/>
    <w:rsid w:val="00AE1BF1"/>
    <w:rsid w:val="00AF0857"/>
    <w:rsid w:val="00AF0DD2"/>
    <w:rsid w:val="00AF1ED6"/>
    <w:rsid w:val="00AF39FD"/>
    <w:rsid w:val="00B033E3"/>
    <w:rsid w:val="00B067D8"/>
    <w:rsid w:val="00B124F1"/>
    <w:rsid w:val="00B13048"/>
    <w:rsid w:val="00B13BA8"/>
    <w:rsid w:val="00B156E1"/>
    <w:rsid w:val="00B1635A"/>
    <w:rsid w:val="00B1716D"/>
    <w:rsid w:val="00B17A1D"/>
    <w:rsid w:val="00B207A0"/>
    <w:rsid w:val="00B30963"/>
    <w:rsid w:val="00B37E38"/>
    <w:rsid w:val="00B40E8E"/>
    <w:rsid w:val="00B415CC"/>
    <w:rsid w:val="00B42708"/>
    <w:rsid w:val="00B514DD"/>
    <w:rsid w:val="00B52AF0"/>
    <w:rsid w:val="00B52E5C"/>
    <w:rsid w:val="00B56AB2"/>
    <w:rsid w:val="00B56E03"/>
    <w:rsid w:val="00B65112"/>
    <w:rsid w:val="00B744F9"/>
    <w:rsid w:val="00B775DD"/>
    <w:rsid w:val="00B77B30"/>
    <w:rsid w:val="00B8080B"/>
    <w:rsid w:val="00B83B5D"/>
    <w:rsid w:val="00B84CEA"/>
    <w:rsid w:val="00B87C39"/>
    <w:rsid w:val="00B927D8"/>
    <w:rsid w:val="00B92D43"/>
    <w:rsid w:val="00B94CCD"/>
    <w:rsid w:val="00BA187E"/>
    <w:rsid w:val="00BA3C98"/>
    <w:rsid w:val="00BA45A5"/>
    <w:rsid w:val="00BA4665"/>
    <w:rsid w:val="00BB0653"/>
    <w:rsid w:val="00BB126B"/>
    <w:rsid w:val="00BB2FB2"/>
    <w:rsid w:val="00BB3304"/>
    <w:rsid w:val="00BB62C3"/>
    <w:rsid w:val="00BC087B"/>
    <w:rsid w:val="00BC4193"/>
    <w:rsid w:val="00BC7EF2"/>
    <w:rsid w:val="00BD3446"/>
    <w:rsid w:val="00BD3A9C"/>
    <w:rsid w:val="00BD46AD"/>
    <w:rsid w:val="00BE0F04"/>
    <w:rsid w:val="00BE1F1B"/>
    <w:rsid w:val="00BE47B5"/>
    <w:rsid w:val="00BE47B7"/>
    <w:rsid w:val="00BE5251"/>
    <w:rsid w:val="00BF73E2"/>
    <w:rsid w:val="00C014AF"/>
    <w:rsid w:val="00C0174E"/>
    <w:rsid w:val="00C052E7"/>
    <w:rsid w:val="00C054D4"/>
    <w:rsid w:val="00C116CC"/>
    <w:rsid w:val="00C1799C"/>
    <w:rsid w:val="00C205EF"/>
    <w:rsid w:val="00C2211A"/>
    <w:rsid w:val="00C25FA6"/>
    <w:rsid w:val="00C343C0"/>
    <w:rsid w:val="00C36AE5"/>
    <w:rsid w:val="00C45CE4"/>
    <w:rsid w:val="00C538A9"/>
    <w:rsid w:val="00C53B5A"/>
    <w:rsid w:val="00C54F5A"/>
    <w:rsid w:val="00C569B4"/>
    <w:rsid w:val="00C57673"/>
    <w:rsid w:val="00C64ABF"/>
    <w:rsid w:val="00C67A92"/>
    <w:rsid w:val="00C756A9"/>
    <w:rsid w:val="00C86679"/>
    <w:rsid w:val="00CA489E"/>
    <w:rsid w:val="00CA6824"/>
    <w:rsid w:val="00CB666B"/>
    <w:rsid w:val="00CC213C"/>
    <w:rsid w:val="00CC2C9E"/>
    <w:rsid w:val="00CC6075"/>
    <w:rsid w:val="00CC7BAA"/>
    <w:rsid w:val="00CC7F1D"/>
    <w:rsid w:val="00CE20A9"/>
    <w:rsid w:val="00CE4A26"/>
    <w:rsid w:val="00CF2711"/>
    <w:rsid w:val="00CF3E91"/>
    <w:rsid w:val="00CF5F0C"/>
    <w:rsid w:val="00D01CF0"/>
    <w:rsid w:val="00D039E3"/>
    <w:rsid w:val="00D0442A"/>
    <w:rsid w:val="00D05BF8"/>
    <w:rsid w:val="00D203B9"/>
    <w:rsid w:val="00D27C50"/>
    <w:rsid w:val="00D357D1"/>
    <w:rsid w:val="00D35DCB"/>
    <w:rsid w:val="00D46D42"/>
    <w:rsid w:val="00D508DB"/>
    <w:rsid w:val="00D51BAE"/>
    <w:rsid w:val="00D56413"/>
    <w:rsid w:val="00D57D60"/>
    <w:rsid w:val="00D61388"/>
    <w:rsid w:val="00D61A54"/>
    <w:rsid w:val="00D645CE"/>
    <w:rsid w:val="00D64DEA"/>
    <w:rsid w:val="00D71442"/>
    <w:rsid w:val="00D7168E"/>
    <w:rsid w:val="00D71780"/>
    <w:rsid w:val="00D71E57"/>
    <w:rsid w:val="00D80893"/>
    <w:rsid w:val="00D81EF4"/>
    <w:rsid w:val="00D907CB"/>
    <w:rsid w:val="00D92CF1"/>
    <w:rsid w:val="00D92D38"/>
    <w:rsid w:val="00D950F5"/>
    <w:rsid w:val="00DA0792"/>
    <w:rsid w:val="00DA210A"/>
    <w:rsid w:val="00DA5043"/>
    <w:rsid w:val="00DB0F93"/>
    <w:rsid w:val="00DB1A67"/>
    <w:rsid w:val="00DB1C30"/>
    <w:rsid w:val="00DB2897"/>
    <w:rsid w:val="00DB29A4"/>
    <w:rsid w:val="00DB5074"/>
    <w:rsid w:val="00DB5E02"/>
    <w:rsid w:val="00DB723B"/>
    <w:rsid w:val="00DC7981"/>
    <w:rsid w:val="00DD6FBD"/>
    <w:rsid w:val="00DE4EFA"/>
    <w:rsid w:val="00DE5520"/>
    <w:rsid w:val="00DF1437"/>
    <w:rsid w:val="00E01E30"/>
    <w:rsid w:val="00E0332E"/>
    <w:rsid w:val="00E04818"/>
    <w:rsid w:val="00E06442"/>
    <w:rsid w:val="00E137FB"/>
    <w:rsid w:val="00E1388E"/>
    <w:rsid w:val="00E14153"/>
    <w:rsid w:val="00E16751"/>
    <w:rsid w:val="00E16E56"/>
    <w:rsid w:val="00E22820"/>
    <w:rsid w:val="00E23993"/>
    <w:rsid w:val="00E247A6"/>
    <w:rsid w:val="00E24B69"/>
    <w:rsid w:val="00E25B8C"/>
    <w:rsid w:val="00E35A96"/>
    <w:rsid w:val="00E360F8"/>
    <w:rsid w:val="00E41D10"/>
    <w:rsid w:val="00E43A55"/>
    <w:rsid w:val="00E4780B"/>
    <w:rsid w:val="00E53F01"/>
    <w:rsid w:val="00E55F1C"/>
    <w:rsid w:val="00E60746"/>
    <w:rsid w:val="00E65C85"/>
    <w:rsid w:val="00E66199"/>
    <w:rsid w:val="00E7018D"/>
    <w:rsid w:val="00E72663"/>
    <w:rsid w:val="00E755EC"/>
    <w:rsid w:val="00E7624D"/>
    <w:rsid w:val="00E8367F"/>
    <w:rsid w:val="00E85B0E"/>
    <w:rsid w:val="00E92A63"/>
    <w:rsid w:val="00E95A19"/>
    <w:rsid w:val="00E9736B"/>
    <w:rsid w:val="00EA2585"/>
    <w:rsid w:val="00EA3D42"/>
    <w:rsid w:val="00EA6B1B"/>
    <w:rsid w:val="00EB16BF"/>
    <w:rsid w:val="00EB2FDC"/>
    <w:rsid w:val="00EB505D"/>
    <w:rsid w:val="00EC1D09"/>
    <w:rsid w:val="00EC64EF"/>
    <w:rsid w:val="00ED7649"/>
    <w:rsid w:val="00EE28F3"/>
    <w:rsid w:val="00EF174D"/>
    <w:rsid w:val="00EF5110"/>
    <w:rsid w:val="00F007E6"/>
    <w:rsid w:val="00F04E41"/>
    <w:rsid w:val="00F12916"/>
    <w:rsid w:val="00F15882"/>
    <w:rsid w:val="00F171E0"/>
    <w:rsid w:val="00F20BD3"/>
    <w:rsid w:val="00F21FA2"/>
    <w:rsid w:val="00F373A5"/>
    <w:rsid w:val="00F40580"/>
    <w:rsid w:val="00F40AB1"/>
    <w:rsid w:val="00F4238E"/>
    <w:rsid w:val="00F437D2"/>
    <w:rsid w:val="00F472F9"/>
    <w:rsid w:val="00F47559"/>
    <w:rsid w:val="00F5338C"/>
    <w:rsid w:val="00F55C38"/>
    <w:rsid w:val="00F62A67"/>
    <w:rsid w:val="00F64C7B"/>
    <w:rsid w:val="00F676DD"/>
    <w:rsid w:val="00F71778"/>
    <w:rsid w:val="00F75A26"/>
    <w:rsid w:val="00F81F7A"/>
    <w:rsid w:val="00F835C9"/>
    <w:rsid w:val="00F83FAD"/>
    <w:rsid w:val="00F9188A"/>
    <w:rsid w:val="00F93059"/>
    <w:rsid w:val="00F952A0"/>
    <w:rsid w:val="00FA3C7F"/>
    <w:rsid w:val="00FA44E1"/>
    <w:rsid w:val="00FB0479"/>
    <w:rsid w:val="00FB0D36"/>
    <w:rsid w:val="00FB74E2"/>
    <w:rsid w:val="00FC4DC2"/>
    <w:rsid w:val="00FC55F0"/>
    <w:rsid w:val="00FD3883"/>
    <w:rsid w:val="00FD5614"/>
    <w:rsid w:val="00FD7F21"/>
    <w:rsid w:val="00FE0BE1"/>
    <w:rsid w:val="00FE1DE9"/>
    <w:rsid w:val="00FE24DA"/>
    <w:rsid w:val="00FE39C2"/>
    <w:rsid w:val="00FE3C32"/>
    <w:rsid w:val="00FE64AE"/>
    <w:rsid w:val="00FE7CC9"/>
    <w:rsid w:val="00FF1F68"/>
    <w:rsid w:val="00FF7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C054D4"/>
    <w:pPr>
      <w:spacing w:line="240" w:lineRule="auto"/>
    </w:pPr>
    <w:rPr>
      <w:sz w:val="20"/>
      <w:szCs w:val="20"/>
    </w:rPr>
  </w:style>
  <w:style w:type="character" w:customStyle="1" w:styleId="CommentTextChar">
    <w:name w:val="Comment Text Char"/>
    <w:basedOn w:val="DefaultParagraphFont"/>
    <w:link w:val="CommentText"/>
    <w:uiPriority w:val="99"/>
    <w:semiHidden/>
    <w:rsid w:val="00C054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54D4"/>
    <w:rPr>
      <w:b/>
      <w:bCs/>
    </w:rPr>
  </w:style>
  <w:style w:type="character" w:customStyle="1" w:styleId="CommentSubjectChar">
    <w:name w:val="Comment Subject Char"/>
    <w:basedOn w:val="CommentTextChar"/>
    <w:link w:val="CommentSubject"/>
    <w:uiPriority w:val="99"/>
    <w:semiHidden/>
    <w:rsid w:val="00C054D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C054D4"/>
    <w:pPr>
      <w:spacing w:line="240" w:lineRule="auto"/>
    </w:pPr>
    <w:rPr>
      <w:sz w:val="20"/>
      <w:szCs w:val="20"/>
    </w:rPr>
  </w:style>
  <w:style w:type="character" w:customStyle="1" w:styleId="CommentTextChar">
    <w:name w:val="Comment Text Char"/>
    <w:basedOn w:val="DefaultParagraphFont"/>
    <w:link w:val="CommentText"/>
    <w:uiPriority w:val="99"/>
    <w:semiHidden/>
    <w:rsid w:val="00C054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54D4"/>
    <w:rPr>
      <w:b/>
      <w:bCs/>
    </w:rPr>
  </w:style>
  <w:style w:type="character" w:customStyle="1" w:styleId="CommentSubjectChar">
    <w:name w:val="Comment Subject Char"/>
    <w:basedOn w:val="CommentTextChar"/>
    <w:link w:val="CommentSubject"/>
    <w:uiPriority w:val="99"/>
    <w:semiHidden/>
    <w:rsid w:val="00C054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14396D-B863-48CB-983B-D033CE5D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6F8C8FC3</Template>
  <TotalTime>0</TotalTime>
  <Pages>10</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2015-09-08T01:50:00Z</dcterms:created>
  <dcterms:modified xsi:type="dcterms:W3CDTF">2015-09-08T01:51:00Z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